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PS Pro" w:hAnsi="Times New Roman PS Pro" w:eastAsia="方正小标宋_GBK" w:cs="Times New Roman PS Pro"/>
          <w:sz w:val="44"/>
          <w:szCs w:val="44"/>
          <w:lang w:val="en-US" w:eastAsia="zh-CN"/>
        </w:rPr>
      </w:pPr>
      <w:r>
        <w:rPr>
          <w:rFonts w:hint="default" w:ascii="Times New Roman PS Pro" w:hAnsi="Times New Roman PS Pro" w:eastAsia="方正小标宋_GBK" w:cs="Times New Roman PS Pro"/>
          <w:sz w:val="44"/>
          <w:szCs w:val="44"/>
          <w:lang w:val="en-US" w:eastAsia="zh-CN"/>
        </w:rPr>
        <w:t>巴州殡仪延伸服务收费标准调价方案起草说明</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40" w:firstLineChars="200"/>
        <w:jc w:val="left"/>
        <w:textAlignment w:val="auto"/>
        <w:outlineLvl w:val="9"/>
        <w:rPr>
          <w:rFonts w:hint="default" w:ascii="Times New Roman PS Pro" w:hAnsi="Times New Roman PS Pro" w:eastAsia="方正仿宋_GBK" w:cs="Times New Roman PS Pr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40" w:firstLineChars="200"/>
        <w:jc w:val="both"/>
        <w:textAlignment w:val="auto"/>
        <w:outlineLvl w:val="9"/>
        <w:rPr>
          <w:rFonts w:hint="default" w:ascii="Times New Roman PS Pro" w:hAnsi="Times New Roman PS Pro" w:eastAsia="方正仿宋_GBK" w:cs="Times New Roman PS Pro"/>
          <w:sz w:val="32"/>
          <w:szCs w:val="32"/>
          <w:lang w:val="en-US" w:eastAsia="zh-CN"/>
        </w:rPr>
      </w:pPr>
      <w:r>
        <w:rPr>
          <w:rFonts w:hint="default" w:ascii="Times New Roman PS Pro" w:hAnsi="Times New Roman PS Pro" w:eastAsia="方正仿宋_GBK" w:cs="Times New Roman PS Pro"/>
          <w:sz w:val="32"/>
          <w:szCs w:val="32"/>
          <w:lang w:val="en-US" w:eastAsia="zh-CN"/>
        </w:rPr>
        <w:t>为进一步规范我州殡葬服务收费和价格管理，维护群众和殡葬服务经营者合法权益，促进殡葬服务事业健康发展，根据</w:t>
      </w:r>
      <w:r>
        <w:rPr>
          <w:rFonts w:hint="eastAsia" w:ascii="Times New Roman PS Pro" w:hAnsi="Times New Roman PS Pro" w:eastAsia="方正仿宋_GBK" w:cs="Times New Roman PS Pro"/>
          <w:sz w:val="32"/>
          <w:szCs w:val="32"/>
          <w:lang w:val="en-US" w:eastAsia="zh-CN"/>
        </w:rPr>
        <w:t>《国家发展改革委 民政部 财政部</w:t>
      </w:r>
      <w:r>
        <w:rPr>
          <w:rFonts w:hint="default" w:ascii="Times New Roman PS Pro" w:hAnsi="Times New Roman PS Pro" w:eastAsia="方正仿宋_GBK" w:cs="Times New Roman PS Pro"/>
          <w:sz w:val="32"/>
          <w:szCs w:val="32"/>
          <w:lang w:val="en-US" w:eastAsia="zh-CN"/>
        </w:rPr>
        <w:t>&lt;</w:t>
      </w:r>
      <w:r>
        <w:rPr>
          <w:rFonts w:hint="eastAsia" w:ascii="Times New Roman PS Pro" w:hAnsi="Times New Roman PS Pro" w:eastAsia="方正仿宋_GBK" w:cs="Times New Roman PS Pro"/>
          <w:sz w:val="32"/>
          <w:szCs w:val="32"/>
          <w:lang w:val="en-US" w:eastAsia="zh-CN"/>
        </w:rPr>
        <w:t>关于进一步完善殡葬服务收费政策</w:t>
      </w:r>
      <w:r>
        <w:rPr>
          <w:rFonts w:hint="default" w:ascii="Times New Roman PS Pro" w:hAnsi="Times New Roman PS Pro" w:eastAsia="方正仿宋_GBK" w:cs="Times New Roman PS Pro"/>
          <w:sz w:val="32"/>
          <w:szCs w:val="32"/>
          <w:lang w:val="en-US" w:eastAsia="zh-CN"/>
        </w:rPr>
        <w:t>&gt;</w:t>
      </w:r>
      <w:r>
        <w:rPr>
          <w:rFonts w:hint="eastAsia" w:ascii="Times New Roman PS Pro" w:hAnsi="Times New Roman PS Pro" w:eastAsia="方正仿宋_GBK" w:cs="Times New Roman PS Pro"/>
          <w:sz w:val="32"/>
          <w:szCs w:val="32"/>
          <w:lang w:val="en-US" w:eastAsia="zh-CN"/>
        </w:rPr>
        <w:t>的通知》</w:t>
      </w:r>
      <w:r>
        <w:rPr>
          <w:rFonts w:hint="default" w:ascii="Times New Roman PS Pro" w:hAnsi="Times New Roman PS Pro" w:eastAsia="方正仿宋_GBK" w:cs="Times New Roman PS Pro"/>
          <w:sz w:val="32"/>
          <w:szCs w:val="32"/>
          <w:lang w:val="en-US" w:eastAsia="zh-CN"/>
        </w:rPr>
        <w:t>（发改</w:t>
      </w:r>
      <w:r>
        <w:rPr>
          <w:rFonts w:hint="eastAsia" w:ascii="Times New Roman PS Pro" w:hAnsi="Times New Roman PS Pro" w:eastAsia="方正仿宋_GBK" w:cs="Times New Roman PS Pro"/>
          <w:sz w:val="32"/>
          <w:szCs w:val="32"/>
          <w:lang w:val="en-US" w:eastAsia="zh-CN"/>
        </w:rPr>
        <w:t>价格</w:t>
      </w:r>
      <w:r>
        <w:rPr>
          <w:rFonts w:hint="default" w:ascii="Times New Roman PS Pro" w:hAnsi="Times New Roman PS Pro" w:eastAsia="方正仿宋_GBK" w:cs="Times New Roman PS Pro"/>
          <w:sz w:val="32"/>
          <w:szCs w:val="32"/>
          <w:lang w:val="en-US" w:eastAsia="zh-CN"/>
        </w:rPr>
        <w:t>〔202</w:t>
      </w:r>
      <w:r>
        <w:rPr>
          <w:rFonts w:hint="eastAsia" w:ascii="Times New Roman PS Pro" w:hAnsi="Times New Roman PS Pro" w:eastAsia="方正仿宋_GBK" w:cs="Times New Roman PS Pro"/>
          <w:sz w:val="32"/>
          <w:szCs w:val="32"/>
          <w:lang w:val="en-US" w:eastAsia="zh-CN"/>
        </w:rPr>
        <w:t>6</w:t>
      </w:r>
      <w:r>
        <w:rPr>
          <w:rFonts w:hint="default" w:ascii="Times New Roman PS Pro" w:hAnsi="Times New Roman PS Pro" w:eastAsia="方正仿宋_GBK" w:cs="Times New Roman PS Pro"/>
          <w:sz w:val="32"/>
          <w:szCs w:val="32"/>
          <w:lang w:val="en-US" w:eastAsia="zh-CN"/>
        </w:rPr>
        <w:t>〕</w:t>
      </w:r>
      <w:r>
        <w:rPr>
          <w:rFonts w:hint="eastAsia" w:ascii="Times New Roman PS Pro" w:hAnsi="Times New Roman PS Pro" w:eastAsia="方正仿宋_GBK" w:cs="Times New Roman PS Pro"/>
          <w:sz w:val="32"/>
          <w:szCs w:val="32"/>
          <w:lang w:val="en-US" w:eastAsia="zh-CN"/>
        </w:rPr>
        <w:t>108</w:t>
      </w:r>
      <w:r>
        <w:rPr>
          <w:rFonts w:hint="default" w:ascii="Times New Roman PS Pro" w:hAnsi="Times New Roman PS Pro" w:eastAsia="方正仿宋_GBK" w:cs="Times New Roman PS Pro"/>
          <w:sz w:val="32"/>
          <w:szCs w:val="32"/>
          <w:lang w:val="en-US" w:eastAsia="zh-CN"/>
        </w:rPr>
        <w:t>号）</w:t>
      </w:r>
      <w:r>
        <w:rPr>
          <w:rFonts w:hint="eastAsia" w:ascii="Times New Roman PS Pro" w:hAnsi="Times New Roman PS Pro" w:eastAsia="方正仿宋_GBK" w:cs="Times New Roman PS Pro"/>
          <w:sz w:val="32"/>
          <w:szCs w:val="32"/>
          <w:lang w:val="en-US" w:eastAsia="zh-CN"/>
        </w:rPr>
        <w:t>、</w:t>
      </w:r>
      <w:r>
        <w:rPr>
          <w:rFonts w:hint="default" w:ascii="Times New Roman PS Pro" w:hAnsi="Times New Roman PS Pro" w:eastAsia="方正仿宋_GBK" w:cs="Times New Roman PS Pro"/>
          <w:sz w:val="32"/>
          <w:szCs w:val="32"/>
          <w:lang w:val="en-US" w:eastAsia="zh-CN"/>
        </w:rPr>
        <w:t>《自治区发展改革委等部门关于印发&lt;新疆维吾尔自治区殡葬服务收费管理办法&gt;的通知》（新发改规〔2024</w:t>
      </w:r>
      <w:r>
        <w:rPr>
          <w:rFonts w:hint="default" w:ascii="Times New Roman PS Pro" w:hAnsi="Times New Roman PS Pro" w:eastAsia="方正小标宋_GBK" w:cs="Times New Roman PS Pro"/>
          <w:sz w:val="32"/>
          <w:szCs w:val="32"/>
          <w:lang w:val="en-US" w:eastAsia="zh-CN"/>
        </w:rPr>
        <w:t>〕</w:t>
      </w:r>
      <w:r>
        <w:rPr>
          <w:rFonts w:hint="default" w:ascii="Times New Roman PS Pro" w:hAnsi="Times New Roman PS Pro" w:eastAsia="方正仿宋_GBK" w:cs="Times New Roman PS Pro"/>
          <w:sz w:val="32"/>
          <w:szCs w:val="32"/>
          <w:lang w:val="en-US" w:eastAsia="zh-CN"/>
        </w:rPr>
        <w:t>9号）等有关</w:t>
      </w:r>
      <w:r>
        <w:rPr>
          <w:rFonts w:hint="eastAsia" w:ascii="Times New Roman PS Pro" w:hAnsi="Times New Roman PS Pro" w:eastAsia="方正仿宋_GBK" w:cs="Times New Roman PS Pro"/>
          <w:sz w:val="32"/>
          <w:szCs w:val="32"/>
          <w:lang w:val="en-US" w:eastAsia="zh-CN"/>
        </w:rPr>
        <w:t>文件</w:t>
      </w:r>
      <w:bookmarkStart w:id="1" w:name="_GoBack"/>
      <w:bookmarkEnd w:id="1"/>
      <w:r>
        <w:rPr>
          <w:rFonts w:hint="default" w:ascii="Times New Roman PS Pro" w:hAnsi="Times New Roman PS Pro" w:eastAsia="方正仿宋_GBK" w:cs="Times New Roman PS Pro"/>
          <w:sz w:val="32"/>
          <w:szCs w:val="32"/>
          <w:lang w:val="en-US" w:eastAsia="zh-CN"/>
        </w:rPr>
        <w:t>规定，殡仪延伸服务收费标准定价权限为地（州、市）人民政府。依据我州殡仪延伸服务成本监审结论及中央办公厅和国务院办公厅相关文件精神，结合本地经济社会发展水平、群众承受能力及服务成本变化情况，制定本调价方案，起草说明如下：</w:t>
      </w:r>
    </w:p>
    <w:p>
      <w:pPr>
        <w:numPr>
          <w:ilvl w:val="0"/>
          <w:numId w:val="1"/>
        </w:numPr>
        <w:ind w:firstLine="640" w:firstLineChars="200"/>
        <w:rPr>
          <w:rFonts w:hint="default" w:ascii="Times New Roman PS Pro" w:hAnsi="Times New Roman PS Pro" w:eastAsia="方正黑体_GBK" w:cs="Times New Roman PS Pro"/>
          <w:sz w:val="32"/>
          <w:szCs w:val="32"/>
          <w:lang w:val="en-US" w:eastAsia="zh-CN"/>
        </w:rPr>
      </w:pPr>
      <w:r>
        <w:rPr>
          <w:rFonts w:hint="default" w:ascii="Times New Roman PS Pro" w:hAnsi="Times New Roman PS Pro" w:eastAsia="方正黑体_GBK" w:cs="Times New Roman PS Pro"/>
          <w:sz w:val="32"/>
          <w:szCs w:val="32"/>
          <w:lang w:val="en-US" w:eastAsia="zh-CN"/>
        </w:rPr>
        <w:t>巴州殡仪延伸服务收费标准调整的必要性</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40" w:firstLineChars="200"/>
        <w:jc w:val="both"/>
        <w:textAlignment w:val="auto"/>
        <w:outlineLvl w:val="9"/>
        <w:rPr>
          <w:rFonts w:hint="default" w:ascii="Times New Roman PS Pro" w:hAnsi="Times New Roman PS Pro" w:eastAsia="方正仿宋_GBK" w:cs="Times New Roman PS Pro"/>
          <w:sz w:val="32"/>
          <w:szCs w:val="32"/>
          <w:lang w:val="en-US" w:eastAsia="zh-CN"/>
        </w:rPr>
      </w:pPr>
      <w:r>
        <w:rPr>
          <w:rFonts w:hint="default" w:ascii="Times New Roman PS Pro" w:hAnsi="Times New Roman PS Pro" w:eastAsia="方正仿宋_GBK" w:cs="Times New Roman PS Pro"/>
          <w:sz w:val="32"/>
          <w:szCs w:val="32"/>
          <w:lang w:val="en-US" w:eastAsia="zh-CN"/>
        </w:rPr>
        <w:t>1999年自治区物价局出台《关于调整殡葬服务收费标准的通知》（</w:t>
      </w:r>
      <w:r>
        <w:rPr>
          <w:rFonts w:hint="eastAsia" w:ascii="Times New Roman PS Pro" w:hAnsi="Times New Roman PS Pro" w:eastAsia="方正仿宋_GBK" w:cs="Times New Roman PS Pro"/>
          <w:sz w:val="32"/>
          <w:szCs w:val="32"/>
          <w:lang w:val="en-US" w:eastAsia="zh-CN"/>
        </w:rPr>
        <w:t>新</w:t>
      </w:r>
      <w:r>
        <w:rPr>
          <w:rFonts w:hint="default" w:ascii="Times New Roman PS Pro" w:hAnsi="Times New Roman PS Pro" w:eastAsia="方正仿宋_GBK" w:cs="Times New Roman PS Pro"/>
          <w:sz w:val="32"/>
          <w:szCs w:val="32"/>
          <w:lang w:val="en-US" w:eastAsia="zh-CN"/>
        </w:rPr>
        <w:t>价非字〔1999〕22号）文件，此文件延用至今已执行26年，目前随着殡仪服务改革情况，1999年自治区出台文件收费标准，已不能适应目前殡葬服务社会发展，根据《自治区发展改革委等部门关于印发&lt;新疆维吾尔自治区殡葬服务收费管理办法&gt;的通知》（新发改规〔2024</w:t>
      </w:r>
      <w:r>
        <w:rPr>
          <w:rFonts w:hint="default" w:ascii="Times New Roman PS Pro" w:hAnsi="Times New Roman PS Pro" w:eastAsia="方正小标宋_GBK" w:cs="Times New Roman PS Pro"/>
          <w:sz w:val="32"/>
          <w:szCs w:val="32"/>
          <w:lang w:val="en-US" w:eastAsia="zh-CN"/>
        </w:rPr>
        <w:t>〕</w:t>
      </w:r>
      <w:r>
        <w:rPr>
          <w:rFonts w:hint="default" w:ascii="Times New Roman PS Pro" w:hAnsi="Times New Roman PS Pro" w:eastAsia="方正仿宋_GBK" w:cs="Times New Roman PS Pro"/>
          <w:sz w:val="32"/>
          <w:szCs w:val="32"/>
          <w:lang w:val="en-US" w:eastAsia="zh-CN"/>
        </w:rPr>
        <w:t>9号）的通知等有关规定，殡仪延伸服务收费和公益性公墓收费标准定价权限为地（州、市）人民政府，巴州发展改革委按照定价权限，结合我州实际，进一步体现殡葬服务收费的公益属性，研究起草巴州殡仪延伸服务收费标准调价方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PS Pro" w:hAnsi="Times New Roman PS Pro" w:eastAsia="方正黑体_GBK" w:cs="Times New Roman PS Pro"/>
          <w:sz w:val="32"/>
          <w:szCs w:val="32"/>
        </w:rPr>
      </w:pPr>
      <w:r>
        <w:rPr>
          <w:rFonts w:hint="default" w:ascii="Times New Roman PS Pro" w:hAnsi="Times New Roman PS Pro" w:eastAsia="方正黑体_GBK" w:cs="Times New Roman PS Pro"/>
          <w:sz w:val="32"/>
          <w:szCs w:val="32"/>
        </w:rPr>
        <w:t>二、起草过程</w:t>
      </w:r>
    </w:p>
    <w:p>
      <w:pPr>
        <w:keepNext w:val="0"/>
        <w:keepLines w:val="0"/>
        <w:pageBreakBefore w:val="0"/>
        <w:widowControl w:val="0"/>
        <w:kinsoku/>
        <w:wordWrap/>
        <w:overflowPunct/>
        <w:topLinePunct w:val="0"/>
        <w:autoSpaceDE/>
        <w:autoSpaceDN/>
        <w:bidi w:val="0"/>
        <w:adjustRightInd/>
        <w:snapToGrid/>
        <w:spacing w:before="0" w:after="0" w:line="240" w:lineRule="auto"/>
        <w:ind w:right="0" w:firstLine="640" w:firstLineChars="200"/>
        <w:jc w:val="both"/>
        <w:textAlignment w:val="auto"/>
        <w:outlineLvl w:val="9"/>
        <w:rPr>
          <w:rFonts w:hint="default" w:ascii="Times New Roman PS Pro" w:hAnsi="Times New Roman PS Pro" w:eastAsia="方正仿宋_GBK" w:cs="Times New Roman PS Pro"/>
          <w:sz w:val="32"/>
          <w:szCs w:val="32"/>
          <w:lang w:val="en-US" w:eastAsia="zh-CN"/>
        </w:rPr>
      </w:pPr>
      <w:r>
        <w:rPr>
          <w:rFonts w:hint="default" w:ascii="Times New Roman PS Pro" w:hAnsi="Times New Roman PS Pro" w:eastAsia="方正仿宋_GBK" w:cs="Times New Roman PS Pro"/>
          <w:color w:val="auto"/>
          <w:sz w:val="32"/>
          <w:szCs w:val="32"/>
          <w:highlight w:val="none"/>
          <w:lang w:val="en-US" w:eastAsia="zh-CN"/>
        </w:rPr>
        <w:t>2025年4月至9月，</w:t>
      </w:r>
      <w:r>
        <w:rPr>
          <w:rFonts w:hint="default" w:ascii="Times New Roman PS Pro" w:hAnsi="Times New Roman PS Pro" w:eastAsia="方正仿宋_GBK" w:cs="Times New Roman PS Pro"/>
          <w:sz w:val="32"/>
          <w:szCs w:val="32"/>
          <w:lang w:val="en-US" w:eastAsia="zh-CN"/>
        </w:rPr>
        <w:t>巴州发展改革委</w:t>
      </w:r>
      <w:r>
        <w:rPr>
          <w:rFonts w:hint="default" w:ascii="Times New Roman PS Pro" w:hAnsi="Times New Roman PS Pro" w:eastAsia="方正仿宋_GBK" w:cs="Times New Roman PS Pro"/>
          <w:sz w:val="32"/>
          <w:szCs w:val="32"/>
          <w:highlight w:val="none"/>
          <w:lang w:val="en-US" w:eastAsia="zh-CN"/>
        </w:rPr>
        <w:t>对全州13家殡葬机构开展成本监审，</w:t>
      </w:r>
      <w:r>
        <w:rPr>
          <w:rFonts w:hint="default" w:ascii="Times New Roman PS Pro" w:hAnsi="Times New Roman PS Pro" w:eastAsia="方正仿宋_GBK" w:cs="Times New Roman PS Pro"/>
          <w:color w:val="auto"/>
          <w:sz w:val="32"/>
          <w:szCs w:val="32"/>
          <w:highlight w:val="none"/>
          <w:lang w:val="en-US" w:eastAsia="zh-CN"/>
        </w:rPr>
        <w:t>其中：</w:t>
      </w:r>
      <w:bookmarkStart w:id="0" w:name="_Hlk201937686"/>
      <w:r>
        <w:rPr>
          <w:rFonts w:hint="default" w:ascii="Times New Roman PS Pro" w:hAnsi="Times New Roman PS Pro" w:eastAsia="方正仿宋_GBK" w:cs="Times New Roman PS Pro"/>
          <w:sz w:val="32"/>
          <w:szCs w:val="32"/>
          <w:highlight w:val="none"/>
          <w:lang w:val="en-US" w:eastAsia="zh-CN"/>
        </w:rPr>
        <w:t>库尔勒市殡仪馆</w:t>
      </w:r>
      <w:bookmarkEnd w:id="0"/>
      <w:r>
        <w:rPr>
          <w:rFonts w:hint="default" w:ascii="Times New Roman PS Pro" w:hAnsi="Times New Roman PS Pro" w:eastAsia="方正仿宋_GBK" w:cs="Times New Roman PS Pro"/>
          <w:sz w:val="32"/>
          <w:szCs w:val="32"/>
          <w:highlight w:val="none"/>
          <w:lang w:val="en-US" w:eastAsia="zh-CN"/>
        </w:rPr>
        <w:t>、焉耆县永安宫殡仪馆和博湖县青松殡葬服务有限责任公司3家</w:t>
      </w:r>
      <w:r>
        <w:rPr>
          <w:rFonts w:hint="default" w:ascii="Times New Roman PS Pro" w:hAnsi="Times New Roman PS Pro" w:eastAsia="方正仿宋_GBK" w:cs="Times New Roman PS Pro"/>
          <w:color w:val="auto"/>
          <w:sz w:val="32"/>
          <w:szCs w:val="32"/>
          <w:highlight w:val="none"/>
          <w:lang w:val="en-US" w:eastAsia="zh-CN"/>
        </w:rPr>
        <w:t>为</w:t>
      </w:r>
      <w:r>
        <w:rPr>
          <w:rFonts w:hint="default" w:ascii="Times New Roman PS Pro" w:hAnsi="Times New Roman PS Pro" w:eastAsia="方正仿宋_GBK" w:cs="Times New Roman PS Pro"/>
          <w:sz w:val="32"/>
          <w:szCs w:val="32"/>
          <w:highlight w:val="none"/>
          <w:lang w:val="en-US" w:eastAsia="zh-CN"/>
        </w:rPr>
        <w:t>殡仪延伸服务收费，即遗体防腐、遗体整容、吊唁设施及设备租赁等3项。根据成本监审结果，多次深入县市调研，组织州民政局、财政局对制定</w:t>
      </w:r>
      <w:r>
        <w:rPr>
          <w:rFonts w:hint="default" w:ascii="Times New Roman PS Pro" w:hAnsi="Times New Roman PS Pro" w:eastAsia="方正仿宋_GBK" w:cs="Times New Roman PS Pro"/>
          <w:sz w:val="32"/>
          <w:szCs w:val="32"/>
          <w:lang w:val="en-US" w:eastAsia="zh-CN"/>
        </w:rPr>
        <w:t>殡仪延伸服务收费和少数民族公益性公墓收费标准进行研究讨论，制定起草了巴州殡仪延伸服务收费标准调价方案。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PS Pro" w:hAnsi="Times New Roman PS Pro" w:eastAsia="方正黑体_GBK" w:cs="Times New Roman PS Pro"/>
          <w:sz w:val="32"/>
          <w:szCs w:val="32"/>
        </w:rPr>
      </w:pPr>
      <w:r>
        <w:rPr>
          <w:rFonts w:hint="default" w:ascii="Times New Roman PS Pro" w:hAnsi="Times New Roman PS Pro" w:eastAsia="方正黑体_GBK" w:cs="Times New Roman PS Pro"/>
          <w:sz w:val="32"/>
          <w:szCs w:val="32"/>
        </w:rPr>
        <w:t>三、主要内容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b/>
          <w:bCs/>
          <w:sz w:val="32"/>
          <w:szCs w:val="32"/>
          <w:lang w:val="en-US" w:eastAsia="zh-CN"/>
        </w:rPr>
      </w:pPr>
      <w:r>
        <w:rPr>
          <w:rFonts w:hint="default" w:ascii="Times New Roman" w:hAnsi="Times New Roman" w:eastAsia="方正仿宋_GBK" w:cs="Times New Roman"/>
          <w:sz w:val="32"/>
          <w:szCs w:val="32"/>
          <w:lang w:val="en-US" w:eastAsia="zh-CN"/>
        </w:rPr>
        <w:t>根据《国家发展改革委 民政部 财政部关于进一步完善殡葬服务收费政策的通知》（发改价格</w:t>
      </w:r>
      <w:r>
        <w:rPr>
          <w:rFonts w:hint="default" w:ascii="Times New Roman" w:hAnsi="Times New Roman" w:eastAsia="仿宋_GB2312" w:cs="Times New Roman"/>
          <w:sz w:val="32"/>
          <w:szCs w:val="32"/>
          <w:lang w:val="en-US" w:eastAsia="zh-CN"/>
        </w:rPr>
        <w:t>〔2026〕108号</w:t>
      </w:r>
      <w:r>
        <w:rPr>
          <w:rFonts w:hint="default" w:ascii="Times New Roman" w:hAnsi="Times New Roman" w:eastAsia="方正仿宋_GBK" w:cs="Times New Roman"/>
          <w:sz w:val="32"/>
          <w:szCs w:val="32"/>
          <w:lang w:val="en-US" w:eastAsia="zh-CN"/>
        </w:rPr>
        <w:t>）文件要求，制定殡仪延伸服务项目收费实行政府指导价，基准收费标准在成本监审或调查的基础上，以扣除政府补助、社会无偿捐赠等后的成本为依据，按照补偿合理成本的原则制定，浮动幅度应综合考虑当地经济发展水平、机构性质、服务类型、机构成本差异等因素；具体收费标准由殡仪服务机构按照非营利性原则，综合考虑当地居民收入和承受能力，在基准收费标准以及浮动幅度范围内合理确定。</w:t>
      </w:r>
      <w:r>
        <w:rPr>
          <w:rFonts w:hint="default" w:ascii="Times New Roman" w:hAnsi="Times New Roman" w:eastAsia="方正楷体_GBK" w:cs="Times New Roman"/>
          <w:b/>
          <w:bCs/>
          <w:sz w:val="32"/>
          <w:szCs w:val="32"/>
          <w:lang w:val="en-US" w:eastAsia="zh-CN"/>
        </w:rPr>
        <w:t>本次调价收费标准为基准价+浮动幅度20%确定，上浮幅度不得超过20%，下浮不限。</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遗体防腐收费标准。</w:t>
      </w:r>
      <w:r>
        <w:rPr>
          <w:rFonts w:hint="default" w:ascii="Times New Roman" w:hAnsi="Times New Roman" w:eastAsia="方正仿宋_GBK" w:cs="Times New Roman"/>
          <w:b w:val="0"/>
          <w:bCs w:val="0"/>
          <w:sz w:val="32"/>
          <w:szCs w:val="32"/>
          <w:lang w:val="en-US" w:eastAsia="zh-CN"/>
        </w:rPr>
        <w:t>采用化学药剂防腐，常温条件下遗体3天以内不腐烂，基准价510元/具（含防腐袋），3天以上防腐，结合家属特殊要求，双方协商确定。</w:t>
      </w:r>
      <w:r>
        <w:rPr>
          <w:rFonts w:hint="eastAsia" w:ascii="Times New Roman" w:hAnsi="Times New Roman" w:eastAsia="方正仿宋_GBK" w:cs="Times New Roman"/>
          <w:b w:val="0"/>
          <w:bCs w:val="0"/>
          <w:sz w:val="32"/>
          <w:szCs w:val="32"/>
          <w:lang w:val="en-US" w:eastAsia="zh-CN"/>
        </w:rPr>
        <w:t>本收费事项仅收取材料费，原则上不予浮动。</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方正仿宋_GBK" w:cs="Times New Roman"/>
          <w:bCs/>
          <w:spacing w:val="0"/>
          <w:kern w:val="0"/>
          <w:sz w:val="32"/>
          <w:szCs w:val="32"/>
          <w:lang w:val="en-US" w:eastAsia="zh-CN"/>
        </w:rPr>
      </w:pPr>
      <w:r>
        <w:rPr>
          <w:rFonts w:hint="default" w:ascii="Times New Roman" w:hAnsi="Times New Roman" w:eastAsia="方正楷体_GBK" w:cs="Times New Roman"/>
          <w:b w:val="0"/>
          <w:bCs w:val="0"/>
          <w:sz w:val="32"/>
          <w:szCs w:val="32"/>
          <w:lang w:val="en-US" w:eastAsia="zh-CN"/>
        </w:rPr>
        <w:t>遗体整容收费标准。</w:t>
      </w:r>
      <w:r>
        <w:rPr>
          <w:rFonts w:hint="default" w:ascii="Times New Roman" w:hAnsi="Times New Roman" w:eastAsia="方正仿宋_GBK" w:cs="Times New Roman"/>
          <w:sz w:val="32"/>
          <w:szCs w:val="32"/>
          <w:lang w:val="en-US" w:eastAsia="zh-CN"/>
        </w:rPr>
        <w:t>对正常死亡遗体容貌进行普通修饰和美化，含面部清洗、遗体更衣、包括理发、剃须、化妆等，基准价100元/具。非正常死亡、特殊遗体、上门服务及家属特殊要求双方协商收费。</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方正仿宋_GBK" w:cs="Times New Roman"/>
          <w:bCs/>
          <w:spacing w:val="0"/>
          <w:kern w:val="0"/>
          <w:sz w:val="32"/>
          <w:szCs w:val="32"/>
          <w:lang w:val="en-US" w:eastAsia="zh-CN"/>
        </w:rPr>
      </w:pPr>
      <w:r>
        <w:rPr>
          <w:rFonts w:hint="default" w:ascii="Times New Roman" w:hAnsi="Times New Roman" w:eastAsia="方正楷体_GBK" w:cs="Times New Roman"/>
          <w:b w:val="0"/>
          <w:bCs w:val="0"/>
          <w:sz w:val="32"/>
          <w:szCs w:val="32"/>
          <w:lang w:val="en-US" w:eastAsia="zh-CN"/>
        </w:rPr>
        <w:t>告别厅设施设备租用标准。</w:t>
      </w:r>
      <w:r>
        <w:rPr>
          <w:rFonts w:hint="default" w:ascii="Times New Roman" w:hAnsi="Times New Roman" w:eastAsia="方正仿宋_GBK" w:cs="Times New Roman"/>
          <w:sz w:val="32"/>
          <w:szCs w:val="32"/>
          <w:lang w:val="en-US" w:eastAsia="zh-CN"/>
        </w:rPr>
        <w:t>需提供哀悼、祭奠、追思逝者的礼厅(含礼厅内电子显示屏、空调、尸棺、围棺简易花饰、花架、像架、哀乐、固定花圈、桌椅等布置物品</w:t>
      </w:r>
      <w:r>
        <w:rPr>
          <w:rFonts w:hint="eastAsia" w:ascii="Times New Roman" w:hAnsi="Times New Roman" w:eastAsia="方正仿宋_GBK" w:cs="Times New Roman"/>
          <w:sz w:val="32"/>
          <w:szCs w:val="32"/>
          <w:lang w:val="en-US" w:eastAsia="zh-CN"/>
        </w:rPr>
        <w:t>，不含休息厅</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pacing w:val="0"/>
          <w:kern w:val="0"/>
          <w:sz w:val="32"/>
          <w:szCs w:val="32"/>
          <w:lang w:val="en-US" w:eastAsia="zh-CN"/>
        </w:rPr>
        <w:t>大礼厅</w:t>
      </w:r>
      <w:r>
        <w:rPr>
          <w:rFonts w:hint="default" w:ascii="Times New Roman" w:hAnsi="Times New Roman" w:eastAsia="方正仿宋_GBK" w:cs="Times New Roman"/>
          <w:spacing w:val="0"/>
          <w:kern w:val="0"/>
          <w:sz w:val="32"/>
          <w:szCs w:val="32"/>
        </w:rPr>
        <w:t>（</w:t>
      </w:r>
      <w:r>
        <w:rPr>
          <w:rFonts w:hint="default" w:ascii="Times New Roman" w:hAnsi="Times New Roman" w:eastAsia="方正仿宋_GBK" w:cs="Times New Roman"/>
          <w:spacing w:val="0"/>
          <w:kern w:val="0"/>
          <w:sz w:val="32"/>
          <w:szCs w:val="32"/>
          <w:lang w:val="en-US" w:eastAsia="zh-CN"/>
        </w:rPr>
        <w:t>3</w:t>
      </w:r>
      <w:r>
        <w:rPr>
          <w:rFonts w:hint="default" w:ascii="Times New Roman" w:hAnsi="Times New Roman" w:eastAsia="方正仿宋_GBK" w:cs="Times New Roman"/>
          <w:spacing w:val="0"/>
          <w:kern w:val="0"/>
          <w:sz w:val="32"/>
          <w:szCs w:val="32"/>
        </w:rPr>
        <w:t>00</w:t>
      </w:r>
      <w:r>
        <w:rPr>
          <w:rFonts w:hint="default" w:ascii="Times New Roman" w:hAnsi="Times New Roman" w:eastAsia="方正仿宋_GBK" w:cs="Times New Roman"/>
          <w:spacing w:val="0"/>
          <w:kern w:val="0"/>
          <w:sz w:val="32"/>
          <w:szCs w:val="32"/>
          <w:lang w:val="en-US" w:eastAsia="zh-CN"/>
        </w:rPr>
        <w:t>平米</w:t>
      </w:r>
      <w:r>
        <w:rPr>
          <w:rFonts w:hint="default" w:ascii="Times New Roman" w:hAnsi="Times New Roman" w:eastAsia="方正仿宋_GBK" w:cs="Times New Roman"/>
          <w:spacing w:val="0"/>
          <w:kern w:val="0"/>
          <w:sz w:val="32"/>
          <w:szCs w:val="32"/>
        </w:rPr>
        <w:t>以上）</w:t>
      </w:r>
      <w:r>
        <w:rPr>
          <w:rFonts w:hint="default" w:ascii="Times New Roman" w:hAnsi="Times New Roman" w:eastAsia="方正仿宋_GBK" w:cs="Times New Roman"/>
          <w:spacing w:val="0"/>
          <w:kern w:val="0"/>
          <w:sz w:val="32"/>
          <w:szCs w:val="32"/>
          <w:lang w:val="en-US" w:eastAsia="zh-CN"/>
        </w:rPr>
        <w:t>基准价600</w:t>
      </w:r>
      <w:r>
        <w:rPr>
          <w:rFonts w:hint="default" w:ascii="Times New Roman" w:hAnsi="Times New Roman" w:eastAsia="方正仿宋_GBK" w:cs="Times New Roman"/>
          <w:spacing w:val="0"/>
          <w:kern w:val="0"/>
          <w:sz w:val="32"/>
          <w:szCs w:val="32"/>
        </w:rPr>
        <w:t>元/场次</w:t>
      </w:r>
      <w:r>
        <w:rPr>
          <w:rFonts w:hint="default" w:ascii="Times New Roman" w:hAnsi="Times New Roman" w:eastAsia="方正仿宋_GBK" w:cs="Times New Roman"/>
          <w:spacing w:val="0"/>
          <w:kern w:val="0"/>
          <w:sz w:val="32"/>
          <w:szCs w:val="32"/>
          <w:lang w:eastAsia="zh-CN"/>
        </w:rPr>
        <w:t>；</w:t>
      </w:r>
      <w:r>
        <w:rPr>
          <w:rFonts w:hint="default" w:ascii="Times New Roman" w:hAnsi="Times New Roman" w:eastAsia="方正仿宋_GBK" w:cs="Times New Roman"/>
          <w:bCs/>
          <w:spacing w:val="0"/>
          <w:kern w:val="0"/>
          <w:sz w:val="32"/>
          <w:szCs w:val="32"/>
        </w:rPr>
        <w:t>中礼厅</w:t>
      </w:r>
      <w:r>
        <w:rPr>
          <w:rFonts w:hint="default" w:ascii="Times New Roman" w:hAnsi="Times New Roman" w:eastAsia="方正仿宋_GBK" w:cs="Times New Roman"/>
          <w:bCs/>
          <w:spacing w:val="0"/>
          <w:kern w:val="0"/>
          <w:sz w:val="32"/>
          <w:szCs w:val="32"/>
          <w:lang w:eastAsia="zh-CN"/>
        </w:rPr>
        <w:t>（</w:t>
      </w:r>
      <w:r>
        <w:rPr>
          <w:rFonts w:hint="default" w:ascii="Times New Roman" w:hAnsi="Times New Roman" w:eastAsia="方正仿宋_GBK" w:cs="Times New Roman"/>
          <w:bCs/>
          <w:spacing w:val="0"/>
          <w:kern w:val="0"/>
          <w:sz w:val="32"/>
          <w:szCs w:val="32"/>
        </w:rPr>
        <w:t>100-300</w:t>
      </w:r>
      <w:r>
        <w:rPr>
          <w:rFonts w:hint="default" w:ascii="Times New Roman" w:hAnsi="Times New Roman" w:eastAsia="方正仿宋_GBK" w:cs="Times New Roman"/>
          <w:bCs/>
          <w:spacing w:val="0"/>
          <w:kern w:val="0"/>
          <w:sz w:val="32"/>
          <w:szCs w:val="32"/>
          <w:lang w:val="en-US" w:eastAsia="zh-CN"/>
        </w:rPr>
        <w:t>平米</w:t>
      </w:r>
      <w:r>
        <w:rPr>
          <w:rFonts w:hint="default" w:ascii="Times New Roman" w:hAnsi="Times New Roman" w:eastAsia="方正仿宋_GBK" w:cs="Times New Roman"/>
          <w:bCs/>
          <w:spacing w:val="0"/>
          <w:kern w:val="0"/>
          <w:sz w:val="32"/>
          <w:szCs w:val="32"/>
          <w:lang w:eastAsia="zh-CN"/>
        </w:rPr>
        <w:t>）</w:t>
      </w:r>
      <w:r>
        <w:rPr>
          <w:rFonts w:hint="default" w:ascii="Times New Roman" w:hAnsi="Times New Roman" w:eastAsia="方正仿宋_GBK" w:cs="Times New Roman"/>
          <w:bCs/>
          <w:spacing w:val="0"/>
          <w:kern w:val="0"/>
          <w:sz w:val="32"/>
          <w:szCs w:val="32"/>
          <w:lang w:val="en-US" w:eastAsia="zh-CN"/>
        </w:rPr>
        <w:t>基准价300</w:t>
      </w:r>
      <w:r>
        <w:rPr>
          <w:rFonts w:hint="default" w:ascii="Times New Roman" w:hAnsi="Times New Roman" w:eastAsia="方正仿宋_GBK" w:cs="Times New Roman"/>
          <w:bCs/>
          <w:spacing w:val="0"/>
          <w:kern w:val="0"/>
          <w:sz w:val="32"/>
          <w:szCs w:val="32"/>
        </w:rPr>
        <w:t>元/场次</w:t>
      </w:r>
      <w:r>
        <w:rPr>
          <w:rFonts w:hint="eastAsia" w:ascii="Times New Roman" w:hAnsi="Times New Roman" w:eastAsia="方正仿宋_GBK" w:cs="Times New Roman"/>
          <w:bCs/>
          <w:spacing w:val="0"/>
          <w:kern w:val="0"/>
          <w:sz w:val="32"/>
          <w:szCs w:val="32"/>
          <w:lang w:eastAsia="zh-CN"/>
        </w:rPr>
        <w:t>；</w:t>
      </w:r>
      <w:r>
        <w:rPr>
          <w:rFonts w:hint="default" w:ascii="Times New Roman" w:hAnsi="Times New Roman" w:eastAsia="方正仿宋_GBK" w:cs="Times New Roman"/>
          <w:bCs/>
          <w:spacing w:val="0"/>
          <w:kern w:val="0"/>
          <w:sz w:val="32"/>
          <w:szCs w:val="32"/>
        </w:rPr>
        <w:t>小礼厅</w:t>
      </w:r>
      <w:r>
        <w:rPr>
          <w:rFonts w:hint="default" w:ascii="Times New Roman" w:hAnsi="Times New Roman" w:eastAsia="方正仿宋_GBK" w:cs="Times New Roman"/>
          <w:bCs/>
          <w:spacing w:val="0"/>
          <w:kern w:val="0"/>
          <w:sz w:val="32"/>
          <w:szCs w:val="32"/>
          <w:lang w:eastAsia="zh-CN"/>
        </w:rPr>
        <w:t>（</w:t>
      </w:r>
      <w:r>
        <w:rPr>
          <w:rFonts w:hint="default" w:ascii="Times New Roman" w:hAnsi="Times New Roman" w:eastAsia="方正仿宋_GBK" w:cs="Times New Roman"/>
          <w:bCs/>
          <w:spacing w:val="0"/>
          <w:kern w:val="0"/>
          <w:sz w:val="32"/>
          <w:szCs w:val="32"/>
        </w:rPr>
        <w:t>100</w:t>
      </w:r>
      <w:r>
        <w:rPr>
          <w:rFonts w:hint="default" w:ascii="Times New Roman" w:hAnsi="Times New Roman" w:eastAsia="方正仿宋_GBK" w:cs="Times New Roman"/>
          <w:bCs/>
          <w:spacing w:val="0"/>
          <w:kern w:val="0"/>
          <w:sz w:val="32"/>
          <w:szCs w:val="32"/>
          <w:lang w:val="en-US" w:eastAsia="zh-CN"/>
        </w:rPr>
        <w:t>平米</w:t>
      </w:r>
      <w:r>
        <w:rPr>
          <w:rFonts w:hint="default" w:ascii="Times New Roman" w:hAnsi="Times New Roman" w:eastAsia="方正仿宋_GBK" w:cs="Times New Roman"/>
          <w:bCs/>
          <w:spacing w:val="0"/>
          <w:kern w:val="0"/>
          <w:sz w:val="32"/>
          <w:szCs w:val="32"/>
        </w:rPr>
        <w:t>以下</w:t>
      </w:r>
      <w:r>
        <w:rPr>
          <w:rFonts w:hint="default" w:ascii="Times New Roman" w:hAnsi="Times New Roman" w:eastAsia="方正仿宋_GBK" w:cs="Times New Roman"/>
          <w:bCs/>
          <w:spacing w:val="0"/>
          <w:kern w:val="0"/>
          <w:sz w:val="32"/>
          <w:szCs w:val="32"/>
          <w:lang w:eastAsia="zh-CN"/>
        </w:rPr>
        <w:t>）基准价</w:t>
      </w:r>
      <w:r>
        <w:rPr>
          <w:rFonts w:hint="default" w:ascii="Times New Roman" w:hAnsi="Times New Roman" w:eastAsia="方正仿宋_GBK" w:cs="Times New Roman"/>
          <w:bCs/>
          <w:spacing w:val="0"/>
          <w:kern w:val="0"/>
          <w:sz w:val="32"/>
          <w:szCs w:val="32"/>
          <w:lang w:val="en-US" w:eastAsia="zh-CN"/>
        </w:rPr>
        <w:t>150</w:t>
      </w:r>
      <w:r>
        <w:rPr>
          <w:rFonts w:hint="default" w:ascii="Times New Roman" w:hAnsi="Times New Roman" w:eastAsia="方正仿宋_GBK" w:cs="Times New Roman"/>
          <w:bCs/>
          <w:spacing w:val="0"/>
          <w:kern w:val="0"/>
          <w:sz w:val="32"/>
          <w:szCs w:val="32"/>
        </w:rPr>
        <w:t>元/场次</w:t>
      </w:r>
      <w:r>
        <w:rPr>
          <w:rFonts w:hint="eastAsia" w:ascii="Times New Roman" w:hAnsi="Times New Roman" w:eastAsia="方正仿宋_GBK" w:cs="Times New Roman"/>
          <w:bCs/>
          <w:spacing w:val="0"/>
          <w:kern w:val="0"/>
          <w:sz w:val="32"/>
          <w:szCs w:val="32"/>
          <w:lang w:eastAsia="zh-CN"/>
        </w:rPr>
        <w:t>，设施不全的下浮执行</w:t>
      </w:r>
      <w:r>
        <w:rPr>
          <w:rFonts w:hint="default" w:ascii="Times New Roman" w:hAnsi="Times New Roman" w:eastAsia="方正仿宋_GBK" w:cs="Times New Roman"/>
          <w:bCs/>
          <w:spacing w:val="0"/>
          <w:kern w:val="0"/>
          <w:sz w:val="32"/>
          <w:szCs w:val="32"/>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方正仿宋_GBK" w:cs="Times New Roman"/>
          <w:bCs/>
          <w:spacing w:val="0"/>
          <w:kern w:val="0"/>
          <w:sz w:val="32"/>
          <w:szCs w:val="32"/>
          <w:lang w:val="en-US" w:eastAsia="zh-CN"/>
        </w:rPr>
      </w:pPr>
      <w:r>
        <w:rPr>
          <w:rFonts w:hint="default" w:ascii="Times New Roman" w:hAnsi="Times New Roman" w:eastAsia="方正楷体_GBK" w:cs="Times New Roman"/>
          <w:b w:val="0"/>
          <w:bCs w:val="0"/>
          <w:sz w:val="32"/>
          <w:szCs w:val="32"/>
          <w:lang w:val="en-US" w:eastAsia="zh-CN"/>
        </w:rPr>
        <w:t>守灵间设施设备租用标准。</w:t>
      </w:r>
      <w:r>
        <w:rPr>
          <w:rFonts w:hint="default" w:ascii="Times New Roman" w:hAnsi="Times New Roman" w:eastAsia="方正仿宋_GBK" w:cs="Times New Roman"/>
          <w:bCs/>
          <w:spacing w:val="0"/>
          <w:kern w:val="0"/>
          <w:sz w:val="32"/>
          <w:szCs w:val="32"/>
          <w:lang w:val="en-US" w:eastAsia="zh-CN"/>
        </w:rPr>
        <w:t>提供守灵的礼厅(含礼厅内固定布置物品</w:t>
      </w:r>
      <w:r>
        <w:rPr>
          <w:rFonts w:hint="eastAsia" w:ascii="Times New Roman" w:hAnsi="Times New Roman" w:eastAsia="方正仿宋_GBK" w:cs="Times New Roman"/>
          <w:bCs/>
          <w:spacing w:val="0"/>
          <w:kern w:val="0"/>
          <w:sz w:val="32"/>
          <w:szCs w:val="32"/>
          <w:lang w:val="en-US" w:eastAsia="zh-CN"/>
        </w:rPr>
        <w:t>，不含休息厅</w:t>
      </w:r>
      <w:r>
        <w:rPr>
          <w:rFonts w:hint="default" w:ascii="Times New Roman" w:hAnsi="Times New Roman" w:eastAsia="方正仿宋_GBK" w:cs="Times New Roman"/>
          <w:bCs/>
          <w:spacing w:val="0"/>
          <w:kern w:val="0"/>
          <w:sz w:val="32"/>
          <w:szCs w:val="32"/>
          <w:lang w:val="en-US" w:eastAsia="zh-CN"/>
        </w:rPr>
        <w:t>)基准价80元/间</w:t>
      </w:r>
      <w:r>
        <w:rPr>
          <w:rFonts w:hint="default" w:ascii="Times New Roman" w:hAnsi="Times New Roman" w:eastAsia="宋体" w:cs="Times New Roman"/>
          <w:bCs/>
          <w:spacing w:val="0"/>
          <w:kern w:val="0"/>
          <w:sz w:val="32"/>
          <w:szCs w:val="32"/>
          <w:lang w:val="en-US" w:eastAsia="zh-CN"/>
        </w:rPr>
        <w:t>•</w:t>
      </w:r>
      <w:r>
        <w:rPr>
          <w:rFonts w:hint="default" w:ascii="Times New Roman" w:hAnsi="Times New Roman" w:eastAsia="方正仿宋_GBK" w:cs="Times New Roman"/>
          <w:bCs/>
          <w:spacing w:val="0"/>
          <w:kern w:val="0"/>
          <w:sz w:val="32"/>
          <w:szCs w:val="32"/>
          <w:lang w:val="en-US" w:eastAsia="zh-CN"/>
        </w:rPr>
        <w:t>天。不足（含）12小时按半天计算，超过12小时不足24小时按全天计算。与遗体存放不得重复收费。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outlineLvl w:val="9"/>
        <w:rPr>
          <w:rFonts w:hint="default" w:ascii="Times New Roman" w:hAnsi="Times New Roman" w:eastAsia="方正仿宋_GBK" w:cs="Times New Roman"/>
          <w:bCs/>
          <w:spacing w:val="0"/>
          <w:kern w:val="0"/>
          <w:sz w:val="32"/>
          <w:szCs w:val="32"/>
          <w:lang w:val="en-US" w:eastAsia="zh-CN"/>
        </w:rPr>
      </w:pPr>
      <w:r>
        <w:rPr>
          <w:rFonts w:hint="eastAsia" w:ascii="Times New Roman" w:hAnsi="Times New Roman" w:eastAsia="方正仿宋_GBK" w:cs="Times New Roman"/>
          <w:bCs/>
          <w:spacing w:val="0"/>
          <w:kern w:val="0"/>
          <w:sz w:val="32"/>
          <w:szCs w:val="32"/>
          <w:lang w:val="en-US" w:eastAsia="zh-CN"/>
        </w:rPr>
        <w:t xml:space="preserve">   以上服务内容由行业主管部门（民政部门）负责解释。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PS Pro" w:hAnsi="Times New Roman PS Pro" w:eastAsia="方正黑体_GBK" w:cs="Times New Roman PS Pro"/>
          <w:sz w:val="32"/>
          <w:szCs w:val="32"/>
        </w:rPr>
      </w:pPr>
      <w:r>
        <w:rPr>
          <w:rFonts w:hint="default" w:ascii="Times New Roman PS Pro" w:hAnsi="Times New Roman PS Pro" w:eastAsia="方正黑体_GBK" w:cs="Times New Roman PS Pro"/>
          <w:sz w:val="32"/>
          <w:szCs w:val="32"/>
          <w:lang w:val="en-US" w:eastAsia="zh-CN"/>
        </w:rPr>
        <w:t>四</w:t>
      </w:r>
      <w:r>
        <w:rPr>
          <w:rFonts w:hint="default" w:ascii="Times New Roman PS Pro" w:hAnsi="Times New Roman PS Pro" w:eastAsia="方正黑体_GBK" w:cs="Times New Roman PS Pro"/>
          <w:sz w:val="32"/>
          <w:szCs w:val="32"/>
        </w:rPr>
        <w:t>、预计取得的成效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PS Pro" w:hAnsi="Times New Roman PS Pro" w:eastAsia="方正仿宋_GBK" w:cs="Times New Roman PS Pro"/>
          <w:b w:val="0"/>
          <w:kern w:val="2"/>
          <w:sz w:val="32"/>
          <w:szCs w:val="32"/>
          <w:lang w:val="en-US" w:eastAsia="zh-CN" w:bidi="ar-SA"/>
        </w:rPr>
      </w:pPr>
      <w:r>
        <w:rPr>
          <w:rFonts w:hint="default" w:ascii="Times New Roman PS Pro" w:hAnsi="Times New Roman PS Pro" w:eastAsia="方正仿宋_GBK" w:cs="Times New Roman PS Pro"/>
          <w:b w:val="0"/>
          <w:kern w:val="2"/>
          <w:sz w:val="32"/>
          <w:szCs w:val="32"/>
          <w:lang w:val="en-US" w:eastAsia="zh-CN" w:bidi="ar-SA"/>
        </w:rPr>
        <w:t>通过殡葬收费领域调价，进一步理顺殡葬服务收费标准，有效约束企业收费行为，规范殡葬服务收费秩序，体现政府定价公益属性，合法保障群众利益，推动我州殡葬行业规范化、透明化发展，进一步提升公共服务质量。</w:t>
      </w:r>
    </w:p>
    <w:p>
      <w:pPr>
        <w:keepNext w:val="0"/>
        <w:keepLines w:val="0"/>
        <w:pageBreakBefore w:val="0"/>
        <w:widowControl w:val="0"/>
        <w:tabs>
          <w:tab w:val="left" w:pos="0"/>
        </w:tabs>
        <w:kinsoku/>
        <w:wordWrap/>
        <w:overflowPunct/>
        <w:topLinePunct w:val="0"/>
        <w:autoSpaceDE/>
        <w:autoSpaceDN/>
        <w:bidi w:val="0"/>
        <w:adjustRightInd/>
        <w:snapToGrid/>
        <w:spacing w:line="540" w:lineRule="exact"/>
        <w:ind w:firstLine="640"/>
        <w:jc w:val="both"/>
        <w:textAlignment w:val="auto"/>
        <w:rPr>
          <w:rFonts w:hint="default" w:ascii="Times New Roman PS Pro" w:hAnsi="Times New Roman PS Pro" w:eastAsia="方正仿宋_GBK" w:cs="Times New Roman PS Pro"/>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New Roman PS Pro">
    <w:altName w:val="Times New Roman"/>
    <w:panose1 w:val="02020603050405020304"/>
    <w:charset w:val="00"/>
    <w:family w:val="auto"/>
    <w:pitch w:val="default"/>
    <w:sig w:usb0="00000000" w:usb1="00000000" w:usb2="00000000" w:usb3="00000000" w:csb0="20000093"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9F1CF"/>
    <w:multiLevelType w:val="singleLevel"/>
    <w:tmpl w:val="3539F1CF"/>
    <w:lvl w:ilvl="0" w:tentative="0">
      <w:start w:val="1"/>
      <w:numFmt w:val="chineseCounting"/>
      <w:suff w:val="nothing"/>
      <w:lvlText w:val="%1、"/>
      <w:lvlJc w:val="left"/>
      <w:rPr>
        <w:rFonts w:hint="eastAsia"/>
      </w:rPr>
    </w:lvl>
  </w:abstractNum>
  <w:abstractNum w:abstractNumId="1">
    <w:nsid w:val="3F5EF42A"/>
    <w:multiLevelType w:val="singleLevel"/>
    <w:tmpl w:val="3F5EF42A"/>
    <w:lvl w:ilvl="0" w:tentative="0">
      <w:start w:val="1"/>
      <w:numFmt w:val="chineseCounting"/>
      <w:suff w:val="nothing"/>
      <w:lvlText w:val="（%1）"/>
      <w:lvlJc w:val="left"/>
      <w:pPr>
        <w:ind w:left="0" w:firstLine="420"/>
      </w:pPr>
      <w:rPr>
        <w:rFonts w:hint="eastAsia" w:eastAsia="方正楷体_GBK"/>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091367"/>
    <w:rsid w:val="11CE0176"/>
    <w:rsid w:val="18CD6C9F"/>
    <w:rsid w:val="40F954C2"/>
    <w:rsid w:val="414228BD"/>
    <w:rsid w:val="5777DCC2"/>
    <w:rsid w:val="59091367"/>
    <w:rsid w:val="758143C9"/>
    <w:rsid w:val="7FE75FAF"/>
    <w:rsid w:val="7FEF8154"/>
    <w:rsid w:val="ADE70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table of figures"/>
    <w:basedOn w:val="1"/>
    <w:next w:val="1"/>
    <w:qFormat/>
    <w:uiPriority w:val="0"/>
    <w:pPr>
      <w:ind w:left="400" w:leftChars="200" w:hanging="200" w:hangingChars="200"/>
    </w:pPr>
    <w:rPr>
      <w:szCs w:val="22"/>
    </w:rPr>
  </w:style>
  <w:style w:type="paragraph" w:customStyle="1" w:styleId="6">
    <w:name w:val="发改委"/>
    <w:basedOn w:val="1"/>
    <w:qFormat/>
    <w:uiPriority w:val="0"/>
    <w:rPr>
      <w:rFonts w:asciiTheme="minorAscii" w:hAnsiTheme="minorAsci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2025-12-05T02:55:00Z</dcterms:created>
  <dc:creator>Administrator</dc:creator>
  <cp:lastModifiedBy>Administrator</cp:lastModifiedBy>
  <cp:lastPrinted>2025-12-05T04:02:00Z</cp:lastPrinted>
  <dcterms:modified xsi:type="dcterms:W3CDTF">2026-02-12T03:12:17Z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7293C48DBEEDD19BF1947169C053ADE3_43</vt:lpwstr>
  </property>
</Properties>
</file>