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ascii="Times New Roman" w:hAnsi="Times New Roman" w:eastAsia="方正仿宋_GBK"/>
          <w:bCs/>
          <w:color w:val="auto"/>
          <w:sz w:val="31"/>
          <w:szCs w:val="31"/>
        </w:rPr>
      </w:pPr>
      <w:r>
        <w:rPr>
          <w:rFonts w:ascii="Times New Roman" w:hAnsi="Times New Roman" w:eastAsia="方正仿宋_GBK"/>
          <w:bCs/>
          <w:color w:val="auto"/>
          <w:sz w:val="31"/>
          <w:szCs w:val="31"/>
        </w:rPr>
        <w:t>附件1</w:t>
      </w:r>
    </w:p>
    <w:p>
      <w:pPr>
        <w:keepNext w:val="0"/>
        <w:keepLines w:val="0"/>
        <w:pageBreakBefore w:val="0"/>
        <w:widowControl w:val="0"/>
        <w:kinsoku/>
        <w:wordWrap/>
        <w:overflowPunct/>
        <w:topLinePunct w:val="0"/>
        <w:autoSpaceDE/>
        <w:autoSpaceDN/>
        <w:bidi w:val="0"/>
        <w:adjustRightInd/>
        <w:spacing w:after="0" w:line="240" w:lineRule="auto"/>
        <w:ind w:firstLine="720" w:firstLineChars="200"/>
        <w:textAlignment w:val="auto"/>
        <w:rPr>
          <w:rFonts w:ascii="Times New Roman" w:hAnsi="Times New Roman" w:eastAsia="方正小标宋_GBK" w:cs="方正小标宋_GBK"/>
          <w:bCs/>
          <w:color w:val="auto"/>
          <w:sz w:val="36"/>
          <w:szCs w:val="36"/>
        </w:rPr>
      </w:pPr>
    </w:p>
    <w:p>
      <w:pPr>
        <w:keepNext w:val="0"/>
        <w:keepLines w:val="0"/>
        <w:pageBreakBefore w:val="0"/>
        <w:widowControl w:val="0"/>
        <w:kinsoku/>
        <w:wordWrap/>
        <w:overflowPunct/>
        <w:topLinePunct w:val="0"/>
        <w:autoSpaceDE/>
        <w:autoSpaceDN/>
        <w:bidi w:val="0"/>
        <w:adjustRightInd/>
        <w:spacing w:after="0" w:line="240" w:lineRule="auto"/>
        <w:ind w:firstLine="720" w:firstLineChars="200"/>
        <w:textAlignment w:val="auto"/>
        <w:rPr>
          <w:rFonts w:ascii="Times New Roman" w:hAnsi="Times New Roman" w:eastAsia="方正小标宋_GBK" w:cs="方正小标宋_GBK"/>
          <w:bCs/>
          <w:color w:val="auto"/>
          <w:sz w:val="36"/>
          <w:szCs w:val="36"/>
        </w:rPr>
      </w:pPr>
      <w:r>
        <w:rPr>
          <w:rFonts w:ascii="Times New Roman" w:hAnsi="Times New Roman" w:eastAsia="方正小标宋_GBK" w:cs="方正小标宋_GBK"/>
          <w:bCs/>
          <w:color w:val="auto"/>
          <w:sz w:val="36"/>
          <w:szCs w:val="36"/>
        </w:rPr>
        <w:t>项目需求</w:t>
      </w:r>
      <w:r>
        <w:rPr>
          <w:rFonts w:hint="eastAsia" w:ascii="Times New Roman" w:hAnsi="Times New Roman" w:eastAsia="方正小标宋_GBK" w:cs="方正小标宋_GBK"/>
          <w:bCs/>
          <w:color w:val="auto"/>
          <w:sz w:val="36"/>
          <w:szCs w:val="36"/>
        </w:rPr>
        <w:t>：深层窄窗口钻井井筒压力智能动态调控一体化技术</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黑体_GBK" w:cs="方正黑体_GBK"/>
          <w:color w:val="auto"/>
          <w:sz w:val="31"/>
          <w:szCs w:val="31"/>
        </w:rPr>
      </w:pPr>
      <w:r>
        <w:rPr>
          <w:rFonts w:hint="eastAsia" w:ascii="Times New Roman" w:hAnsi="Times New Roman" w:eastAsia="方正黑体_GBK" w:cs="方正黑体_GBK"/>
          <w:color w:val="auto"/>
          <w:sz w:val="31"/>
          <w:szCs w:val="31"/>
        </w:rPr>
        <w:t>一、需求单位</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仿宋_GBK" w:cs="方正仿宋_GBK"/>
          <w:color w:val="auto"/>
          <w:sz w:val="31"/>
          <w:szCs w:val="31"/>
        </w:rPr>
      </w:pPr>
      <w:r>
        <w:rPr>
          <w:rFonts w:hint="eastAsia" w:ascii="Times New Roman" w:hAnsi="Times New Roman" w:eastAsia="方正仿宋_GBK" w:cs="方正仿宋_GBK"/>
          <w:color w:val="auto"/>
          <w:sz w:val="31"/>
          <w:szCs w:val="31"/>
        </w:rPr>
        <w:t>新疆格瑞迪斯石油技术股份有限公司</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仿宋_GBK" w:cs="方正仿宋_GBK"/>
          <w:color w:val="auto"/>
          <w:sz w:val="31"/>
          <w:szCs w:val="31"/>
        </w:rPr>
      </w:pPr>
      <w:r>
        <w:rPr>
          <w:rFonts w:hint="eastAsia" w:ascii="Times New Roman" w:hAnsi="Times New Roman" w:eastAsia="方正仿宋_GBK" w:cs="方正仿宋_GBK"/>
          <w:color w:val="auto"/>
          <w:sz w:val="31"/>
          <w:szCs w:val="31"/>
        </w:rPr>
        <w:t>项目专员：乔国发（18811275335）</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黑体_GBK" w:cs="方正黑体_GBK"/>
          <w:color w:val="auto"/>
          <w:sz w:val="31"/>
          <w:szCs w:val="31"/>
        </w:rPr>
      </w:pPr>
      <w:r>
        <w:rPr>
          <w:rFonts w:hint="eastAsia" w:ascii="Times New Roman" w:hAnsi="Times New Roman" w:eastAsia="方正黑体_GBK" w:cs="方正黑体_GBK"/>
          <w:color w:val="auto"/>
          <w:sz w:val="31"/>
          <w:szCs w:val="31"/>
        </w:rPr>
        <w:t>二、需求内容</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仿宋_GBK" w:cs="方正仿宋_GBK"/>
          <w:color w:val="auto"/>
          <w:sz w:val="31"/>
          <w:szCs w:val="31"/>
        </w:rPr>
      </w:pPr>
      <w:r>
        <w:rPr>
          <w:rFonts w:hint="eastAsia" w:ascii="Times New Roman" w:hAnsi="Times New Roman" w:eastAsia="方正仿宋_GBK" w:cs="方正仿宋_GBK"/>
          <w:color w:val="auto"/>
          <w:sz w:val="31"/>
          <w:szCs w:val="31"/>
        </w:rPr>
        <w:t>1.建立井筒多相流精确预测方法：创立高温、高压、高含酸性气体条件下地层-井筒多相变（超临界态、油气相变）耦合流动理论，构建井筒多相流压力精确预测方法。采用物理模型与实时数据联合驱动，基于卷积神经网络（CNN）提取井筒空间特征，结合长短期记忆网络（LSTM）提取时间序列特征，形成数据与机理双驱动的井筒压力动态智能预测模型，实现从钻头至井口的全井筒压力剖面动态模拟，精准刻画起下钻、接单根、气体入侵等瞬变工况下的压力波动。</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仿宋_GBK" w:cs="方正仿宋_GBK"/>
          <w:color w:val="auto"/>
          <w:sz w:val="31"/>
          <w:szCs w:val="31"/>
        </w:rPr>
      </w:pPr>
      <w:r>
        <w:rPr>
          <w:rFonts w:ascii="Times New Roman" w:hAnsi="Times New Roman" w:eastAsia="方正仿宋_GBK" w:cs="方正仿宋_GBK"/>
          <w:color w:val="auto"/>
          <w:sz w:val="31"/>
          <w:szCs w:val="31"/>
        </w:rPr>
        <w:t>2</w:t>
      </w:r>
      <w:r>
        <w:rPr>
          <w:rFonts w:hint="eastAsia" w:ascii="Times New Roman" w:hAnsi="Times New Roman" w:eastAsia="方正仿宋_GBK" w:cs="方正仿宋_GBK"/>
          <w:color w:val="auto"/>
          <w:sz w:val="31"/>
          <w:szCs w:val="31"/>
        </w:rPr>
        <w:t>.</w:t>
      </w:r>
      <w:r>
        <w:rPr>
          <w:rFonts w:ascii="Times New Roman" w:hAnsi="Times New Roman" w:eastAsia="方正仿宋_GBK" w:cs="方正仿宋_GBK"/>
          <w:color w:val="auto"/>
          <w:sz w:val="31"/>
          <w:szCs w:val="31"/>
        </w:rPr>
        <w:t>基于多源数据的井筒-地层动态建模与压力窗口智能反演</w:t>
      </w:r>
      <w:r>
        <w:rPr>
          <w:rFonts w:hint="eastAsia" w:ascii="Times New Roman" w:hAnsi="Times New Roman" w:eastAsia="方正仿宋_GBK" w:cs="方正仿宋_GBK"/>
          <w:color w:val="auto"/>
          <w:sz w:val="31"/>
          <w:szCs w:val="31"/>
        </w:rPr>
        <w:t>：</w:t>
      </w:r>
      <w:r>
        <w:rPr>
          <w:rFonts w:ascii="Times New Roman" w:hAnsi="Times New Roman" w:eastAsia="方正仿宋_GBK" w:cs="方正仿宋_GBK"/>
          <w:color w:val="auto"/>
          <w:sz w:val="31"/>
          <w:szCs w:val="31"/>
        </w:rPr>
        <w:t>揭示钻前地震、随钻测井、录井及钻后等多源数据与钻井参数的内在关联，建立数据-机理耦合驱动机制。融合地震反演参数、随钻测井关键参数、录井岩屑气体分析结果及钻后评价数据，构建动态更新的井筒-地层模型，实现钻头前方岩性变化的实时识别、三维地应力场的动态反演，以及破裂压力与坍塌压力各向异性的准确量化。在此基础上，建立门控循环单元（GRU）与长短期记忆网络（LSTM）并行预测架构，将多源数据实时转化为动态窄化的安全窗口，实现在线更新与压力窗口超前预测；同时，构建基于动态时间规整（DTW）模式识别的涌漏层位、类型及强度实时诊断方法与预警装置，为井筒压力智能调控提供感知支撑。</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仿宋_GBK" w:cs="方正仿宋_GBK"/>
          <w:color w:val="auto"/>
          <w:sz w:val="31"/>
          <w:szCs w:val="31"/>
        </w:rPr>
      </w:pPr>
      <w:r>
        <w:rPr>
          <w:rFonts w:ascii="Times New Roman" w:hAnsi="Times New Roman" w:eastAsia="方正仿宋_GBK" w:cs="方正仿宋_GBK"/>
          <w:color w:val="auto"/>
          <w:sz w:val="31"/>
          <w:szCs w:val="31"/>
        </w:rPr>
        <w:t>3</w:t>
      </w:r>
      <w:r>
        <w:rPr>
          <w:rFonts w:hint="eastAsia" w:ascii="Times New Roman" w:hAnsi="Times New Roman" w:eastAsia="方正仿宋_GBK" w:cs="方正仿宋_GBK"/>
          <w:color w:val="auto"/>
          <w:sz w:val="31"/>
          <w:szCs w:val="31"/>
        </w:rPr>
        <w:t>.</w:t>
      </w:r>
      <w:r>
        <w:rPr>
          <w:rFonts w:hint="eastAsia" w:ascii="方正仿宋_GBK" w:hAnsi="方正仿宋_GBK" w:eastAsia="方正仿宋_GBK" w:cs="方正仿宋_GBK"/>
          <w:color w:val="auto"/>
          <w:sz w:val="31"/>
          <w:szCs w:val="31"/>
        </w:rPr>
        <w:t>形成“窄窗口”地层钻井多相流压力协同调控软件：基于前述井筒多相流精确预测方法、井筒-地层动态建模及压力窗口智能反演技术，揭示深层钻井过程中因井筒多相流体积骤变诱发节流压力突变的动态响应机理。融合公司现有平台及参数采集传感器设备，构建多相流模型与钻-测-录多源数据耦合驱动的井筒压力智能化调控方法。研发形成覆盖“感知—分析—决策—执行”全闭环的防涌止漏多目标优化决策与调控平台，实现成果在公司内的工程化落地与应用。</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黑体_GBK" w:cs="方正黑体_GBK"/>
          <w:color w:val="auto"/>
          <w:sz w:val="31"/>
          <w:szCs w:val="31"/>
        </w:rPr>
      </w:pPr>
      <w:r>
        <w:rPr>
          <w:rFonts w:hint="eastAsia" w:ascii="Times New Roman" w:hAnsi="Times New Roman" w:eastAsia="方正黑体_GBK" w:cs="方正黑体_GBK"/>
          <w:color w:val="auto"/>
          <w:sz w:val="31"/>
          <w:szCs w:val="31"/>
        </w:rPr>
        <w:t>三、</w:t>
      </w:r>
      <w:r>
        <w:rPr>
          <w:rFonts w:hint="eastAsia" w:ascii="Times New Roman" w:hAnsi="Times New Roman" w:eastAsia="方正黑体_GBK" w:cs="方正黑体_GBK"/>
          <w:color w:val="auto"/>
          <w:sz w:val="31"/>
          <w:szCs w:val="31"/>
          <w:lang w:val="en-US" w:eastAsia="zh-CN"/>
        </w:rPr>
        <w:t>项目</w:t>
      </w:r>
      <w:r>
        <w:rPr>
          <w:rFonts w:hint="eastAsia" w:ascii="Times New Roman" w:hAnsi="Times New Roman" w:eastAsia="方正黑体_GBK" w:cs="方正黑体_GBK"/>
          <w:color w:val="auto"/>
          <w:sz w:val="31"/>
          <w:szCs w:val="31"/>
        </w:rPr>
        <w:t>指标</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仿宋_GBK" w:cs="方正仿宋_GBK"/>
          <w:color w:val="auto"/>
          <w:sz w:val="31"/>
          <w:szCs w:val="31"/>
        </w:rPr>
      </w:pPr>
      <w:r>
        <w:rPr>
          <w:rFonts w:hint="eastAsia" w:ascii="Times New Roman" w:hAnsi="Times New Roman" w:eastAsia="方正仿宋_GBK" w:cs="方正仿宋_GBK"/>
          <w:color w:val="auto"/>
          <w:sz w:val="31"/>
          <w:szCs w:val="31"/>
        </w:rPr>
        <w:t>1.对比模型预测值与实际井口及井下压力计实测数据，评价预测精度。相较于传统气液两相流模型（Hasan-Kabir模型），井底压力预测精度由不足70%提升至90%以上，预测误差由大于30%降至10%以内，突破传统两相流模型计算误差大的技术瓶颈，为实时调控提供理论基准与预测引擎。</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仿宋_GBK" w:cs="方正仿宋_GBK"/>
          <w:color w:val="auto"/>
          <w:sz w:val="31"/>
          <w:szCs w:val="31"/>
        </w:rPr>
      </w:pPr>
      <w:r>
        <w:rPr>
          <w:rFonts w:hint="eastAsia" w:ascii="Times New Roman" w:hAnsi="Times New Roman" w:eastAsia="方正仿宋_GBK" w:cs="方正仿宋_GBK"/>
          <w:color w:val="auto"/>
          <w:sz w:val="31"/>
          <w:szCs w:val="31"/>
        </w:rPr>
        <w:t>2.基于现场样本数据与预测结果的对比分析，评价模型精度。岩性识别精度由传统K近邻（KNN）模型的70%提升至80%以上；破裂压力各向异性系数计算误差控制在10%以内；涌漏识别准确率由87%提升至95%以上；预警压力窗口精度由85%提升至94%以上。</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仿宋_GBK" w:cs="方正仿宋_GBK"/>
          <w:color w:val="auto"/>
          <w:sz w:val="31"/>
          <w:szCs w:val="31"/>
        </w:rPr>
      </w:pPr>
      <w:r>
        <w:rPr>
          <w:rFonts w:hint="eastAsia" w:ascii="Times New Roman" w:hAnsi="Times New Roman" w:eastAsia="方正仿宋_GBK" w:cs="方正仿宋_GBK"/>
          <w:color w:val="auto"/>
          <w:sz w:val="31"/>
          <w:szCs w:val="31"/>
        </w:rPr>
        <w:t>3.形成整体研究报告和</w:t>
      </w:r>
      <w:r>
        <w:rPr>
          <w:rFonts w:hint="eastAsia" w:ascii="Times New Roman" w:hAnsi="Times New Roman" w:eastAsia="方正仿宋_GBK" w:cs="方正仿宋_GBK"/>
          <w:color w:val="auto"/>
          <w:sz w:val="31"/>
          <w:szCs w:val="31"/>
          <w:lang w:eastAsia="zh-CN"/>
        </w:rPr>
        <w:t>井筒压力</w:t>
      </w:r>
      <w:r>
        <w:rPr>
          <w:rFonts w:hint="eastAsia" w:ascii="Times New Roman" w:hAnsi="Times New Roman" w:eastAsia="方正仿宋_GBK" w:cs="方正仿宋_GBK"/>
          <w:color w:val="auto"/>
          <w:sz w:val="31"/>
          <w:szCs w:val="31"/>
        </w:rPr>
        <w:t>智能</w:t>
      </w:r>
      <w:r>
        <w:rPr>
          <w:rFonts w:hint="eastAsia" w:ascii="Times New Roman" w:hAnsi="Times New Roman" w:eastAsia="方正仿宋_GBK" w:cs="方正仿宋_GBK"/>
          <w:color w:val="auto"/>
          <w:sz w:val="31"/>
          <w:szCs w:val="31"/>
          <w:lang w:eastAsia="zh-CN"/>
        </w:rPr>
        <w:t>动态调控</w:t>
      </w:r>
      <w:r>
        <w:rPr>
          <w:rFonts w:hint="eastAsia" w:ascii="Times New Roman" w:hAnsi="Times New Roman" w:eastAsia="方正仿宋_GBK" w:cs="方正仿宋_GBK"/>
          <w:color w:val="auto"/>
          <w:sz w:val="31"/>
          <w:szCs w:val="31"/>
        </w:rPr>
        <w:t>软件1套。</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仿宋_GBK" w:cs="方正仿宋_GBK"/>
          <w:color w:val="auto"/>
          <w:sz w:val="31"/>
          <w:szCs w:val="31"/>
        </w:rPr>
      </w:pPr>
      <w:r>
        <w:rPr>
          <w:rFonts w:hint="eastAsia" w:ascii="Times New Roman" w:hAnsi="Times New Roman" w:eastAsia="方正仿宋_GBK" w:cs="方正仿宋_GBK"/>
          <w:color w:val="auto"/>
          <w:sz w:val="31"/>
          <w:szCs w:val="31"/>
        </w:rPr>
        <w:t>4.发表核心期刊论文1-2篇，申报发明专利1-3项，登记软件著作权1-3项。</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仿宋_GBK" w:cs="方正仿宋_GBK"/>
          <w:color w:val="auto"/>
          <w:sz w:val="31"/>
          <w:szCs w:val="31"/>
        </w:rPr>
      </w:pPr>
      <w:r>
        <w:rPr>
          <w:rFonts w:hint="eastAsia" w:ascii="Times New Roman" w:hAnsi="Times New Roman" w:eastAsia="方正仿宋_GBK" w:cs="方正仿宋_GBK"/>
          <w:color w:val="auto"/>
          <w:sz w:val="31"/>
          <w:szCs w:val="31"/>
        </w:rPr>
        <w:t>5.项目支撑需求单位</w:t>
      </w:r>
      <w:r>
        <w:rPr>
          <w:rFonts w:ascii="Times New Roman" w:hAnsi="Times New Roman" w:eastAsia="方正仿宋_GBK" w:cs="方正仿宋_GBK"/>
          <w:color w:val="auto"/>
          <w:sz w:val="31"/>
          <w:szCs w:val="31"/>
        </w:rPr>
        <w:t>晋升工程师2</w:t>
      </w:r>
      <w:r>
        <w:rPr>
          <w:rFonts w:hint="eastAsia" w:ascii="Times New Roman" w:hAnsi="Times New Roman" w:eastAsia="方正仿宋_GBK" w:cs="方正仿宋_GBK"/>
          <w:color w:val="auto"/>
          <w:sz w:val="31"/>
          <w:szCs w:val="31"/>
          <w:lang w:val="en-US" w:eastAsia="zh-CN"/>
        </w:rPr>
        <w:t>-</w:t>
      </w:r>
      <w:r>
        <w:rPr>
          <w:rFonts w:ascii="Times New Roman" w:hAnsi="Times New Roman" w:eastAsia="方正仿宋_GBK" w:cs="方正仿宋_GBK"/>
          <w:color w:val="auto"/>
          <w:sz w:val="31"/>
          <w:szCs w:val="31"/>
        </w:rPr>
        <w:t>3名、高级工程师1</w:t>
      </w:r>
      <w:r>
        <w:rPr>
          <w:rFonts w:hint="eastAsia" w:ascii="Times New Roman" w:hAnsi="Times New Roman" w:eastAsia="方正仿宋_GBK" w:cs="方正仿宋_GBK"/>
          <w:color w:val="auto"/>
          <w:sz w:val="31"/>
          <w:szCs w:val="31"/>
          <w:lang w:val="en-US" w:eastAsia="zh-CN"/>
        </w:rPr>
        <w:t>-</w:t>
      </w:r>
      <w:r>
        <w:rPr>
          <w:rFonts w:ascii="Times New Roman" w:hAnsi="Times New Roman" w:eastAsia="方正仿宋_GBK" w:cs="方正仿宋_GBK"/>
          <w:color w:val="auto"/>
          <w:sz w:val="31"/>
          <w:szCs w:val="31"/>
        </w:rPr>
        <w:t>2名</w:t>
      </w:r>
      <w:r>
        <w:rPr>
          <w:rFonts w:hint="eastAsia" w:ascii="Times New Roman" w:hAnsi="Times New Roman" w:eastAsia="方正仿宋_GBK" w:cs="方正仿宋_GBK"/>
          <w:color w:val="auto"/>
          <w:sz w:val="31"/>
          <w:szCs w:val="31"/>
        </w:rPr>
        <w:t>，</w:t>
      </w:r>
      <w:r>
        <w:rPr>
          <w:rFonts w:ascii="Times New Roman" w:hAnsi="Times New Roman" w:eastAsia="方正仿宋_GBK" w:cs="方正仿宋_GBK"/>
          <w:color w:val="auto"/>
          <w:sz w:val="31"/>
          <w:szCs w:val="31"/>
        </w:rPr>
        <w:t>培养行业工程技术人员5名以上，带动就业20人以上</w:t>
      </w:r>
      <w:r>
        <w:rPr>
          <w:rFonts w:hint="eastAsia" w:ascii="Times New Roman" w:hAnsi="Times New Roman" w:eastAsia="方正仿宋_GBK" w:cs="方正仿宋_GBK"/>
          <w:color w:val="auto"/>
          <w:sz w:val="31"/>
          <w:szCs w:val="31"/>
        </w:rPr>
        <w:t>。</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仿宋_GBK" w:cs="方正仿宋_GBK"/>
          <w:color w:val="auto"/>
          <w:sz w:val="31"/>
          <w:szCs w:val="31"/>
        </w:rPr>
      </w:pPr>
      <w:r>
        <w:rPr>
          <w:rFonts w:hint="eastAsia" w:ascii="Times New Roman" w:hAnsi="Times New Roman" w:eastAsia="方正仿宋_GBK" w:cs="方正仿宋_GBK"/>
          <w:color w:val="auto"/>
          <w:sz w:val="31"/>
          <w:szCs w:val="31"/>
        </w:rPr>
        <w:t>6.</w:t>
      </w:r>
      <w:r>
        <w:rPr>
          <w:rFonts w:ascii="Times New Roman" w:hAnsi="Times New Roman" w:eastAsia="方正仿宋_GBK" w:cs="方正仿宋_GBK"/>
          <w:color w:val="auto"/>
          <w:sz w:val="31"/>
          <w:szCs w:val="31"/>
        </w:rPr>
        <w:t>项目</w:t>
      </w:r>
      <w:r>
        <w:rPr>
          <w:rFonts w:hint="eastAsia" w:ascii="Times New Roman" w:hAnsi="Times New Roman" w:eastAsia="方正仿宋_GBK" w:cs="方正仿宋_GBK"/>
          <w:color w:val="auto"/>
          <w:sz w:val="31"/>
          <w:szCs w:val="31"/>
        </w:rPr>
        <w:t>支撑需求单位相应业务新增</w:t>
      </w:r>
      <w:r>
        <w:rPr>
          <w:rFonts w:ascii="Times New Roman" w:hAnsi="Times New Roman" w:eastAsia="方正仿宋_GBK" w:cs="方正仿宋_GBK"/>
          <w:color w:val="auto"/>
          <w:sz w:val="31"/>
          <w:szCs w:val="31"/>
        </w:rPr>
        <w:t>收入1000万元以上</w:t>
      </w:r>
      <w:r>
        <w:rPr>
          <w:rFonts w:hint="eastAsia" w:ascii="Times New Roman" w:hAnsi="Times New Roman" w:eastAsia="方正仿宋_GBK" w:cs="方正仿宋_GBK"/>
          <w:color w:val="auto"/>
          <w:sz w:val="31"/>
          <w:szCs w:val="31"/>
        </w:rPr>
        <w:t>，利税380万元以上。</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黑体_GBK" w:cs="方正黑体_GBK"/>
          <w:color w:val="auto"/>
          <w:sz w:val="31"/>
          <w:szCs w:val="31"/>
        </w:rPr>
      </w:pPr>
      <w:r>
        <w:rPr>
          <w:rFonts w:hint="eastAsia" w:ascii="Times New Roman" w:hAnsi="Times New Roman" w:eastAsia="方正黑体_GBK" w:cs="方正黑体_GBK"/>
          <w:color w:val="auto"/>
          <w:sz w:val="31"/>
          <w:szCs w:val="31"/>
        </w:rPr>
        <w:t>四、交付条件</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仿宋_GBK" w:cs="方正仿宋_GBK"/>
          <w:color w:val="auto"/>
          <w:sz w:val="31"/>
          <w:szCs w:val="31"/>
        </w:rPr>
      </w:pPr>
      <w:r>
        <w:rPr>
          <w:rFonts w:hint="eastAsia" w:ascii="Times New Roman" w:hAnsi="Times New Roman" w:eastAsia="方正仿宋_GBK" w:cs="方正仿宋_GBK"/>
          <w:color w:val="auto"/>
          <w:sz w:val="31"/>
          <w:szCs w:val="31"/>
        </w:rPr>
        <w:t>以上述任务列出的技术指标和成果形式作为验收的主要依据</w:t>
      </w:r>
      <w:r>
        <w:rPr>
          <w:rFonts w:hint="eastAsia" w:ascii="Times New Roman" w:hAnsi="Times New Roman" w:eastAsia="方正仿宋_GBK" w:cs="方正仿宋_GBK"/>
          <w:color w:val="auto"/>
          <w:sz w:val="31"/>
          <w:szCs w:val="31"/>
          <w:lang w:eastAsia="zh-CN"/>
        </w:rPr>
        <w:t>，</w:t>
      </w:r>
      <w:r>
        <w:rPr>
          <w:rFonts w:hint="eastAsia" w:ascii="Times New Roman" w:hAnsi="Times New Roman" w:eastAsia="方正仿宋_GBK" w:cs="方正仿宋_GBK"/>
          <w:color w:val="auto"/>
          <w:sz w:val="31"/>
          <w:szCs w:val="31"/>
        </w:rPr>
        <w:t>软件</w:t>
      </w:r>
      <w:r>
        <w:rPr>
          <w:rFonts w:hint="eastAsia" w:ascii="Times New Roman" w:hAnsi="Times New Roman" w:eastAsia="方正仿宋_GBK" w:cs="方正仿宋_GBK"/>
          <w:color w:val="auto"/>
          <w:sz w:val="31"/>
          <w:szCs w:val="31"/>
          <w:lang w:val="en-US" w:eastAsia="zh-CN"/>
        </w:rPr>
        <w:t>成功</w:t>
      </w:r>
      <w:r>
        <w:rPr>
          <w:rFonts w:hint="eastAsia" w:ascii="方正仿宋_GBK" w:eastAsia="方正仿宋_GBK"/>
          <w:color w:val="000000"/>
          <w:sz w:val="32"/>
          <w:szCs w:val="32"/>
          <w:lang w:eastAsia="zh-CN"/>
        </w:rPr>
        <w:t>通过现场运行</w:t>
      </w:r>
      <w:r>
        <w:rPr>
          <w:rFonts w:hint="eastAsia" w:ascii="Times New Roman" w:hAnsi="Times New Roman" w:eastAsia="方正仿宋_GBK" w:cs="方正仿宋_GBK"/>
          <w:color w:val="auto"/>
          <w:sz w:val="31"/>
          <w:szCs w:val="31"/>
        </w:rPr>
        <w:t>不少于2井次</w:t>
      </w:r>
      <w:r>
        <w:rPr>
          <w:rFonts w:hint="eastAsia" w:ascii="Times New Roman" w:hAnsi="Times New Roman" w:eastAsia="方正仿宋_GBK" w:cs="方正仿宋_GBK"/>
          <w:color w:val="auto"/>
          <w:sz w:val="31"/>
          <w:szCs w:val="31"/>
          <w:lang w:eastAsia="zh-CN"/>
        </w:rPr>
        <w:t>，</w:t>
      </w:r>
      <w:r>
        <w:rPr>
          <w:rFonts w:hint="eastAsia" w:ascii="方正仿宋_GBK" w:eastAsia="方正仿宋_GBK"/>
          <w:color w:val="000000"/>
          <w:sz w:val="32"/>
          <w:szCs w:val="32"/>
          <w:lang w:eastAsia="zh-CN"/>
        </w:rPr>
        <w:t>且达到预期效果</w:t>
      </w:r>
      <w:r>
        <w:rPr>
          <w:rFonts w:hint="eastAsia" w:ascii="Times New Roman" w:hAnsi="Times New Roman" w:eastAsia="方正仿宋_GBK" w:cs="方正仿宋_GBK"/>
          <w:color w:val="auto"/>
          <w:sz w:val="31"/>
          <w:szCs w:val="31"/>
        </w:rPr>
        <w:t>。申请发明专利应取得受理通知书</w:t>
      </w:r>
      <w:r>
        <w:rPr>
          <w:rFonts w:hint="eastAsia" w:ascii="Times New Roman" w:hAnsi="Times New Roman" w:eastAsia="方正仿宋_GBK" w:cs="方正仿宋_GBK"/>
          <w:color w:val="auto"/>
          <w:sz w:val="31"/>
          <w:szCs w:val="31"/>
          <w:lang w:eastAsia="zh-CN"/>
        </w:rPr>
        <w:t>；</w:t>
      </w:r>
      <w:r>
        <w:rPr>
          <w:rFonts w:hint="eastAsia" w:ascii="Times New Roman" w:hAnsi="Times New Roman" w:eastAsia="方正仿宋_GBK" w:cs="方正仿宋_GBK"/>
          <w:color w:val="auto"/>
          <w:sz w:val="31"/>
          <w:szCs w:val="31"/>
          <w:lang w:val="en-US" w:eastAsia="zh-CN"/>
        </w:rPr>
        <w:t>论文发表应取得录用通知</w:t>
      </w:r>
      <w:r>
        <w:rPr>
          <w:rFonts w:hint="eastAsia" w:ascii="Times New Roman" w:hAnsi="Times New Roman" w:eastAsia="方正仿宋_GBK" w:cs="方正仿宋_GBK"/>
          <w:color w:val="auto"/>
          <w:sz w:val="31"/>
          <w:szCs w:val="31"/>
        </w:rPr>
        <w:t>；研究报告应通过技术专家联合评审。</w:t>
      </w:r>
      <w:bookmarkStart w:id="0" w:name="_GoBack"/>
      <w:bookmarkEnd w:id="0"/>
    </w:p>
    <w:p>
      <w:pPr>
        <w:pStyle w:val="2"/>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黑体_GBK" w:cs="方正黑体_GBK"/>
          <w:color w:val="auto"/>
          <w:sz w:val="31"/>
          <w:szCs w:val="31"/>
        </w:rPr>
      </w:pPr>
      <w:r>
        <w:rPr>
          <w:rFonts w:hint="eastAsia" w:ascii="Times New Roman" w:hAnsi="Times New Roman" w:eastAsia="方正黑体_GBK" w:cs="方正黑体_GBK"/>
          <w:color w:val="auto"/>
          <w:sz w:val="31"/>
          <w:szCs w:val="31"/>
        </w:rPr>
        <w:t>五、项目实施周期及揭榜金额</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仿宋_GBK" w:cs="方正仿宋_GBK"/>
          <w:color w:val="auto"/>
          <w:sz w:val="31"/>
          <w:szCs w:val="31"/>
        </w:rPr>
      </w:pPr>
      <w:r>
        <w:rPr>
          <w:rFonts w:hint="eastAsia" w:ascii="Times New Roman" w:hAnsi="Times New Roman" w:eastAsia="方正仿宋_GBK" w:cs="方正仿宋_GBK"/>
          <w:color w:val="auto"/>
          <w:sz w:val="31"/>
          <w:szCs w:val="31"/>
        </w:rPr>
        <w:t>项目实施周期为2年；揭榜金额不超过150万元（其中自治州财政拨款不超过50万元）。</w:t>
      </w:r>
    </w:p>
    <w:p>
      <w:pPr>
        <w:pStyle w:val="2"/>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ascii="Times New Roman" w:hAnsi="Times New Roman" w:eastAsia="方正黑体_GBK" w:cs="方正黑体_GBK"/>
          <w:color w:val="auto"/>
          <w:sz w:val="31"/>
          <w:szCs w:val="31"/>
        </w:rPr>
      </w:pPr>
      <w:r>
        <w:rPr>
          <w:rFonts w:hint="eastAsia" w:ascii="Times New Roman" w:hAnsi="Times New Roman" w:eastAsia="方正黑体_GBK" w:cs="方正黑体_GBK"/>
          <w:color w:val="auto"/>
          <w:sz w:val="31"/>
          <w:szCs w:val="31"/>
        </w:rPr>
        <w:t>六、对揭榜方要求</w:t>
      </w:r>
    </w:p>
    <w:p>
      <w:pPr>
        <w:keepNext w:val="0"/>
        <w:keepLines w:val="0"/>
        <w:pageBreakBefore w:val="0"/>
        <w:widowControl w:val="0"/>
        <w:kinsoku/>
        <w:wordWrap/>
        <w:overflowPunct/>
        <w:topLinePunct w:val="0"/>
        <w:autoSpaceDE/>
        <w:autoSpaceDN/>
        <w:bidi w:val="0"/>
        <w:adjustRightInd/>
        <w:spacing w:after="0" w:line="240" w:lineRule="auto"/>
        <w:ind w:firstLine="620" w:firstLineChars="200"/>
        <w:textAlignment w:val="auto"/>
        <w:rPr>
          <w:rFonts w:hint="eastAsia" w:ascii="Times New Roman" w:hAnsi="Times New Roman" w:eastAsia="方正仿宋_GBK"/>
          <w:color w:val="auto"/>
          <w:lang w:eastAsia="zh-CN"/>
        </w:rPr>
      </w:pPr>
      <w:r>
        <w:rPr>
          <w:rFonts w:hint="eastAsia" w:ascii="Times New Roman" w:hAnsi="Times New Roman" w:eastAsia="方正仿宋_GBK" w:cs="方正仿宋_GBK"/>
          <w:color w:val="auto"/>
          <w:sz w:val="31"/>
          <w:szCs w:val="31"/>
        </w:rPr>
        <w:t>揭榜方应具有独立的研发团队、配套的科研条件和自主研发实力，在相关研究方面具有相</w:t>
      </w:r>
      <w:r>
        <w:rPr>
          <w:rFonts w:hint="eastAsia" w:ascii="Times New Roman" w:hAnsi="Times New Roman" w:eastAsia="方正仿宋_GBK" w:cs="方正仿宋_GBK"/>
          <w:color w:val="auto"/>
          <w:sz w:val="31"/>
          <w:szCs w:val="31"/>
          <w:lang w:val="en-US" w:eastAsia="zh-CN"/>
        </w:rPr>
        <w:t>应</w:t>
      </w:r>
      <w:r>
        <w:rPr>
          <w:rFonts w:hint="eastAsia" w:ascii="Times New Roman" w:hAnsi="Times New Roman" w:eastAsia="方正仿宋_GBK" w:cs="方正仿宋_GBK"/>
          <w:color w:val="auto"/>
          <w:sz w:val="31"/>
          <w:szCs w:val="31"/>
        </w:rPr>
        <w:t>的前期研究成果，团队负责人及主要成员主要从事相关研究5年以上</w:t>
      </w:r>
      <w:r>
        <w:rPr>
          <w:rFonts w:hint="eastAsia" w:ascii="Times New Roman" w:hAnsi="Times New Roman" w:eastAsia="方正仿宋_GBK" w:cs="方正仿宋_GBK"/>
          <w:color w:val="auto"/>
          <w:sz w:val="31"/>
          <w:szCs w:val="31"/>
          <w:lang w:eastAsia="zh-CN"/>
        </w:rPr>
        <w:t>，</w:t>
      </w:r>
      <w:r>
        <w:rPr>
          <w:rFonts w:hint="eastAsia" w:ascii="Times New Roman" w:hAnsi="Times New Roman" w:eastAsia="方正仿宋_GBK" w:cs="方正仿宋_GBK"/>
          <w:color w:val="auto"/>
          <w:sz w:val="31"/>
          <w:szCs w:val="31"/>
        </w:rPr>
        <w:t>能按要求完成揭榜任务（具体要求请与项目专员联系）。</w:t>
      </w:r>
    </w:p>
    <w:sectPr>
      <w:footerReference r:id="rId5" w:type="default"/>
      <w:pgSz w:w="11906" w:h="16838"/>
      <w:pgMar w:top="1701" w:right="1531" w:bottom="1701" w:left="153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2010600030101010101"/>
    <w:charset w:val="02"/>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false">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&#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OqXm5zwAAAAUBAAAPAAAAAAAAAAEAIAAAADgAAABk&#10;cnMvZG93bnJldi54bWxQSwECFAAUAAAACACHTuJAjzeUYcABAABrAwAADgAAAAAAAAABACAAAAA0&#10;AQAAZHJzL2Uyb0RvYy54bWxQSwUGAAAAAAYABgBZAQAAZgUAAAAA&#10;">
              <v:fill on="f" focussize="0,0"/>
              <v:stroke on="f"/>
              <v:imagedata o:title=""/>
              <o:lock v:ext="edit" aspectratio="f"/>
              <v:textbox inset="0mm,0mm,0mm,0mm" style="mso-fit-shape-to-text:t;">
                <w:txbxContent>
                  <w:p>
                    <w:pPr>
                      <w:pStyle w:val="6"/>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74"/>
    <w:rsid w:val="000C3A69"/>
    <w:rsid w:val="003F47B0"/>
    <w:rsid w:val="00447B44"/>
    <w:rsid w:val="00450C83"/>
    <w:rsid w:val="006E29A1"/>
    <w:rsid w:val="00755D6C"/>
    <w:rsid w:val="00B01886"/>
    <w:rsid w:val="00B83B96"/>
    <w:rsid w:val="00E67B74"/>
    <w:rsid w:val="25DD378A"/>
    <w:rsid w:val="2F435779"/>
    <w:rsid w:val="3144349D"/>
    <w:rsid w:val="3DC6CDBF"/>
    <w:rsid w:val="3DFBDC3A"/>
    <w:rsid w:val="3EAB0813"/>
    <w:rsid w:val="3FE69C77"/>
    <w:rsid w:val="4EAC01FC"/>
    <w:rsid w:val="51241FD1"/>
    <w:rsid w:val="56BB7979"/>
    <w:rsid w:val="5B978C2D"/>
    <w:rsid w:val="5FFBDD20"/>
    <w:rsid w:val="6A8C5545"/>
    <w:rsid w:val="737E554A"/>
    <w:rsid w:val="751702A7"/>
    <w:rsid w:val="77AD94DC"/>
    <w:rsid w:val="77FF31B9"/>
    <w:rsid w:val="79FE4BF3"/>
    <w:rsid w:val="7BFD21D3"/>
    <w:rsid w:val="7EFC3F1D"/>
    <w:rsid w:val="95CDA9D7"/>
    <w:rsid w:val="9B71A59E"/>
    <w:rsid w:val="B3CBF6DE"/>
    <w:rsid w:val="D4BB2ED7"/>
    <w:rsid w:val="D5FB86D1"/>
    <w:rsid w:val="DBBAF49C"/>
    <w:rsid w:val="DBFB5C34"/>
    <w:rsid w:val="EDBFBC00"/>
    <w:rsid w:val="EFDFDD3F"/>
    <w:rsid w:val="F2FDABD2"/>
    <w:rsid w:val="F3353662"/>
    <w:rsid w:val="F777C1B0"/>
    <w:rsid w:val="FAFF4882"/>
    <w:rsid w:val="FDFFD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4">
    <w:name w:val="index 6"/>
    <w:basedOn w:val="1"/>
    <w:next w:val="1"/>
    <w:unhideWhenUsed/>
    <w:qFormat/>
    <w:uiPriority w:val="99"/>
    <w:pPr>
      <w:ind w:left="1000" w:leftChars="1000"/>
    </w:pPr>
  </w:style>
  <w:style w:type="paragraph" w:styleId="5">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Body Text First Indent"/>
    <w:basedOn w:val="5"/>
    <w:next w:val="4"/>
    <w:qFormat/>
    <w:uiPriority w:val="0"/>
    <w:pPr>
      <w:ind w:firstLine="420" w:firstLineChars="100"/>
    </w:p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704</Words>
  <Characters>741</Characters>
  <Lines>41</Lines>
  <Paragraphs>35</Paragraphs>
  <TotalTime>12</TotalTime>
  <ScaleCrop>false</ScaleCrop>
  <LinksUpToDate>false</LinksUpToDate>
  <CharactersWithSpaces>1410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2026-05-14T03:07:00Z</dcterms:created>
  <dc:creator>Administrator</dc:creator>
  <cp:lastModifiedBy>bgs2</cp:lastModifiedBy>
  <cp:lastPrinted>2026-05-18T13:48:16Z</cp:lastPrinted>
  <dcterms:modified xsi:type="dcterms:W3CDTF">2026-05-18T13:48:19Z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eyJoZGlkIjoiZTg4N2IzYzI3YzYxODBmNTMyZTY1NTIxMzEyMzJhYzciLCJ1c2VySWQiOiIyNjMxNjU4OTUifQ==</vt:lpwstr>
  </property>
  <property fmtid="{D5CDD505-2E9C-101B-9397-08002B2CF9AE}" pid="4" name="ICV">
    <vt:lpwstr>219F4C0B1EAF4CAD820FBAA886CB14DB_13</vt:lpwstr>
  </property>
</Properties>
</file>