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5F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</w:t>
      </w:r>
    </w:p>
    <w:p w14:paraId="7E2F3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4F016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巴音郭楞蒙古自治州民办养老机构资助办法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》的起草说明</w:t>
      </w:r>
    </w:p>
    <w:p w14:paraId="34A57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1249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一、起草背景</w:t>
      </w:r>
    </w:p>
    <w:p w14:paraId="0DB87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随着我国人口老龄化进程持续加速，养老服务需求不断增长，引导社会力量参与养老服务已成为补齐服务短板、提升供给质量的重要途径。自治区民政厅、财政厅联合印发了《新疆维吾尔自治区民办养老机构资助办法》（新民规〔2025〕9号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，对民办养老机构补贴对象、标准、条件及申报程序等方面作出了统一规范，为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我州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推进养老机构资助工作提供了根本遵循。</w:t>
      </w:r>
    </w:p>
    <w:p w14:paraId="301F0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立足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我州实际，当前养老服务业发展仍面临诸多亟待解决的问题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分民办养老机构建设和运营成本较高，面临较大资金压力，社会力量参与养老服务的积极性仍需进一步激发；养老机构服务质量存在差异，普惠性养老服务供给仍显不足；资助政策在落实过程中的针对性、可操作性亟需结合本地实际进一步细化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。为深入贯彻落实自治区决策部署，切实将各项要求转化为推动我州养老服务业高质量发展的具体举措，规范资助资金管理，提高资金使用效益，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我局牵头起草了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《巴音郭楞蒙古自治州民办养老机构资助办法》（以下简称《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》）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42BE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二、起草过程</w:t>
      </w:r>
    </w:p>
    <w:p w14:paraId="125A1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起草过程中，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遵循《自治区资助办法》规定，紧密结合我州民办养老机构在规模、服务能力、运营成本等方面的实际情况，重点围绕资助对象精准认定、地方配套资金保障机制等核心内容细化明确，确保政策兼具可操作性与实效性。同时，广泛征求州财政局、各县（市）民政局、部分民办养老机构意见建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，反馈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意见建议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3条，采纳2条。经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》反复修改完善，形成当前审议稿。</w:t>
      </w:r>
    </w:p>
    <w:p w14:paraId="12B29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三、主要内容</w:t>
      </w:r>
    </w:p>
    <w:p w14:paraId="05C53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《办法》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共分为六个部分，核心围绕“补贴对象、补贴周期、补贴标准、补贴条件、补贴申报、资金保障和使用管理”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等7个方面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展开，在严格遵循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总体框架的基础上，结合我州实际进行了细化完善，主要特点如下：</w:t>
      </w:r>
    </w:p>
    <w:p w14:paraId="166D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（一）明确补贴对象，实现政策全覆盖</w:t>
      </w:r>
      <w:bookmarkStart w:id="0" w:name="_GoBack"/>
    </w:p>
    <w:bookmarkEnd w:id="0"/>
    <w:p w14:paraId="7F4C0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延续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界定标准，明确补贴对象为自治州行政区域内依法登记并取得备案回执，由社会力量投资兴办、为老年群体提供全日集中住宿和照料护理服务的各类养老机构，包括公建民营养老机构和民办养老机构（含民办非营利性、民办营利性）。其中，公建民营养老机构可享受运营补贴，民办养老机构可享受一次性建设补贴和运营补贴，确保政策覆盖所有符合条件的社会办养老机构，避免遗漏。</w:t>
      </w:r>
    </w:p>
    <w:p w14:paraId="57D72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（二）细化补贴标准，增强政策针对性</w:t>
      </w:r>
    </w:p>
    <w:p w14:paraId="4814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一次性建设补贴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。自治区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规定核定床位100张以下的由地（州、市）财政承担补贴，未明确具体标准。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《办法》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结合我州财政承载能力，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明确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核定床位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的，纳入州、县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共同事权，由州与县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5比例给予每张床位5000元的一次性建设补贴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既体现政策公平性，又能有效扶持中小型民办养老机构发展；拨付方式严格按照自治区规定执行，自建机构分3年按50%、30%、20%比例拨付，租赁且租期5年以上的分5年按每年20%比例拨付，同时明确重复补贴限制条款，防范资金浪费。</w:t>
      </w:r>
    </w:p>
    <w:p w14:paraId="73F4A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运营补贴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基础补贴标准完全遵循自治区规定，对中度、重度、完全失能老年人分别按每人每月80元、100元、120元给予差异化补贴，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除自治区财政承担部分外，剩余资金纳入州、县（市）共同事权，由州与县（市）按5:5比例分担支出责任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；针对普惠性养老服务供给不足的问题，增设普惠支持型养老机构浮动补贴，对评定为一级至五级的普惠支持型养老机构，在基础补贴基础上增加10%-50%的补贴，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纳入州、县（市）共同事权，由州与县（市）按5:5比例分担支出责任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B19E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（三）规范补贴条件，严把准入关口</w:t>
      </w:r>
    </w:p>
    <w:p w14:paraId="55FFC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严格参照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的核心要求，对申请一次性建设补贴和运营补贴的条件进行逐项细化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，除将开办床位从30张（含）以上放宽至10张（含）以上外，其他补贴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条件与自治区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保持一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次性建设补贴，涵盖法人登记备案、设施标准、管理制度、资质许可、护理型床位占比（55%及以上）、运营时长（满6个月）、入住率（30%及以上）、满意度（80%及以上）、场地证明等10项核心要求，确保建设补贴发放给合规优质的养老机构；运营补贴条件在满足一次性建设补贴相关设施、管理、资质等要求的基础上，进一步明确从业人员资质（持证或岗前培训率100%）、医疗合作（内设医疗机构或签订合作协议）、安全管理（无严重责任事故和重大服务纠纷）、劳动用工（签订劳动合同、缴纳社保）等额外要求，倒逼养老机构规范运营、提升服务质量。</w:t>
      </w:r>
    </w:p>
    <w:p w14:paraId="60DB0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（四）优化申报流程，提升办事效率</w:t>
      </w:r>
    </w:p>
    <w:p w14:paraId="45151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的申报材料基础上，结合我州审核管理实际，将申报材料份数调整为一式3份，便于各级民政、财政部门存档备案；明确一次性建设补贴和运营补贴的申报材料清单，对各类证明文件、申请表、协议等进行细化列明，让养老机构清晰知晓需提交的材料，减少“来回跑”；简化申报流程，明确所有补贴申请均向备案的民政部门提交，统一审核入口，提高申报和审核效率。</w:t>
      </w:r>
    </w:p>
    <w:p w14:paraId="4364A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（五）强化资金管理，确保安全高效</w:t>
      </w:r>
    </w:p>
    <w:p w14:paraId="62E8C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资金保障方面，明确财政部门需严格落实现行预算管理制度，按补贴周期及时足额拨付资金，确保资助政策落地见效；</w:t>
      </w:r>
    </w:p>
    <w:p w14:paraId="40F99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资金使用方面，严格限定资助资金用途，仅限用于养老机构基础设施建设改造、设施设备更新维保及改善老年人生活质量的相关项目，要求养老机构专款专用、单独核算，不得擅自改变资金用途；</w:t>
      </w:r>
    </w:p>
    <w:p w14:paraId="792EA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监督管理方面，明确民政部门与财政部门联合开展监督审查，可委托第三方审计机构进行审计，确保资金安全、规范、高效使用。</w:t>
      </w:r>
    </w:p>
    <w:p w14:paraId="13EA4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四、预期目标</w:t>
      </w:r>
    </w:p>
    <w:p w14:paraId="63C27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《办法》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出台，将进一步完善我州养老服务扶持政策体系，有效激发社会力量参与养老服务的积极性，引导养老机构规范运营、提升服务质量，扩大养老服务供给，特别是普惠性养老服务供给，切实保障老年人合法权益，推动我州养老服务业高质量发展，积极应对人口老龄化挑战。</w:t>
      </w:r>
    </w:p>
    <w:p w14:paraId="64F3A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五、其他说明</w:t>
      </w:r>
    </w:p>
    <w:p w14:paraId="3B7D5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《办法》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严格遵循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自治区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的总体要求，结合我州实际对补贴资金承担主体、申报材料份数、浮动补贴标准等进行细化调整，确保政策的统一性和灵活性；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《办法》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自印发之日起施行，有效期与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自治区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保持一致（5年），如国家和自治区相关政策调整，从其规定；各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县（市）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可结合本地实际，在本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办法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基础上进一步完善配套措施，所需经费由本级财政承担。</w:t>
      </w:r>
    </w:p>
    <w:p w14:paraId="19C9F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93F9B"/>
    <w:rsid w:val="0C59153A"/>
    <w:rsid w:val="17A32DEB"/>
    <w:rsid w:val="1D300C7D"/>
    <w:rsid w:val="1D4131C0"/>
    <w:rsid w:val="260136FA"/>
    <w:rsid w:val="292F7A81"/>
    <w:rsid w:val="376E6B1A"/>
    <w:rsid w:val="3A3747AC"/>
    <w:rsid w:val="3C636FDD"/>
    <w:rsid w:val="475D5A6A"/>
    <w:rsid w:val="544C71EC"/>
    <w:rsid w:val="54932EA4"/>
    <w:rsid w:val="5661279F"/>
    <w:rsid w:val="58F5665C"/>
    <w:rsid w:val="5A04713E"/>
    <w:rsid w:val="6B343AB9"/>
    <w:rsid w:val="6EA463A2"/>
    <w:rsid w:val="71B00AAA"/>
    <w:rsid w:val="71FD4EBA"/>
    <w:rsid w:val="735C5DA5"/>
    <w:rsid w:val="78A95882"/>
    <w:rsid w:val="78EA4120"/>
    <w:rsid w:val="790F196D"/>
    <w:rsid w:val="7FD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5c9804f4-a9cf-48ba-b785-135c1886142c</errorID>
      <errorWord>一保持</errorWord>
      <group>L1_Grammar</group>
      <groupName>语法问题</groupName>
      <ability>L2_Order</ability>
      <abilityName>语序不当</abilityName>
      <candidateList>
        <item>保持一</item>
      </candidateList>
      <explain>句子可能没有遵循时空、逻辑顺序，或者介词、关联词等位置不当。</explain>
      <paraID>55FFC2B7</paraID>
      <start>76</start>
      <end>79</end>
      <status>modified</status>
      <modifiedWord>保持一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4314acf-2e91-494e-8f8f-1baefffc8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2607</Words>
  <Characters>2664</Characters>
  <Lines>0</Lines>
  <Paragraphs>0</Paragraphs>
  <TotalTime>23</TotalTime>
  <ScaleCrop>false</ScaleCrop>
  <LinksUpToDate>false</LinksUpToDate>
  <CharactersWithSpaces>2664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2025-02-24T11:50:00Z</dcterms:created>
  <dc:creator>Administrator</dc:creator>
  <cp:lastModifiedBy>球球</cp:lastModifiedBy>
  <cp:lastPrinted>2026-01-27T02:33:00Z</cp:lastPrinted>
  <dcterms:modified xsi:type="dcterms:W3CDTF">2026-01-30T02:40:23Z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EFDEADE09AFD4ED98481CF0BCDF49CE2_12</vt:lpwstr>
  </property>
  <property fmtid="{D5CDD505-2E9C-101B-9397-08002B2CF9AE}" pid="4" name="KSOTemplateDocerSaveRecord">
    <vt:lpwstr>eyJoZGlkIjoiN2ZmMGE0OGMwYTRlZjlhMWJiNTFhZjMyMzZlYmZiNTQiLCJ1c2VySWQiOiI0Mzg4MTM1MzEifQ==</vt:lpwstr>
  </property>
</Properties>
</file>