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 w:cs="Times New Roman"/>
          <w:snapToGrid w:val="0"/>
          <w:color w:val="auto"/>
          <w:sz w:val="32"/>
          <w:szCs w:val="32"/>
          <w:lang w:val="en-US" w:eastAsia="zh-CN"/>
        </w:rPr>
      </w:pPr>
      <w:r>
        <w:rPr>
          <w:rFonts w:hint="default" w:ascii="Times New Roman" w:hAnsi="Times New Roman" w:eastAsia="仿宋" w:cs="Times New Roman"/>
          <w:snapToGrid w:val="0"/>
          <w:color w:val="auto"/>
          <w:sz w:val="32"/>
          <w:szCs w:val="32"/>
          <w:lang w:eastAsia="zh-CN"/>
        </w:rPr>
        <w:t>附件</w:t>
      </w:r>
      <w:r>
        <w:rPr>
          <w:rFonts w:hint="default" w:ascii="Times New Roman" w:hAnsi="Times New Roman" w:eastAsia="仿宋" w:cs="Times New Roman"/>
          <w:snapToGrid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napToGrid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napToGrid w:val="0"/>
          <w:color w:val="auto"/>
          <w:sz w:val="44"/>
          <w:szCs w:val="44"/>
          <w:lang w:eastAsia="zh-CN"/>
        </w:rPr>
      </w:pPr>
      <w:bookmarkStart w:id="0" w:name="_GoBack"/>
      <w:r>
        <w:rPr>
          <w:rFonts w:hint="eastAsia" w:ascii="方正小标宋_GBK" w:hAnsi="方正小标宋_GBK" w:eastAsia="方正小标宋_GBK" w:cs="方正小标宋_GBK"/>
          <w:snapToGrid w:val="0"/>
          <w:color w:val="auto"/>
          <w:sz w:val="44"/>
          <w:szCs w:val="44"/>
          <w:lang w:eastAsia="zh-CN"/>
        </w:rPr>
        <w:t>自治州</w:t>
      </w:r>
      <w:r>
        <w:rPr>
          <w:rFonts w:hint="eastAsia" w:ascii="方正小标宋_GBK" w:hAnsi="方正小标宋_GBK" w:eastAsia="方正小标宋_GBK" w:cs="方正小标宋_GBK"/>
          <w:snapToGrid w:val="0"/>
          <w:color w:val="auto"/>
          <w:sz w:val="44"/>
          <w:szCs w:val="44"/>
        </w:rPr>
        <w:t>行政调解</w:t>
      </w:r>
      <w:r>
        <w:rPr>
          <w:rFonts w:hint="eastAsia" w:ascii="方正小标宋_GBK" w:hAnsi="方正小标宋_GBK" w:eastAsia="方正小标宋_GBK" w:cs="方正小标宋_GBK"/>
          <w:snapToGrid w:val="0"/>
          <w:color w:val="auto"/>
          <w:sz w:val="44"/>
          <w:szCs w:val="44"/>
          <w:lang w:val="en-US" w:eastAsia="zh-CN"/>
        </w:rPr>
        <w:t>办法（试行）（征求意见稿）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snapToGrid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napToGrid w:val="0"/>
          <w:color w:val="auto"/>
          <w:sz w:val="32"/>
          <w:szCs w:val="32"/>
          <w:lang w:val="en-US" w:eastAsia="zh-CN"/>
        </w:rPr>
      </w:pPr>
      <w:r>
        <w:rPr>
          <w:rFonts w:hint="eastAsia" w:ascii="黑体" w:hAnsi="黑体" w:eastAsia="黑体" w:cs="黑体"/>
          <w:snapToGrid w:val="0"/>
          <w:color w:val="auto"/>
          <w:sz w:val="32"/>
          <w:szCs w:val="32"/>
          <w:lang w:val="en-US" w:eastAsia="zh-CN"/>
        </w:rPr>
        <w:t>第一章</w:t>
      </w:r>
      <w:r>
        <w:rPr>
          <w:rFonts w:hint="eastAsia" w:ascii="仿宋" w:hAnsi="仿宋" w:eastAsia="仿宋" w:cs="仿宋"/>
          <w:snapToGrid w:val="0"/>
          <w:color w:val="auto"/>
          <w:sz w:val="32"/>
          <w:szCs w:val="32"/>
          <w:lang w:val="en-US" w:eastAsia="zh-CN"/>
        </w:rPr>
        <w:t xml:space="preserve">  </w:t>
      </w:r>
      <w:r>
        <w:rPr>
          <w:rFonts w:hint="eastAsia" w:ascii="黑体" w:hAnsi="黑体" w:eastAsia="黑体" w:cs="黑体"/>
          <w:snapToGrid w:val="0"/>
          <w:color w:val="auto"/>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第一条</w:t>
      </w:r>
      <w:r>
        <w:rPr>
          <w:rFonts w:hint="eastAsia" w:ascii="仿宋" w:hAnsi="仿宋" w:eastAsia="仿宋" w:cs="仿宋"/>
          <w:snapToGrid w:val="0"/>
          <w:color w:val="auto"/>
          <w:sz w:val="32"/>
          <w:szCs w:val="32"/>
        </w:rPr>
        <w:t>　为加强和规范行政调解工作，</w:t>
      </w:r>
      <w:r>
        <w:rPr>
          <w:rFonts w:hint="eastAsia" w:ascii="仿宋" w:hAnsi="仿宋" w:eastAsia="仿宋" w:cs="仿宋"/>
          <w:snapToGrid w:val="0"/>
          <w:color w:val="auto"/>
          <w:sz w:val="32"/>
          <w:szCs w:val="32"/>
          <w:lang w:val="en-US" w:eastAsia="zh-CN"/>
        </w:rPr>
        <w:t>依法</w:t>
      </w:r>
      <w:r>
        <w:rPr>
          <w:rFonts w:hint="eastAsia" w:ascii="仿宋" w:hAnsi="仿宋" w:eastAsia="仿宋" w:cs="仿宋"/>
          <w:snapToGrid w:val="0"/>
          <w:color w:val="auto"/>
          <w:sz w:val="32"/>
          <w:szCs w:val="32"/>
        </w:rPr>
        <w:t>及时有效化解与行政管理有关的争议和纠纷，维护社会稳定，根据《新疆维吾尔自治区矛盾纠纷多元化解条例》等法律、法规，结合</w:t>
      </w:r>
      <w:r>
        <w:rPr>
          <w:rFonts w:hint="eastAsia" w:ascii="仿宋" w:hAnsi="仿宋" w:eastAsia="仿宋" w:cs="仿宋"/>
          <w:snapToGrid w:val="0"/>
          <w:color w:val="auto"/>
          <w:sz w:val="32"/>
          <w:szCs w:val="32"/>
          <w:lang w:val="en-US" w:eastAsia="zh-CN"/>
        </w:rPr>
        <w:t>我州</w:t>
      </w:r>
      <w:r>
        <w:rPr>
          <w:rFonts w:hint="eastAsia" w:ascii="仿宋" w:hAnsi="仿宋" w:eastAsia="仿宋" w:cs="仿宋"/>
          <w:snapToGrid w:val="0"/>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第二条</w:t>
      </w:r>
      <w:r>
        <w:rPr>
          <w:rFonts w:hint="eastAsia" w:ascii="仿宋" w:hAnsi="仿宋" w:eastAsia="仿宋" w:cs="仿宋"/>
          <w:snapToGrid w:val="0"/>
          <w:color w:val="auto"/>
          <w:sz w:val="32"/>
          <w:szCs w:val="32"/>
        </w:rPr>
        <w:t>　</w:t>
      </w:r>
      <w:r>
        <w:rPr>
          <w:rFonts w:hint="eastAsia" w:ascii="仿宋" w:hAnsi="仿宋" w:eastAsia="仿宋" w:cs="仿宋"/>
          <w:snapToGrid w:val="0"/>
          <w:color w:val="auto"/>
          <w:sz w:val="32"/>
          <w:szCs w:val="32"/>
          <w:lang w:val="en-US" w:eastAsia="zh-CN"/>
        </w:rPr>
        <w:t>本州</w:t>
      </w:r>
      <w:r>
        <w:rPr>
          <w:rFonts w:hint="eastAsia" w:ascii="仿宋" w:hAnsi="仿宋" w:eastAsia="仿宋" w:cs="仿宋"/>
          <w:snapToGrid w:val="0"/>
          <w:color w:val="auto"/>
          <w:sz w:val="32"/>
          <w:szCs w:val="32"/>
        </w:rPr>
        <w:t>各级行政机关以及法律、法规授权的具有管理公共事务职能的组织（以下统称行政机关）开展行政调解工作，适用本办法。法律、法规、规章另有规定的，</w:t>
      </w:r>
      <w:r>
        <w:rPr>
          <w:rFonts w:hint="eastAsia" w:ascii="仿宋" w:hAnsi="仿宋" w:eastAsia="仿宋" w:cs="仿宋"/>
          <w:snapToGrid w:val="0"/>
          <w:color w:val="auto"/>
          <w:sz w:val="32"/>
          <w:szCs w:val="32"/>
          <w:lang w:val="en-US" w:eastAsia="zh-CN"/>
        </w:rPr>
        <w:t>从</w:t>
      </w:r>
      <w:r>
        <w:rPr>
          <w:rFonts w:hint="eastAsia" w:ascii="仿宋" w:hAnsi="仿宋" w:eastAsia="仿宋" w:cs="仿宋"/>
          <w:snapToGrid w:val="0"/>
          <w:color w:val="auto"/>
          <w:sz w:val="32"/>
          <w:szCs w:val="32"/>
        </w:rPr>
        <w:t>其规定。</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本办法所称行政调解，是指行政机关</w:t>
      </w:r>
      <w:r>
        <w:rPr>
          <w:rFonts w:hint="eastAsia" w:ascii="仿宋" w:hAnsi="仿宋" w:eastAsia="仿宋" w:cs="仿宋"/>
          <w:snapToGrid w:val="0"/>
          <w:color w:val="auto"/>
          <w:sz w:val="32"/>
          <w:szCs w:val="32"/>
          <w:lang w:val="en-US" w:eastAsia="zh-CN"/>
        </w:rPr>
        <w:t>在职权范围内，</w:t>
      </w:r>
      <w:r>
        <w:rPr>
          <w:rFonts w:hint="eastAsia" w:ascii="仿宋" w:hAnsi="仿宋" w:eastAsia="仿宋" w:cs="仿宋"/>
          <w:snapToGrid w:val="0"/>
          <w:color w:val="auto"/>
          <w:sz w:val="32"/>
          <w:szCs w:val="32"/>
        </w:rPr>
        <w:t>通过说服</w:t>
      </w:r>
      <w:r>
        <w:rPr>
          <w:rFonts w:hint="eastAsia" w:ascii="仿宋" w:hAnsi="仿宋" w:eastAsia="仿宋" w:cs="仿宋"/>
          <w:snapToGrid w:val="0"/>
          <w:color w:val="auto"/>
          <w:sz w:val="32"/>
          <w:szCs w:val="32"/>
          <w:lang w:val="en-US" w:eastAsia="zh-CN"/>
        </w:rPr>
        <w:t>、</w:t>
      </w:r>
      <w:r>
        <w:rPr>
          <w:rFonts w:hint="eastAsia" w:ascii="仿宋" w:hAnsi="仿宋" w:eastAsia="仿宋" w:cs="仿宋"/>
          <w:snapToGrid w:val="0"/>
          <w:color w:val="auto"/>
          <w:sz w:val="32"/>
          <w:szCs w:val="32"/>
        </w:rPr>
        <w:t>疏导等方式，引导公民、法人和其他组织在平等协商、互谅互让的基础上自愿达成协议，</w:t>
      </w:r>
      <w:r>
        <w:rPr>
          <w:rFonts w:hint="eastAsia" w:ascii="仿宋" w:hAnsi="仿宋" w:eastAsia="仿宋" w:cs="仿宋"/>
          <w:snapToGrid w:val="0"/>
          <w:color w:val="auto"/>
          <w:sz w:val="32"/>
          <w:szCs w:val="32"/>
          <w:lang w:val="en-US" w:eastAsia="zh-CN"/>
        </w:rPr>
        <w:t>依法化解与行政管理有关的民商事纠纷或者与履行行政管理职责有关的行政争议</w:t>
      </w:r>
      <w:r>
        <w:rPr>
          <w:rFonts w:hint="eastAsia" w:ascii="仿宋" w:hAnsi="仿宋" w:eastAsia="仿宋" w:cs="仿宋"/>
          <w:snapToGrid w:val="0"/>
          <w:color w:val="auto"/>
          <w:sz w:val="32"/>
          <w:szCs w:val="32"/>
        </w:rPr>
        <w:t>的活动。</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第三条</w:t>
      </w:r>
      <w:r>
        <w:rPr>
          <w:rFonts w:hint="eastAsia" w:ascii="仿宋" w:hAnsi="仿宋" w:eastAsia="仿宋" w:cs="仿宋"/>
          <w:snapToGrid w:val="0"/>
          <w:color w:val="auto"/>
          <w:sz w:val="32"/>
          <w:szCs w:val="32"/>
        </w:rPr>
        <w:t>　行政调解工作坚持党的领导，遵循自愿平等、合法公正、便民高效的原则，不得损害国家利益、社会公共利益以及公民、法人和其他组织的合法权益。</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第四条</w:t>
      </w:r>
      <w:r>
        <w:rPr>
          <w:rFonts w:hint="eastAsia" w:ascii="仿宋" w:hAnsi="仿宋" w:eastAsia="仿宋" w:cs="仿宋"/>
          <w:snapToGrid w:val="0"/>
          <w:color w:val="auto"/>
          <w:sz w:val="32"/>
          <w:szCs w:val="32"/>
        </w:rPr>
        <w:t>　县级以上人民政府应当加强对本行政区域内行政调解工作的领导，协调解决行政调解工作中的重大问题，完善行政调解与人民调解、司法调解的联动工作机制，并将行政调解工作作为法治政府建设的重要内容。</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第五条</w:t>
      </w:r>
      <w:r>
        <w:rPr>
          <w:rFonts w:hint="eastAsia" w:ascii="仿宋" w:hAnsi="仿宋" w:eastAsia="仿宋" w:cs="仿宋"/>
          <w:snapToGrid w:val="0"/>
          <w:color w:val="auto"/>
          <w:sz w:val="32"/>
          <w:szCs w:val="32"/>
        </w:rPr>
        <w:t>　县级以上人民政府司法行政部门负责指导、督促本行政区域内的行政调解工作。</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eastAsia="zh-CN"/>
        </w:rPr>
      </w:pPr>
      <w:r>
        <w:rPr>
          <w:rFonts w:hint="eastAsia" w:ascii="仿宋" w:hAnsi="仿宋" w:eastAsia="仿宋" w:cs="仿宋"/>
          <w:b/>
          <w:bCs/>
          <w:snapToGrid w:val="0"/>
          <w:color w:val="auto"/>
          <w:sz w:val="32"/>
          <w:szCs w:val="32"/>
          <w:lang w:val="en-US" w:eastAsia="zh-CN"/>
        </w:rPr>
        <w:t xml:space="preserve">第六条 </w:t>
      </w:r>
      <w:r>
        <w:rPr>
          <w:rFonts w:hint="eastAsia" w:ascii="仿宋" w:hAnsi="仿宋" w:eastAsia="仿宋" w:cs="仿宋"/>
          <w:snapToGrid w:val="0"/>
          <w:color w:val="auto"/>
          <w:sz w:val="32"/>
          <w:szCs w:val="32"/>
        </w:rPr>
        <w:t>行政机关应当依法履行行政调解工作主体责任，加强对本系统、领域行政调解工作的业务指导。行政机关开展行政调解工作，不得收取任何费用，不得以行政调解代替行政执法活动</w:t>
      </w:r>
      <w:r>
        <w:rPr>
          <w:rFonts w:hint="eastAsia" w:ascii="仿宋" w:hAnsi="仿宋" w:eastAsia="仿宋" w:cs="仿宋"/>
          <w:snapToGrid w:val="0"/>
          <w:color w:val="auto"/>
          <w:sz w:val="32"/>
          <w:szCs w:val="32"/>
          <w:lang w:eastAsia="zh-CN"/>
        </w:rPr>
        <w:t>，不得因调解而阻止当事人依法通过仲裁、行政、司法等途径维护自己的权利</w:t>
      </w:r>
      <w:r>
        <w:rPr>
          <w:rFonts w:hint="eastAsia" w:ascii="仿宋" w:hAnsi="仿宋" w:eastAsia="仿宋" w:cs="仿宋"/>
          <w:snapToGrid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napToGrid w:val="0"/>
          <w:color w:val="auto"/>
          <w:sz w:val="32"/>
          <w:szCs w:val="32"/>
          <w:lang w:eastAsia="zh-CN"/>
        </w:rPr>
      </w:pPr>
      <w:r>
        <w:rPr>
          <w:rFonts w:hint="eastAsia" w:ascii="黑体" w:hAnsi="黑体" w:eastAsia="黑体" w:cs="黑体"/>
          <w:snapToGrid w:val="0"/>
          <w:color w:val="auto"/>
          <w:sz w:val="32"/>
          <w:szCs w:val="32"/>
          <w:lang w:val="en-US" w:eastAsia="zh-CN"/>
        </w:rPr>
        <w:t>第二章 调解范围</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eastAsia="zh-CN"/>
        </w:rPr>
      </w:pPr>
      <w:r>
        <w:rPr>
          <w:rFonts w:hint="eastAsia" w:ascii="仿宋" w:hAnsi="仿宋" w:eastAsia="仿宋" w:cs="仿宋"/>
          <w:b/>
          <w:bCs/>
          <w:snapToGrid w:val="0"/>
          <w:color w:val="auto"/>
          <w:sz w:val="32"/>
          <w:szCs w:val="32"/>
          <w:lang w:val="en-US" w:eastAsia="zh-CN"/>
        </w:rPr>
        <w:t>第七条</w:t>
      </w:r>
      <w:r>
        <w:rPr>
          <w:rFonts w:hint="eastAsia" w:ascii="仿宋" w:hAnsi="仿宋" w:eastAsia="仿宋" w:cs="仿宋"/>
          <w:snapToGrid w:val="0"/>
          <w:color w:val="auto"/>
          <w:sz w:val="32"/>
          <w:szCs w:val="32"/>
        </w:rPr>
        <w:t>　行政机关可以对下列争议纠纷进行调解：</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（一）公民、法人和其他组织对行政机关行使法律、法规、规章规定的自由裁量权作出的行政行为不服申请行政复议</w:t>
      </w:r>
      <w:r>
        <w:rPr>
          <w:rFonts w:hint="eastAsia" w:ascii="仿宋" w:hAnsi="仿宋" w:eastAsia="仿宋" w:cs="仿宋"/>
          <w:snapToGrid w:val="0"/>
          <w:color w:val="auto"/>
          <w:sz w:val="32"/>
          <w:szCs w:val="32"/>
          <w:lang w:val="en-US" w:eastAsia="zh-CN"/>
        </w:rPr>
        <w:t>争议</w:t>
      </w:r>
      <w:r>
        <w:rPr>
          <w:rFonts w:hint="eastAsia" w:ascii="仿宋" w:hAnsi="仿宋" w:eastAsia="仿宋" w:cs="仿宋"/>
          <w:snapToGrid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（二）公民、法人或者其他组织与行政机关之间的行政补偿、行政赔偿、行政协议争议；</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（三）法律、法规、规章规定应当由行政机关裁决、处理的民事纠纷；</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（四）公民、法人或者其他组织之间发生的与行政机关履行行政管理职能有关的民事纠纷；</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（五）法律、法规、规章规定可以由行政机关处理的其他争议纠纷。</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第八条</w:t>
      </w:r>
      <w:r>
        <w:rPr>
          <w:rFonts w:hint="eastAsia" w:ascii="仿宋" w:hAnsi="仿宋" w:eastAsia="仿宋" w:cs="仿宋"/>
          <w:snapToGrid w:val="0"/>
          <w:color w:val="auto"/>
          <w:sz w:val="32"/>
          <w:szCs w:val="32"/>
          <w:lang w:val="en-US" w:eastAsia="zh-CN"/>
        </w:rPr>
        <w:t xml:space="preserve">  </w:t>
      </w:r>
      <w:r>
        <w:rPr>
          <w:rFonts w:hint="eastAsia" w:ascii="仿宋" w:hAnsi="仿宋" w:eastAsia="仿宋" w:cs="仿宋"/>
          <w:snapToGrid w:val="0"/>
          <w:color w:val="auto"/>
          <w:sz w:val="32"/>
          <w:szCs w:val="32"/>
        </w:rPr>
        <w:t>有下列情形之一的，不适用行政调解：</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（一）信访程序已经终结；</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（二）已经</w:t>
      </w:r>
      <w:r>
        <w:rPr>
          <w:rFonts w:hint="eastAsia" w:ascii="仿宋" w:hAnsi="仿宋" w:eastAsia="仿宋" w:cs="仿宋"/>
          <w:snapToGrid w:val="0"/>
          <w:color w:val="auto"/>
          <w:sz w:val="32"/>
          <w:szCs w:val="32"/>
          <w:lang w:val="en-US" w:eastAsia="zh-CN"/>
        </w:rPr>
        <w:t>被有关调解组织</w:t>
      </w:r>
      <w:r>
        <w:rPr>
          <w:rFonts w:hint="eastAsia" w:ascii="仿宋" w:hAnsi="仿宋" w:eastAsia="仿宋" w:cs="仿宋"/>
          <w:snapToGrid w:val="0"/>
          <w:color w:val="auto"/>
          <w:sz w:val="32"/>
          <w:szCs w:val="32"/>
        </w:rPr>
        <w:t>受理，或者已经过行政复议机关、行政裁决机关、人民法院等依法作出处理的；</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（三）已经达成有效调解协议，就同一事实或者相似理由重复提出行政调解申请；</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val="en-US" w:eastAsia="zh-CN"/>
        </w:rPr>
      </w:pPr>
      <w:r>
        <w:rPr>
          <w:rFonts w:hint="eastAsia" w:ascii="仿宋" w:hAnsi="仿宋" w:eastAsia="仿宋" w:cs="仿宋"/>
          <w:snapToGrid w:val="0"/>
          <w:color w:val="auto"/>
          <w:sz w:val="32"/>
          <w:szCs w:val="32"/>
        </w:rPr>
        <w:t>（四）法律、法规、规章规定不适用行政调解的其他情形。</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eastAsia="zh-CN"/>
        </w:rPr>
      </w:pPr>
      <w:r>
        <w:rPr>
          <w:rFonts w:hint="eastAsia" w:ascii="仿宋" w:hAnsi="仿宋" w:eastAsia="仿宋" w:cs="仿宋"/>
          <w:b/>
          <w:bCs/>
          <w:snapToGrid w:val="0"/>
          <w:color w:val="auto"/>
          <w:sz w:val="32"/>
          <w:szCs w:val="32"/>
          <w:lang w:val="en-US" w:eastAsia="zh-CN"/>
        </w:rPr>
        <w:t>第九条</w:t>
      </w:r>
      <w:r>
        <w:rPr>
          <w:rFonts w:hint="eastAsia" w:ascii="仿宋" w:hAnsi="仿宋" w:eastAsia="仿宋" w:cs="仿宋"/>
          <w:snapToGrid w:val="0"/>
          <w:color w:val="auto"/>
          <w:sz w:val="32"/>
          <w:szCs w:val="32"/>
          <w:lang w:val="en-US" w:eastAsia="zh-CN"/>
        </w:rPr>
        <w:t xml:space="preserve">  </w:t>
      </w:r>
      <w:r>
        <w:rPr>
          <w:rFonts w:hint="eastAsia" w:ascii="仿宋" w:hAnsi="仿宋" w:eastAsia="仿宋" w:cs="仿宋"/>
          <w:snapToGrid w:val="0"/>
          <w:color w:val="auto"/>
          <w:sz w:val="32"/>
          <w:szCs w:val="32"/>
        </w:rPr>
        <w:t>本办法第</w:t>
      </w:r>
      <w:r>
        <w:rPr>
          <w:rFonts w:hint="eastAsia" w:ascii="仿宋" w:hAnsi="仿宋" w:eastAsia="仿宋" w:cs="仿宋"/>
          <w:b w:val="0"/>
          <w:bCs w:val="0"/>
          <w:snapToGrid w:val="0"/>
          <w:color w:val="auto"/>
          <w:sz w:val="32"/>
          <w:szCs w:val="32"/>
          <w:lang w:val="en-US" w:eastAsia="zh-CN"/>
        </w:rPr>
        <w:t>七</w:t>
      </w:r>
      <w:r>
        <w:rPr>
          <w:rFonts w:hint="eastAsia" w:ascii="仿宋" w:hAnsi="仿宋" w:eastAsia="仿宋" w:cs="仿宋"/>
          <w:snapToGrid w:val="0"/>
          <w:color w:val="auto"/>
          <w:sz w:val="32"/>
          <w:szCs w:val="32"/>
        </w:rPr>
        <w:t>条规定的</w:t>
      </w:r>
      <w:r>
        <w:rPr>
          <w:rFonts w:hint="eastAsia" w:ascii="仿宋" w:hAnsi="仿宋" w:eastAsia="仿宋" w:cs="仿宋"/>
          <w:snapToGrid w:val="0"/>
          <w:color w:val="auto"/>
          <w:sz w:val="32"/>
          <w:szCs w:val="32"/>
          <w:lang w:val="en-US" w:eastAsia="zh-CN"/>
        </w:rPr>
        <w:t>调解事项</w:t>
      </w:r>
      <w:r>
        <w:rPr>
          <w:rFonts w:hint="eastAsia" w:ascii="仿宋" w:hAnsi="仿宋" w:eastAsia="仿宋" w:cs="仿宋"/>
          <w:snapToGrid w:val="0"/>
          <w:color w:val="auto"/>
          <w:sz w:val="32"/>
          <w:szCs w:val="32"/>
        </w:rPr>
        <w:t>，由法律、法规、</w:t>
      </w:r>
      <w:r>
        <w:rPr>
          <w:rFonts w:hint="eastAsia" w:ascii="仿宋" w:hAnsi="仿宋" w:eastAsia="仿宋" w:cs="仿宋"/>
          <w:snapToGrid w:val="0"/>
          <w:color w:val="auto"/>
          <w:sz w:val="32"/>
          <w:szCs w:val="32"/>
          <w:lang w:eastAsia="zh-CN"/>
        </w:rPr>
        <w:t>规</w:t>
      </w:r>
      <w:r>
        <w:rPr>
          <w:rFonts w:hint="eastAsia" w:ascii="仿宋" w:hAnsi="仿宋" w:eastAsia="仿宋" w:cs="仿宋"/>
          <w:snapToGrid w:val="0"/>
          <w:color w:val="auto"/>
          <w:sz w:val="32"/>
          <w:szCs w:val="32"/>
        </w:rPr>
        <w:t>章规定的具有相应行政管理</w:t>
      </w:r>
      <w:r>
        <w:rPr>
          <w:rFonts w:hint="eastAsia" w:ascii="仿宋" w:hAnsi="仿宋" w:eastAsia="仿宋" w:cs="仿宋"/>
          <w:snapToGrid w:val="0"/>
          <w:color w:val="auto"/>
          <w:sz w:val="32"/>
          <w:szCs w:val="32"/>
          <w:lang w:val="en" w:eastAsia="zh-CN"/>
        </w:rPr>
        <w:t>职责的行政机关进行行政调解</w:t>
      </w:r>
      <w:r>
        <w:rPr>
          <w:rFonts w:hint="eastAsia" w:ascii="仿宋" w:hAnsi="仿宋" w:eastAsia="仿宋" w:cs="仿宋"/>
          <w:snapToGrid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两个以上行政机关都具有行政调解工作职责的，由最先收到行政调解申请的行政机关进行行政调解。行政机关对行政调解工作职责有争议的，应当协商解决；协商不成的，报请共同的上一级行政机关决定。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第三章 调解参与人</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第十条</w:t>
      </w:r>
      <w:r>
        <w:rPr>
          <w:rFonts w:hint="eastAsia" w:ascii="仿宋" w:hAnsi="仿宋" w:eastAsia="仿宋" w:cs="仿宋"/>
          <w:snapToGrid w:val="0"/>
          <w:color w:val="auto"/>
          <w:sz w:val="32"/>
          <w:szCs w:val="32"/>
        </w:rPr>
        <w:t>　行政机关进行行政调解，应当指派本机关</w:t>
      </w:r>
      <w:r>
        <w:rPr>
          <w:rFonts w:hint="eastAsia" w:ascii="仿宋" w:hAnsi="仿宋" w:eastAsia="仿宋" w:cs="仿宋"/>
          <w:snapToGrid w:val="0"/>
          <w:color w:val="auto"/>
          <w:sz w:val="32"/>
          <w:szCs w:val="32"/>
          <w:lang w:val="en-US" w:eastAsia="zh-CN"/>
        </w:rPr>
        <w:t>国家</w:t>
      </w:r>
      <w:r>
        <w:rPr>
          <w:rFonts w:hint="eastAsia" w:ascii="仿宋" w:hAnsi="仿宋" w:eastAsia="仿宋" w:cs="仿宋"/>
          <w:snapToGrid w:val="0"/>
          <w:color w:val="auto"/>
          <w:sz w:val="32"/>
          <w:szCs w:val="32"/>
        </w:rPr>
        <w:t>工作人员主持调解，并可以根据工作需要，邀请人大代表、政协委员、人民调解员或者有关单位人员、专业人员等参与调解。</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eastAsia="zh-CN"/>
        </w:rPr>
      </w:pPr>
      <w:r>
        <w:rPr>
          <w:rFonts w:hint="eastAsia" w:ascii="仿宋" w:hAnsi="仿宋" w:eastAsia="仿宋" w:cs="仿宋"/>
          <w:b/>
          <w:bCs/>
          <w:snapToGrid w:val="0"/>
          <w:color w:val="auto"/>
          <w:sz w:val="32"/>
          <w:szCs w:val="32"/>
          <w:lang w:val="en-US" w:eastAsia="zh-CN"/>
        </w:rPr>
        <w:t>第十一条</w:t>
      </w:r>
      <w:r>
        <w:rPr>
          <w:rFonts w:hint="eastAsia" w:ascii="仿宋" w:hAnsi="仿宋" w:eastAsia="仿宋" w:cs="仿宋"/>
          <w:snapToGrid w:val="0"/>
          <w:color w:val="auto"/>
          <w:sz w:val="32"/>
          <w:szCs w:val="32"/>
        </w:rPr>
        <w:t>　当事人在行政调解中享有下列权利：</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（一）自主表达意愿、自愿达成调解协议；</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（二）要求调解公开或者不公开进行；</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（三）接受、拒绝调解或者要求中止、终止调解；</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（四）委托代理人参加调解；</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（五）申请有关调解人员回避；</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（六）法律、法规、规章规定的其他权利。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第十二条</w:t>
      </w:r>
      <w:r>
        <w:rPr>
          <w:rFonts w:hint="eastAsia" w:ascii="仿宋" w:hAnsi="仿宋" w:eastAsia="仿宋" w:cs="仿宋"/>
          <w:snapToGrid w:val="0"/>
          <w:color w:val="auto"/>
          <w:sz w:val="32"/>
          <w:szCs w:val="32"/>
        </w:rPr>
        <w:t>　当事人在行政调解中应当履行下列义务：</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（一）按时参加调解</w:t>
      </w:r>
      <w:r>
        <w:rPr>
          <w:rFonts w:hint="eastAsia" w:ascii="仿宋" w:hAnsi="仿宋" w:eastAsia="仿宋" w:cs="仿宋"/>
          <w:snapToGrid w:val="0"/>
          <w:color w:val="auto"/>
          <w:sz w:val="32"/>
          <w:szCs w:val="32"/>
          <w:lang w:eastAsia="zh-CN"/>
        </w:rPr>
        <w:t>；</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lang w:val="en-US" w:eastAsia="zh-CN"/>
        </w:rPr>
        <w:t xml:space="preserve">    （二）</w:t>
      </w:r>
      <w:r>
        <w:rPr>
          <w:rFonts w:hint="eastAsia" w:ascii="仿宋" w:hAnsi="仿宋" w:eastAsia="仿宋" w:cs="仿宋"/>
          <w:snapToGrid w:val="0"/>
          <w:color w:val="auto"/>
          <w:sz w:val="32"/>
          <w:szCs w:val="32"/>
        </w:rPr>
        <w:t>如实陈述纠纷事实和提交有关证据；</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（二）遵守调解工作秩序，尊重其他调解参加人员；</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（三）自觉履行调解协议；</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lang w:eastAsia="zh-CN"/>
        </w:rPr>
        <w:t>（</w:t>
      </w:r>
      <w:r>
        <w:rPr>
          <w:rFonts w:hint="eastAsia" w:ascii="仿宋" w:hAnsi="仿宋" w:eastAsia="仿宋" w:cs="仿宋"/>
          <w:snapToGrid w:val="0"/>
          <w:color w:val="auto"/>
          <w:sz w:val="32"/>
          <w:szCs w:val="32"/>
          <w:lang w:val="en-US" w:eastAsia="zh-CN"/>
        </w:rPr>
        <w:t>四</w:t>
      </w:r>
      <w:r>
        <w:rPr>
          <w:rFonts w:hint="eastAsia" w:ascii="仿宋" w:hAnsi="仿宋" w:eastAsia="仿宋" w:cs="仿宋"/>
          <w:snapToGrid w:val="0"/>
          <w:color w:val="auto"/>
          <w:sz w:val="32"/>
          <w:szCs w:val="32"/>
          <w:lang w:eastAsia="zh-CN"/>
        </w:rPr>
        <w:t>）</w:t>
      </w:r>
      <w:r>
        <w:rPr>
          <w:rFonts w:hint="eastAsia" w:ascii="仿宋" w:hAnsi="仿宋" w:eastAsia="仿宋" w:cs="仿宋"/>
          <w:snapToGrid w:val="0"/>
          <w:color w:val="auto"/>
          <w:sz w:val="32"/>
          <w:szCs w:val="32"/>
        </w:rPr>
        <w:t>不得加剧纠纷、激化矛盾；</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w:t>
      </w:r>
      <w:r>
        <w:rPr>
          <w:rFonts w:hint="eastAsia" w:ascii="仿宋" w:hAnsi="仿宋" w:eastAsia="仿宋" w:cs="仿宋"/>
          <w:snapToGrid w:val="0"/>
          <w:color w:val="auto"/>
          <w:sz w:val="32"/>
          <w:szCs w:val="32"/>
          <w:lang w:val="en-US" w:eastAsia="zh-CN"/>
        </w:rPr>
        <w:t>五</w:t>
      </w:r>
      <w:r>
        <w:rPr>
          <w:rFonts w:hint="eastAsia" w:ascii="仿宋" w:hAnsi="仿宋" w:eastAsia="仿宋" w:cs="仿宋"/>
          <w:snapToGrid w:val="0"/>
          <w:color w:val="auto"/>
          <w:sz w:val="32"/>
          <w:szCs w:val="32"/>
        </w:rPr>
        <w:t>）法律、法规、规章规定的其他义务。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第十三条</w:t>
      </w:r>
      <w:r>
        <w:rPr>
          <w:rFonts w:hint="eastAsia" w:ascii="仿宋" w:hAnsi="仿宋" w:eastAsia="仿宋" w:cs="仿宋"/>
          <w:snapToGrid w:val="0"/>
          <w:color w:val="auto"/>
          <w:sz w:val="32"/>
          <w:szCs w:val="32"/>
        </w:rPr>
        <w:t>　行政调解人员有下列情形之一的，应当主动回避,当事人及其代理人也有权申请其回避：</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（一）是</w:t>
      </w:r>
      <w:r>
        <w:rPr>
          <w:rFonts w:hint="eastAsia" w:ascii="仿宋" w:hAnsi="仿宋" w:eastAsia="仿宋" w:cs="仿宋"/>
          <w:snapToGrid w:val="0"/>
          <w:color w:val="auto"/>
          <w:sz w:val="32"/>
          <w:szCs w:val="32"/>
          <w:lang w:val="en-US" w:eastAsia="zh-CN"/>
        </w:rPr>
        <w:t>争议纠纷</w:t>
      </w:r>
      <w:r>
        <w:rPr>
          <w:rFonts w:hint="eastAsia" w:ascii="仿宋" w:hAnsi="仿宋" w:eastAsia="仿宋" w:cs="仿宋"/>
          <w:snapToGrid w:val="0"/>
          <w:color w:val="auto"/>
          <w:sz w:val="32"/>
          <w:szCs w:val="32"/>
        </w:rPr>
        <w:t>当事人或者当事人、代理人近亲属的；</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（二）与</w:t>
      </w:r>
      <w:r>
        <w:rPr>
          <w:rFonts w:hint="eastAsia" w:ascii="仿宋" w:hAnsi="仿宋" w:eastAsia="仿宋" w:cs="仿宋"/>
          <w:snapToGrid w:val="0"/>
          <w:color w:val="auto"/>
          <w:sz w:val="32"/>
          <w:szCs w:val="32"/>
          <w:lang w:val="en-US" w:eastAsia="zh-CN"/>
        </w:rPr>
        <w:t>争议纠纷</w:t>
      </w:r>
      <w:r>
        <w:rPr>
          <w:rFonts w:hint="eastAsia" w:ascii="仿宋" w:hAnsi="仿宋" w:eastAsia="仿宋" w:cs="仿宋"/>
          <w:snapToGrid w:val="0"/>
          <w:color w:val="auto"/>
          <w:sz w:val="32"/>
          <w:szCs w:val="32"/>
        </w:rPr>
        <w:t>有利害关系的；</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（三）与</w:t>
      </w:r>
      <w:r>
        <w:rPr>
          <w:rFonts w:hint="eastAsia" w:ascii="仿宋" w:hAnsi="仿宋" w:eastAsia="仿宋" w:cs="仿宋"/>
          <w:snapToGrid w:val="0"/>
          <w:color w:val="auto"/>
          <w:sz w:val="32"/>
          <w:szCs w:val="32"/>
          <w:lang w:val="en-US" w:eastAsia="zh-CN"/>
        </w:rPr>
        <w:t>争议纠纷</w:t>
      </w:r>
      <w:r>
        <w:rPr>
          <w:rFonts w:hint="eastAsia" w:ascii="仿宋" w:hAnsi="仿宋" w:eastAsia="仿宋" w:cs="仿宋"/>
          <w:snapToGrid w:val="0"/>
          <w:color w:val="auto"/>
          <w:sz w:val="32"/>
          <w:szCs w:val="32"/>
        </w:rPr>
        <w:t>当事人、代理人有其他关系，可能影响对案件公正审理的。</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lang w:val="en-US" w:eastAsia="zh-CN"/>
        </w:rPr>
        <w:t>行政调解人员</w:t>
      </w:r>
      <w:r>
        <w:rPr>
          <w:rFonts w:hint="eastAsia" w:ascii="仿宋" w:hAnsi="仿宋" w:eastAsia="仿宋" w:cs="仿宋"/>
          <w:snapToGrid w:val="0"/>
          <w:color w:val="auto"/>
          <w:sz w:val="32"/>
          <w:szCs w:val="32"/>
        </w:rPr>
        <w:t>接受当事人、代理人请客送礼，或者违反规定会见当事人、代理人的，当事人有权要求他们回避。当事人或者其代理人申请行政调解人员回避的，应当说明理由。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val="en-US" w:eastAsia="zh-CN"/>
        </w:rPr>
      </w:pPr>
      <w:r>
        <w:rPr>
          <w:rFonts w:hint="eastAsia" w:ascii="仿宋" w:hAnsi="仿宋" w:eastAsia="仿宋" w:cs="仿宋"/>
          <w:snapToGrid w:val="0"/>
          <w:color w:val="auto"/>
          <w:sz w:val="32"/>
          <w:szCs w:val="32"/>
        </w:rPr>
        <w:t>行政调解人员是否回避，由主持调解的行政机关负责人决定。行政机关决定行政调解人员回避的，应当及时更换其他行政调解人员；决定不予回避的，应当向当事人说明理由。</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第十四条</w:t>
      </w:r>
      <w:r>
        <w:rPr>
          <w:rFonts w:hint="eastAsia" w:ascii="仿宋" w:hAnsi="仿宋" w:eastAsia="仿宋" w:cs="仿宋"/>
          <w:snapToGrid w:val="0"/>
          <w:color w:val="auto"/>
          <w:sz w:val="32"/>
          <w:szCs w:val="32"/>
        </w:rPr>
        <w:t>　当事人以外的公民、法人和其他组织与</w:t>
      </w:r>
      <w:r>
        <w:rPr>
          <w:rFonts w:hint="eastAsia" w:ascii="仿宋" w:hAnsi="仿宋" w:eastAsia="仿宋" w:cs="仿宋"/>
          <w:snapToGrid w:val="0"/>
          <w:color w:val="auto"/>
          <w:sz w:val="32"/>
          <w:szCs w:val="32"/>
          <w:lang w:val="en-US" w:eastAsia="zh-CN"/>
        </w:rPr>
        <w:t>争议</w:t>
      </w:r>
      <w:r>
        <w:rPr>
          <w:rFonts w:hint="eastAsia" w:ascii="仿宋" w:hAnsi="仿宋" w:eastAsia="仿宋" w:cs="仿宋"/>
          <w:snapToGrid w:val="0"/>
          <w:color w:val="auto"/>
          <w:sz w:val="32"/>
          <w:szCs w:val="32"/>
        </w:rPr>
        <w:t>纠纷有利害关系的，可以向行政机关申请作为第三人参加行政调解，或者由行政机关通知其作为第三人参加行政调解。</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第三人不按时参加行政调解的，不影响行政调解工作的进行。</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w:t>
      </w:r>
      <w:r>
        <w:rPr>
          <w:rFonts w:hint="eastAsia" w:ascii="仿宋" w:hAnsi="仿宋" w:eastAsia="仿宋" w:cs="仿宋"/>
          <w:b/>
          <w:bCs/>
          <w:snapToGrid w:val="0"/>
          <w:color w:val="auto"/>
          <w:sz w:val="32"/>
          <w:szCs w:val="32"/>
          <w:lang w:val="en-US" w:eastAsia="zh-CN"/>
        </w:rPr>
        <w:t>第十五条</w:t>
      </w:r>
      <w:r>
        <w:rPr>
          <w:rFonts w:hint="eastAsia" w:ascii="仿宋" w:hAnsi="仿宋" w:eastAsia="仿宋" w:cs="仿宋"/>
          <w:snapToGrid w:val="0"/>
          <w:color w:val="auto"/>
          <w:sz w:val="32"/>
          <w:szCs w:val="32"/>
        </w:rPr>
        <w:t>　</w:t>
      </w:r>
      <w:r>
        <w:rPr>
          <w:rFonts w:hint="eastAsia" w:ascii="仿宋" w:hAnsi="仿宋" w:eastAsia="仿宋" w:cs="仿宋"/>
          <w:snapToGrid w:val="0"/>
          <w:color w:val="auto"/>
          <w:sz w:val="32"/>
          <w:szCs w:val="32"/>
          <w:lang w:val="en-US" w:eastAsia="zh-CN"/>
        </w:rPr>
        <w:t>争议</w:t>
      </w:r>
      <w:r>
        <w:rPr>
          <w:rFonts w:hint="eastAsia" w:ascii="仿宋" w:hAnsi="仿宋" w:eastAsia="仿宋" w:cs="仿宋"/>
          <w:snapToGrid w:val="0"/>
          <w:color w:val="auto"/>
          <w:sz w:val="32"/>
          <w:szCs w:val="32"/>
        </w:rPr>
        <w:t>纠纷一方当事人超过5人的，应当推选1至</w:t>
      </w:r>
      <w:r>
        <w:rPr>
          <w:rFonts w:hint="eastAsia" w:ascii="仿宋" w:hAnsi="仿宋" w:eastAsia="仿宋" w:cs="仿宋"/>
          <w:snapToGrid w:val="0"/>
          <w:color w:val="auto"/>
          <w:sz w:val="32"/>
          <w:szCs w:val="32"/>
          <w:lang w:val="en-US" w:eastAsia="zh-CN"/>
        </w:rPr>
        <w:t>5</w:t>
      </w:r>
      <w:r>
        <w:rPr>
          <w:rFonts w:hint="eastAsia" w:ascii="仿宋" w:hAnsi="仿宋" w:eastAsia="仿宋" w:cs="仿宋"/>
          <w:snapToGrid w:val="0"/>
          <w:color w:val="auto"/>
          <w:sz w:val="32"/>
          <w:szCs w:val="32"/>
        </w:rPr>
        <w:t>名代表人参加行政调解。</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当</w:t>
      </w:r>
      <w:r>
        <w:rPr>
          <w:rFonts w:hint="default" w:ascii="Times New Roman" w:hAnsi="Times New Roman" w:eastAsia="仿宋" w:cs="Times New Roman"/>
          <w:snapToGrid w:val="0"/>
          <w:color w:val="auto"/>
          <w:sz w:val="32"/>
          <w:szCs w:val="32"/>
        </w:rPr>
        <w:t>事人、第三人可以委托1至</w:t>
      </w:r>
      <w:r>
        <w:rPr>
          <w:rFonts w:hint="default" w:ascii="Times New Roman" w:hAnsi="Times New Roman" w:eastAsia="仿宋" w:cs="Times New Roman"/>
          <w:snapToGrid w:val="0"/>
          <w:color w:val="auto"/>
          <w:sz w:val="32"/>
          <w:szCs w:val="32"/>
          <w:lang w:val="en-US" w:eastAsia="zh-CN"/>
        </w:rPr>
        <w:t>2</w:t>
      </w:r>
      <w:r>
        <w:rPr>
          <w:rFonts w:hint="default" w:ascii="Times New Roman" w:hAnsi="Times New Roman" w:eastAsia="仿宋" w:cs="Times New Roman"/>
          <w:snapToGrid w:val="0"/>
          <w:color w:val="auto"/>
          <w:sz w:val="32"/>
          <w:szCs w:val="32"/>
        </w:rPr>
        <w:t>名代理人参加行政调解。</w:t>
      </w:r>
      <w:r>
        <w:rPr>
          <w:rFonts w:hint="eastAsia" w:ascii="仿宋" w:hAnsi="仿宋" w:eastAsia="仿宋" w:cs="仿宋"/>
          <w:snapToGrid w:val="0"/>
          <w:color w:val="auto"/>
          <w:sz w:val="32"/>
          <w:szCs w:val="32"/>
        </w:rPr>
        <w:t>当事人、第三人委托代理人的，应当向行政机关提交授权委托书，明确委托事项、权限和期限等内容。当事人不能参加调解的，应当明确至</w:t>
      </w:r>
      <w:r>
        <w:rPr>
          <w:rFonts w:hint="eastAsia" w:ascii="Times New Roman" w:hAnsi="Times New Roman" w:eastAsia="仿宋" w:cs="Times New Roman"/>
          <w:snapToGrid w:val="0"/>
          <w:color w:val="auto"/>
          <w:sz w:val="32"/>
          <w:szCs w:val="32"/>
        </w:rPr>
        <w:t>少1名代</w:t>
      </w:r>
      <w:r>
        <w:rPr>
          <w:rFonts w:hint="eastAsia" w:ascii="仿宋" w:hAnsi="仿宋" w:eastAsia="仿宋" w:cs="仿宋"/>
          <w:snapToGrid w:val="0"/>
          <w:color w:val="auto"/>
          <w:sz w:val="32"/>
          <w:szCs w:val="32"/>
        </w:rPr>
        <w:t>理人的委托权限包括代为承认、变更、放弃调解请求以及签订调解协议。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napToGrid w:val="0"/>
          <w:color w:val="auto"/>
          <w:sz w:val="32"/>
          <w:szCs w:val="32"/>
        </w:rPr>
      </w:pPr>
      <w:r>
        <w:rPr>
          <w:rFonts w:hint="eastAsia" w:ascii="黑体" w:hAnsi="黑体" w:eastAsia="黑体" w:cs="黑体"/>
          <w:snapToGrid w:val="0"/>
          <w:color w:val="auto"/>
          <w:sz w:val="32"/>
          <w:szCs w:val="32"/>
        </w:rPr>
        <w:t>第四章 行政调解程序</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eastAsia="zh-CN"/>
        </w:rPr>
      </w:pPr>
      <w:r>
        <w:rPr>
          <w:rFonts w:hint="eastAsia" w:ascii="仿宋" w:hAnsi="仿宋" w:eastAsia="仿宋" w:cs="仿宋"/>
          <w:b/>
          <w:bCs/>
          <w:snapToGrid w:val="0"/>
          <w:color w:val="auto"/>
          <w:sz w:val="32"/>
          <w:szCs w:val="32"/>
          <w:lang w:val="en-US" w:eastAsia="zh-CN"/>
        </w:rPr>
        <w:t>第十六条</w:t>
      </w:r>
      <w:r>
        <w:rPr>
          <w:rFonts w:hint="eastAsia" w:ascii="仿宋" w:hAnsi="仿宋" w:eastAsia="仿宋" w:cs="仿宋"/>
          <w:snapToGrid w:val="0"/>
          <w:color w:val="auto"/>
          <w:sz w:val="32"/>
          <w:szCs w:val="32"/>
        </w:rPr>
        <w:t>　</w:t>
      </w:r>
      <w:r>
        <w:rPr>
          <w:rFonts w:hint="eastAsia" w:ascii="仿宋" w:hAnsi="仿宋" w:eastAsia="仿宋" w:cs="仿宋"/>
          <w:snapToGrid w:val="0"/>
          <w:color w:val="auto"/>
          <w:sz w:val="32"/>
          <w:szCs w:val="32"/>
          <w:lang w:val="en-US" w:eastAsia="zh-CN"/>
        </w:rPr>
        <w:t>开展</w:t>
      </w:r>
      <w:r>
        <w:rPr>
          <w:rFonts w:hint="eastAsia" w:ascii="仿宋" w:hAnsi="仿宋" w:eastAsia="仿宋" w:cs="仿宋"/>
          <w:snapToGrid w:val="0"/>
          <w:color w:val="auto"/>
          <w:sz w:val="32"/>
          <w:szCs w:val="32"/>
        </w:rPr>
        <w:t>行政调解应当具备</w:t>
      </w:r>
      <w:r>
        <w:rPr>
          <w:rFonts w:hint="eastAsia" w:ascii="仿宋" w:hAnsi="仿宋" w:eastAsia="仿宋" w:cs="仿宋"/>
          <w:snapToGrid w:val="0"/>
          <w:color w:val="auto"/>
          <w:sz w:val="32"/>
          <w:szCs w:val="32"/>
          <w:lang w:val="en-US" w:eastAsia="zh-CN"/>
        </w:rPr>
        <w:t>符合下列</w:t>
      </w:r>
      <w:r>
        <w:rPr>
          <w:rFonts w:hint="eastAsia" w:ascii="仿宋" w:hAnsi="仿宋" w:eastAsia="仿宋" w:cs="仿宋"/>
          <w:snapToGrid w:val="0"/>
          <w:color w:val="auto"/>
          <w:sz w:val="32"/>
          <w:szCs w:val="32"/>
        </w:rPr>
        <w:t>条件</w:t>
      </w:r>
      <w:r>
        <w:rPr>
          <w:rFonts w:hint="eastAsia" w:ascii="仿宋" w:hAnsi="仿宋" w:eastAsia="仿宋" w:cs="仿宋"/>
          <w:snapToGrid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（一）调解对象是与</w:t>
      </w:r>
      <w:r>
        <w:rPr>
          <w:rFonts w:hint="eastAsia" w:ascii="仿宋" w:hAnsi="仿宋" w:eastAsia="仿宋" w:cs="仿宋"/>
          <w:snapToGrid w:val="0"/>
          <w:color w:val="auto"/>
          <w:sz w:val="32"/>
          <w:szCs w:val="32"/>
          <w:lang w:val="en-US" w:eastAsia="zh-CN"/>
        </w:rPr>
        <w:t>争议</w:t>
      </w:r>
      <w:r>
        <w:rPr>
          <w:rFonts w:hint="eastAsia" w:ascii="仿宋" w:hAnsi="仿宋" w:eastAsia="仿宋" w:cs="仿宋"/>
          <w:snapToGrid w:val="0"/>
          <w:color w:val="auto"/>
          <w:sz w:val="32"/>
          <w:szCs w:val="32"/>
        </w:rPr>
        <w:t>纠纷有利害关系的当事人；</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（二）该</w:t>
      </w:r>
      <w:r>
        <w:rPr>
          <w:rFonts w:hint="eastAsia" w:ascii="仿宋" w:hAnsi="仿宋" w:eastAsia="仿宋" w:cs="仿宋"/>
          <w:snapToGrid w:val="0"/>
          <w:color w:val="auto"/>
          <w:sz w:val="32"/>
          <w:szCs w:val="32"/>
          <w:lang w:val="en-US" w:eastAsia="zh-CN"/>
        </w:rPr>
        <w:t>争议</w:t>
      </w:r>
      <w:r>
        <w:rPr>
          <w:rFonts w:hint="eastAsia" w:ascii="仿宋" w:hAnsi="仿宋" w:eastAsia="仿宋" w:cs="仿宋"/>
          <w:snapToGrid w:val="0"/>
          <w:color w:val="auto"/>
          <w:sz w:val="32"/>
          <w:szCs w:val="32"/>
        </w:rPr>
        <w:t>纠纷与该行政机关行使行政职权有关；</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（三）该</w:t>
      </w:r>
      <w:r>
        <w:rPr>
          <w:rFonts w:hint="eastAsia" w:ascii="仿宋" w:hAnsi="仿宋" w:eastAsia="仿宋" w:cs="仿宋"/>
          <w:snapToGrid w:val="0"/>
          <w:color w:val="auto"/>
          <w:sz w:val="32"/>
          <w:szCs w:val="32"/>
          <w:lang w:val="en-US" w:eastAsia="zh-CN"/>
        </w:rPr>
        <w:t>争议</w:t>
      </w:r>
      <w:r>
        <w:rPr>
          <w:rFonts w:hint="eastAsia" w:ascii="仿宋" w:hAnsi="仿宋" w:eastAsia="仿宋" w:cs="仿宋"/>
          <w:snapToGrid w:val="0"/>
          <w:color w:val="auto"/>
          <w:sz w:val="32"/>
          <w:szCs w:val="32"/>
        </w:rPr>
        <w:t>纠纷具有可调解性；</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（四）当事人未选择其他解决途径。</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val="en-US" w:eastAsia="zh-CN"/>
        </w:rPr>
      </w:pPr>
      <w:r>
        <w:rPr>
          <w:rFonts w:hint="eastAsia" w:ascii="仿宋" w:hAnsi="仿宋" w:eastAsia="仿宋" w:cs="仿宋"/>
          <w:snapToGrid w:val="0"/>
          <w:color w:val="auto"/>
          <w:sz w:val="32"/>
          <w:szCs w:val="32"/>
          <w:lang w:eastAsia="zh-CN"/>
        </w:rPr>
        <w:t>行政机关受理行政案件后，在调查事实的基础上，应主动向争议双方释法释明选择行政调解途径</w:t>
      </w:r>
      <w:r>
        <w:rPr>
          <w:rFonts w:hint="eastAsia" w:ascii="仿宋" w:hAnsi="仿宋" w:eastAsia="仿宋" w:cs="仿宋"/>
          <w:snapToGrid w:val="0"/>
          <w:color w:val="auto"/>
          <w:sz w:val="32"/>
          <w:szCs w:val="32"/>
          <w:lang w:val="en-US" w:eastAsia="zh-CN"/>
        </w:rPr>
        <w:t>解决行政争议的优点，并征求争议双方意见基础上组织调解。</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行政机关可以根据当事人申请进行行政调解，也可以经双方当事人同意后主动组织行政调解。调解内容涉及第三人的，应当征求第三人的意见。</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第十七条</w:t>
      </w:r>
      <w:r>
        <w:rPr>
          <w:rFonts w:hint="eastAsia" w:ascii="仿宋" w:hAnsi="仿宋" w:eastAsia="仿宋" w:cs="仿宋"/>
          <w:snapToGrid w:val="0"/>
          <w:color w:val="auto"/>
          <w:sz w:val="32"/>
          <w:szCs w:val="32"/>
        </w:rPr>
        <w:t>　当事人申请行政</w:t>
      </w:r>
      <w:r>
        <w:rPr>
          <w:rFonts w:hint="eastAsia" w:ascii="仿宋" w:hAnsi="仿宋" w:eastAsia="仿宋" w:cs="仿宋"/>
          <w:snapToGrid w:val="0"/>
          <w:color w:val="auto"/>
          <w:sz w:val="32"/>
          <w:szCs w:val="32"/>
          <w:lang w:val="en-US" w:eastAsia="zh-CN"/>
        </w:rPr>
        <w:t>调解</w:t>
      </w:r>
      <w:r>
        <w:rPr>
          <w:rFonts w:hint="eastAsia" w:ascii="仿宋" w:hAnsi="仿宋" w:eastAsia="仿宋" w:cs="仿宋"/>
          <w:snapToGrid w:val="0"/>
          <w:color w:val="auto"/>
          <w:sz w:val="32"/>
          <w:szCs w:val="32"/>
        </w:rPr>
        <w:t>，可以书面申请；书面申请有困难的，也可以口头申请。</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当事人书面申请的，应当在申请书中载明下列事项：</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（一）申请人基本情况、对方当事人有关情况；</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（二）调解请求、事实和理由；</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（三）相关证据；</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（四）申请人签名或者盖章以及申请日期。</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当事人口头申请的，行政机关应当记录当事人的基本情况和申请调解的请求、事实和理由。</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w:t>
      </w:r>
      <w:r>
        <w:rPr>
          <w:rFonts w:hint="eastAsia" w:ascii="仿宋" w:hAnsi="仿宋" w:eastAsia="仿宋" w:cs="仿宋"/>
          <w:b/>
          <w:bCs/>
          <w:snapToGrid w:val="0"/>
          <w:color w:val="auto"/>
          <w:sz w:val="32"/>
          <w:szCs w:val="32"/>
          <w:lang w:val="en-US" w:eastAsia="zh-CN"/>
        </w:rPr>
        <w:t>第十八条</w:t>
      </w:r>
      <w:r>
        <w:rPr>
          <w:rFonts w:hint="eastAsia" w:ascii="仿宋" w:hAnsi="仿宋" w:eastAsia="仿宋" w:cs="仿宋"/>
          <w:snapToGrid w:val="0"/>
          <w:color w:val="auto"/>
          <w:sz w:val="32"/>
          <w:szCs w:val="32"/>
        </w:rPr>
        <w:t>　行政机关应当在收到行政调解</w:t>
      </w:r>
      <w:r>
        <w:rPr>
          <w:rFonts w:hint="eastAsia" w:ascii="仿宋" w:hAnsi="仿宋" w:eastAsia="仿宋" w:cs="仿宋"/>
          <w:snapToGrid w:val="0"/>
          <w:color w:val="auto"/>
          <w:sz w:val="32"/>
          <w:szCs w:val="32"/>
          <w:lang w:val="en-US" w:eastAsia="zh-CN"/>
        </w:rPr>
        <w:t>申</w:t>
      </w:r>
      <w:r>
        <w:rPr>
          <w:rFonts w:hint="default" w:ascii="Times New Roman" w:hAnsi="Times New Roman" w:eastAsia="仿宋" w:cs="Times New Roman"/>
          <w:snapToGrid w:val="0"/>
          <w:color w:val="auto"/>
          <w:sz w:val="32"/>
          <w:szCs w:val="32"/>
          <w:lang w:val="en-US" w:eastAsia="zh-CN"/>
        </w:rPr>
        <w:t>请</w:t>
      </w:r>
      <w:r>
        <w:rPr>
          <w:rFonts w:hint="default" w:ascii="Times New Roman" w:hAnsi="Times New Roman" w:eastAsia="仿宋" w:cs="Times New Roman"/>
          <w:snapToGrid w:val="0"/>
          <w:color w:val="auto"/>
          <w:sz w:val="32"/>
          <w:szCs w:val="32"/>
        </w:rPr>
        <w:t>后5个</w:t>
      </w:r>
      <w:r>
        <w:rPr>
          <w:rFonts w:hint="eastAsia" w:ascii="仿宋" w:hAnsi="仿宋" w:eastAsia="仿宋" w:cs="仿宋"/>
          <w:snapToGrid w:val="0"/>
          <w:color w:val="auto"/>
          <w:sz w:val="32"/>
          <w:szCs w:val="32"/>
        </w:rPr>
        <w:t>工作日内征求对方当事人意见，并决定是否受理。</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行政机关决定受理的，应当提前告知当事人调解的时间、地点、调解员、参加人等事项。决定不予受理的，应当向当事人说明理由。</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行政机关在受理行政调解申请或者组织行政调解前，应当告知当事人可以通过行政复议、诉讼、仲裁等其他法定途径解决争议纠纷，并提示当事人行使上述法定救济权利的时效。</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第十九条</w:t>
      </w:r>
      <w:r>
        <w:rPr>
          <w:rFonts w:hint="eastAsia" w:ascii="仿宋" w:hAnsi="仿宋" w:eastAsia="仿宋" w:cs="仿宋"/>
          <w:snapToGrid w:val="0"/>
          <w:color w:val="auto"/>
          <w:sz w:val="32"/>
          <w:szCs w:val="32"/>
        </w:rPr>
        <w:t>　行政机关进行行政调解</w:t>
      </w:r>
      <w:r>
        <w:rPr>
          <w:rFonts w:hint="eastAsia" w:ascii="仿宋" w:hAnsi="仿宋" w:eastAsia="仿宋" w:cs="仿宋"/>
          <w:snapToGrid w:val="0"/>
          <w:color w:val="auto"/>
          <w:sz w:val="32"/>
          <w:szCs w:val="32"/>
          <w:lang w:eastAsia="zh-CN"/>
        </w:rPr>
        <w:t>，</w:t>
      </w:r>
      <w:r>
        <w:rPr>
          <w:rFonts w:hint="eastAsia" w:ascii="仿宋" w:hAnsi="仿宋" w:eastAsia="仿宋" w:cs="仿宋"/>
          <w:snapToGrid w:val="0"/>
          <w:color w:val="auto"/>
          <w:sz w:val="32"/>
          <w:szCs w:val="32"/>
        </w:rPr>
        <w:t>可以当面调解，也可以通过互联网、电话等方式进行调解。对基本事实有争议的，可以采取听证、到现场实地调查了解等方式；既可邀请行政机关的经办人员、主管领导参加，也可邀请当事人所在基层组织以及其他与调解事项有关的社会力量参与调解处理；重大、复杂的调解事项，行政机关还可邀请相关专家参加调解。</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eastAsia="zh-CN"/>
        </w:rPr>
      </w:pPr>
      <w:r>
        <w:rPr>
          <w:rFonts w:hint="eastAsia" w:ascii="仿宋" w:hAnsi="仿宋" w:eastAsia="仿宋" w:cs="仿宋"/>
          <w:b/>
          <w:bCs/>
          <w:snapToGrid w:val="0"/>
          <w:color w:val="auto"/>
          <w:sz w:val="32"/>
          <w:szCs w:val="32"/>
          <w:lang w:val="en-US" w:eastAsia="zh-CN"/>
        </w:rPr>
        <w:t>第二十条</w:t>
      </w:r>
      <w:r>
        <w:rPr>
          <w:rFonts w:hint="eastAsia" w:ascii="仿宋" w:hAnsi="仿宋" w:eastAsia="仿宋" w:cs="仿宋"/>
          <w:snapToGrid w:val="0"/>
          <w:color w:val="auto"/>
          <w:sz w:val="32"/>
          <w:szCs w:val="32"/>
        </w:rPr>
        <w:t>　行政机关进行行政调解时，应当核对当事人身份，告知当事人依法享有的权利和应当履行的义务，宣布行政调解纪律，询问当事人是否提出回避申请</w:t>
      </w:r>
      <w:r>
        <w:rPr>
          <w:rFonts w:hint="eastAsia" w:ascii="仿宋" w:hAnsi="仿宋" w:eastAsia="仿宋" w:cs="仿宋"/>
          <w:snapToGrid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第二十一条</w:t>
      </w:r>
      <w:r>
        <w:rPr>
          <w:rFonts w:hint="eastAsia" w:ascii="仿宋" w:hAnsi="仿宋" w:eastAsia="仿宋" w:cs="仿宋"/>
          <w:snapToGrid w:val="0"/>
          <w:color w:val="auto"/>
          <w:sz w:val="32"/>
          <w:szCs w:val="32"/>
        </w:rPr>
        <w:t>　行政机关进行行政调解，应当充分听取当事人的意见，组织当事人举证、质证，向当事人释明有关法律、法规、规章和政策，在查清基本事实、分清责任的基础上，引导当事人自愿达成行政调解协议。</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行政调解应当制作笔录，全面、客观记载调解的过程、内容。调解笔录应当由参与调解的人员签名。</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第二十二条</w:t>
      </w:r>
      <w:r>
        <w:rPr>
          <w:rFonts w:hint="eastAsia" w:ascii="仿宋" w:hAnsi="仿宋" w:eastAsia="仿宋" w:cs="仿宋"/>
          <w:snapToGrid w:val="0"/>
          <w:color w:val="auto"/>
          <w:sz w:val="32"/>
          <w:szCs w:val="32"/>
        </w:rPr>
        <w:t>　行政机关进行行政调解，需要对有关事项进行检测、检验、检疫、鉴定等活动的，应当</w:t>
      </w:r>
      <w:r>
        <w:rPr>
          <w:rFonts w:hint="eastAsia" w:ascii="仿宋" w:hAnsi="仿宋" w:eastAsia="仿宋" w:cs="仿宋"/>
          <w:snapToGrid w:val="0"/>
          <w:color w:val="auto"/>
          <w:sz w:val="32"/>
          <w:szCs w:val="32"/>
          <w:lang w:val="en-US" w:eastAsia="zh-CN"/>
        </w:rPr>
        <w:t>在</w:t>
      </w:r>
      <w:r>
        <w:rPr>
          <w:rFonts w:hint="eastAsia" w:ascii="仿宋" w:hAnsi="仿宋" w:eastAsia="仿宋" w:cs="仿宋"/>
          <w:snapToGrid w:val="0"/>
          <w:color w:val="auto"/>
          <w:sz w:val="32"/>
          <w:szCs w:val="32"/>
        </w:rPr>
        <w:t>各方当事人同意的基础上</w:t>
      </w:r>
      <w:r>
        <w:rPr>
          <w:rFonts w:hint="eastAsia" w:ascii="仿宋" w:hAnsi="仿宋" w:eastAsia="仿宋" w:cs="仿宋"/>
          <w:snapToGrid w:val="0"/>
          <w:color w:val="auto"/>
          <w:sz w:val="32"/>
          <w:szCs w:val="32"/>
          <w:lang w:eastAsia="zh-CN"/>
        </w:rPr>
        <w:t>，</w:t>
      </w:r>
      <w:r>
        <w:rPr>
          <w:rFonts w:hint="eastAsia" w:ascii="仿宋" w:hAnsi="仿宋" w:eastAsia="仿宋" w:cs="仿宋"/>
          <w:snapToGrid w:val="0"/>
          <w:color w:val="auto"/>
          <w:sz w:val="32"/>
          <w:szCs w:val="32"/>
        </w:rPr>
        <w:t>由当事人协商共同委托专门机构进行，由此产生的费用由当事人协商承担。</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第二十三条</w:t>
      </w:r>
      <w:r>
        <w:rPr>
          <w:rFonts w:hint="eastAsia" w:ascii="仿宋" w:hAnsi="仿宋" w:eastAsia="仿宋" w:cs="仿宋"/>
          <w:snapToGrid w:val="0"/>
          <w:color w:val="auto"/>
          <w:sz w:val="32"/>
          <w:szCs w:val="32"/>
        </w:rPr>
        <w:t>　有下列情形之一的，行政机关应当中止行政调解：</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eastAsia="zh-CN"/>
        </w:rPr>
      </w:pPr>
      <w:r>
        <w:rPr>
          <w:rFonts w:hint="eastAsia" w:ascii="仿宋" w:hAnsi="仿宋" w:eastAsia="仿宋" w:cs="仿宋"/>
          <w:snapToGrid w:val="0"/>
          <w:color w:val="auto"/>
          <w:sz w:val="32"/>
          <w:szCs w:val="32"/>
        </w:rPr>
        <w:t>（一）当事人一方因正当理由或者对方当事人认可的理由，要求暂停行政调解的；</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（二）发生不可抗力或者意外事件的；</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（三）法律、法规、规章规定的其他情形</w:t>
      </w:r>
      <w:r>
        <w:rPr>
          <w:rFonts w:hint="eastAsia" w:ascii="仿宋" w:hAnsi="仿宋" w:eastAsia="仿宋" w:cs="仿宋"/>
          <w:snapToGrid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中止行政调解的原因消除后，应当及时恢复行政</w:t>
      </w:r>
      <w:r>
        <w:rPr>
          <w:rFonts w:hint="eastAsia" w:ascii="仿宋" w:hAnsi="仿宋" w:eastAsia="仿宋" w:cs="仿宋"/>
          <w:snapToGrid w:val="0"/>
          <w:color w:val="auto"/>
          <w:sz w:val="32"/>
          <w:szCs w:val="32"/>
          <w:lang w:val="en-US" w:eastAsia="zh-CN"/>
        </w:rPr>
        <w:t>调解</w:t>
      </w:r>
      <w:r>
        <w:rPr>
          <w:rFonts w:hint="eastAsia" w:ascii="仿宋" w:hAnsi="仿宋" w:eastAsia="仿宋" w:cs="仿宋"/>
          <w:snapToGrid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行政</w:t>
      </w:r>
      <w:r>
        <w:rPr>
          <w:rFonts w:hint="eastAsia" w:ascii="仿宋" w:hAnsi="仿宋" w:eastAsia="仿宋" w:cs="仿宋"/>
          <w:snapToGrid w:val="0"/>
          <w:color w:val="auto"/>
          <w:sz w:val="32"/>
          <w:szCs w:val="32"/>
          <w:lang w:val="en-US" w:eastAsia="zh-CN"/>
        </w:rPr>
        <w:t>机关中止、</w:t>
      </w:r>
      <w:r>
        <w:rPr>
          <w:rFonts w:hint="eastAsia" w:ascii="仿宋" w:hAnsi="仿宋" w:eastAsia="仿宋" w:cs="仿宋"/>
          <w:snapToGrid w:val="0"/>
          <w:color w:val="auto"/>
          <w:sz w:val="32"/>
          <w:szCs w:val="32"/>
        </w:rPr>
        <w:t>恢复行政</w:t>
      </w:r>
      <w:r>
        <w:rPr>
          <w:rFonts w:hint="eastAsia" w:ascii="仿宋" w:hAnsi="仿宋" w:eastAsia="仿宋" w:cs="仿宋"/>
          <w:snapToGrid w:val="0"/>
          <w:color w:val="auto"/>
          <w:sz w:val="32"/>
          <w:szCs w:val="32"/>
          <w:lang w:val="en-US" w:eastAsia="zh-CN"/>
        </w:rPr>
        <w:t>调解</w:t>
      </w:r>
      <w:r>
        <w:rPr>
          <w:rFonts w:hint="eastAsia" w:ascii="仿宋" w:hAnsi="仿宋" w:eastAsia="仿宋" w:cs="仿宋"/>
          <w:snapToGrid w:val="0"/>
          <w:color w:val="auto"/>
          <w:sz w:val="32"/>
          <w:szCs w:val="32"/>
        </w:rPr>
        <w:t>，应当告知有关当事人。</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第二十四条</w:t>
      </w:r>
      <w:r>
        <w:rPr>
          <w:rFonts w:hint="eastAsia" w:ascii="仿宋" w:hAnsi="仿宋" w:eastAsia="仿宋" w:cs="仿宋"/>
          <w:snapToGrid w:val="0"/>
          <w:color w:val="auto"/>
          <w:sz w:val="32"/>
          <w:szCs w:val="32"/>
        </w:rPr>
        <w:t>　有下列情形之一的，行政机关应当终止行政调解，并告知当事人：</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（一）当事人要求终止行政调解的；</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（二）当事人无正当理由不参加行政调解的；</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（三）在行政调解过程中，人民</w:t>
      </w:r>
      <w:r>
        <w:rPr>
          <w:rFonts w:hint="eastAsia" w:ascii="仿宋" w:hAnsi="仿宋" w:eastAsia="仿宋" w:cs="仿宋"/>
          <w:snapToGrid w:val="0"/>
          <w:color w:val="auto"/>
          <w:sz w:val="32"/>
          <w:szCs w:val="32"/>
          <w:lang w:val="en-US" w:eastAsia="zh-CN"/>
        </w:rPr>
        <w:t>法院、有关调解组织受</w:t>
      </w:r>
      <w:r>
        <w:rPr>
          <w:rFonts w:hint="eastAsia" w:ascii="仿宋" w:hAnsi="仿宋" w:eastAsia="仿宋" w:cs="仿宋"/>
          <w:snapToGrid w:val="0"/>
          <w:color w:val="auto"/>
          <w:sz w:val="32"/>
          <w:szCs w:val="32"/>
        </w:rPr>
        <w:t>理当事人之间的纠纷的；</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（四）公民死亡或者法人、其他组织终止，无权利义务承受人或者权利义务承受人放弃行政调解的；</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（五）行政调解期限届满未达成行政调解协议的；</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lang w:eastAsia="zh-CN"/>
        </w:rPr>
        <w:t>（</w:t>
      </w:r>
      <w:r>
        <w:rPr>
          <w:rFonts w:hint="eastAsia" w:ascii="仿宋" w:hAnsi="仿宋" w:eastAsia="仿宋" w:cs="仿宋"/>
          <w:snapToGrid w:val="0"/>
          <w:color w:val="auto"/>
          <w:sz w:val="32"/>
          <w:szCs w:val="32"/>
          <w:lang w:val="en-US" w:eastAsia="zh-CN"/>
        </w:rPr>
        <w:t>六</w:t>
      </w:r>
      <w:r>
        <w:rPr>
          <w:rFonts w:hint="eastAsia" w:ascii="仿宋" w:hAnsi="仿宋" w:eastAsia="仿宋" w:cs="仿宋"/>
          <w:snapToGrid w:val="0"/>
          <w:color w:val="auto"/>
          <w:sz w:val="32"/>
          <w:szCs w:val="32"/>
          <w:lang w:eastAsia="zh-CN"/>
        </w:rPr>
        <w:t>）当事人存在恶意串通，损害公共利益或者第三人合法权益的；</w:t>
      </w:r>
      <w:r>
        <w:rPr>
          <w:rFonts w:hint="eastAsia" w:ascii="仿宋" w:hAnsi="仿宋" w:eastAsia="仿宋" w:cs="仿宋"/>
          <w:snapToGrid w:val="0"/>
          <w:color w:val="auto"/>
          <w:sz w:val="32"/>
          <w:szCs w:val="32"/>
        </w:rPr>
        <w:br w:type="textWrapping"/>
      </w:r>
      <w:r>
        <w:rPr>
          <w:rFonts w:hint="eastAsia" w:ascii="仿宋" w:hAnsi="仿宋" w:eastAsia="仿宋" w:cs="仿宋"/>
          <w:snapToGrid w:val="0"/>
          <w:color w:val="auto"/>
          <w:sz w:val="32"/>
          <w:szCs w:val="32"/>
        </w:rPr>
        <w:t>　　（</w:t>
      </w:r>
      <w:r>
        <w:rPr>
          <w:rFonts w:hint="eastAsia" w:ascii="仿宋" w:hAnsi="仿宋" w:eastAsia="仿宋" w:cs="仿宋"/>
          <w:snapToGrid w:val="0"/>
          <w:color w:val="auto"/>
          <w:sz w:val="32"/>
          <w:szCs w:val="32"/>
          <w:lang w:val="en-US" w:eastAsia="zh-CN"/>
        </w:rPr>
        <w:t>七</w:t>
      </w:r>
      <w:r>
        <w:rPr>
          <w:rFonts w:hint="eastAsia" w:ascii="仿宋" w:hAnsi="仿宋" w:eastAsia="仿宋" w:cs="仿宋"/>
          <w:snapToGrid w:val="0"/>
          <w:color w:val="auto"/>
          <w:sz w:val="32"/>
          <w:szCs w:val="32"/>
        </w:rPr>
        <w:t>）法律、法规、规章规定的其他情形。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行政调解终止的，行政机关应当制作行政调解终止通知书或者记录在案。</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第二十五条</w:t>
      </w:r>
      <w:r>
        <w:rPr>
          <w:rFonts w:hint="eastAsia" w:ascii="仿宋" w:hAnsi="仿宋" w:eastAsia="仿宋" w:cs="仿宋"/>
          <w:snapToGrid w:val="0"/>
          <w:color w:val="auto"/>
          <w:sz w:val="32"/>
          <w:szCs w:val="32"/>
        </w:rPr>
        <w:t>　</w:t>
      </w:r>
      <w:r>
        <w:rPr>
          <w:rFonts w:hint="default" w:ascii="Times New Roman" w:hAnsi="Times New Roman" w:eastAsia="仿宋" w:cs="Times New Roman"/>
          <w:snapToGrid w:val="0"/>
          <w:color w:val="auto"/>
          <w:sz w:val="32"/>
          <w:szCs w:val="32"/>
        </w:rPr>
        <w:t>行政调解期限为20日；</w:t>
      </w:r>
      <w:r>
        <w:rPr>
          <w:rFonts w:hint="default" w:ascii="Times New Roman" w:hAnsi="Times New Roman" w:eastAsia="仿宋" w:cs="Times New Roman"/>
          <w:snapToGrid w:val="0"/>
          <w:color w:val="auto"/>
          <w:sz w:val="32"/>
          <w:szCs w:val="32"/>
          <w:lang w:val="en-US" w:eastAsia="zh-CN"/>
        </w:rPr>
        <w:t>情况</w:t>
      </w:r>
      <w:r>
        <w:rPr>
          <w:rFonts w:hint="default" w:ascii="Times New Roman" w:hAnsi="Times New Roman" w:eastAsia="仿宋" w:cs="Times New Roman"/>
          <w:snapToGrid w:val="0"/>
          <w:color w:val="auto"/>
          <w:sz w:val="32"/>
          <w:szCs w:val="32"/>
        </w:rPr>
        <w:t>复杂或者有其他特殊情形，不能在规定期限内达成行政调解协议的，经行政机关负责人批准可延长10日。</w:t>
      </w:r>
      <w:r>
        <w:rPr>
          <w:rFonts w:hint="default" w:ascii="Times New Roman" w:hAnsi="Times New Roman" w:eastAsia="仿宋" w:cs="Times New Roman"/>
          <w:snapToGrid w:val="0"/>
          <w:color w:val="auto"/>
          <w:sz w:val="32"/>
          <w:szCs w:val="32"/>
          <w:lang w:eastAsia="zh-CN"/>
        </w:rPr>
        <w:t>法律、法规、规章另有规定的，从其规定</w:t>
      </w:r>
      <w:r>
        <w:rPr>
          <w:rFonts w:hint="eastAsia" w:ascii="仿宋" w:hAnsi="仿宋" w:eastAsia="仿宋" w:cs="仿宋"/>
          <w:snapToGrid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在行政复议程序中发生的行政调解，</w:t>
      </w:r>
      <w:r>
        <w:rPr>
          <w:rFonts w:hint="eastAsia" w:ascii="仿宋" w:hAnsi="仿宋" w:eastAsia="仿宋" w:cs="仿宋"/>
          <w:snapToGrid w:val="0"/>
          <w:color w:val="auto"/>
          <w:sz w:val="32"/>
          <w:szCs w:val="32"/>
          <w:lang w:val="en-US" w:eastAsia="zh-CN"/>
        </w:rPr>
        <w:t>除双方当事人同意行政复议中止外，</w:t>
      </w:r>
      <w:r>
        <w:rPr>
          <w:rFonts w:hint="eastAsia" w:ascii="仿宋" w:hAnsi="仿宋" w:eastAsia="仿宋" w:cs="仿宋"/>
          <w:snapToGrid w:val="0"/>
          <w:color w:val="auto"/>
          <w:sz w:val="32"/>
          <w:szCs w:val="32"/>
        </w:rPr>
        <w:t>调解期限不得超出行政复议案件的法定办理期限；在其他行政程序中发生的行政调解，调解期限不得超出办理该事项的法定期限。</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行政调解中止时间，检测、检验、检疫、鉴定等活动所需时间，不计入行政调解期限。</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第二十六条</w:t>
      </w:r>
      <w:r>
        <w:rPr>
          <w:rFonts w:hint="eastAsia" w:ascii="仿宋" w:hAnsi="仿宋" w:eastAsia="仿宋" w:cs="仿宋"/>
          <w:snapToGrid w:val="0"/>
          <w:color w:val="auto"/>
          <w:sz w:val="32"/>
          <w:szCs w:val="32"/>
        </w:rPr>
        <w:t>　除即时履行的行政调解事项外，行政调解各方当事人达成调解协议的，应当签订行政调解书。行政调解书由当事人各执一份，行政机关留存一份备案。</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行政调解书应当包括下列内容：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1.当事人的姓名或者单位名称，法定代表人姓名、住址；</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2.争议事项的主要情况；</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3.当事人协议的内容和调解结果；</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4.</w:t>
      </w:r>
      <w:r>
        <w:rPr>
          <w:rFonts w:hint="default" w:ascii="Times New Roman" w:hAnsi="Times New Roman" w:eastAsia="仿宋" w:cs="Times New Roman"/>
          <w:snapToGrid w:val="0"/>
          <w:color w:val="auto"/>
          <w:sz w:val="32"/>
          <w:szCs w:val="32"/>
          <w:lang w:val="en-US" w:eastAsia="zh-CN"/>
        </w:rPr>
        <w:t>经过</w:t>
      </w:r>
      <w:r>
        <w:rPr>
          <w:rFonts w:hint="default" w:ascii="Times New Roman" w:hAnsi="Times New Roman" w:eastAsia="仿宋" w:cs="Times New Roman"/>
          <w:snapToGrid w:val="0"/>
          <w:color w:val="auto"/>
          <w:sz w:val="32"/>
          <w:szCs w:val="32"/>
        </w:rPr>
        <w:t>检测、检验、检疫、鉴定的，应载明主要内容；</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5.其他需要约定的事项；</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default" w:ascii="Times New Roman" w:hAnsi="Times New Roman" w:eastAsia="仿宋" w:cs="Times New Roman"/>
          <w:snapToGrid w:val="0"/>
          <w:color w:val="auto"/>
          <w:sz w:val="32"/>
          <w:szCs w:val="32"/>
        </w:rPr>
        <w:t>6.</w:t>
      </w:r>
      <w:r>
        <w:rPr>
          <w:rFonts w:hint="eastAsia" w:ascii="仿宋" w:hAnsi="仿宋" w:eastAsia="仿宋" w:cs="仿宋"/>
          <w:snapToGrid w:val="0"/>
          <w:color w:val="auto"/>
          <w:sz w:val="32"/>
          <w:szCs w:val="32"/>
        </w:rPr>
        <w:t>签名、盖章及日期。</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eastAsia="zh-CN"/>
        </w:rPr>
      </w:pPr>
      <w:r>
        <w:rPr>
          <w:rFonts w:hint="eastAsia" w:ascii="仿宋" w:hAnsi="仿宋" w:eastAsia="仿宋" w:cs="仿宋"/>
          <w:snapToGrid w:val="0"/>
          <w:color w:val="auto"/>
          <w:sz w:val="32"/>
          <w:szCs w:val="32"/>
        </w:rPr>
        <w:t>行政调解协议经各方当事人签字</w:t>
      </w:r>
      <w:r>
        <w:rPr>
          <w:rFonts w:hint="eastAsia" w:ascii="仿宋" w:hAnsi="仿宋" w:eastAsia="仿宋" w:cs="仿宋"/>
          <w:snapToGrid w:val="0"/>
          <w:color w:val="auto"/>
          <w:sz w:val="32"/>
          <w:szCs w:val="32"/>
          <w:lang w:eastAsia="zh-CN"/>
        </w:rPr>
        <w:t>、</w:t>
      </w:r>
      <w:r>
        <w:rPr>
          <w:rFonts w:hint="eastAsia" w:ascii="仿宋" w:hAnsi="仿宋" w:eastAsia="仿宋" w:cs="仿宋"/>
          <w:snapToGrid w:val="0"/>
          <w:color w:val="auto"/>
          <w:sz w:val="32"/>
          <w:szCs w:val="32"/>
          <w:lang w:val="en-US" w:eastAsia="zh-CN"/>
        </w:rPr>
        <w:t>盖章</w:t>
      </w:r>
      <w:r>
        <w:rPr>
          <w:rFonts w:hint="eastAsia" w:ascii="仿宋" w:hAnsi="仿宋" w:eastAsia="仿宋" w:cs="仿宋"/>
          <w:snapToGrid w:val="0"/>
          <w:color w:val="auto"/>
          <w:sz w:val="32"/>
          <w:szCs w:val="32"/>
        </w:rPr>
        <w:t>后即具有约束力</w:t>
      </w:r>
      <w:r>
        <w:rPr>
          <w:rFonts w:hint="eastAsia" w:ascii="仿宋" w:hAnsi="仿宋" w:eastAsia="仿宋" w:cs="仿宋"/>
          <w:snapToGrid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eastAsia="zh-CN"/>
        </w:rPr>
      </w:pPr>
      <w:r>
        <w:rPr>
          <w:rFonts w:hint="eastAsia" w:ascii="仿宋" w:hAnsi="仿宋" w:eastAsia="仿宋" w:cs="仿宋"/>
          <w:b/>
          <w:bCs/>
          <w:snapToGrid w:val="0"/>
          <w:color w:val="auto"/>
          <w:sz w:val="32"/>
          <w:szCs w:val="32"/>
          <w:lang w:val="en-US" w:eastAsia="zh-CN"/>
        </w:rPr>
        <w:t>第二十七条</w:t>
      </w:r>
      <w:r>
        <w:rPr>
          <w:rFonts w:hint="eastAsia" w:ascii="仿宋" w:hAnsi="仿宋" w:eastAsia="仿宋" w:cs="仿宋"/>
          <w:snapToGrid w:val="0"/>
          <w:color w:val="auto"/>
          <w:sz w:val="32"/>
          <w:szCs w:val="32"/>
        </w:rPr>
        <w:t>　</w:t>
      </w:r>
      <w:r>
        <w:rPr>
          <w:rFonts w:hint="default" w:ascii="Times New Roman" w:hAnsi="Times New Roman" w:eastAsia="仿宋" w:cs="Times New Roman"/>
          <w:snapToGrid w:val="0"/>
          <w:color w:val="auto"/>
          <w:sz w:val="32"/>
          <w:szCs w:val="32"/>
        </w:rPr>
        <w:t>当事人</w:t>
      </w:r>
      <w:r>
        <w:rPr>
          <w:rFonts w:hint="default" w:ascii="Times New Roman" w:hAnsi="Times New Roman" w:eastAsia="仿宋" w:cs="Times New Roman"/>
          <w:snapToGrid w:val="0"/>
          <w:color w:val="auto"/>
          <w:sz w:val="32"/>
          <w:szCs w:val="32"/>
          <w:lang w:val="en-US" w:eastAsia="zh-CN"/>
        </w:rPr>
        <w:t>达成</w:t>
      </w:r>
      <w:r>
        <w:rPr>
          <w:rFonts w:hint="default" w:ascii="Times New Roman" w:hAnsi="Times New Roman" w:eastAsia="仿宋" w:cs="Times New Roman"/>
          <w:snapToGrid w:val="0"/>
          <w:color w:val="auto"/>
          <w:sz w:val="32"/>
          <w:szCs w:val="32"/>
        </w:rPr>
        <w:t>行政调解协议</w:t>
      </w:r>
      <w:r>
        <w:rPr>
          <w:rFonts w:hint="default" w:ascii="Times New Roman" w:hAnsi="Times New Roman" w:eastAsia="仿宋" w:cs="Times New Roman"/>
          <w:snapToGrid w:val="0"/>
          <w:color w:val="auto"/>
          <w:sz w:val="32"/>
          <w:szCs w:val="32"/>
          <w:lang w:val="en-US" w:eastAsia="zh-CN"/>
        </w:rPr>
        <w:t>的，可以自协议</w:t>
      </w:r>
      <w:r>
        <w:rPr>
          <w:rFonts w:hint="default" w:ascii="Times New Roman" w:hAnsi="Times New Roman" w:eastAsia="仿宋" w:cs="Times New Roman"/>
          <w:snapToGrid w:val="0"/>
          <w:color w:val="auto"/>
          <w:sz w:val="32"/>
          <w:szCs w:val="32"/>
        </w:rPr>
        <w:t>生效之日起30日内，根据调解协议的性质和内容，依法向有管辖权的人民法院申请司法确认或者向公证机构申请办理赋予债权文书强制执行效力公证</w:t>
      </w:r>
      <w:r>
        <w:rPr>
          <w:rFonts w:hint="eastAsia" w:ascii="仿宋" w:hAnsi="仿宋" w:eastAsia="仿宋" w:cs="仿宋"/>
          <w:snapToGrid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val="en-US" w:eastAsia="zh-CN"/>
        </w:rPr>
      </w:pPr>
      <w:r>
        <w:rPr>
          <w:rFonts w:hint="eastAsia" w:ascii="仿宋" w:hAnsi="仿宋" w:eastAsia="仿宋" w:cs="仿宋"/>
          <w:b/>
          <w:bCs/>
          <w:snapToGrid w:val="0"/>
          <w:color w:val="auto"/>
          <w:sz w:val="32"/>
          <w:szCs w:val="32"/>
          <w:lang w:val="en-US" w:eastAsia="zh-CN"/>
        </w:rPr>
        <w:t>第二十八条</w:t>
      </w:r>
      <w:r>
        <w:rPr>
          <w:rFonts w:hint="eastAsia" w:ascii="仿宋" w:hAnsi="仿宋" w:eastAsia="仿宋" w:cs="仿宋"/>
          <w:snapToGrid w:val="0"/>
          <w:color w:val="auto"/>
          <w:sz w:val="32"/>
          <w:szCs w:val="32"/>
          <w:lang w:val="en-US" w:eastAsia="zh-CN"/>
        </w:rPr>
        <w:t xml:space="preserve">  当事人应当自觉履行调解协议。</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val="en-US" w:eastAsia="zh-CN"/>
        </w:rPr>
      </w:pPr>
      <w:r>
        <w:rPr>
          <w:rFonts w:hint="eastAsia" w:ascii="仿宋" w:hAnsi="仿宋" w:eastAsia="仿宋" w:cs="仿宋"/>
          <w:snapToGrid w:val="0"/>
          <w:color w:val="auto"/>
          <w:sz w:val="32"/>
          <w:szCs w:val="32"/>
          <w:lang w:val="en-US" w:eastAsia="zh-CN"/>
        </w:rPr>
        <w:t>组织调解的行政机关应当对调解协议的履行情况进行监督和回访，督促和确认当事人履行约定的义务，促进调解协议履行。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bCs/>
          <w:snapToGrid w:val="0"/>
          <w:color w:val="auto"/>
          <w:sz w:val="32"/>
          <w:szCs w:val="32"/>
          <w:lang w:val="en-US" w:eastAsia="zh-CN"/>
        </w:rPr>
      </w:pPr>
      <w:r>
        <w:rPr>
          <w:rFonts w:hint="eastAsia" w:ascii="黑体" w:hAnsi="黑体" w:eastAsia="黑体" w:cs="黑体"/>
          <w:b/>
          <w:bCs/>
          <w:snapToGrid w:val="0"/>
          <w:color w:val="auto"/>
          <w:sz w:val="32"/>
          <w:szCs w:val="32"/>
          <w:lang w:val="en-US" w:eastAsia="zh-CN"/>
        </w:rPr>
        <w:t>第五章 工作保障</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第二十九条</w:t>
      </w:r>
      <w:r>
        <w:rPr>
          <w:rFonts w:hint="eastAsia" w:ascii="仿宋" w:hAnsi="仿宋" w:eastAsia="仿宋" w:cs="仿宋"/>
          <w:snapToGrid w:val="0"/>
          <w:color w:val="auto"/>
          <w:sz w:val="32"/>
          <w:szCs w:val="32"/>
        </w:rPr>
        <w:t>　行政机关应当明确本机关具体负责行政调解工作的机构，或者成立行政调解组织负责行政调解工作</w:t>
      </w:r>
      <w:r>
        <w:rPr>
          <w:rFonts w:hint="eastAsia" w:ascii="仿宋" w:hAnsi="仿宋" w:eastAsia="仿宋" w:cs="仿宋"/>
          <w:snapToGrid w:val="0"/>
          <w:color w:val="auto"/>
          <w:sz w:val="32"/>
          <w:szCs w:val="32"/>
          <w:lang w:eastAsia="zh-CN"/>
        </w:rPr>
        <w:t>；</w:t>
      </w:r>
      <w:r>
        <w:rPr>
          <w:rFonts w:hint="eastAsia" w:ascii="仿宋" w:hAnsi="仿宋" w:eastAsia="仿宋" w:cs="仿宋"/>
          <w:snapToGrid w:val="0"/>
          <w:color w:val="auto"/>
          <w:sz w:val="32"/>
          <w:szCs w:val="32"/>
        </w:rPr>
        <w:t>涉及矛盾纠纷较多的部门，应当成立行政调解委员会</w:t>
      </w:r>
      <w:r>
        <w:rPr>
          <w:rFonts w:hint="eastAsia" w:ascii="仿宋" w:hAnsi="仿宋" w:eastAsia="仿宋" w:cs="仿宋"/>
          <w:snapToGrid w:val="0"/>
          <w:color w:val="auto"/>
          <w:sz w:val="32"/>
          <w:szCs w:val="32"/>
          <w:lang w:eastAsia="zh-CN"/>
        </w:rPr>
        <w:t>；</w:t>
      </w:r>
      <w:r>
        <w:rPr>
          <w:rFonts w:hint="eastAsia" w:ascii="仿宋" w:hAnsi="仿宋" w:eastAsia="仿宋" w:cs="仿宋"/>
          <w:snapToGrid w:val="0"/>
          <w:color w:val="auto"/>
          <w:sz w:val="32"/>
          <w:szCs w:val="32"/>
        </w:rPr>
        <w:t>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eastAsia="zh-CN"/>
        </w:rPr>
      </w:pPr>
      <w:r>
        <w:rPr>
          <w:rFonts w:hint="eastAsia" w:ascii="仿宋" w:hAnsi="仿宋" w:eastAsia="仿宋" w:cs="仿宋"/>
          <w:b/>
          <w:bCs/>
          <w:snapToGrid w:val="0"/>
          <w:color w:val="auto"/>
          <w:sz w:val="32"/>
          <w:szCs w:val="32"/>
          <w:lang w:val="en-US" w:eastAsia="zh-CN"/>
        </w:rPr>
        <w:t>第三十条</w:t>
      </w:r>
      <w:r>
        <w:rPr>
          <w:rFonts w:hint="eastAsia" w:ascii="仿宋" w:hAnsi="仿宋" w:eastAsia="仿宋" w:cs="仿宋"/>
          <w:snapToGrid w:val="0"/>
          <w:color w:val="auto"/>
          <w:sz w:val="32"/>
          <w:szCs w:val="32"/>
        </w:rPr>
        <w:t>　</w:t>
      </w:r>
      <w:r>
        <w:rPr>
          <w:rFonts w:hint="eastAsia" w:ascii="仿宋" w:hAnsi="仿宋" w:eastAsia="仿宋" w:cs="仿宋"/>
          <w:snapToGrid w:val="0"/>
          <w:color w:val="auto"/>
          <w:sz w:val="32"/>
          <w:szCs w:val="32"/>
          <w:lang w:val="en-US" w:eastAsia="zh-CN"/>
        </w:rPr>
        <w:t>自治州各级</w:t>
      </w:r>
      <w:r>
        <w:rPr>
          <w:rFonts w:hint="eastAsia" w:ascii="仿宋" w:hAnsi="仿宋" w:eastAsia="仿宋" w:cs="仿宋"/>
          <w:snapToGrid w:val="0"/>
          <w:color w:val="auto"/>
          <w:sz w:val="32"/>
          <w:szCs w:val="32"/>
        </w:rPr>
        <w:t>人民政府、街道办事处依托</w:t>
      </w:r>
      <w:r>
        <w:rPr>
          <w:rFonts w:hint="eastAsia" w:ascii="仿宋" w:hAnsi="仿宋" w:eastAsia="仿宋" w:cs="仿宋"/>
          <w:snapToGrid w:val="0"/>
          <w:color w:val="auto"/>
          <w:sz w:val="32"/>
          <w:szCs w:val="32"/>
          <w:lang w:eastAsia="zh-CN"/>
        </w:rPr>
        <w:t>社会治安综合治理服务中心</w:t>
      </w:r>
      <w:r>
        <w:rPr>
          <w:rFonts w:hint="eastAsia" w:ascii="仿宋" w:hAnsi="仿宋" w:eastAsia="仿宋" w:cs="仿宋"/>
          <w:snapToGrid w:val="0"/>
          <w:color w:val="auto"/>
          <w:sz w:val="32"/>
          <w:szCs w:val="32"/>
        </w:rPr>
        <w:t>，推进行政调解与人民调解、司法调解等衔接联动</w:t>
      </w:r>
      <w:r>
        <w:rPr>
          <w:rFonts w:hint="eastAsia" w:ascii="仿宋" w:hAnsi="仿宋" w:eastAsia="仿宋" w:cs="仿宋"/>
          <w:snapToGrid w:val="0"/>
          <w:color w:val="auto"/>
          <w:sz w:val="32"/>
          <w:szCs w:val="32"/>
          <w:lang w:eastAsia="zh-CN"/>
        </w:rPr>
        <w:t>、</w:t>
      </w:r>
      <w:r>
        <w:rPr>
          <w:rFonts w:hint="eastAsia" w:ascii="仿宋" w:hAnsi="仿宋" w:eastAsia="仿宋" w:cs="仿宋"/>
          <w:snapToGrid w:val="0"/>
          <w:color w:val="auto"/>
          <w:sz w:val="32"/>
          <w:szCs w:val="32"/>
        </w:rPr>
        <w:t>信息共享，及时有效化解纠纷。</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第三十一条</w:t>
      </w:r>
      <w:r>
        <w:rPr>
          <w:rFonts w:hint="eastAsia" w:ascii="仿宋" w:hAnsi="仿宋" w:eastAsia="仿宋" w:cs="仿宋"/>
          <w:snapToGrid w:val="0"/>
          <w:color w:val="auto"/>
          <w:sz w:val="32"/>
          <w:szCs w:val="32"/>
        </w:rPr>
        <w:t>　行政机关可以通过政府购买服务等方式，聘请专门工作人员或者委托人民调解组织、社会组织、中介服务机构等，为行政调解工作提供辅助支持，并加强监督和指导。</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第三十二条</w:t>
      </w:r>
      <w:r>
        <w:rPr>
          <w:rFonts w:hint="eastAsia" w:ascii="仿宋" w:hAnsi="仿宋" w:eastAsia="仿宋" w:cs="仿宋"/>
          <w:snapToGrid w:val="0"/>
          <w:color w:val="auto"/>
          <w:sz w:val="32"/>
          <w:szCs w:val="32"/>
        </w:rPr>
        <w:t>　行政机关开展行政调解工作所需经费列入本机关预算，由本级财政予以保障。</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lang w:val="en-US" w:eastAsia="zh-CN"/>
        </w:rPr>
      </w:pPr>
      <w:r>
        <w:rPr>
          <w:rFonts w:hint="eastAsia" w:ascii="仿宋" w:hAnsi="仿宋" w:eastAsia="仿宋" w:cs="仿宋"/>
          <w:b/>
          <w:bCs/>
          <w:snapToGrid w:val="0"/>
          <w:color w:val="auto"/>
          <w:sz w:val="32"/>
          <w:szCs w:val="32"/>
          <w:lang w:val="en-US" w:eastAsia="zh-CN"/>
        </w:rPr>
        <w:t>第三十三条</w:t>
      </w:r>
      <w:r>
        <w:rPr>
          <w:rFonts w:hint="eastAsia" w:ascii="仿宋" w:hAnsi="仿宋" w:eastAsia="仿宋" w:cs="仿宋"/>
          <w:snapToGrid w:val="0"/>
          <w:color w:val="auto"/>
          <w:sz w:val="32"/>
          <w:szCs w:val="32"/>
        </w:rPr>
        <w:t>　各级行政机关要加强行政调解的信息传报工作，对行政调解的纠纷类型、数量、处理结果</w:t>
      </w:r>
      <w:r>
        <w:rPr>
          <w:rFonts w:hint="eastAsia" w:ascii="仿宋" w:hAnsi="仿宋" w:eastAsia="仿宋" w:cs="仿宋"/>
          <w:snapToGrid w:val="0"/>
          <w:color w:val="auto"/>
          <w:sz w:val="32"/>
          <w:szCs w:val="32"/>
          <w:lang w:eastAsia="zh-CN"/>
        </w:rPr>
        <w:t>，</w:t>
      </w:r>
      <w:r>
        <w:rPr>
          <w:rFonts w:hint="eastAsia" w:ascii="仿宋" w:hAnsi="仿宋" w:eastAsia="仿宋" w:cs="仿宋"/>
          <w:snapToGrid w:val="0"/>
          <w:color w:val="auto"/>
          <w:sz w:val="32"/>
          <w:szCs w:val="32"/>
        </w:rPr>
        <w:t>以及开展行政调解工作遇到的困难和突出问题等进行统计分析，每半年向本级</w:t>
      </w:r>
      <w:r>
        <w:rPr>
          <w:rFonts w:hint="eastAsia" w:ascii="仿宋" w:hAnsi="仿宋" w:eastAsia="仿宋" w:cs="仿宋"/>
          <w:snapToGrid w:val="0"/>
          <w:color w:val="auto"/>
          <w:sz w:val="32"/>
          <w:szCs w:val="32"/>
          <w:lang w:val="en-US" w:eastAsia="zh-CN"/>
        </w:rPr>
        <w:t>人民政府报送，径送本级人民政府司法行政部门，司法行政部门汇总后，逐级报送自治区司法行政机关。</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第三十四条</w:t>
      </w:r>
      <w:r>
        <w:rPr>
          <w:rFonts w:hint="eastAsia" w:ascii="仿宋" w:hAnsi="仿宋" w:eastAsia="仿宋" w:cs="仿宋"/>
          <w:snapToGrid w:val="0"/>
          <w:color w:val="auto"/>
          <w:sz w:val="32"/>
          <w:szCs w:val="32"/>
        </w:rPr>
        <w:t>　行政机关及其工作人员在行政调解过程中存在不履行、违法履行、不当履行行政调解职责行为的，对负有责任的领导人员和直接责任人员给予行政问责和行政处分。</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eastAsia" w:ascii="仿宋" w:hAnsi="仿宋" w:eastAsia="仿宋" w:cs="仿宋"/>
          <w:snapToGrid w:val="0"/>
          <w:color w:val="auto"/>
          <w:sz w:val="32"/>
          <w:szCs w:val="32"/>
        </w:rPr>
      </w:pPr>
      <w:r>
        <w:rPr>
          <w:rFonts w:hint="eastAsia" w:ascii="仿宋" w:hAnsi="仿宋" w:eastAsia="仿宋" w:cs="仿宋"/>
          <w:b/>
          <w:bCs/>
          <w:snapToGrid w:val="0"/>
          <w:color w:val="auto"/>
          <w:sz w:val="32"/>
          <w:szCs w:val="32"/>
          <w:lang w:val="en-US" w:eastAsia="zh-CN"/>
        </w:rPr>
        <w:t>第三十五条</w:t>
      </w:r>
      <w:r>
        <w:rPr>
          <w:rFonts w:hint="eastAsia" w:ascii="仿宋" w:hAnsi="仿宋" w:eastAsia="仿宋" w:cs="仿宋"/>
          <w:snapToGrid w:val="0"/>
          <w:color w:val="auto"/>
          <w:sz w:val="32"/>
          <w:szCs w:val="32"/>
          <w:lang w:val="en-US" w:eastAsia="zh-CN"/>
        </w:rPr>
        <w:t xml:space="preserve"> </w:t>
      </w:r>
      <w:r>
        <w:rPr>
          <w:rFonts w:hint="eastAsia" w:ascii="仿宋" w:hAnsi="仿宋" w:eastAsia="仿宋" w:cs="仿宋"/>
          <w:snapToGrid w:val="0"/>
          <w:color w:val="auto"/>
          <w:sz w:val="32"/>
          <w:szCs w:val="32"/>
        </w:rPr>
        <w:t>违反本</w:t>
      </w:r>
      <w:r>
        <w:rPr>
          <w:rFonts w:hint="eastAsia" w:ascii="仿宋" w:hAnsi="仿宋" w:eastAsia="仿宋" w:cs="仿宋"/>
          <w:snapToGrid w:val="0"/>
          <w:color w:val="auto"/>
          <w:sz w:val="32"/>
          <w:szCs w:val="32"/>
          <w:lang w:val="en-US" w:eastAsia="zh-CN"/>
        </w:rPr>
        <w:t>办法</w:t>
      </w:r>
      <w:r>
        <w:rPr>
          <w:rFonts w:hint="eastAsia" w:ascii="仿宋" w:hAnsi="仿宋" w:eastAsia="仿宋" w:cs="仿宋"/>
          <w:snapToGrid w:val="0"/>
          <w:color w:val="auto"/>
          <w:sz w:val="32"/>
          <w:szCs w:val="32"/>
        </w:rPr>
        <w:t>规定应当承担法律责任的其他行为，依照有关法律、法规执行。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bCs/>
          <w:snapToGrid w:val="0"/>
          <w:color w:val="auto"/>
          <w:sz w:val="32"/>
          <w:szCs w:val="32"/>
          <w:lang w:val="en-US" w:eastAsia="zh-CN"/>
        </w:rPr>
      </w:pPr>
      <w:r>
        <w:rPr>
          <w:rFonts w:hint="eastAsia" w:ascii="黑体" w:hAnsi="黑体" w:eastAsia="黑体" w:cs="黑体"/>
          <w:b/>
          <w:bCs/>
          <w:snapToGrid w:val="0"/>
          <w:color w:val="auto"/>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default" w:ascii="Times New Roman" w:hAnsi="Times New Roman" w:eastAsia="仿宋" w:cs="Times New Roman"/>
          <w:snapToGrid w:val="0"/>
          <w:color w:val="auto"/>
          <w:sz w:val="32"/>
          <w:szCs w:val="32"/>
        </w:rPr>
      </w:pPr>
      <w:r>
        <w:rPr>
          <w:rFonts w:hint="eastAsia" w:ascii="仿宋" w:hAnsi="仿宋" w:eastAsia="仿宋" w:cs="仿宋"/>
          <w:b/>
          <w:bCs/>
          <w:snapToGrid w:val="0"/>
          <w:color w:val="auto"/>
          <w:sz w:val="32"/>
          <w:szCs w:val="32"/>
          <w:lang w:val="en-US" w:eastAsia="zh-CN"/>
        </w:rPr>
        <w:t>第三十六条</w:t>
      </w:r>
      <w:r>
        <w:rPr>
          <w:rFonts w:hint="eastAsia" w:ascii="仿宋" w:hAnsi="仿宋" w:eastAsia="仿宋" w:cs="仿宋"/>
          <w:snapToGrid w:val="0"/>
          <w:color w:val="auto"/>
          <w:sz w:val="32"/>
          <w:szCs w:val="32"/>
        </w:rPr>
        <w:t>　行政机关开展行政调解工作所需文书格式，</w:t>
      </w:r>
      <w:r>
        <w:rPr>
          <w:rFonts w:hint="eastAsia" w:ascii="仿宋" w:hAnsi="仿宋" w:eastAsia="仿宋" w:cs="仿宋"/>
          <w:snapToGrid w:val="0"/>
          <w:color w:val="auto"/>
          <w:sz w:val="32"/>
          <w:szCs w:val="32"/>
          <w:lang w:val="en-US" w:eastAsia="zh-CN"/>
        </w:rPr>
        <w:t>参考</w:t>
      </w:r>
      <w:r>
        <w:rPr>
          <w:rFonts w:hint="eastAsia" w:ascii="仿宋" w:hAnsi="仿宋" w:eastAsia="仿宋" w:cs="仿宋"/>
          <w:snapToGrid w:val="0"/>
          <w:color w:val="auto"/>
          <w:sz w:val="32"/>
          <w:szCs w:val="32"/>
        </w:rPr>
        <w:t>司法部关于印发人民调解文书格式</w:t>
      </w:r>
      <w:r>
        <w:rPr>
          <w:rFonts w:hint="eastAsia" w:ascii="仿宋" w:hAnsi="仿宋" w:eastAsia="仿宋" w:cs="仿宋"/>
          <w:snapToGrid w:val="0"/>
          <w:color w:val="auto"/>
          <w:sz w:val="32"/>
          <w:szCs w:val="32"/>
          <w:lang w:eastAsia="zh-CN"/>
        </w:rPr>
        <w:t>（</w:t>
      </w:r>
      <w:r>
        <w:rPr>
          <w:rFonts w:hint="eastAsia" w:ascii="仿宋" w:hAnsi="仿宋" w:eastAsia="仿宋" w:cs="仿宋"/>
          <w:snapToGrid w:val="0"/>
          <w:color w:val="auto"/>
          <w:sz w:val="32"/>
          <w:szCs w:val="32"/>
        </w:rPr>
        <w:t>司发通</w:t>
      </w:r>
      <w:r>
        <w:rPr>
          <w:rFonts w:hint="default" w:ascii="Times New Roman" w:hAnsi="Times New Roman" w:eastAsia="仿宋" w:cs="Times New Roman"/>
          <w:snapToGrid w:val="0"/>
          <w:color w:val="auto"/>
          <w:sz w:val="32"/>
          <w:szCs w:val="32"/>
        </w:rPr>
        <w:t>〔2010〕239号</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150"/>
        <w:textAlignment w:val="auto"/>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b/>
          <w:bCs/>
          <w:snapToGrid w:val="0"/>
          <w:color w:val="auto"/>
          <w:sz w:val="32"/>
          <w:szCs w:val="32"/>
          <w:lang w:val="en-US" w:eastAsia="zh-CN"/>
        </w:rPr>
        <w:t>第三十</w:t>
      </w:r>
      <w:r>
        <w:rPr>
          <w:rFonts w:hint="eastAsia" w:eastAsia="仿宋" w:cs="Times New Roman"/>
          <w:b/>
          <w:bCs/>
          <w:snapToGrid w:val="0"/>
          <w:color w:val="auto"/>
          <w:sz w:val="32"/>
          <w:szCs w:val="32"/>
          <w:lang w:val="en-US" w:eastAsia="zh-CN"/>
        </w:rPr>
        <w:t>七</w:t>
      </w:r>
      <w:r>
        <w:rPr>
          <w:rFonts w:hint="default" w:ascii="Times New Roman" w:hAnsi="Times New Roman" w:eastAsia="仿宋" w:cs="Times New Roman"/>
          <w:b/>
          <w:bCs/>
          <w:snapToGrid w:val="0"/>
          <w:color w:val="auto"/>
          <w:sz w:val="32"/>
          <w:szCs w:val="32"/>
          <w:lang w:val="en-US" w:eastAsia="zh-CN"/>
        </w:rPr>
        <w:t>条</w:t>
      </w:r>
      <w:r>
        <w:rPr>
          <w:rFonts w:hint="default" w:ascii="Times New Roman" w:hAnsi="Times New Roman" w:eastAsia="仿宋" w:cs="Times New Roman"/>
          <w:snapToGrid w:val="0"/>
          <w:color w:val="auto"/>
          <w:sz w:val="32"/>
          <w:szCs w:val="32"/>
        </w:rPr>
        <w:t>　</w:t>
      </w:r>
      <w:r>
        <w:rPr>
          <w:rFonts w:hint="default" w:ascii="Times New Roman" w:hAnsi="Times New Roman" w:eastAsia="仿宋" w:cs="Times New Roman"/>
          <w:snapToGrid w:val="0"/>
          <w:color w:val="auto"/>
          <w:sz w:val="32"/>
          <w:szCs w:val="32"/>
          <w:lang w:val="en-US" w:eastAsia="zh-CN"/>
        </w:rPr>
        <w:t>本办法由巴州司法局负责解释，</w:t>
      </w:r>
      <w:r>
        <w:rPr>
          <w:rFonts w:hint="default" w:ascii="Times New Roman" w:hAnsi="Times New Roman" w:eastAsia="仿宋" w:cs="Times New Roman"/>
          <w:snapToGrid w:val="0"/>
          <w:color w:val="auto"/>
          <w:sz w:val="32"/>
          <w:szCs w:val="32"/>
        </w:rPr>
        <w:t>自</w:t>
      </w:r>
      <w:r>
        <w:rPr>
          <w:rFonts w:hint="default" w:ascii="Times New Roman" w:hAnsi="Times New Roman" w:eastAsia="仿宋" w:cs="Times New Roman"/>
          <w:snapToGrid w:val="0"/>
          <w:color w:val="auto"/>
          <w:sz w:val="32"/>
          <w:szCs w:val="32"/>
          <w:lang w:val="en-US" w:eastAsia="zh-CN"/>
        </w:rPr>
        <w:t>2025</w:t>
      </w:r>
      <w:r>
        <w:rPr>
          <w:rFonts w:hint="default" w:ascii="Times New Roman" w:hAnsi="Times New Roman" w:eastAsia="仿宋" w:cs="Times New Roman"/>
          <w:snapToGrid w:val="0"/>
          <w:color w:val="auto"/>
          <w:sz w:val="32"/>
          <w:szCs w:val="32"/>
        </w:rPr>
        <w:t>年</w:t>
      </w:r>
      <w:r>
        <w:rPr>
          <w:rFonts w:hint="default" w:ascii="Times New Roman" w:hAnsi="Times New Roman" w:eastAsia="仿宋" w:cs="Times New Roman"/>
          <w:snapToGrid w:val="0"/>
          <w:color w:val="auto"/>
          <w:sz w:val="32"/>
          <w:szCs w:val="32"/>
          <w:lang w:val="en-US" w:eastAsia="zh-CN"/>
        </w:rPr>
        <w:t xml:space="preserve">  </w:t>
      </w:r>
      <w:r>
        <w:rPr>
          <w:rFonts w:hint="default" w:ascii="Times New Roman" w:hAnsi="Times New Roman" w:eastAsia="仿宋" w:cs="Times New Roman"/>
          <w:snapToGrid w:val="0"/>
          <w:color w:val="auto"/>
          <w:sz w:val="32"/>
          <w:szCs w:val="32"/>
        </w:rPr>
        <w:t>月</w:t>
      </w:r>
      <w:r>
        <w:rPr>
          <w:rFonts w:hint="default" w:ascii="Times New Roman" w:hAnsi="Times New Roman" w:eastAsia="仿宋" w:cs="Times New Roman"/>
          <w:snapToGrid w:val="0"/>
          <w:color w:val="auto"/>
          <w:sz w:val="32"/>
          <w:szCs w:val="32"/>
          <w:lang w:val="en-US" w:eastAsia="zh-CN"/>
        </w:rPr>
        <w:t xml:space="preserve">  </w:t>
      </w:r>
      <w:r>
        <w:rPr>
          <w:rFonts w:hint="default" w:ascii="Times New Roman" w:hAnsi="Times New Roman" w:eastAsia="仿宋" w:cs="Times New Roman"/>
          <w:snapToGrid w:val="0"/>
          <w:color w:val="auto"/>
          <w:sz w:val="32"/>
          <w:szCs w:val="32"/>
        </w:rPr>
        <w:t>日起施行。</w:t>
      </w:r>
    </w:p>
    <w:p>
      <w:pPr>
        <w:rPr>
          <w:rFonts w:hint="eastAsia"/>
          <w:color w:val="auto"/>
        </w:rPr>
      </w:pPr>
    </w:p>
    <w:p/>
    <w:sectPr>
      <w:footerReference r:id="rId3" w:type="default"/>
      <w:pgSz w:w="11906" w:h="16838"/>
      <w:pgMar w:top="2098" w:right="1587" w:bottom="1984" w:left="1587" w:header="720" w:footer="720" w:gutter="0"/>
      <w:pgNumType w:fmt="decimal"/>
      <w:cols w:space="0" w:num="1"/>
      <w:rtlGutter w:val="0"/>
      <w:docGrid w:type="linesAndChars" w:linePitch="579"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85D4A"/>
    <w:rsid w:val="1568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2025-08-01T10:53:00Z</dcterms:created>
  <dc:creator>办公室</dc:creator>
  <cp:lastModifiedBy>办公室</cp:lastModifiedBy>
  <dcterms:modified xsi:type="dcterms:W3CDTF">2025-08-01T10:53:59Z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AE42FA0C636B43B8A317A04293E9E332</vt:lpwstr>
  </property>
</Properties>
</file>