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CBA7A0">
      <w:pPr>
        <w:pStyle w:val="3"/>
        <w:rPr>
          <w:color w:val="auto"/>
        </w:rPr>
      </w:pPr>
      <w:bookmarkStart w:id="0" w:name="_Toc21427"/>
      <w:r>
        <w:rPr>
          <w:color w:val="auto"/>
        </w:rPr>
        <w:t>一、建设项目基本情况</w:t>
      </w:r>
      <w:bookmarkEnd w:id="0"/>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346"/>
        <w:gridCol w:w="2911"/>
        <w:gridCol w:w="1698"/>
        <w:gridCol w:w="2915"/>
      </w:tblGrid>
      <w:tr w14:paraId="034B2B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19451FB2">
            <w:pPr>
              <w:adjustRightInd w:val="0"/>
              <w:snapToGrid w:val="0"/>
              <w:spacing w:line="240" w:lineRule="auto"/>
              <w:jc w:val="center"/>
              <w:rPr>
                <w:szCs w:val="21"/>
              </w:rPr>
            </w:pPr>
            <w:r>
              <w:rPr>
                <w:szCs w:val="21"/>
              </w:rPr>
              <w:t>建设项目名称</w:t>
            </w:r>
          </w:p>
        </w:tc>
        <w:tc>
          <w:tcPr>
            <w:tcW w:w="7524" w:type="dxa"/>
            <w:gridSpan w:val="3"/>
            <w:tcBorders>
              <w:tl2br w:val="nil"/>
              <w:tr2bl w:val="nil"/>
            </w:tcBorders>
            <w:noWrap w:val="0"/>
            <w:vAlign w:val="center"/>
          </w:tcPr>
          <w:p w14:paraId="397719D8">
            <w:pPr>
              <w:adjustRightInd w:val="0"/>
              <w:snapToGrid w:val="0"/>
              <w:jc w:val="center"/>
              <w:rPr>
                <w:rFonts w:hint="default" w:eastAsia="宋体"/>
                <w:szCs w:val="21"/>
                <w:lang w:val="en-US" w:eastAsia="zh-CN"/>
              </w:rPr>
            </w:pPr>
            <w:r>
              <w:rPr>
                <w:rFonts w:hint="eastAsia"/>
                <w:szCs w:val="21"/>
              </w:rPr>
              <w:t>河南特防建设集团有限公司巴州分公司</w:t>
            </w:r>
            <w:r>
              <w:rPr>
                <w:rFonts w:hint="eastAsia"/>
                <w:szCs w:val="21"/>
                <w:lang w:val="en-US" w:eastAsia="zh-CN"/>
              </w:rPr>
              <w:t>3PE防腐管生产线建设项目</w:t>
            </w:r>
          </w:p>
        </w:tc>
      </w:tr>
      <w:tr w14:paraId="082926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1D9FBAAA">
            <w:pPr>
              <w:adjustRightInd w:val="0"/>
              <w:snapToGrid w:val="0"/>
              <w:spacing w:line="240" w:lineRule="auto"/>
              <w:jc w:val="center"/>
              <w:rPr>
                <w:szCs w:val="21"/>
              </w:rPr>
            </w:pPr>
            <w:r>
              <w:rPr>
                <w:szCs w:val="21"/>
              </w:rPr>
              <w:t>项目代码</w:t>
            </w:r>
          </w:p>
        </w:tc>
        <w:tc>
          <w:tcPr>
            <w:tcW w:w="7524" w:type="dxa"/>
            <w:gridSpan w:val="3"/>
            <w:tcBorders>
              <w:tl2br w:val="nil"/>
              <w:tr2bl w:val="nil"/>
            </w:tcBorders>
            <w:noWrap w:val="0"/>
            <w:vAlign w:val="center"/>
          </w:tcPr>
          <w:p w14:paraId="03E44964">
            <w:pPr>
              <w:adjustRightInd w:val="0"/>
              <w:snapToGrid w:val="0"/>
              <w:jc w:val="center"/>
              <w:rPr>
                <w:rFonts w:hint="eastAsia" w:eastAsia="宋体"/>
                <w:szCs w:val="21"/>
                <w:lang w:val="en-US" w:eastAsia="zh-CN"/>
              </w:rPr>
            </w:pPr>
            <w:r>
              <w:rPr>
                <w:rFonts w:hint="eastAsia"/>
                <w:szCs w:val="21"/>
                <w:lang w:val="en-US" w:eastAsia="zh-CN"/>
              </w:rPr>
              <w:t>无</w:t>
            </w:r>
          </w:p>
        </w:tc>
      </w:tr>
      <w:tr w14:paraId="75D5F5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1209C30B">
            <w:pPr>
              <w:adjustRightInd w:val="0"/>
              <w:snapToGrid w:val="0"/>
              <w:spacing w:line="240" w:lineRule="auto"/>
              <w:jc w:val="center"/>
              <w:rPr>
                <w:szCs w:val="21"/>
              </w:rPr>
            </w:pPr>
            <w:r>
              <w:rPr>
                <w:szCs w:val="21"/>
              </w:rPr>
              <w:t>建设单位联系人</w:t>
            </w:r>
          </w:p>
        </w:tc>
        <w:tc>
          <w:tcPr>
            <w:tcW w:w="2911" w:type="dxa"/>
            <w:tcBorders>
              <w:tl2br w:val="nil"/>
              <w:tr2bl w:val="nil"/>
            </w:tcBorders>
            <w:noWrap w:val="0"/>
            <w:vAlign w:val="center"/>
          </w:tcPr>
          <w:p w14:paraId="43B14301">
            <w:pPr>
              <w:adjustRightInd w:val="0"/>
              <w:snapToGrid w:val="0"/>
              <w:spacing w:line="240" w:lineRule="auto"/>
              <w:jc w:val="center"/>
              <w:rPr>
                <w:szCs w:val="21"/>
              </w:rPr>
            </w:pPr>
            <w:r>
              <w:rPr>
                <w:rFonts w:hint="eastAsia"/>
                <w:szCs w:val="21"/>
              </w:rPr>
              <w:t>张运峰</w:t>
            </w:r>
          </w:p>
        </w:tc>
        <w:tc>
          <w:tcPr>
            <w:tcW w:w="1698" w:type="dxa"/>
            <w:tcBorders>
              <w:tl2br w:val="nil"/>
              <w:tr2bl w:val="nil"/>
            </w:tcBorders>
            <w:noWrap w:val="0"/>
            <w:vAlign w:val="center"/>
          </w:tcPr>
          <w:p w14:paraId="614104A5">
            <w:pPr>
              <w:adjustRightInd w:val="0"/>
              <w:snapToGrid w:val="0"/>
              <w:spacing w:line="240" w:lineRule="auto"/>
              <w:jc w:val="center"/>
              <w:rPr>
                <w:szCs w:val="21"/>
              </w:rPr>
            </w:pPr>
            <w:r>
              <w:rPr>
                <w:szCs w:val="21"/>
              </w:rPr>
              <w:t>联系方式</w:t>
            </w:r>
          </w:p>
        </w:tc>
        <w:tc>
          <w:tcPr>
            <w:tcW w:w="2915" w:type="dxa"/>
            <w:tcBorders>
              <w:tl2br w:val="nil"/>
              <w:tr2bl w:val="nil"/>
            </w:tcBorders>
            <w:noWrap w:val="0"/>
            <w:vAlign w:val="center"/>
          </w:tcPr>
          <w:p w14:paraId="2772BE51">
            <w:pPr>
              <w:adjustRightInd w:val="0"/>
              <w:snapToGrid w:val="0"/>
              <w:spacing w:line="240" w:lineRule="auto"/>
              <w:jc w:val="center"/>
              <w:rPr>
                <w:rFonts w:hint="default" w:eastAsia="宋体"/>
                <w:szCs w:val="21"/>
                <w:lang w:val="en-US" w:eastAsia="zh-CN"/>
              </w:rPr>
            </w:pPr>
            <w:r>
              <w:rPr>
                <w:rFonts w:hint="eastAsia"/>
                <w:szCs w:val="21"/>
                <w:lang w:val="en-US" w:eastAsia="zh-CN"/>
              </w:rPr>
              <w:t>19999190990</w:t>
            </w:r>
          </w:p>
        </w:tc>
      </w:tr>
      <w:tr w14:paraId="1ABB3D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4DA4E93E">
            <w:pPr>
              <w:adjustRightInd w:val="0"/>
              <w:snapToGrid w:val="0"/>
              <w:spacing w:line="240" w:lineRule="auto"/>
              <w:jc w:val="center"/>
              <w:rPr>
                <w:szCs w:val="21"/>
              </w:rPr>
            </w:pPr>
            <w:r>
              <w:rPr>
                <w:szCs w:val="21"/>
              </w:rPr>
              <w:t>建设地点</w:t>
            </w:r>
          </w:p>
        </w:tc>
        <w:tc>
          <w:tcPr>
            <w:tcW w:w="7524" w:type="dxa"/>
            <w:gridSpan w:val="3"/>
            <w:tcBorders>
              <w:tl2br w:val="nil"/>
              <w:tr2bl w:val="nil"/>
            </w:tcBorders>
            <w:noWrap w:val="0"/>
            <w:vAlign w:val="center"/>
          </w:tcPr>
          <w:p w14:paraId="19F8A620">
            <w:pPr>
              <w:adjustRightInd w:val="0"/>
              <w:snapToGrid w:val="0"/>
              <w:spacing w:line="240" w:lineRule="auto"/>
              <w:jc w:val="center"/>
              <w:rPr>
                <w:szCs w:val="21"/>
              </w:rPr>
            </w:pPr>
            <w:r>
              <w:rPr>
                <w:rFonts w:hint="eastAsia"/>
                <w:szCs w:val="21"/>
                <w:lang w:val="en-US" w:eastAsia="zh-CN"/>
              </w:rPr>
              <w:t>新疆巴州</w:t>
            </w:r>
            <w:r>
              <w:rPr>
                <w:rFonts w:hint="eastAsia"/>
                <w:szCs w:val="21"/>
              </w:rPr>
              <w:t>轮台县轮南镇牙买提社区西环路，百盛加油站以北800米</w:t>
            </w:r>
          </w:p>
        </w:tc>
      </w:tr>
      <w:tr w14:paraId="18D794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76F73F8D">
            <w:pPr>
              <w:adjustRightInd w:val="0"/>
              <w:snapToGrid w:val="0"/>
              <w:spacing w:line="240" w:lineRule="auto"/>
              <w:jc w:val="center"/>
              <w:rPr>
                <w:szCs w:val="21"/>
              </w:rPr>
            </w:pPr>
            <w:r>
              <w:rPr>
                <w:szCs w:val="21"/>
              </w:rPr>
              <w:t>地理坐标</w:t>
            </w:r>
          </w:p>
        </w:tc>
        <w:tc>
          <w:tcPr>
            <w:tcW w:w="7524" w:type="dxa"/>
            <w:gridSpan w:val="3"/>
            <w:tcBorders>
              <w:tl2br w:val="nil"/>
              <w:tr2bl w:val="nil"/>
            </w:tcBorders>
            <w:noWrap w:val="0"/>
            <w:vAlign w:val="center"/>
          </w:tcPr>
          <w:p w14:paraId="3ED18FE6">
            <w:pPr>
              <w:spacing w:line="240" w:lineRule="auto"/>
              <w:jc w:val="center"/>
              <w:rPr>
                <w:szCs w:val="21"/>
              </w:rPr>
            </w:pPr>
            <w:r>
              <w:rPr>
                <w:rFonts w:hint="eastAsia"/>
                <w:szCs w:val="21"/>
                <w:lang w:eastAsia="zh-CN"/>
              </w:rPr>
              <w:t>（</w:t>
            </w:r>
            <w:r>
              <w:rPr>
                <w:rFonts w:hint="eastAsia"/>
                <w:szCs w:val="21"/>
                <w:lang w:val="en-US" w:eastAsia="zh-CN"/>
              </w:rPr>
              <w:t>东经：</w:t>
            </w:r>
            <w:r>
              <w:rPr>
                <w:rFonts w:hint="eastAsia"/>
                <w:szCs w:val="21"/>
              </w:rPr>
              <w:t>84°2′34.313″</w:t>
            </w:r>
            <w:r>
              <w:rPr>
                <w:rFonts w:hint="eastAsia"/>
                <w:szCs w:val="21"/>
                <w:lang w:eastAsia="zh-CN"/>
              </w:rPr>
              <w:t>，</w:t>
            </w:r>
            <w:r>
              <w:rPr>
                <w:rFonts w:hint="eastAsia"/>
                <w:szCs w:val="21"/>
                <w:lang w:val="en-US" w:eastAsia="zh-CN"/>
              </w:rPr>
              <w:t>北纬：</w:t>
            </w:r>
            <w:r>
              <w:rPr>
                <w:rFonts w:hint="eastAsia"/>
                <w:szCs w:val="21"/>
              </w:rPr>
              <w:t>41°20′49.260″</w:t>
            </w:r>
            <w:r>
              <w:rPr>
                <w:rFonts w:hint="eastAsia"/>
                <w:szCs w:val="21"/>
                <w:lang w:eastAsia="zh-CN"/>
              </w:rPr>
              <w:t>）</w:t>
            </w:r>
          </w:p>
        </w:tc>
      </w:tr>
      <w:tr w14:paraId="14E429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313686DD">
            <w:pPr>
              <w:adjustRightInd w:val="0"/>
              <w:snapToGrid w:val="0"/>
              <w:spacing w:line="240" w:lineRule="auto"/>
              <w:jc w:val="center"/>
              <w:rPr>
                <w:szCs w:val="21"/>
              </w:rPr>
            </w:pPr>
            <w:r>
              <w:rPr>
                <w:szCs w:val="21"/>
              </w:rPr>
              <w:t>国民经济</w:t>
            </w:r>
          </w:p>
          <w:p w14:paraId="2D68E5F8">
            <w:pPr>
              <w:adjustRightInd w:val="0"/>
              <w:snapToGrid w:val="0"/>
              <w:spacing w:line="240" w:lineRule="auto"/>
              <w:jc w:val="center"/>
              <w:rPr>
                <w:szCs w:val="21"/>
              </w:rPr>
            </w:pPr>
            <w:r>
              <w:rPr>
                <w:szCs w:val="21"/>
              </w:rPr>
              <w:t>行业类别</w:t>
            </w:r>
          </w:p>
        </w:tc>
        <w:tc>
          <w:tcPr>
            <w:tcW w:w="2911" w:type="dxa"/>
            <w:tcBorders>
              <w:tl2br w:val="nil"/>
              <w:tr2bl w:val="nil"/>
            </w:tcBorders>
            <w:noWrap w:val="0"/>
            <w:vAlign w:val="center"/>
          </w:tcPr>
          <w:p w14:paraId="316596C9">
            <w:pPr>
              <w:adjustRightInd w:val="0"/>
              <w:snapToGrid w:val="0"/>
              <w:spacing w:line="240" w:lineRule="auto"/>
              <w:jc w:val="center"/>
              <w:rPr>
                <w:rFonts w:hint="eastAsia"/>
                <w:szCs w:val="21"/>
              </w:rPr>
            </w:pPr>
            <w:r>
              <w:rPr>
                <w:rFonts w:hint="eastAsia"/>
                <w:szCs w:val="21"/>
                <w:lang w:val="en-US" w:eastAsia="zh-CN"/>
              </w:rPr>
              <w:t>金属表面处理及热处理加工</w:t>
            </w:r>
          </w:p>
          <w:p w14:paraId="5D1E7CF0">
            <w:pPr>
              <w:adjustRightInd w:val="0"/>
              <w:snapToGrid w:val="0"/>
              <w:spacing w:line="240" w:lineRule="auto"/>
              <w:jc w:val="center"/>
              <w:rPr>
                <w:rFonts w:hint="default" w:eastAsia="宋体"/>
                <w:szCs w:val="21"/>
                <w:lang w:val="en-US" w:eastAsia="zh-CN"/>
              </w:rPr>
            </w:pPr>
            <w:r>
              <w:rPr>
                <w:rFonts w:hint="eastAsia"/>
                <w:szCs w:val="21"/>
              </w:rPr>
              <w:t>C</w:t>
            </w:r>
            <w:r>
              <w:rPr>
                <w:rFonts w:hint="eastAsia"/>
                <w:szCs w:val="21"/>
                <w:lang w:val="en-US" w:eastAsia="zh-CN"/>
              </w:rPr>
              <w:t>3360</w:t>
            </w:r>
          </w:p>
        </w:tc>
        <w:tc>
          <w:tcPr>
            <w:tcW w:w="1698" w:type="dxa"/>
            <w:tcBorders>
              <w:tl2br w:val="nil"/>
              <w:tr2bl w:val="nil"/>
            </w:tcBorders>
            <w:noWrap w:val="0"/>
            <w:vAlign w:val="center"/>
          </w:tcPr>
          <w:p w14:paraId="43412122">
            <w:pPr>
              <w:adjustRightInd w:val="0"/>
              <w:snapToGrid w:val="0"/>
              <w:spacing w:line="240" w:lineRule="auto"/>
              <w:jc w:val="center"/>
              <w:rPr>
                <w:szCs w:val="21"/>
              </w:rPr>
            </w:pPr>
            <w:bookmarkStart w:id="1" w:name="_Hlk49843745"/>
            <w:r>
              <w:rPr>
                <w:szCs w:val="21"/>
              </w:rPr>
              <w:t>建设项目</w:t>
            </w:r>
          </w:p>
          <w:p w14:paraId="291396C0">
            <w:pPr>
              <w:adjustRightInd w:val="0"/>
              <w:snapToGrid w:val="0"/>
              <w:spacing w:line="240" w:lineRule="auto"/>
              <w:jc w:val="center"/>
              <w:rPr>
                <w:szCs w:val="21"/>
              </w:rPr>
            </w:pPr>
            <w:r>
              <w:rPr>
                <w:szCs w:val="21"/>
              </w:rPr>
              <w:t>行业类别</w:t>
            </w:r>
            <w:bookmarkEnd w:id="1"/>
          </w:p>
        </w:tc>
        <w:tc>
          <w:tcPr>
            <w:tcW w:w="2915" w:type="dxa"/>
            <w:tcBorders>
              <w:tl2br w:val="nil"/>
              <w:tr2bl w:val="nil"/>
            </w:tcBorders>
            <w:noWrap w:val="0"/>
            <w:vAlign w:val="center"/>
          </w:tcPr>
          <w:p w14:paraId="603CB3A7">
            <w:pPr>
              <w:adjustRightInd w:val="0"/>
              <w:snapToGrid w:val="0"/>
              <w:spacing w:line="240" w:lineRule="auto"/>
              <w:jc w:val="center"/>
              <w:rPr>
                <w:szCs w:val="21"/>
              </w:rPr>
            </w:pPr>
            <w:r>
              <w:rPr>
                <w:rFonts w:hint="eastAsia"/>
                <w:szCs w:val="21"/>
                <w:lang w:val="en-US" w:eastAsia="zh-CN"/>
              </w:rPr>
              <w:t>三十、金属制品业-67金属表面处理及热处理加工-其他</w:t>
            </w:r>
          </w:p>
        </w:tc>
      </w:tr>
      <w:tr w14:paraId="7E5F83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0AADA219">
            <w:pPr>
              <w:adjustRightInd w:val="0"/>
              <w:snapToGrid w:val="0"/>
              <w:spacing w:line="240" w:lineRule="auto"/>
              <w:jc w:val="center"/>
              <w:rPr>
                <w:szCs w:val="21"/>
              </w:rPr>
            </w:pPr>
            <w:r>
              <w:rPr>
                <w:szCs w:val="21"/>
              </w:rPr>
              <w:t>建设性质</w:t>
            </w:r>
          </w:p>
        </w:tc>
        <w:tc>
          <w:tcPr>
            <w:tcW w:w="2911" w:type="dxa"/>
            <w:tcBorders>
              <w:tl2br w:val="nil"/>
              <w:tr2bl w:val="nil"/>
            </w:tcBorders>
            <w:noWrap w:val="0"/>
            <w:vAlign w:val="center"/>
          </w:tcPr>
          <w:p w14:paraId="6BE78D3D">
            <w:pPr>
              <w:spacing w:line="240" w:lineRule="auto"/>
              <w:jc w:val="left"/>
              <w:rPr>
                <w:szCs w:val="21"/>
              </w:rPr>
            </w:pPr>
            <w:r>
              <w:rPr>
                <w:szCs w:val="21"/>
              </w:rPr>
              <w:sym w:font="Wingdings" w:char="00FE"/>
            </w:r>
            <w:r>
              <w:rPr>
                <w:szCs w:val="21"/>
              </w:rPr>
              <w:t>新建</w:t>
            </w:r>
          </w:p>
          <w:p w14:paraId="16DDC971">
            <w:pPr>
              <w:spacing w:line="240" w:lineRule="auto"/>
              <w:jc w:val="left"/>
              <w:rPr>
                <w:szCs w:val="21"/>
              </w:rPr>
            </w:pPr>
            <w:r>
              <w:rPr>
                <w:szCs w:val="21"/>
              </w:rPr>
              <w:sym w:font="Wingdings" w:char="00A8"/>
            </w:r>
            <w:r>
              <w:rPr>
                <w:szCs w:val="21"/>
              </w:rPr>
              <w:t>改建</w:t>
            </w:r>
          </w:p>
          <w:p w14:paraId="01956BDD">
            <w:pPr>
              <w:spacing w:line="240" w:lineRule="auto"/>
              <w:jc w:val="left"/>
              <w:rPr>
                <w:szCs w:val="21"/>
              </w:rPr>
            </w:pPr>
            <w:r>
              <w:rPr>
                <w:szCs w:val="21"/>
              </w:rPr>
              <w:sym w:font="Wingdings" w:char="00A8"/>
            </w:r>
            <w:r>
              <w:rPr>
                <w:szCs w:val="21"/>
              </w:rPr>
              <w:t>扩建</w:t>
            </w:r>
          </w:p>
          <w:p w14:paraId="405743B7">
            <w:pPr>
              <w:spacing w:line="240" w:lineRule="auto"/>
              <w:jc w:val="left"/>
              <w:rPr>
                <w:szCs w:val="21"/>
              </w:rPr>
            </w:pPr>
            <w:r>
              <w:rPr>
                <w:szCs w:val="21"/>
              </w:rPr>
              <w:sym w:font="Wingdings" w:char="00A8"/>
            </w:r>
            <w:r>
              <w:rPr>
                <w:szCs w:val="21"/>
              </w:rPr>
              <w:t>技术改造</w:t>
            </w:r>
          </w:p>
        </w:tc>
        <w:tc>
          <w:tcPr>
            <w:tcW w:w="1698" w:type="dxa"/>
            <w:tcBorders>
              <w:tl2br w:val="nil"/>
              <w:tr2bl w:val="nil"/>
            </w:tcBorders>
            <w:noWrap w:val="0"/>
            <w:vAlign w:val="center"/>
          </w:tcPr>
          <w:p w14:paraId="3849E5AB">
            <w:pPr>
              <w:adjustRightInd w:val="0"/>
              <w:snapToGrid w:val="0"/>
              <w:spacing w:line="240" w:lineRule="auto"/>
              <w:jc w:val="center"/>
              <w:rPr>
                <w:szCs w:val="21"/>
              </w:rPr>
            </w:pPr>
            <w:r>
              <w:rPr>
                <w:szCs w:val="21"/>
              </w:rPr>
              <w:t>建设项目</w:t>
            </w:r>
          </w:p>
          <w:p w14:paraId="749FEE71">
            <w:pPr>
              <w:adjustRightInd w:val="0"/>
              <w:snapToGrid w:val="0"/>
              <w:spacing w:line="240" w:lineRule="auto"/>
              <w:jc w:val="center"/>
              <w:rPr>
                <w:szCs w:val="21"/>
              </w:rPr>
            </w:pPr>
            <w:r>
              <w:rPr>
                <w:szCs w:val="21"/>
              </w:rPr>
              <w:t>申报情形</w:t>
            </w:r>
          </w:p>
        </w:tc>
        <w:tc>
          <w:tcPr>
            <w:tcW w:w="2915" w:type="dxa"/>
            <w:tcBorders>
              <w:tl2br w:val="nil"/>
              <w:tr2bl w:val="nil"/>
            </w:tcBorders>
            <w:noWrap w:val="0"/>
            <w:vAlign w:val="center"/>
          </w:tcPr>
          <w:p w14:paraId="593C43D0">
            <w:pPr>
              <w:spacing w:line="240" w:lineRule="auto"/>
              <w:jc w:val="left"/>
              <w:rPr>
                <w:szCs w:val="21"/>
              </w:rPr>
            </w:pPr>
            <w:r>
              <w:rPr>
                <w:szCs w:val="21"/>
              </w:rPr>
              <w:sym w:font="Wingdings" w:char="00FE"/>
            </w:r>
            <w:r>
              <w:rPr>
                <w:szCs w:val="21"/>
              </w:rPr>
              <w:t xml:space="preserve">首次申报项目             </w:t>
            </w:r>
          </w:p>
          <w:p w14:paraId="25DE98F8">
            <w:pPr>
              <w:spacing w:line="240" w:lineRule="auto"/>
              <w:jc w:val="left"/>
              <w:rPr>
                <w:szCs w:val="21"/>
              </w:rPr>
            </w:pPr>
            <w:r>
              <w:rPr>
                <w:szCs w:val="21"/>
              </w:rPr>
              <w:sym w:font="Wingdings" w:char="00A8"/>
            </w:r>
            <w:r>
              <w:rPr>
                <w:szCs w:val="21"/>
              </w:rPr>
              <w:t>不予批准后再次申报项目</w:t>
            </w:r>
          </w:p>
          <w:p w14:paraId="1A711810">
            <w:pPr>
              <w:spacing w:line="240" w:lineRule="auto"/>
              <w:jc w:val="left"/>
              <w:rPr>
                <w:szCs w:val="21"/>
              </w:rPr>
            </w:pPr>
            <w:r>
              <w:rPr>
                <w:szCs w:val="21"/>
              </w:rPr>
              <w:sym w:font="Wingdings" w:char="00A8"/>
            </w:r>
            <w:r>
              <w:rPr>
                <w:szCs w:val="21"/>
              </w:rPr>
              <w:t xml:space="preserve">超五年重新审核项目     </w:t>
            </w:r>
          </w:p>
          <w:p w14:paraId="65822886">
            <w:pPr>
              <w:spacing w:line="240" w:lineRule="auto"/>
              <w:jc w:val="left"/>
              <w:rPr>
                <w:szCs w:val="21"/>
              </w:rPr>
            </w:pPr>
            <w:r>
              <w:rPr>
                <w:szCs w:val="21"/>
              </w:rPr>
              <w:sym w:font="Wingdings" w:char="00A8"/>
            </w:r>
            <w:r>
              <w:rPr>
                <w:szCs w:val="21"/>
              </w:rPr>
              <w:t>重大变动重新报批项目</w:t>
            </w:r>
          </w:p>
        </w:tc>
      </w:tr>
      <w:tr w14:paraId="73AEE0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1020DA80">
            <w:pPr>
              <w:adjustRightInd w:val="0"/>
              <w:snapToGrid w:val="0"/>
              <w:spacing w:line="240" w:lineRule="auto"/>
              <w:jc w:val="center"/>
              <w:rPr>
                <w:szCs w:val="21"/>
              </w:rPr>
            </w:pPr>
            <w:r>
              <w:rPr>
                <w:szCs w:val="21"/>
              </w:rPr>
              <w:t>项目审批部门</w:t>
            </w:r>
          </w:p>
        </w:tc>
        <w:tc>
          <w:tcPr>
            <w:tcW w:w="2911" w:type="dxa"/>
            <w:tcBorders>
              <w:tl2br w:val="nil"/>
              <w:tr2bl w:val="nil"/>
            </w:tcBorders>
            <w:noWrap w:val="0"/>
            <w:vAlign w:val="center"/>
          </w:tcPr>
          <w:p w14:paraId="0AD045AB">
            <w:pPr>
              <w:adjustRightInd w:val="0"/>
              <w:snapToGrid w:val="0"/>
              <w:spacing w:line="240" w:lineRule="auto"/>
              <w:jc w:val="center"/>
              <w:rPr>
                <w:rFonts w:hint="eastAsia" w:eastAsia="宋体"/>
                <w:szCs w:val="21"/>
                <w:lang w:val="en-US" w:eastAsia="zh-CN"/>
              </w:rPr>
            </w:pPr>
            <w:r>
              <w:rPr>
                <w:rFonts w:hint="eastAsia"/>
                <w:szCs w:val="21"/>
                <w:lang w:val="en-US" w:eastAsia="zh-CN"/>
              </w:rPr>
              <w:t>无</w:t>
            </w:r>
          </w:p>
        </w:tc>
        <w:tc>
          <w:tcPr>
            <w:tcW w:w="1698" w:type="dxa"/>
            <w:tcBorders>
              <w:tl2br w:val="nil"/>
              <w:tr2bl w:val="nil"/>
            </w:tcBorders>
            <w:noWrap w:val="0"/>
            <w:vAlign w:val="center"/>
          </w:tcPr>
          <w:p w14:paraId="4AC18CC0">
            <w:pPr>
              <w:adjustRightInd w:val="0"/>
              <w:snapToGrid w:val="0"/>
              <w:spacing w:line="240" w:lineRule="auto"/>
              <w:jc w:val="center"/>
              <w:rPr>
                <w:szCs w:val="21"/>
              </w:rPr>
            </w:pPr>
            <w:r>
              <w:rPr>
                <w:szCs w:val="21"/>
              </w:rPr>
              <w:t>项目审批文号</w:t>
            </w:r>
          </w:p>
        </w:tc>
        <w:tc>
          <w:tcPr>
            <w:tcW w:w="2915" w:type="dxa"/>
            <w:tcBorders>
              <w:tl2br w:val="nil"/>
              <w:tr2bl w:val="nil"/>
            </w:tcBorders>
            <w:noWrap w:val="0"/>
            <w:vAlign w:val="center"/>
          </w:tcPr>
          <w:p w14:paraId="32A05165">
            <w:pPr>
              <w:adjustRightInd w:val="0"/>
              <w:snapToGrid w:val="0"/>
              <w:spacing w:line="240" w:lineRule="auto"/>
              <w:jc w:val="center"/>
              <w:rPr>
                <w:rFonts w:hint="eastAsia" w:eastAsia="宋体"/>
                <w:szCs w:val="21"/>
                <w:lang w:val="en-US" w:eastAsia="zh-CN"/>
              </w:rPr>
            </w:pPr>
            <w:r>
              <w:rPr>
                <w:rFonts w:hint="eastAsia"/>
                <w:szCs w:val="21"/>
                <w:lang w:val="en-US" w:eastAsia="zh-CN"/>
              </w:rPr>
              <w:t>无</w:t>
            </w:r>
          </w:p>
        </w:tc>
      </w:tr>
      <w:tr w14:paraId="07C9B7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5F72686F">
            <w:pPr>
              <w:adjustRightInd w:val="0"/>
              <w:snapToGrid w:val="0"/>
              <w:spacing w:line="240" w:lineRule="auto"/>
              <w:jc w:val="center"/>
              <w:rPr>
                <w:szCs w:val="21"/>
              </w:rPr>
            </w:pPr>
            <w:r>
              <w:rPr>
                <w:szCs w:val="21"/>
              </w:rPr>
              <w:t>总投资（万元）</w:t>
            </w:r>
          </w:p>
        </w:tc>
        <w:tc>
          <w:tcPr>
            <w:tcW w:w="2911" w:type="dxa"/>
            <w:tcBorders>
              <w:tl2br w:val="nil"/>
              <w:tr2bl w:val="nil"/>
            </w:tcBorders>
            <w:noWrap w:val="0"/>
            <w:vAlign w:val="center"/>
          </w:tcPr>
          <w:p w14:paraId="05D0BAC4">
            <w:pPr>
              <w:adjustRightInd w:val="0"/>
              <w:snapToGrid w:val="0"/>
              <w:spacing w:line="240" w:lineRule="auto"/>
              <w:jc w:val="center"/>
              <w:rPr>
                <w:rFonts w:hint="default" w:eastAsia="宋体"/>
                <w:szCs w:val="21"/>
                <w:lang w:val="en-US" w:eastAsia="zh-CN"/>
              </w:rPr>
            </w:pPr>
            <w:r>
              <w:rPr>
                <w:rFonts w:hint="eastAsia"/>
                <w:szCs w:val="21"/>
                <w:lang w:val="en-US" w:eastAsia="zh-CN"/>
              </w:rPr>
              <w:t>100</w:t>
            </w:r>
          </w:p>
        </w:tc>
        <w:tc>
          <w:tcPr>
            <w:tcW w:w="1698" w:type="dxa"/>
            <w:tcBorders>
              <w:tl2br w:val="nil"/>
              <w:tr2bl w:val="nil"/>
            </w:tcBorders>
            <w:noWrap w:val="0"/>
            <w:tcMar>
              <w:top w:w="16" w:type="dxa"/>
              <w:left w:w="16" w:type="dxa"/>
              <w:right w:w="16" w:type="dxa"/>
            </w:tcMar>
            <w:vAlign w:val="center"/>
          </w:tcPr>
          <w:p w14:paraId="3D85F13C">
            <w:pPr>
              <w:adjustRightInd w:val="0"/>
              <w:snapToGrid w:val="0"/>
              <w:spacing w:line="240" w:lineRule="auto"/>
              <w:jc w:val="center"/>
              <w:rPr>
                <w:szCs w:val="21"/>
              </w:rPr>
            </w:pPr>
            <w:r>
              <w:rPr>
                <w:szCs w:val="21"/>
              </w:rPr>
              <w:t>环保投资（万元）</w:t>
            </w:r>
          </w:p>
        </w:tc>
        <w:tc>
          <w:tcPr>
            <w:tcW w:w="2915" w:type="dxa"/>
            <w:tcBorders>
              <w:tl2br w:val="nil"/>
              <w:tr2bl w:val="nil"/>
            </w:tcBorders>
            <w:noWrap w:val="0"/>
            <w:vAlign w:val="center"/>
          </w:tcPr>
          <w:p w14:paraId="0B1D7FA4">
            <w:pPr>
              <w:adjustRightInd w:val="0"/>
              <w:snapToGrid w:val="0"/>
              <w:spacing w:line="240" w:lineRule="auto"/>
              <w:jc w:val="center"/>
              <w:rPr>
                <w:rFonts w:hint="default" w:eastAsia="宋体"/>
                <w:szCs w:val="21"/>
                <w:lang w:val="en-US" w:eastAsia="zh-CN"/>
              </w:rPr>
            </w:pPr>
            <w:r>
              <w:rPr>
                <w:rFonts w:hint="eastAsia"/>
                <w:lang w:val="en-US" w:eastAsia="zh-CN"/>
              </w:rPr>
              <w:t>18</w:t>
            </w:r>
          </w:p>
        </w:tc>
      </w:tr>
      <w:tr w14:paraId="00F57E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20507DB9">
            <w:pPr>
              <w:adjustRightInd w:val="0"/>
              <w:snapToGrid w:val="0"/>
              <w:spacing w:line="240" w:lineRule="auto"/>
              <w:jc w:val="center"/>
              <w:rPr>
                <w:szCs w:val="21"/>
              </w:rPr>
            </w:pPr>
            <w:r>
              <w:rPr>
                <w:szCs w:val="21"/>
              </w:rPr>
              <w:t>环保投资占比（%）</w:t>
            </w:r>
          </w:p>
        </w:tc>
        <w:tc>
          <w:tcPr>
            <w:tcW w:w="2911" w:type="dxa"/>
            <w:tcBorders>
              <w:tl2br w:val="nil"/>
              <w:tr2bl w:val="nil"/>
            </w:tcBorders>
            <w:noWrap w:val="0"/>
            <w:vAlign w:val="center"/>
          </w:tcPr>
          <w:p w14:paraId="7BDEAAA8">
            <w:pPr>
              <w:adjustRightInd w:val="0"/>
              <w:snapToGrid w:val="0"/>
              <w:spacing w:line="240" w:lineRule="auto"/>
              <w:jc w:val="center"/>
              <w:rPr>
                <w:rFonts w:hint="default" w:eastAsia="宋体"/>
                <w:szCs w:val="21"/>
                <w:lang w:val="en-US" w:eastAsia="zh-CN"/>
              </w:rPr>
            </w:pPr>
            <w:r>
              <w:rPr>
                <w:rFonts w:hint="eastAsia"/>
                <w:lang w:val="en-US" w:eastAsia="zh-CN"/>
              </w:rPr>
              <w:t>18</w:t>
            </w:r>
          </w:p>
        </w:tc>
        <w:tc>
          <w:tcPr>
            <w:tcW w:w="1698" w:type="dxa"/>
            <w:tcBorders>
              <w:tl2br w:val="nil"/>
              <w:tr2bl w:val="nil"/>
            </w:tcBorders>
            <w:noWrap w:val="0"/>
            <w:tcMar>
              <w:top w:w="16" w:type="dxa"/>
              <w:left w:w="16" w:type="dxa"/>
              <w:right w:w="16" w:type="dxa"/>
            </w:tcMar>
            <w:vAlign w:val="center"/>
          </w:tcPr>
          <w:p w14:paraId="7046F802">
            <w:pPr>
              <w:adjustRightInd w:val="0"/>
              <w:snapToGrid w:val="0"/>
              <w:spacing w:line="240" w:lineRule="auto"/>
              <w:jc w:val="center"/>
              <w:rPr>
                <w:szCs w:val="21"/>
              </w:rPr>
            </w:pPr>
            <w:r>
              <w:rPr>
                <w:szCs w:val="21"/>
              </w:rPr>
              <w:t>施工工期</w:t>
            </w:r>
          </w:p>
        </w:tc>
        <w:tc>
          <w:tcPr>
            <w:tcW w:w="2915" w:type="dxa"/>
            <w:tcBorders>
              <w:tl2br w:val="nil"/>
              <w:tr2bl w:val="nil"/>
            </w:tcBorders>
            <w:noWrap w:val="0"/>
            <w:vAlign w:val="center"/>
          </w:tcPr>
          <w:p w14:paraId="75B0601F">
            <w:pPr>
              <w:adjustRightInd w:val="0"/>
              <w:snapToGrid w:val="0"/>
              <w:spacing w:line="240" w:lineRule="auto"/>
              <w:jc w:val="center"/>
              <w:rPr>
                <w:rFonts w:hint="eastAsia" w:eastAsia="宋体"/>
                <w:szCs w:val="21"/>
                <w:lang w:val="en-US" w:eastAsia="zh-CN"/>
              </w:rPr>
            </w:pPr>
            <w:r>
              <w:rPr>
                <w:rFonts w:hint="eastAsia"/>
                <w:szCs w:val="21"/>
                <w:lang w:val="en-US" w:eastAsia="zh-CN"/>
              </w:rPr>
              <w:t>5</w:t>
            </w:r>
            <w:r>
              <w:rPr>
                <w:rFonts w:hint="eastAsia"/>
                <w:lang w:val="en-US" w:eastAsia="zh-CN"/>
              </w:rPr>
              <w:t>个月</w:t>
            </w:r>
          </w:p>
        </w:tc>
      </w:tr>
      <w:tr w14:paraId="4525E3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346" w:type="dxa"/>
            <w:tcBorders>
              <w:tl2br w:val="nil"/>
              <w:tr2bl w:val="nil"/>
            </w:tcBorders>
            <w:noWrap w:val="0"/>
            <w:tcMar>
              <w:top w:w="16" w:type="dxa"/>
              <w:left w:w="16" w:type="dxa"/>
              <w:right w:w="16" w:type="dxa"/>
            </w:tcMar>
            <w:vAlign w:val="center"/>
          </w:tcPr>
          <w:p w14:paraId="67D59639">
            <w:pPr>
              <w:adjustRightInd w:val="0"/>
              <w:snapToGrid w:val="0"/>
              <w:spacing w:line="240" w:lineRule="auto"/>
              <w:jc w:val="center"/>
              <w:rPr>
                <w:szCs w:val="21"/>
              </w:rPr>
            </w:pPr>
            <w:r>
              <w:rPr>
                <w:szCs w:val="21"/>
              </w:rPr>
              <w:t>是否开工建设</w:t>
            </w:r>
          </w:p>
        </w:tc>
        <w:tc>
          <w:tcPr>
            <w:tcW w:w="2911" w:type="dxa"/>
            <w:tcBorders>
              <w:tl2br w:val="nil"/>
              <w:tr2bl w:val="nil"/>
            </w:tcBorders>
            <w:noWrap w:val="0"/>
            <w:vAlign w:val="center"/>
          </w:tcPr>
          <w:p w14:paraId="00A87318">
            <w:pPr>
              <w:adjustRightInd w:val="0"/>
              <w:snapToGrid w:val="0"/>
              <w:spacing w:line="240" w:lineRule="auto"/>
              <w:rPr>
                <w:szCs w:val="21"/>
              </w:rPr>
            </w:pPr>
            <w:r>
              <w:rPr>
                <w:szCs w:val="21"/>
              </w:rPr>
              <w:sym w:font="Wingdings" w:char="00A8"/>
            </w:r>
            <w:r>
              <w:rPr>
                <w:szCs w:val="21"/>
              </w:rPr>
              <w:t>否</w:t>
            </w:r>
          </w:p>
          <w:p w14:paraId="4E7C73E9">
            <w:pPr>
              <w:adjustRightInd w:val="0"/>
              <w:snapToGrid w:val="0"/>
              <w:spacing w:line="240" w:lineRule="auto"/>
              <w:rPr>
                <w:szCs w:val="21"/>
              </w:rPr>
            </w:pPr>
            <w:r>
              <w:rPr>
                <w:szCs w:val="21"/>
              </w:rPr>
              <w:sym w:font="Wingdings" w:char="00FE"/>
            </w:r>
            <w:r>
              <w:rPr>
                <w:szCs w:val="21"/>
              </w:rPr>
              <w:t>是：</w:t>
            </w:r>
            <w:r>
              <w:rPr>
                <w:rFonts w:hint="eastAsia"/>
                <w:szCs w:val="21"/>
                <w:u w:val="single"/>
              </w:rPr>
              <w:t xml:space="preserve"> </w:t>
            </w:r>
            <w:r>
              <w:rPr>
                <w:rFonts w:hint="eastAsia"/>
                <w:szCs w:val="21"/>
                <w:u w:val="single"/>
                <w:lang w:val="en-US" w:eastAsia="zh-CN"/>
              </w:rPr>
              <w:t>本项目于2020年10月开工建设，2021年3月建设完成，并投入使用，目前未受到处罚。</w:t>
            </w:r>
            <w:r>
              <w:rPr>
                <w:rFonts w:hint="eastAsia"/>
                <w:szCs w:val="21"/>
                <w:u w:val="single"/>
              </w:rPr>
              <w:t xml:space="preserve">          </w:t>
            </w:r>
          </w:p>
        </w:tc>
        <w:tc>
          <w:tcPr>
            <w:tcW w:w="1698" w:type="dxa"/>
            <w:tcBorders>
              <w:tl2br w:val="nil"/>
              <w:tr2bl w:val="nil"/>
            </w:tcBorders>
            <w:noWrap w:val="0"/>
            <w:tcMar>
              <w:top w:w="16" w:type="dxa"/>
              <w:left w:w="16" w:type="dxa"/>
              <w:right w:w="16" w:type="dxa"/>
            </w:tcMar>
            <w:vAlign w:val="center"/>
          </w:tcPr>
          <w:p w14:paraId="6AF497D4">
            <w:pPr>
              <w:adjustRightInd w:val="0"/>
              <w:snapToGrid w:val="0"/>
              <w:spacing w:line="240" w:lineRule="auto"/>
              <w:jc w:val="center"/>
              <w:rPr>
                <w:spacing w:val="-6"/>
                <w:szCs w:val="21"/>
              </w:rPr>
            </w:pPr>
            <w:r>
              <w:rPr>
                <w:spacing w:val="-6"/>
                <w:szCs w:val="21"/>
              </w:rPr>
              <w:t>用地（用海）</w:t>
            </w:r>
          </w:p>
          <w:p w14:paraId="3DB05288">
            <w:pPr>
              <w:adjustRightInd w:val="0"/>
              <w:snapToGrid w:val="0"/>
              <w:spacing w:line="240" w:lineRule="auto"/>
              <w:jc w:val="center"/>
              <w:rPr>
                <w:szCs w:val="21"/>
              </w:rPr>
            </w:pPr>
            <w:r>
              <w:rPr>
                <w:spacing w:val="-6"/>
                <w:szCs w:val="21"/>
              </w:rPr>
              <w:t>面积（m</w:t>
            </w:r>
            <w:r>
              <w:rPr>
                <w:spacing w:val="-6"/>
                <w:szCs w:val="21"/>
                <w:vertAlign w:val="superscript"/>
              </w:rPr>
              <w:t>2</w:t>
            </w:r>
            <w:r>
              <w:rPr>
                <w:spacing w:val="-6"/>
                <w:szCs w:val="21"/>
              </w:rPr>
              <w:t>）</w:t>
            </w:r>
          </w:p>
        </w:tc>
        <w:tc>
          <w:tcPr>
            <w:tcW w:w="2915" w:type="dxa"/>
            <w:tcBorders>
              <w:tl2br w:val="nil"/>
              <w:tr2bl w:val="nil"/>
            </w:tcBorders>
            <w:noWrap w:val="0"/>
            <w:vAlign w:val="center"/>
          </w:tcPr>
          <w:p w14:paraId="4CBF74F5">
            <w:pPr>
              <w:adjustRightInd w:val="0"/>
              <w:snapToGrid w:val="0"/>
              <w:spacing w:line="240" w:lineRule="auto"/>
              <w:jc w:val="center"/>
              <w:rPr>
                <w:rFonts w:hint="default" w:eastAsia="宋体"/>
                <w:szCs w:val="21"/>
                <w:lang w:val="en-US" w:eastAsia="zh-CN"/>
              </w:rPr>
            </w:pPr>
            <w:r>
              <w:rPr>
                <w:rFonts w:hint="eastAsia"/>
                <w:szCs w:val="21"/>
                <w:lang w:val="en-US" w:eastAsia="zh-CN"/>
              </w:rPr>
              <w:t>21600m</w:t>
            </w:r>
            <w:r>
              <w:rPr>
                <w:rFonts w:hint="eastAsia"/>
                <w:szCs w:val="21"/>
                <w:vertAlign w:val="superscript"/>
                <w:lang w:val="en-US" w:eastAsia="zh-CN"/>
              </w:rPr>
              <w:t>2</w:t>
            </w:r>
          </w:p>
        </w:tc>
      </w:tr>
      <w:tr w14:paraId="18CCD6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46" w:type="dxa"/>
            <w:tcBorders>
              <w:tl2br w:val="nil"/>
              <w:tr2bl w:val="nil"/>
            </w:tcBorders>
            <w:noWrap w:val="0"/>
            <w:vAlign w:val="center"/>
          </w:tcPr>
          <w:p w14:paraId="058133D9">
            <w:pPr>
              <w:autoSpaceDE w:val="0"/>
              <w:autoSpaceDN w:val="0"/>
              <w:adjustRightInd w:val="0"/>
              <w:snapToGrid w:val="0"/>
              <w:spacing w:line="240" w:lineRule="auto"/>
              <w:jc w:val="center"/>
              <w:rPr>
                <w:kern w:val="0"/>
                <w:szCs w:val="21"/>
              </w:rPr>
            </w:pPr>
            <w:r>
              <w:rPr>
                <w:kern w:val="0"/>
                <w:szCs w:val="21"/>
              </w:rPr>
              <w:t>专项评价设置情况</w:t>
            </w:r>
          </w:p>
        </w:tc>
        <w:tc>
          <w:tcPr>
            <w:tcW w:w="7524" w:type="dxa"/>
            <w:gridSpan w:val="3"/>
            <w:tcBorders>
              <w:tl2br w:val="nil"/>
              <w:tr2bl w:val="nil"/>
            </w:tcBorders>
            <w:noWrap w:val="0"/>
            <w:vAlign w:val="center"/>
          </w:tcPr>
          <w:p w14:paraId="7FE8BA77">
            <w:pPr>
              <w:autoSpaceDE w:val="0"/>
              <w:autoSpaceDN w:val="0"/>
              <w:adjustRightInd w:val="0"/>
              <w:snapToGrid w:val="0"/>
              <w:jc w:val="center"/>
              <w:rPr>
                <w:kern w:val="0"/>
              </w:rPr>
            </w:pPr>
            <w:r>
              <w:rPr>
                <w:kern w:val="0"/>
              </w:rPr>
              <w:t>无</w:t>
            </w:r>
          </w:p>
        </w:tc>
      </w:tr>
      <w:tr w14:paraId="473C8B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46" w:type="dxa"/>
            <w:tcBorders>
              <w:tl2br w:val="nil"/>
              <w:tr2bl w:val="nil"/>
            </w:tcBorders>
            <w:noWrap w:val="0"/>
            <w:vAlign w:val="center"/>
          </w:tcPr>
          <w:p w14:paraId="651E6384">
            <w:pPr>
              <w:autoSpaceDE w:val="0"/>
              <w:autoSpaceDN w:val="0"/>
              <w:adjustRightInd w:val="0"/>
              <w:snapToGrid w:val="0"/>
              <w:spacing w:line="240" w:lineRule="auto"/>
              <w:jc w:val="center"/>
              <w:rPr>
                <w:kern w:val="0"/>
                <w:szCs w:val="21"/>
              </w:rPr>
            </w:pPr>
            <w:r>
              <w:rPr>
                <w:szCs w:val="21"/>
              </w:rPr>
              <w:t>规划情况</w:t>
            </w:r>
          </w:p>
        </w:tc>
        <w:tc>
          <w:tcPr>
            <w:tcW w:w="7524" w:type="dxa"/>
            <w:gridSpan w:val="3"/>
            <w:tcBorders>
              <w:tl2br w:val="nil"/>
              <w:tr2bl w:val="nil"/>
            </w:tcBorders>
            <w:noWrap w:val="0"/>
            <w:vAlign w:val="center"/>
          </w:tcPr>
          <w:p w14:paraId="24CB79D3">
            <w:pPr>
              <w:autoSpaceDE w:val="0"/>
              <w:autoSpaceDN w:val="0"/>
              <w:adjustRightInd w:val="0"/>
              <w:snapToGrid w:val="0"/>
              <w:jc w:val="center"/>
              <w:rPr>
                <w:rFonts w:hint="eastAsia"/>
                <w:color w:val="000000"/>
                <w:kern w:val="0"/>
              </w:rPr>
            </w:pPr>
            <w:r>
              <w:rPr>
                <w:rFonts w:hint="eastAsia"/>
                <w:color w:val="000000"/>
                <w:kern w:val="0"/>
              </w:rPr>
              <w:t>无</w:t>
            </w:r>
          </w:p>
        </w:tc>
      </w:tr>
      <w:tr w14:paraId="2D3B93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46" w:type="dxa"/>
            <w:tcBorders>
              <w:tl2br w:val="nil"/>
              <w:tr2bl w:val="nil"/>
            </w:tcBorders>
            <w:noWrap w:val="0"/>
            <w:vAlign w:val="center"/>
          </w:tcPr>
          <w:p w14:paraId="1BAE3FBE">
            <w:pPr>
              <w:adjustRightInd w:val="0"/>
              <w:snapToGrid w:val="0"/>
              <w:spacing w:line="240" w:lineRule="auto"/>
              <w:jc w:val="center"/>
              <w:rPr>
                <w:kern w:val="0"/>
                <w:szCs w:val="21"/>
              </w:rPr>
            </w:pPr>
            <w:r>
              <w:rPr>
                <w:szCs w:val="21"/>
              </w:rPr>
              <w:t>规划环境影响评价情况</w:t>
            </w:r>
          </w:p>
        </w:tc>
        <w:tc>
          <w:tcPr>
            <w:tcW w:w="7524" w:type="dxa"/>
            <w:gridSpan w:val="3"/>
            <w:tcBorders>
              <w:tl2br w:val="nil"/>
              <w:tr2bl w:val="nil"/>
            </w:tcBorders>
            <w:noWrap w:val="0"/>
            <w:vAlign w:val="center"/>
          </w:tcPr>
          <w:p w14:paraId="74971EA2">
            <w:pPr>
              <w:autoSpaceDE w:val="0"/>
              <w:autoSpaceDN w:val="0"/>
              <w:adjustRightInd w:val="0"/>
              <w:snapToGrid w:val="0"/>
              <w:jc w:val="center"/>
              <w:rPr>
                <w:color w:val="000000"/>
                <w:kern w:val="0"/>
              </w:rPr>
            </w:pPr>
            <w:r>
              <w:rPr>
                <w:rFonts w:hint="eastAsia"/>
                <w:color w:val="000000"/>
                <w:kern w:val="0"/>
              </w:rPr>
              <w:t>无</w:t>
            </w:r>
          </w:p>
        </w:tc>
      </w:tr>
      <w:tr w14:paraId="041B7B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46" w:type="dxa"/>
            <w:tcBorders>
              <w:tl2br w:val="nil"/>
              <w:tr2bl w:val="nil"/>
            </w:tcBorders>
            <w:noWrap w:val="0"/>
            <w:vAlign w:val="center"/>
          </w:tcPr>
          <w:p w14:paraId="2BAD16FD">
            <w:pPr>
              <w:autoSpaceDE w:val="0"/>
              <w:autoSpaceDN w:val="0"/>
              <w:adjustRightInd w:val="0"/>
              <w:snapToGrid w:val="0"/>
              <w:spacing w:line="240" w:lineRule="auto"/>
              <w:jc w:val="center"/>
              <w:rPr>
                <w:kern w:val="0"/>
                <w:szCs w:val="21"/>
              </w:rPr>
            </w:pPr>
            <w:r>
              <w:rPr>
                <w:kern w:val="0"/>
                <w:szCs w:val="21"/>
              </w:rPr>
              <w:t>规划及规划环境影响评价符合性分析</w:t>
            </w:r>
          </w:p>
        </w:tc>
        <w:tc>
          <w:tcPr>
            <w:tcW w:w="7524" w:type="dxa"/>
            <w:gridSpan w:val="3"/>
            <w:tcBorders>
              <w:tl2br w:val="nil"/>
              <w:tr2bl w:val="nil"/>
            </w:tcBorders>
            <w:noWrap w:val="0"/>
            <w:vAlign w:val="center"/>
          </w:tcPr>
          <w:p w14:paraId="1772D1D0">
            <w:pPr>
              <w:adjustRightInd w:val="0"/>
              <w:snapToGrid w:val="0"/>
              <w:jc w:val="center"/>
              <w:rPr>
                <w:color w:val="000000"/>
              </w:rPr>
            </w:pPr>
            <w:r>
              <w:rPr>
                <w:rFonts w:hint="eastAsia"/>
                <w:color w:val="000000"/>
              </w:rPr>
              <w:t>无</w:t>
            </w:r>
          </w:p>
        </w:tc>
      </w:tr>
      <w:tr w14:paraId="4917CE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346" w:type="dxa"/>
            <w:tcBorders>
              <w:tl2br w:val="nil"/>
              <w:tr2bl w:val="nil"/>
            </w:tcBorders>
            <w:noWrap w:val="0"/>
            <w:vAlign w:val="center"/>
          </w:tcPr>
          <w:p w14:paraId="4B1C9A4C">
            <w:pPr>
              <w:autoSpaceDE w:val="0"/>
              <w:autoSpaceDN w:val="0"/>
              <w:adjustRightInd w:val="0"/>
              <w:snapToGrid w:val="0"/>
              <w:jc w:val="center"/>
              <w:rPr>
                <w:kern w:val="0"/>
                <w:szCs w:val="21"/>
              </w:rPr>
            </w:pPr>
            <w:r>
              <w:rPr>
                <w:kern w:val="0"/>
                <w:szCs w:val="21"/>
              </w:rPr>
              <w:t>其他符合性分析</w:t>
            </w:r>
          </w:p>
        </w:tc>
        <w:tc>
          <w:tcPr>
            <w:tcW w:w="7524" w:type="dxa"/>
            <w:gridSpan w:val="3"/>
            <w:tcBorders>
              <w:tl2br w:val="nil"/>
              <w:tr2bl w:val="nil"/>
            </w:tcBorders>
            <w:noWrap w:val="0"/>
            <w:vAlign w:val="center"/>
          </w:tcPr>
          <w:p w14:paraId="6531AAC2">
            <w:pPr>
              <w:rPr>
                <w:b/>
                <w:bCs/>
              </w:rPr>
            </w:pPr>
            <w:r>
              <w:rPr>
                <w:rFonts w:hint="eastAsia"/>
                <w:b/>
                <w:bCs/>
              </w:rPr>
              <w:t>1、</w:t>
            </w:r>
            <w:r>
              <w:rPr>
                <w:b/>
                <w:bCs/>
              </w:rPr>
              <w:t>产业政策符合性</w:t>
            </w:r>
          </w:p>
          <w:p w14:paraId="421B0314">
            <w:pPr>
              <w:ind w:firstLine="480" w:firstLineChars="200"/>
            </w:pPr>
            <w:r>
              <w:t>根据《产业结构调整指导目录（20</w:t>
            </w:r>
            <w:r>
              <w:rPr>
                <w:rFonts w:hint="eastAsia"/>
                <w:lang w:val="en-US" w:eastAsia="zh-CN"/>
              </w:rPr>
              <w:t>24</w:t>
            </w:r>
            <w:r>
              <w:t>年本）》，本项目不属于鼓励、限制类、淘汰类</w:t>
            </w:r>
            <w:r>
              <w:rPr>
                <w:rFonts w:hint="eastAsia"/>
                <w:lang w:eastAsia="zh-CN"/>
              </w:rPr>
              <w:t>。</w:t>
            </w:r>
            <w:r>
              <w:t>《产业结构调整指导目录（20</w:t>
            </w:r>
            <w:r>
              <w:rPr>
                <w:rFonts w:hint="eastAsia"/>
                <w:lang w:val="en-US" w:eastAsia="zh-CN"/>
              </w:rPr>
              <w:t>24</w:t>
            </w:r>
            <w:r>
              <w:t>年本）》</w:t>
            </w:r>
            <w:r>
              <w:rPr>
                <w:rFonts w:hint="eastAsia"/>
                <w:lang w:val="en-US" w:eastAsia="zh-CN"/>
              </w:rPr>
              <w:t>中规定</w:t>
            </w:r>
            <w:r>
              <w:rPr>
                <w:rFonts w:hint="eastAsia"/>
              </w:rPr>
              <w:t>鼓励类、限制类和淘汰类之外的，且符合国家有关法律法规和政策规定的属于允许类</w:t>
            </w:r>
            <w:r>
              <w:rPr>
                <w:rFonts w:hint="eastAsia" w:ascii="宋体" w:hAnsi="宋体" w:cs="宋体"/>
              </w:rPr>
              <w:t>，</w:t>
            </w:r>
            <w:r>
              <w:t>因此项目属</w:t>
            </w:r>
            <w:r>
              <w:rPr>
                <w:rFonts w:hint="eastAsia"/>
                <w:lang w:val="en-US" w:eastAsia="zh-CN"/>
              </w:rPr>
              <w:t>于</w:t>
            </w:r>
            <w:r>
              <w:t>允许类，符合国家的产业政策。</w:t>
            </w:r>
          </w:p>
          <w:p w14:paraId="473C4520">
            <w:pPr>
              <w:widowControl w:val="0"/>
              <w:adjustRightInd w:val="0"/>
              <w:snapToGrid w:val="0"/>
              <w:spacing w:line="360" w:lineRule="auto"/>
              <w:ind w:left="0" w:leftChars="0" w:firstLine="0" w:firstLineChars="0"/>
              <w:jc w:val="both"/>
              <w:rPr>
                <w:rFonts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kern w:val="2"/>
                <w:sz w:val="24"/>
                <w:szCs w:val="20"/>
                <w:lang w:val="en-US" w:eastAsia="zh-CN" w:bidi="ar-SA"/>
              </w:rPr>
              <w:t>2、</w:t>
            </w:r>
            <w:r>
              <w:rPr>
                <w:rFonts w:hint="eastAsia" w:ascii="Times New Roman" w:hAnsi="Times New Roman" w:eastAsia="宋体" w:cs="Times New Roman"/>
                <w:b/>
                <w:bCs/>
                <w:color w:val="000000"/>
                <w:kern w:val="2"/>
                <w:sz w:val="24"/>
                <w:szCs w:val="24"/>
                <w:lang w:val="en-US" w:eastAsia="zh-CN" w:bidi="ar-SA"/>
              </w:rPr>
              <w:t>生态环境分区管控要求的符合性分析</w:t>
            </w:r>
          </w:p>
          <w:p w14:paraId="1A99EEAF">
            <w:pPr>
              <w:ind w:firstLine="480" w:firstLineChars="200"/>
              <w:rPr>
                <w:rFonts w:hint="eastAsia" w:ascii="Times New Roman" w:hAnsi="Times New Roman" w:eastAsia="宋体" w:cs="Times New Roman"/>
                <w:color w:val="000000"/>
                <w:kern w:val="0"/>
                <w:lang w:val="en-US" w:eastAsia="zh-CN"/>
              </w:rPr>
            </w:pPr>
            <w:r>
              <w:rPr>
                <w:rFonts w:hint="eastAsia" w:ascii="Times New Roman" w:hAnsi="Times New Roman" w:eastAsia="宋体" w:cs="Times New Roman"/>
                <w:color w:val="000000"/>
                <w:kern w:val="0"/>
                <w:lang w:val="en-US" w:eastAsia="zh-CN"/>
              </w:rPr>
              <w:t>《关于印发&lt;新疆维吾尔自治区生态环境分区管控动态更新成果&gt;的通知》（新政发〔2024〕157号）的符合性分析。</w:t>
            </w:r>
          </w:p>
          <w:p w14:paraId="0B5E23D0">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表1-1 与《关于印发&lt;新疆维吾尔自治区生态环境分区管控动态更新成果&gt;的通知》（新政发〔2024〕157号）的符合性表</w:t>
            </w:r>
          </w:p>
          <w:tbl>
            <w:tblPr>
              <w:tblStyle w:val="60"/>
              <w:tblW w:w="7290" w:type="dxa"/>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1"/>
              <w:gridCol w:w="496"/>
              <w:gridCol w:w="4063"/>
              <w:gridCol w:w="2470"/>
            </w:tblGrid>
            <w:tr w14:paraId="2BD910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9" w:type="pct"/>
                  <w:gridSpan w:val="2"/>
                  <w:tcBorders>
                    <w:tl2br w:val="nil"/>
                    <w:tr2bl w:val="nil"/>
                  </w:tcBorders>
                  <w:noWrap w:val="0"/>
                  <w:vAlign w:val="center"/>
                </w:tcPr>
                <w:p w14:paraId="553372BC">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管控维度</w:t>
                  </w:r>
                </w:p>
              </w:tc>
              <w:tc>
                <w:tcPr>
                  <w:tcW w:w="2786" w:type="pct"/>
                  <w:tcBorders>
                    <w:tl2br w:val="nil"/>
                    <w:tr2bl w:val="nil"/>
                  </w:tcBorders>
                  <w:noWrap w:val="0"/>
                  <w:vAlign w:val="center"/>
                </w:tcPr>
                <w:p w14:paraId="103EA01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管控要求</w:t>
                  </w:r>
                </w:p>
              </w:tc>
              <w:tc>
                <w:tcPr>
                  <w:tcW w:w="1694" w:type="pct"/>
                  <w:tcBorders>
                    <w:tl2br w:val="nil"/>
                    <w:tr2bl w:val="nil"/>
                  </w:tcBorders>
                  <w:noWrap w:val="0"/>
                  <w:vAlign w:val="center"/>
                </w:tcPr>
                <w:p w14:paraId="314695B0">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符合性分析</w:t>
                  </w:r>
                </w:p>
              </w:tc>
            </w:tr>
            <w:tr w14:paraId="6B659E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0" w:hRule="atLeast"/>
              </w:trPr>
              <w:tc>
                <w:tcPr>
                  <w:tcW w:w="179" w:type="pct"/>
                  <w:vMerge w:val="restart"/>
                  <w:tcBorders>
                    <w:tl2br w:val="nil"/>
                    <w:tr2bl w:val="nil"/>
                  </w:tcBorders>
                  <w:noWrap w:val="0"/>
                  <w:vAlign w:val="center"/>
                </w:tcPr>
                <w:p w14:paraId="773C823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A1空间布局约束</w:t>
                  </w:r>
                </w:p>
              </w:tc>
              <w:tc>
                <w:tcPr>
                  <w:tcW w:w="340" w:type="pct"/>
                  <w:tcBorders>
                    <w:tl2br w:val="nil"/>
                    <w:tr2bl w:val="nil"/>
                  </w:tcBorders>
                  <w:noWrap w:val="0"/>
                  <w:vAlign w:val="center"/>
                </w:tcPr>
                <w:p w14:paraId="49BC480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A1.1禁止开发建设的活动</w:t>
                  </w:r>
                </w:p>
              </w:tc>
              <w:tc>
                <w:tcPr>
                  <w:tcW w:w="2786" w:type="pct"/>
                  <w:tcBorders>
                    <w:tl2br w:val="nil"/>
                    <w:tr2bl w:val="nil"/>
                  </w:tcBorders>
                  <w:noWrap w:val="0"/>
                  <w:vAlign w:val="center"/>
                </w:tcPr>
                <w:p w14:paraId="24F5AD3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〔A1.1-1〕禁止新建、扩建《产业结构调整指导目录</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2024年本</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》中淘汰类项目。禁止引入《市场准入负面清单</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2022年版</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》禁止准入类事项。</w:t>
                  </w:r>
                </w:p>
              </w:tc>
              <w:tc>
                <w:tcPr>
                  <w:tcW w:w="1694" w:type="pct"/>
                  <w:tcBorders>
                    <w:tl2br w:val="nil"/>
                    <w:tr2bl w:val="nil"/>
                  </w:tcBorders>
                  <w:noWrap w:val="0"/>
                  <w:vAlign w:val="center"/>
                </w:tcPr>
                <w:p w14:paraId="1221AAA2">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eastAsia="en-US" w:bidi="zh-CN"/>
                    </w:rPr>
                    <w:t>符合，本项目属于《产业结构调整指导目录（2024 年本）》</w:t>
                  </w:r>
                  <w:r>
                    <w:rPr>
                      <w:rFonts w:hint="eastAsia" w:ascii="Times New Roman" w:hAnsi="Times New Roman" w:eastAsia="宋体" w:cs="Times New Roman"/>
                      <w:b w:val="0"/>
                      <w:bCs/>
                      <w:color w:val="000000"/>
                      <w:spacing w:val="0"/>
                      <w:kern w:val="0"/>
                      <w:position w:val="0"/>
                      <w:sz w:val="21"/>
                      <w:szCs w:val="21"/>
                      <w:lang w:val="en-US" w:eastAsia="en-US" w:bidi="zh-CN"/>
                    </w:rPr>
                    <w:t>允许</w:t>
                  </w:r>
                  <w:r>
                    <w:rPr>
                      <w:rFonts w:hint="default" w:ascii="Times New Roman" w:hAnsi="Times New Roman" w:eastAsia="宋体" w:cs="Times New Roman"/>
                      <w:b w:val="0"/>
                      <w:bCs/>
                      <w:color w:val="000000"/>
                      <w:spacing w:val="0"/>
                      <w:kern w:val="0"/>
                      <w:position w:val="0"/>
                      <w:sz w:val="21"/>
                      <w:szCs w:val="21"/>
                      <w:lang w:val="en-US" w:eastAsia="en-US" w:bidi="zh-CN"/>
                    </w:rPr>
                    <w:t>类项目，不属于《市场准入负面清单（2022年版）》禁止准入事项。</w:t>
                  </w:r>
                </w:p>
              </w:tc>
            </w:tr>
            <w:tr w14:paraId="43A54D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179" w:type="pct"/>
                  <w:vMerge w:val="continue"/>
                  <w:tcBorders>
                    <w:tl2br w:val="nil"/>
                    <w:tr2bl w:val="nil"/>
                  </w:tcBorders>
                  <w:noWrap w:val="0"/>
                  <w:vAlign w:val="center"/>
                </w:tcPr>
                <w:p w14:paraId="7B84075E">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vMerge w:val="restart"/>
                  <w:tcBorders>
                    <w:tl2br w:val="nil"/>
                    <w:tr2bl w:val="nil"/>
                  </w:tcBorders>
                  <w:noWrap w:val="0"/>
                  <w:vAlign w:val="center"/>
                </w:tcPr>
                <w:p w14:paraId="78C8162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A1.2限制开发建设的活动</w:t>
                  </w:r>
                </w:p>
              </w:tc>
              <w:tc>
                <w:tcPr>
                  <w:tcW w:w="2786" w:type="pct"/>
                  <w:tcBorders>
                    <w:tl2br w:val="nil"/>
                    <w:tr2bl w:val="nil"/>
                  </w:tcBorders>
                  <w:noWrap w:val="0"/>
                  <w:vAlign w:val="center"/>
                </w:tcPr>
                <w:p w14:paraId="2434496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694" w:type="pct"/>
                  <w:tcBorders>
                    <w:tl2br w:val="nil"/>
                    <w:tr2bl w:val="nil"/>
                  </w:tcBorders>
                  <w:noWrap w:val="0"/>
                  <w:vAlign w:val="center"/>
                </w:tcPr>
                <w:p w14:paraId="47EA7DD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符合，本项目用地为工业用地。</w:t>
                  </w:r>
                </w:p>
              </w:tc>
            </w:tr>
            <w:tr w14:paraId="689410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9" w:type="pct"/>
                  <w:vMerge w:val="continue"/>
                  <w:tcBorders>
                    <w:tl2br w:val="nil"/>
                    <w:tr2bl w:val="nil"/>
                  </w:tcBorders>
                  <w:noWrap w:val="0"/>
                  <w:vAlign w:val="center"/>
                </w:tcPr>
                <w:p w14:paraId="11B370CF">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vMerge w:val="continue"/>
                  <w:tcBorders>
                    <w:tl2br w:val="nil"/>
                    <w:tr2bl w:val="nil"/>
                  </w:tcBorders>
                  <w:noWrap w:val="0"/>
                  <w:vAlign w:val="center"/>
                </w:tcPr>
                <w:p w14:paraId="3F0029F2">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2786" w:type="pct"/>
                  <w:tcBorders>
                    <w:tl2br w:val="nil"/>
                    <w:tr2bl w:val="nil"/>
                  </w:tcBorders>
                  <w:noWrap w:val="0"/>
                  <w:vAlign w:val="center"/>
                </w:tcPr>
                <w:p w14:paraId="403F45F4">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〔A1.2-3〕以用途变更为住宅、公共管理与公共服务用地的地块为重点，严格建设用地准入管理和风险管控，未依法完成土壤污染状况调查或风险评估的地块，不得开工建设与风险管控和修复无关的项目。</w:t>
                  </w:r>
                </w:p>
              </w:tc>
              <w:tc>
                <w:tcPr>
                  <w:tcW w:w="1694" w:type="pct"/>
                  <w:tcBorders>
                    <w:tl2br w:val="nil"/>
                    <w:tr2bl w:val="nil"/>
                  </w:tcBorders>
                  <w:noWrap w:val="0"/>
                  <w:vAlign w:val="center"/>
                </w:tcPr>
                <w:p w14:paraId="776F506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符合，本项目用地为工业用地。</w:t>
                  </w:r>
                </w:p>
              </w:tc>
            </w:tr>
            <w:tr w14:paraId="22D80E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69" w:hRule="atLeast"/>
              </w:trPr>
              <w:tc>
                <w:tcPr>
                  <w:tcW w:w="179" w:type="pct"/>
                  <w:vMerge w:val="continue"/>
                  <w:tcBorders>
                    <w:tl2br w:val="nil"/>
                    <w:tr2bl w:val="nil"/>
                  </w:tcBorders>
                  <w:noWrap w:val="0"/>
                  <w:vAlign w:val="center"/>
                </w:tcPr>
                <w:p w14:paraId="685FA53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vMerge w:val="restart"/>
                  <w:tcBorders>
                    <w:tl2br w:val="nil"/>
                    <w:tr2bl w:val="nil"/>
                  </w:tcBorders>
                  <w:noWrap w:val="0"/>
                  <w:vAlign w:val="center"/>
                </w:tcPr>
                <w:p w14:paraId="27743FA0">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A1.3不符合空间布局要求活动的退出要求</w:t>
                  </w:r>
                </w:p>
              </w:tc>
              <w:tc>
                <w:tcPr>
                  <w:tcW w:w="2786" w:type="pct"/>
                  <w:tcBorders>
                    <w:tl2br w:val="nil"/>
                    <w:tr2bl w:val="nil"/>
                  </w:tcBorders>
                  <w:noWrap w:val="0"/>
                  <w:vAlign w:val="center"/>
                </w:tcPr>
                <w:p w14:paraId="3E318A3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1.3-3〕根据《产业结构调整指导目录》《限期淘汰产生严重污染环境的工业固体废物的落后生产工艺设备名录》等要求，配合有关部门依法淘汰烧结-鼓风炉-炼铅工艺炼铅等涉重金属落后产能和化解过剩产能。严格执行生态环境保护等相关法规标准，推动经整改仍达不到要求的产能依法依规关闭退出。</w:t>
                  </w:r>
                </w:p>
              </w:tc>
              <w:tc>
                <w:tcPr>
                  <w:tcW w:w="1694" w:type="pct"/>
                  <w:tcBorders>
                    <w:tl2br w:val="nil"/>
                    <w:tr2bl w:val="nil"/>
                  </w:tcBorders>
                  <w:noWrap w:val="0"/>
                  <w:vAlign w:val="center"/>
                </w:tcPr>
                <w:p w14:paraId="1E2A563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eastAsia="en-US" w:bidi="zh-CN"/>
                    </w:rPr>
                    <w:t>符合，本项目属于《产业结构调整指导目录（2024 年本）》</w:t>
                  </w:r>
                  <w:r>
                    <w:rPr>
                      <w:rFonts w:hint="eastAsia" w:ascii="Times New Roman" w:hAnsi="Times New Roman" w:eastAsia="宋体" w:cs="Times New Roman"/>
                      <w:b w:val="0"/>
                      <w:bCs/>
                      <w:color w:val="000000"/>
                      <w:spacing w:val="0"/>
                      <w:kern w:val="0"/>
                      <w:position w:val="0"/>
                      <w:sz w:val="21"/>
                      <w:szCs w:val="21"/>
                      <w:lang w:val="en-US" w:eastAsia="en-US" w:bidi="zh-CN"/>
                    </w:rPr>
                    <w:t>允许</w:t>
                  </w:r>
                  <w:r>
                    <w:rPr>
                      <w:rFonts w:hint="default" w:ascii="Times New Roman" w:hAnsi="Times New Roman" w:eastAsia="宋体" w:cs="Times New Roman"/>
                      <w:b w:val="0"/>
                      <w:bCs/>
                      <w:color w:val="000000"/>
                      <w:spacing w:val="0"/>
                      <w:kern w:val="0"/>
                      <w:position w:val="0"/>
                      <w:sz w:val="21"/>
                      <w:szCs w:val="21"/>
                      <w:lang w:val="en-US" w:eastAsia="en-US" w:bidi="zh-CN"/>
                    </w:rPr>
                    <w:t>类项目。</w:t>
                  </w:r>
                </w:p>
              </w:tc>
            </w:tr>
            <w:tr w14:paraId="10181B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179" w:type="pct"/>
                  <w:vMerge w:val="continue"/>
                  <w:tcBorders>
                    <w:tl2br w:val="nil"/>
                    <w:tr2bl w:val="nil"/>
                  </w:tcBorders>
                  <w:noWrap w:val="0"/>
                  <w:vAlign w:val="center"/>
                </w:tcPr>
                <w:p w14:paraId="756BECE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vMerge w:val="restart"/>
                  <w:tcBorders>
                    <w:tl2br w:val="nil"/>
                    <w:tr2bl w:val="nil"/>
                  </w:tcBorders>
                  <w:noWrap w:val="0"/>
                  <w:vAlign w:val="center"/>
                </w:tcPr>
                <w:p w14:paraId="633D404C">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A1.4其它布局要求</w:t>
                  </w:r>
                </w:p>
              </w:tc>
              <w:tc>
                <w:tcPr>
                  <w:tcW w:w="2786" w:type="pct"/>
                  <w:tcBorders>
                    <w:tl2br w:val="nil"/>
                    <w:tr2bl w:val="nil"/>
                  </w:tcBorders>
                  <w:noWrap w:val="0"/>
                  <w:vAlign w:val="center"/>
                </w:tcPr>
                <w:p w14:paraId="572BE420">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〔A1.4-2〕新建、扩建石化、化工、焦化、有色金属冶炼、平板玻璃项目应布设在依法合规设立并经规划环评的产业园区。</w:t>
                  </w:r>
                </w:p>
              </w:tc>
              <w:tc>
                <w:tcPr>
                  <w:tcW w:w="1694" w:type="pct"/>
                  <w:tcBorders>
                    <w:tl2br w:val="nil"/>
                    <w:tr2bl w:val="nil"/>
                  </w:tcBorders>
                  <w:noWrap w:val="0"/>
                  <w:vAlign w:val="center"/>
                </w:tcPr>
                <w:p w14:paraId="4C87500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w:t>
                  </w:r>
                  <w:r>
                    <w:rPr>
                      <w:rFonts w:hint="eastAsia" w:ascii="Times New Roman" w:hAnsi="Times New Roman" w:eastAsia="宋体" w:cs="Times New Roman"/>
                      <w:b w:val="0"/>
                      <w:bCs/>
                      <w:color w:val="000000"/>
                      <w:spacing w:val="0"/>
                      <w:kern w:val="0"/>
                      <w:position w:val="0"/>
                      <w:sz w:val="21"/>
                      <w:szCs w:val="21"/>
                      <w:lang w:val="en-US" w:bidi="zh-CN"/>
                    </w:rPr>
                    <w:t>不属于上述行业</w:t>
                  </w:r>
                  <w:r>
                    <w:rPr>
                      <w:rFonts w:hint="default" w:ascii="Times New Roman" w:hAnsi="Times New Roman" w:eastAsia="宋体" w:cs="Times New Roman"/>
                      <w:b w:val="0"/>
                      <w:bCs/>
                      <w:color w:val="000000"/>
                      <w:spacing w:val="0"/>
                      <w:kern w:val="0"/>
                      <w:position w:val="0"/>
                      <w:sz w:val="21"/>
                      <w:szCs w:val="21"/>
                      <w:lang w:val="en-US" w:eastAsia="zh-CN" w:bidi="zh-CN"/>
                    </w:rPr>
                    <w:t>。</w:t>
                  </w:r>
                </w:p>
              </w:tc>
            </w:tr>
            <w:tr w14:paraId="650B4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9" w:type="pct"/>
                  <w:vMerge w:val="continue"/>
                  <w:tcBorders>
                    <w:tl2br w:val="nil"/>
                    <w:tr2bl w:val="nil"/>
                  </w:tcBorders>
                  <w:noWrap w:val="0"/>
                  <w:vAlign w:val="center"/>
                </w:tcPr>
                <w:p w14:paraId="28023BE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vMerge w:val="continue"/>
                  <w:tcBorders>
                    <w:tl2br w:val="nil"/>
                    <w:tr2bl w:val="nil"/>
                  </w:tcBorders>
                  <w:noWrap w:val="0"/>
                  <w:vAlign w:val="center"/>
                </w:tcPr>
                <w:p w14:paraId="5352E20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2786" w:type="pct"/>
                  <w:tcBorders>
                    <w:tl2br w:val="nil"/>
                    <w:tr2bl w:val="nil"/>
                  </w:tcBorders>
                  <w:noWrap w:val="0"/>
                  <w:vAlign w:val="center"/>
                </w:tcPr>
                <w:p w14:paraId="4FA6D87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1694" w:type="pct"/>
                  <w:tcBorders>
                    <w:tl2br w:val="nil"/>
                    <w:tr2bl w:val="nil"/>
                  </w:tcBorders>
                  <w:noWrap w:val="0"/>
                  <w:vAlign w:val="center"/>
                </w:tcPr>
                <w:p w14:paraId="23C258A5">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w:t>
                  </w:r>
                  <w:r>
                    <w:rPr>
                      <w:rFonts w:hint="eastAsia" w:ascii="Times New Roman" w:hAnsi="Times New Roman" w:eastAsia="宋体" w:cs="Times New Roman"/>
                      <w:b w:val="0"/>
                      <w:bCs/>
                      <w:color w:val="000000"/>
                      <w:spacing w:val="0"/>
                      <w:kern w:val="0"/>
                      <w:position w:val="0"/>
                      <w:sz w:val="21"/>
                      <w:szCs w:val="21"/>
                      <w:lang w:val="en-US" w:bidi="zh-CN"/>
                    </w:rPr>
                    <w:t>不属于上述行业</w:t>
                  </w:r>
                  <w:r>
                    <w:rPr>
                      <w:rFonts w:hint="default" w:ascii="Times New Roman" w:hAnsi="Times New Roman" w:eastAsia="宋体" w:cs="Times New Roman"/>
                      <w:b w:val="0"/>
                      <w:bCs/>
                      <w:color w:val="000000"/>
                      <w:spacing w:val="0"/>
                      <w:kern w:val="0"/>
                      <w:position w:val="0"/>
                      <w:sz w:val="21"/>
                      <w:szCs w:val="21"/>
                      <w:lang w:val="en-US" w:eastAsia="zh-CN" w:bidi="zh-CN"/>
                    </w:rPr>
                    <w:t>。</w:t>
                  </w:r>
                </w:p>
              </w:tc>
            </w:tr>
            <w:tr w14:paraId="40FC2C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9" w:type="pct"/>
                  <w:vMerge w:val="restart"/>
                  <w:tcBorders>
                    <w:tl2br w:val="nil"/>
                    <w:tr2bl w:val="nil"/>
                  </w:tcBorders>
                  <w:noWrap w:val="0"/>
                  <w:vAlign w:val="center"/>
                </w:tcPr>
                <w:p w14:paraId="3C53A4D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A2污染物排放管控</w:t>
                  </w:r>
                </w:p>
              </w:tc>
              <w:tc>
                <w:tcPr>
                  <w:tcW w:w="340" w:type="pct"/>
                  <w:tcBorders>
                    <w:tl2br w:val="nil"/>
                    <w:tr2bl w:val="nil"/>
                  </w:tcBorders>
                  <w:noWrap w:val="0"/>
                  <w:vAlign w:val="center"/>
                </w:tcPr>
                <w:p w14:paraId="358A0F73">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A2.1污染物削减/替代要求</w:t>
                  </w:r>
                </w:p>
              </w:tc>
              <w:tc>
                <w:tcPr>
                  <w:tcW w:w="2786" w:type="pct"/>
                  <w:tcBorders>
                    <w:tl2br w:val="nil"/>
                    <w:tr2bl w:val="nil"/>
                  </w:tcBorders>
                  <w:noWrap w:val="0"/>
                  <w:vAlign w:val="center"/>
                </w:tcPr>
                <w:p w14:paraId="5CFE2E2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1694" w:type="pct"/>
                  <w:tcBorders>
                    <w:tl2br w:val="nil"/>
                    <w:tr2bl w:val="nil"/>
                  </w:tcBorders>
                  <w:noWrap w:val="0"/>
                  <w:vAlign w:val="center"/>
                </w:tcPr>
                <w:p w14:paraId="11B5E8A4">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符合，本项目位于</w:t>
                  </w:r>
                  <w:r>
                    <w:rPr>
                      <w:rFonts w:hint="eastAsia" w:ascii="Times New Roman" w:hAnsi="Times New Roman" w:eastAsia="宋体" w:cs="Times New Roman"/>
                      <w:b w:val="0"/>
                      <w:bCs/>
                      <w:color w:val="000000"/>
                      <w:spacing w:val="0"/>
                      <w:kern w:val="0"/>
                      <w:position w:val="0"/>
                      <w:sz w:val="21"/>
                      <w:szCs w:val="21"/>
                      <w:lang w:val="en-US" w:eastAsia="zh-CN" w:bidi="zh-CN"/>
                    </w:rPr>
                    <w:t>轮台县轮南镇牙买提社区西环路，百盛加油站以北800米，用地性质为工业用地</w:t>
                  </w:r>
                  <w:r>
                    <w:rPr>
                      <w:rFonts w:hint="default" w:ascii="Times New Roman" w:hAnsi="Times New Roman" w:eastAsia="宋体" w:cs="Times New Roman"/>
                      <w:b w:val="0"/>
                      <w:bCs/>
                      <w:color w:val="000000"/>
                      <w:spacing w:val="0"/>
                      <w:kern w:val="0"/>
                      <w:position w:val="0"/>
                      <w:sz w:val="21"/>
                      <w:szCs w:val="21"/>
                      <w:lang w:val="en-US" w:eastAsia="zh-CN" w:bidi="zh-CN"/>
                    </w:rPr>
                    <w:t>。本项目不在重点控制区内。</w:t>
                  </w:r>
                </w:p>
              </w:tc>
            </w:tr>
            <w:tr w14:paraId="3105A0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9" w:type="pct"/>
                  <w:vMerge w:val="continue"/>
                  <w:tcBorders>
                    <w:tl2br w:val="nil"/>
                    <w:tr2bl w:val="nil"/>
                  </w:tcBorders>
                  <w:noWrap w:val="0"/>
                  <w:vAlign w:val="center"/>
                </w:tcPr>
                <w:p w14:paraId="7CD866A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tcBorders>
                    <w:tl2br w:val="nil"/>
                    <w:tr2bl w:val="nil"/>
                  </w:tcBorders>
                  <w:noWrap w:val="0"/>
                  <w:vAlign w:val="center"/>
                </w:tcPr>
                <w:p w14:paraId="348425BF">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A2.2污染控制措施要求</w:t>
                  </w:r>
                </w:p>
              </w:tc>
              <w:tc>
                <w:tcPr>
                  <w:tcW w:w="2786" w:type="pct"/>
                  <w:tcBorders>
                    <w:tl2br w:val="nil"/>
                    <w:tr2bl w:val="nil"/>
                  </w:tcBorders>
                  <w:noWrap w:val="0"/>
                  <w:vAlign w:val="center"/>
                </w:tcPr>
                <w:p w14:paraId="3BDE20A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1694" w:type="pct"/>
                  <w:tcBorders>
                    <w:tl2br w:val="nil"/>
                    <w:tr2bl w:val="nil"/>
                  </w:tcBorders>
                  <w:noWrap w:val="0"/>
                  <w:vAlign w:val="center"/>
                </w:tcPr>
                <w:p w14:paraId="7DB24B8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符合，本项目有机废气采取</w:t>
                  </w:r>
                  <w:r>
                    <w:rPr>
                      <w:rFonts w:hint="eastAsia" w:cs="Times New Roman"/>
                      <w:b w:val="0"/>
                      <w:bCs/>
                      <w:color w:val="000000"/>
                      <w:spacing w:val="0"/>
                      <w:kern w:val="0"/>
                      <w:position w:val="0"/>
                      <w:sz w:val="21"/>
                      <w:szCs w:val="21"/>
                      <w:lang w:val="en-US" w:eastAsia="zh-CN" w:bidi="zh-CN"/>
                    </w:rPr>
                    <w:t>集气罩</w:t>
                  </w:r>
                  <w:r>
                    <w:rPr>
                      <w:rFonts w:hint="default" w:ascii="Times New Roman" w:hAnsi="Times New Roman" w:eastAsia="宋体" w:cs="Times New Roman"/>
                      <w:b w:val="0"/>
                      <w:bCs/>
                      <w:color w:val="000000"/>
                      <w:spacing w:val="0"/>
                      <w:kern w:val="0"/>
                      <w:position w:val="0"/>
                      <w:sz w:val="21"/>
                      <w:szCs w:val="21"/>
                      <w:lang w:val="en-US" w:eastAsia="zh-CN" w:bidi="zh-CN"/>
                    </w:rPr>
                    <w:t>收集后进入</w:t>
                  </w:r>
                  <w:r>
                    <w:rPr>
                      <w:rFonts w:hint="eastAsia" w:cs="Times New Roman"/>
                      <w:b w:val="0"/>
                      <w:bCs/>
                      <w:color w:val="000000"/>
                      <w:spacing w:val="0"/>
                      <w:kern w:val="0"/>
                      <w:position w:val="0"/>
                      <w:sz w:val="21"/>
                      <w:szCs w:val="21"/>
                      <w:lang w:val="en-US" w:eastAsia="zh-CN" w:bidi="zh-CN"/>
                    </w:rPr>
                    <w:t>二级活性炭</w:t>
                  </w:r>
                  <w:r>
                    <w:rPr>
                      <w:rFonts w:hint="eastAsia" w:ascii="Times New Roman" w:hAnsi="Times New Roman" w:eastAsia="宋体" w:cs="Times New Roman"/>
                      <w:b w:val="0"/>
                      <w:bCs/>
                      <w:color w:val="000000"/>
                      <w:spacing w:val="0"/>
                      <w:kern w:val="0"/>
                      <w:position w:val="0"/>
                      <w:sz w:val="21"/>
                      <w:szCs w:val="21"/>
                      <w:lang w:val="en-US" w:eastAsia="zh-CN" w:bidi="zh-CN"/>
                    </w:rPr>
                    <w:t>装置</w:t>
                  </w:r>
                  <w:r>
                    <w:rPr>
                      <w:rFonts w:hint="default" w:ascii="Times New Roman" w:hAnsi="Times New Roman" w:eastAsia="宋体" w:cs="Times New Roman"/>
                      <w:b w:val="0"/>
                      <w:bCs/>
                      <w:color w:val="000000"/>
                      <w:spacing w:val="0"/>
                      <w:kern w:val="0"/>
                      <w:position w:val="0"/>
                      <w:sz w:val="21"/>
                      <w:szCs w:val="21"/>
                      <w:lang w:val="en-US" w:eastAsia="zh-CN" w:bidi="zh-CN"/>
                    </w:rPr>
                    <w:t>治理后通过15m排气筒排放</w:t>
                  </w:r>
                  <w:r>
                    <w:rPr>
                      <w:rFonts w:hint="default" w:ascii="Times New Roman" w:hAnsi="Times New Roman" w:eastAsia="宋体" w:cs="Times New Roman"/>
                      <w:b w:val="0"/>
                      <w:bCs/>
                      <w:color w:val="000000"/>
                      <w:spacing w:val="0"/>
                      <w:kern w:val="0"/>
                      <w:position w:val="0"/>
                      <w:sz w:val="21"/>
                      <w:szCs w:val="21"/>
                      <w:lang w:val="en-US" w:bidi="zh-CN"/>
                    </w:rPr>
                    <w:t>。</w:t>
                  </w:r>
                </w:p>
              </w:tc>
            </w:tr>
            <w:tr w14:paraId="48815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179" w:type="pct"/>
                  <w:vMerge w:val="restart"/>
                  <w:tcBorders>
                    <w:tl2br w:val="nil"/>
                    <w:tr2bl w:val="nil"/>
                  </w:tcBorders>
                  <w:noWrap w:val="0"/>
                  <w:vAlign w:val="center"/>
                </w:tcPr>
                <w:p w14:paraId="237EDCD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A3环境风险防控</w:t>
                  </w:r>
                </w:p>
              </w:tc>
              <w:tc>
                <w:tcPr>
                  <w:tcW w:w="340" w:type="pct"/>
                  <w:vMerge w:val="restart"/>
                  <w:tcBorders>
                    <w:tl2br w:val="nil"/>
                    <w:tr2bl w:val="nil"/>
                  </w:tcBorders>
                  <w:noWrap w:val="0"/>
                  <w:vAlign w:val="center"/>
                </w:tcPr>
                <w:p w14:paraId="7325C8B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A3.1人居环境要求</w:t>
                  </w:r>
                </w:p>
              </w:tc>
              <w:tc>
                <w:tcPr>
                  <w:tcW w:w="2786" w:type="pct"/>
                  <w:tcBorders>
                    <w:tl2br w:val="nil"/>
                    <w:tr2bl w:val="nil"/>
                  </w:tcBorders>
                  <w:noWrap w:val="0"/>
                  <w:vAlign w:val="center"/>
                </w:tcPr>
                <w:p w14:paraId="72B63445">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〔A3.1-3〕强化重污染天气监测预报预警能力，建立和完善重污染天气兵地联合应急预案、预警应急机制和会商联动机制，加强轻、中度污染天气管控。</w:t>
                  </w:r>
                </w:p>
              </w:tc>
              <w:tc>
                <w:tcPr>
                  <w:tcW w:w="1694" w:type="pct"/>
                  <w:tcBorders>
                    <w:tl2br w:val="nil"/>
                    <w:tr2bl w:val="nil"/>
                  </w:tcBorders>
                  <w:noWrap w:val="0"/>
                  <w:vAlign w:val="center"/>
                </w:tcPr>
                <w:p w14:paraId="173B728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符合，本项目积极响应重污染天气应急预案。</w:t>
                  </w:r>
                </w:p>
              </w:tc>
            </w:tr>
            <w:tr w14:paraId="1E8770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5" w:hRule="atLeast"/>
              </w:trPr>
              <w:tc>
                <w:tcPr>
                  <w:tcW w:w="179" w:type="pct"/>
                  <w:vMerge w:val="continue"/>
                  <w:tcBorders>
                    <w:tl2br w:val="nil"/>
                    <w:tr2bl w:val="nil"/>
                  </w:tcBorders>
                  <w:noWrap w:val="0"/>
                  <w:vAlign w:val="center"/>
                </w:tcPr>
                <w:p w14:paraId="5AAF5CCC">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vMerge w:val="restart"/>
                  <w:tcBorders>
                    <w:tl2br w:val="nil"/>
                    <w:tr2bl w:val="nil"/>
                  </w:tcBorders>
                  <w:noWrap w:val="0"/>
                  <w:vAlign w:val="center"/>
                </w:tcPr>
                <w:p w14:paraId="614C70D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A3.2联防联控要求</w:t>
                  </w:r>
                </w:p>
              </w:tc>
              <w:tc>
                <w:tcPr>
                  <w:tcW w:w="2786" w:type="pct"/>
                  <w:tcBorders>
                    <w:tl2br w:val="nil"/>
                    <w:tr2bl w:val="nil"/>
                  </w:tcBorders>
                  <w:noWrap w:val="0"/>
                  <w:vAlign w:val="center"/>
                </w:tcPr>
                <w:p w14:paraId="3786B53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污</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1694" w:type="pct"/>
                  <w:tcBorders>
                    <w:tl2br w:val="nil"/>
                    <w:tr2bl w:val="nil"/>
                  </w:tcBorders>
                  <w:noWrap w:val="0"/>
                  <w:vAlign w:val="center"/>
                </w:tcPr>
                <w:p w14:paraId="5FFB905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w:t>
                  </w:r>
                  <w:r>
                    <w:rPr>
                      <w:rFonts w:hint="eastAsia" w:ascii="Times New Roman" w:hAnsi="Times New Roman" w:eastAsia="宋体" w:cs="Times New Roman"/>
                      <w:b w:val="0"/>
                      <w:bCs/>
                      <w:color w:val="000000"/>
                      <w:spacing w:val="0"/>
                      <w:kern w:val="0"/>
                      <w:position w:val="0"/>
                      <w:sz w:val="21"/>
                      <w:szCs w:val="21"/>
                      <w:lang w:val="en-US" w:bidi="zh-CN"/>
                    </w:rPr>
                    <w:t>产生的废气执行</w:t>
                  </w:r>
                  <w:r>
                    <w:rPr>
                      <w:rFonts w:hint="eastAsia" w:cs="Times New Roman"/>
                      <w:b w:val="0"/>
                      <w:bCs/>
                      <w:color w:val="000000"/>
                      <w:spacing w:val="0"/>
                      <w:kern w:val="0"/>
                      <w:position w:val="0"/>
                      <w:sz w:val="21"/>
                      <w:szCs w:val="21"/>
                      <w:lang w:val="en-US" w:bidi="zh-CN"/>
                    </w:rPr>
                    <w:t>《合成树脂工业污染物排放标准》（GB31572-2015，含2024年修改单）表4</w:t>
                  </w:r>
                  <w:r>
                    <w:rPr>
                      <w:rFonts w:hint="eastAsia" w:ascii="Times New Roman" w:hAnsi="Times New Roman" w:eastAsia="宋体" w:cs="Times New Roman"/>
                      <w:b w:val="0"/>
                      <w:bCs/>
                      <w:color w:val="000000"/>
                      <w:spacing w:val="0"/>
                      <w:kern w:val="0"/>
                      <w:position w:val="0"/>
                      <w:sz w:val="21"/>
                      <w:szCs w:val="21"/>
                      <w:lang w:val="en-US" w:bidi="zh-CN"/>
                    </w:rPr>
                    <w:t>大气污染物排放限值</w:t>
                  </w:r>
                  <w:r>
                    <w:rPr>
                      <w:rFonts w:hint="default" w:ascii="Times New Roman" w:hAnsi="Times New Roman" w:eastAsia="宋体" w:cs="Times New Roman"/>
                      <w:b w:val="0"/>
                      <w:bCs/>
                      <w:color w:val="000000"/>
                      <w:spacing w:val="0"/>
                      <w:kern w:val="0"/>
                      <w:position w:val="0"/>
                      <w:sz w:val="21"/>
                      <w:szCs w:val="21"/>
                      <w:lang w:val="en-US" w:eastAsia="zh-CN" w:bidi="zh-CN"/>
                    </w:rPr>
                    <w:t>。项目建成后需</w:t>
                  </w:r>
                  <w:r>
                    <w:rPr>
                      <w:rFonts w:hint="eastAsia" w:ascii="Times New Roman" w:hAnsi="Times New Roman" w:eastAsia="宋体" w:cs="Times New Roman"/>
                      <w:b w:val="0"/>
                      <w:bCs/>
                      <w:color w:val="000000"/>
                      <w:spacing w:val="0"/>
                      <w:kern w:val="0"/>
                      <w:position w:val="0"/>
                      <w:sz w:val="21"/>
                      <w:szCs w:val="21"/>
                      <w:lang w:val="en-US" w:eastAsia="zh-CN" w:bidi="zh-CN"/>
                    </w:rPr>
                    <w:t>进行排污登记</w:t>
                  </w:r>
                  <w:r>
                    <w:rPr>
                      <w:rFonts w:hint="default" w:ascii="Times New Roman" w:hAnsi="Times New Roman" w:eastAsia="宋体" w:cs="Times New Roman"/>
                      <w:b w:val="0"/>
                      <w:bCs/>
                      <w:color w:val="000000"/>
                      <w:spacing w:val="0"/>
                      <w:kern w:val="0"/>
                      <w:position w:val="0"/>
                      <w:sz w:val="21"/>
                      <w:szCs w:val="21"/>
                      <w:lang w:val="en-US" w:eastAsia="zh-CN" w:bidi="zh-CN"/>
                    </w:rPr>
                    <w:t>。</w:t>
                  </w:r>
                </w:p>
              </w:tc>
            </w:tr>
            <w:tr w14:paraId="064590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9" w:type="pct"/>
                  <w:vMerge w:val="continue"/>
                  <w:tcBorders>
                    <w:tl2br w:val="nil"/>
                    <w:tr2bl w:val="nil"/>
                  </w:tcBorders>
                  <w:noWrap w:val="0"/>
                  <w:vAlign w:val="center"/>
                </w:tcPr>
                <w:p w14:paraId="63A2D96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vMerge w:val="continue"/>
                  <w:tcBorders>
                    <w:tl2br w:val="nil"/>
                    <w:tr2bl w:val="nil"/>
                  </w:tcBorders>
                  <w:noWrap w:val="0"/>
                  <w:vAlign w:val="center"/>
                </w:tcPr>
                <w:p w14:paraId="49FBAB92">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2786" w:type="pct"/>
                  <w:tcBorders>
                    <w:tl2br w:val="nil"/>
                    <w:tr2bl w:val="nil"/>
                  </w:tcBorders>
                  <w:noWrap w:val="0"/>
                  <w:vAlign w:val="center"/>
                </w:tcPr>
                <w:p w14:paraId="4920973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694" w:type="pct"/>
                  <w:tcBorders>
                    <w:tl2br w:val="nil"/>
                    <w:tr2bl w:val="nil"/>
                  </w:tcBorders>
                  <w:noWrap w:val="0"/>
                  <w:vAlign w:val="center"/>
                </w:tcPr>
                <w:p w14:paraId="5E1B740F">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符合，本项目建成后需编制突发环境</w:t>
                  </w:r>
                  <w:r>
                    <w:rPr>
                      <w:rFonts w:hint="eastAsia" w:cs="Times New Roman"/>
                      <w:b w:val="0"/>
                      <w:bCs/>
                      <w:color w:val="000000"/>
                      <w:spacing w:val="0"/>
                      <w:kern w:val="0"/>
                      <w:position w:val="0"/>
                      <w:sz w:val="21"/>
                      <w:szCs w:val="21"/>
                      <w:lang w:val="en-US" w:bidi="zh-CN"/>
                    </w:rPr>
                    <w:t>事件</w:t>
                  </w:r>
                  <w:r>
                    <w:rPr>
                      <w:rFonts w:hint="default" w:ascii="Times New Roman" w:hAnsi="Times New Roman" w:eastAsia="宋体" w:cs="Times New Roman"/>
                      <w:b w:val="0"/>
                      <w:bCs/>
                      <w:color w:val="000000"/>
                      <w:spacing w:val="0"/>
                      <w:kern w:val="0"/>
                      <w:position w:val="0"/>
                      <w:sz w:val="21"/>
                      <w:szCs w:val="21"/>
                      <w:lang w:val="en-US" w:bidi="zh-CN"/>
                    </w:rPr>
                    <w:t>应急预案。</w:t>
                  </w:r>
                </w:p>
              </w:tc>
            </w:tr>
            <w:tr w14:paraId="0D2673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179" w:type="pct"/>
                  <w:vMerge w:val="restart"/>
                  <w:tcBorders>
                    <w:tl2br w:val="nil"/>
                    <w:tr2bl w:val="nil"/>
                  </w:tcBorders>
                  <w:noWrap w:val="0"/>
                  <w:vAlign w:val="center"/>
                </w:tcPr>
                <w:p w14:paraId="3EFAA19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A4资源利用要求</w:t>
                  </w:r>
                </w:p>
              </w:tc>
              <w:tc>
                <w:tcPr>
                  <w:tcW w:w="340" w:type="pct"/>
                  <w:tcBorders>
                    <w:tl2br w:val="nil"/>
                    <w:tr2bl w:val="nil"/>
                  </w:tcBorders>
                  <w:noWrap w:val="0"/>
                  <w:vAlign w:val="center"/>
                </w:tcPr>
                <w:p w14:paraId="6BAD7FD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A4.1水资源</w:t>
                  </w:r>
                </w:p>
              </w:tc>
              <w:tc>
                <w:tcPr>
                  <w:tcW w:w="2786" w:type="pct"/>
                  <w:tcBorders>
                    <w:tl2br w:val="nil"/>
                    <w:tr2bl w:val="nil"/>
                  </w:tcBorders>
                  <w:noWrap w:val="0"/>
                  <w:vAlign w:val="center"/>
                </w:tcPr>
                <w:p w14:paraId="3D588AD2">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〔A4.1-2〕加大城镇污水再生利用工程建设力度，推进区域再生水循环利用，到2025年，城市生活污水再生利用率力争达到60%。</w:t>
                  </w:r>
                </w:p>
              </w:tc>
              <w:tc>
                <w:tcPr>
                  <w:tcW w:w="1694" w:type="pct"/>
                  <w:tcBorders>
                    <w:tl2br w:val="nil"/>
                    <w:tr2bl w:val="nil"/>
                  </w:tcBorders>
                  <w:noWrap w:val="0"/>
                  <w:vAlign w:val="center"/>
                </w:tcPr>
                <w:p w14:paraId="536BF61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eastAsia="zh-CN" w:bidi="zh-CN"/>
                    </w:rPr>
                    <w:t>符合，</w:t>
                  </w:r>
                  <w:r>
                    <w:rPr>
                      <w:rFonts w:hint="eastAsia" w:ascii="Times New Roman" w:hAnsi="Times New Roman" w:eastAsia="宋体" w:cs="Times New Roman"/>
                      <w:b w:val="0"/>
                      <w:bCs/>
                      <w:color w:val="000000"/>
                      <w:spacing w:val="0"/>
                      <w:kern w:val="0"/>
                      <w:position w:val="0"/>
                      <w:sz w:val="21"/>
                      <w:szCs w:val="21"/>
                      <w:lang w:val="en-US" w:eastAsia="zh-CN" w:bidi="zh-CN"/>
                    </w:rPr>
                    <w:t>本</w:t>
                  </w:r>
                  <w:r>
                    <w:rPr>
                      <w:rFonts w:hint="eastAsia" w:cs="Times New Roman"/>
                      <w:b w:val="0"/>
                      <w:bCs/>
                      <w:color w:val="000000"/>
                      <w:spacing w:val="0"/>
                      <w:kern w:val="0"/>
                      <w:position w:val="0"/>
                      <w:sz w:val="21"/>
                      <w:szCs w:val="21"/>
                      <w:lang w:val="en-US" w:eastAsia="zh-CN" w:bidi="zh-CN"/>
                    </w:rPr>
                    <w:t>项目冷却水循环使用，冷却水循环水排污用于周边绿化</w:t>
                  </w:r>
                  <w:r>
                    <w:rPr>
                      <w:rFonts w:hint="eastAsia" w:ascii="Times New Roman" w:hAnsi="Times New Roman" w:eastAsia="宋体" w:cs="Times New Roman"/>
                      <w:b w:val="0"/>
                      <w:bCs/>
                      <w:color w:val="000000"/>
                      <w:spacing w:val="0"/>
                      <w:kern w:val="0"/>
                      <w:position w:val="0"/>
                      <w:sz w:val="21"/>
                      <w:szCs w:val="21"/>
                      <w:lang w:val="en-US" w:eastAsia="zh-CN" w:bidi="zh-CN"/>
                    </w:rPr>
                    <w:t>。</w:t>
                  </w:r>
                  <w:r>
                    <w:rPr>
                      <w:rFonts w:hint="eastAsia" w:cs="Times New Roman"/>
                      <w:b w:val="0"/>
                      <w:bCs/>
                      <w:color w:val="000000"/>
                      <w:spacing w:val="0"/>
                      <w:kern w:val="0"/>
                      <w:position w:val="0"/>
                      <w:sz w:val="21"/>
                      <w:szCs w:val="21"/>
                      <w:lang w:val="en-US" w:eastAsia="zh-CN" w:bidi="zh-CN"/>
                    </w:rPr>
                    <w:t>生活污水经化粪池收集后，由吸污车清运至轮台县新城区污水处理厂处理。</w:t>
                  </w:r>
                </w:p>
              </w:tc>
            </w:tr>
            <w:tr w14:paraId="70AD6C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9" w:type="pct"/>
                  <w:vMerge w:val="continue"/>
                  <w:tcBorders>
                    <w:tl2br w:val="nil"/>
                    <w:tr2bl w:val="nil"/>
                  </w:tcBorders>
                  <w:noWrap w:val="0"/>
                  <w:vAlign w:val="center"/>
                </w:tcPr>
                <w:p w14:paraId="3081B1EF">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tcBorders>
                    <w:tl2br w:val="nil"/>
                    <w:tr2bl w:val="nil"/>
                  </w:tcBorders>
                  <w:noWrap w:val="0"/>
                  <w:vAlign w:val="center"/>
                </w:tcPr>
                <w:p w14:paraId="00C1C2B0">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A4.4禁燃区要求</w:t>
                  </w:r>
                </w:p>
              </w:tc>
              <w:tc>
                <w:tcPr>
                  <w:tcW w:w="2786" w:type="pct"/>
                  <w:tcBorders>
                    <w:tl2br w:val="nil"/>
                    <w:tr2bl w:val="nil"/>
                  </w:tcBorders>
                  <w:noWrap w:val="0"/>
                  <w:vAlign w:val="center"/>
                </w:tcPr>
                <w:p w14:paraId="54F14E0C">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〔A4.4-1〕在禁燃区内，禁止销售、燃用高污染燃料；禁止新建、扩建燃用高污染燃料的设施。已建成的，应当在规定期限内改用清洁能源。</w:t>
                  </w:r>
                </w:p>
              </w:tc>
              <w:tc>
                <w:tcPr>
                  <w:tcW w:w="1694" w:type="pct"/>
                  <w:tcBorders>
                    <w:tl2br w:val="nil"/>
                    <w:tr2bl w:val="nil"/>
                  </w:tcBorders>
                  <w:noWrap w:val="0"/>
                  <w:vAlign w:val="center"/>
                </w:tcPr>
                <w:p w14:paraId="16D9870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符合，本项目不涉及。</w:t>
                  </w:r>
                </w:p>
              </w:tc>
            </w:tr>
            <w:tr w14:paraId="6F2ACF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9" w:type="pct"/>
                  <w:vMerge w:val="continue"/>
                  <w:tcBorders>
                    <w:tl2br w:val="nil"/>
                    <w:tr2bl w:val="nil"/>
                  </w:tcBorders>
                  <w:noWrap w:val="0"/>
                  <w:vAlign w:val="center"/>
                </w:tcPr>
                <w:p w14:paraId="0D7E823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p>
              </w:tc>
              <w:tc>
                <w:tcPr>
                  <w:tcW w:w="340" w:type="pct"/>
                  <w:tcBorders>
                    <w:tl2br w:val="nil"/>
                    <w:tr2bl w:val="nil"/>
                  </w:tcBorders>
                  <w:noWrap w:val="0"/>
                  <w:vAlign w:val="center"/>
                </w:tcPr>
                <w:p w14:paraId="3F5C845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A4.5资源综合利用</w:t>
                  </w:r>
                </w:p>
              </w:tc>
              <w:tc>
                <w:tcPr>
                  <w:tcW w:w="2786" w:type="pct"/>
                  <w:tcBorders>
                    <w:tl2br w:val="nil"/>
                    <w:tr2bl w:val="nil"/>
                  </w:tcBorders>
                  <w:noWrap w:val="0"/>
                  <w:vAlign w:val="center"/>
                </w:tcPr>
                <w:p w14:paraId="5A68D00C">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市</w:t>
                  </w:r>
                  <w:r>
                    <w:rPr>
                      <w:rFonts w:hint="eastAsia" w:cs="Times New Roman"/>
                      <w:b w:val="0"/>
                      <w:bCs/>
                      <w:color w:val="000000"/>
                      <w:spacing w:val="0"/>
                      <w:kern w:val="0"/>
                      <w:position w:val="0"/>
                      <w:sz w:val="21"/>
                      <w:szCs w:val="21"/>
                      <w:lang w:val="en-US" w:bidi="zh-CN"/>
                    </w:rPr>
                    <w:t>）</w:t>
                  </w:r>
                  <w:r>
                    <w:rPr>
                      <w:rFonts w:hint="default" w:ascii="Times New Roman" w:hAnsi="Times New Roman" w:eastAsia="宋体" w:cs="Times New Roman"/>
                      <w:b w:val="0"/>
                      <w:bCs/>
                      <w:color w:val="000000"/>
                      <w:spacing w:val="0"/>
                      <w:kern w:val="0"/>
                      <w:position w:val="0"/>
                      <w:sz w:val="21"/>
                      <w:szCs w:val="21"/>
                      <w:lang w:val="en-US" w:bidi="zh-CN"/>
                    </w:rPr>
                    <w:t>生活垃圾处理设施，到2025年，全疆城市生活垃圾无害化处理率达到99%以上。</w:t>
                  </w:r>
                </w:p>
              </w:tc>
              <w:tc>
                <w:tcPr>
                  <w:tcW w:w="1694" w:type="pct"/>
                  <w:tcBorders>
                    <w:tl2br w:val="nil"/>
                    <w:tr2bl w:val="nil"/>
                  </w:tcBorders>
                  <w:noWrap w:val="0"/>
                  <w:vAlign w:val="center"/>
                </w:tcPr>
                <w:p w14:paraId="0DED14A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000000"/>
                      <w:spacing w:val="0"/>
                      <w:kern w:val="0"/>
                      <w:position w:val="0"/>
                      <w:sz w:val="21"/>
                      <w:szCs w:val="21"/>
                      <w:lang w:val="en-US" w:bidi="zh-CN"/>
                    </w:rPr>
                  </w:pPr>
                  <w:r>
                    <w:rPr>
                      <w:rFonts w:hint="default" w:ascii="Times New Roman" w:hAnsi="Times New Roman" w:eastAsia="宋体" w:cs="Times New Roman"/>
                      <w:b w:val="0"/>
                      <w:bCs/>
                      <w:color w:val="000000"/>
                      <w:spacing w:val="0"/>
                      <w:kern w:val="0"/>
                      <w:position w:val="0"/>
                      <w:sz w:val="21"/>
                      <w:szCs w:val="21"/>
                      <w:lang w:val="en-US" w:bidi="zh-CN"/>
                    </w:rPr>
                    <w:t>符合，本项目产生的</w:t>
                  </w:r>
                  <w:r>
                    <w:rPr>
                      <w:rFonts w:hint="default" w:ascii="Times New Roman" w:hAnsi="Times New Roman" w:eastAsia="宋体" w:cs="Times New Roman"/>
                      <w:b w:val="0"/>
                      <w:bCs/>
                      <w:color w:val="000000"/>
                      <w:spacing w:val="0"/>
                      <w:kern w:val="0"/>
                      <w:position w:val="0"/>
                      <w:sz w:val="21"/>
                      <w:szCs w:val="21"/>
                      <w:lang w:val="en-US" w:eastAsia="zh-CN" w:bidi="zh-CN"/>
                    </w:rPr>
                    <w:t>一般固废</w:t>
                  </w:r>
                  <w:r>
                    <w:rPr>
                      <w:rFonts w:hint="eastAsia" w:ascii="Times New Roman" w:hAnsi="Times New Roman" w:eastAsia="宋体" w:cs="Times New Roman"/>
                      <w:b w:val="0"/>
                      <w:bCs/>
                      <w:color w:val="000000"/>
                      <w:spacing w:val="0"/>
                      <w:kern w:val="0"/>
                      <w:position w:val="0"/>
                      <w:sz w:val="21"/>
                      <w:szCs w:val="21"/>
                      <w:lang w:val="en-US" w:eastAsia="zh-CN" w:bidi="zh-CN"/>
                    </w:rPr>
                    <w:t>交由一般固废处置单位进行处理；危险废物暂存于危废暂存间内定期交由有资质单位进行处置</w:t>
                  </w:r>
                  <w:r>
                    <w:rPr>
                      <w:rFonts w:hint="default" w:ascii="Times New Roman" w:hAnsi="Times New Roman" w:eastAsia="宋体" w:cs="Times New Roman"/>
                      <w:b w:val="0"/>
                      <w:bCs/>
                      <w:color w:val="000000"/>
                      <w:spacing w:val="0"/>
                      <w:kern w:val="0"/>
                      <w:position w:val="0"/>
                      <w:sz w:val="21"/>
                      <w:szCs w:val="21"/>
                      <w:lang w:val="en-US" w:eastAsia="zh-CN" w:bidi="zh-CN"/>
                    </w:rPr>
                    <w:t>。</w:t>
                  </w:r>
                </w:p>
              </w:tc>
            </w:tr>
          </w:tbl>
          <w:p w14:paraId="0C23D700">
            <w:pPr>
              <w:pStyle w:val="63"/>
              <w:bidi w:val="0"/>
              <w:rPr>
                <w:rFonts w:hint="eastAsia"/>
                <w:lang w:eastAsia="zh-CN"/>
              </w:rPr>
            </w:pPr>
            <w:r>
              <w:rPr>
                <w:rFonts w:hint="eastAsia"/>
                <w:lang w:val="en-US" w:eastAsia="zh-CN"/>
              </w:rPr>
              <w:t>综上所述，本项目符合《关于印发&lt;新疆维吾尔自治区生态环境分区管控动态更新成果&gt;的通知》（新政发〔2024〕157号）管控要求</w:t>
            </w:r>
            <w:r>
              <w:rPr>
                <w:rFonts w:hint="eastAsia"/>
                <w:lang w:eastAsia="zh-CN"/>
              </w:rPr>
              <w:t>。</w:t>
            </w:r>
          </w:p>
          <w:p w14:paraId="3D39A5AE">
            <w:pPr>
              <w:pStyle w:val="63"/>
              <w:bidi w:val="0"/>
              <w:rPr>
                <w:rFonts w:hint="eastAsia"/>
                <w:lang w:eastAsia="zh-CN"/>
              </w:rPr>
            </w:pPr>
            <w:r>
              <w:rPr>
                <w:rFonts w:hint="eastAsia"/>
                <w:lang w:val="en-US" w:eastAsia="zh-CN"/>
              </w:rPr>
              <w:t>本项目与</w:t>
            </w:r>
            <w:r>
              <w:rPr>
                <w:rFonts w:hint="eastAsia"/>
              </w:rPr>
              <w:t>《新疆维吾尔自治区七大片区</w:t>
            </w:r>
            <w:r>
              <w:rPr>
                <w:rFonts w:hint="eastAsia"/>
                <w:lang w:eastAsia="zh-CN"/>
              </w:rPr>
              <w:t>“</w:t>
            </w:r>
            <w:r>
              <w:rPr>
                <w:rFonts w:hint="eastAsia"/>
              </w:rPr>
              <w:t>三线一单</w:t>
            </w:r>
            <w:r>
              <w:rPr>
                <w:rFonts w:hint="eastAsia"/>
                <w:lang w:eastAsia="zh-CN"/>
              </w:rPr>
              <w:t>”</w:t>
            </w:r>
            <w:r>
              <w:rPr>
                <w:rFonts w:hint="eastAsia"/>
              </w:rPr>
              <w:t>生态环境分区管控要求》（2021年版）（新环环评发〔2021〕162号）</w:t>
            </w:r>
            <w:r>
              <w:rPr>
                <w:rFonts w:hint="eastAsia"/>
                <w:lang w:val="en-US" w:eastAsia="zh-CN"/>
              </w:rPr>
              <w:t>符合性分析见表1-2</w:t>
            </w:r>
            <w:r>
              <w:rPr>
                <w:rFonts w:hint="eastAsia"/>
                <w:lang w:eastAsia="zh-CN"/>
              </w:rPr>
              <w:t>。</w:t>
            </w:r>
          </w:p>
          <w:p w14:paraId="0AE8C0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表1-</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新疆维吾尔自治区七大片区“三线一单”分析</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0"/>
              <w:gridCol w:w="3192"/>
              <w:gridCol w:w="2776"/>
              <w:gridCol w:w="716"/>
            </w:tblGrid>
            <w:tr w14:paraId="1E884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tcBorders>
                    <w:tl2br w:val="nil"/>
                    <w:tr2bl w:val="nil"/>
                  </w:tcBorders>
                  <w:noWrap w:val="0"/>
                  <w:vAlign w:val="center"/>
                </w:tcPr>
                <w:p w14:paraId="53668711">
                  <w:pPr>
                    <w:widowControl/>
                    <w:autoSpaceDE/>
                    <w:autoSpaceDN/>
                    <w:spacing w:line="320" w:lineRule="exact"/>
                    <w:jc w:val="center"/>
                    <w:rPr>
                      <w:rFonts w:hint="eastAsia" w:ascii="Times New Roman" w:hAnsi="Times New Roman" w:eastAsia="宋体" w:cs="Times New Roman"/>
                      <w:b/>
                      <w:bCs/>
                      <w:color w:val="000000"/>
                      <w:spacing w:val="0"/>
                      <w:kern w:val="0"/>
                      <w:sz w:val="21"/>
                      <w:szCs w:val="21"/>
                      <w:highlight w:val="none"/>
                      <w:lang w:val="en-US" w:eastAsia="zh-CN"/>
                    </w:rPr>
                  </w:pPr>
                  <w:r>
                    <w:rPr>
                      <w:rFonts w:hint="eastAsia" w:ascii="Times New Roman" w:hAnsi="Times New Roman" w:eastAsia="宋体" w:cs="Times New Roman"/>
                      <w:b/>
                      <w:bCs/>
                      <w:color w:val="000000"/>
                      <w:spacing w:val="0"/>
                      <w:kern w:val="0"/>
                      <w:sz w:val="21"/>
                      <w:szCs w:val="21"/>
                      <w:highlight w:val="none"/>
                      <w:lang w:val="en-US" w:eastAsia="zh-CN"/>
                    </w:rPr>
                    <w:t>管控要求</w:t>
                  </w:r>
                </w:p>
              </w:tc>
              <w:tc>
                <w:tcPr>
                  <w:tcW w:w="3192" w:type="dxa"/>
                  <w:tcBorders>
                    <w:tl2br w:val="nil"/>
                    <w:tr2bl w:val="nil"/>
                  </w:tcBorders>
                  <w:noWrap w:val="0"/>
                  <w:vAlign w:val="center"/>
                </w:tcPr>
                <w:p w14:paraId="443D61CC">
                  <w:pPr>
                    <w:widowControl/>
                    <w:autoSpaceDE/>
                    <w:autoSpaceDN/>
                    <w:spacing w:line="320" w:lineRule="exact"/>
                    <w:jc w:val="center"/>
                    <w:rPr>
                      <w:rFonts w:hint="eastAsia" w:ascii="Times New Roman" w:hAnsi="Times New Roman" w:eastAsia="宋体" w:cs="Times New Roman"/>
                      <w:b/>
                      <w:bCs/>
                      <w:color w:val="000000"/>
                      <w:spacing w:val="0"/>
                      <w:kern w:val="0"/>
                      <w:sz w:val="21"/>
                      <w:szCs w:val="21"/>
                      <w:highlight w:val="none"/>
                      <w:lang w:val="en-US" w:eastAsia="zh-CN"/>
                    </w:rPr>
                  </w:pPr>
                  <w:r>
                    <w:rPr>
                      <w:rFonts w:hint="eastAsia" w:ascii="Times New Roman" w:hAnsi="Times New Roman" w:eastAsia="宋体" w:cs="Times New Roman"/>
                      <w:b/>
                      <w:bCs/>
                      <w:color w:val="000000"/>
                      <w:spacing w:val="0"/>
                      <w:kern w:val="0"/>
                      <w:sz w:val="21"/>
                      <w:szCs w:val="21"/>
                      <w:highlight w:val="none"/>
                      <w:lang w:val="en-US" w:eastAsia="zh-CN"/>
                    </w:rPr>
                    <w:t>“三线一单”要求</w:t>
                  </w:r>
                </w:p>
              </w:tc>
              <w:tc>
                <w:tcPr>
                  <w:tcW w:w="2776" w:type="dxa"/>
                  <w:tcBorders>
                    <w:tl2br w:val="nil"/>
                    <w:tr2bl w:val="nil"/>
                  </w:tcBorders>
                  <w:noWrap w:val="0"/>
                  <w:vAlign w:val="center"/>
                </w:tcPr>
                <w:p w14:paraId="76244CBA">
                  <w:pPr>
                    <w:widowControl/>
                    <w:autoSpaceDE/>
                    <w:autoSpaceDN/>
                    <w:spacing w:line="320" w:lineRule="exact"/>
                    <w:jc w:val="center"/>
                    <w:rPr>
                      <w:rFonts w:hint="eastAsia" w:ascii="Times New Roman" w:hAnsi="Times New Roman" w:eastAsia="宋体" w:cs="Times New Roman"/>
                      <w:b/>
                      <w:bCs/>
                      <w:color w:val="000000"/>
                      <w:spacing w:val="0"/>
                      <w:kern w:val="0"/>
                      <w:sz w:val="21"/>
                      <w:szCs w:val="21"/>
                      <w:highlight w:val="none"/>
                      <w:lang w:val="en-US" w:eastAsia="zh-CN"/>
                    </w:rPr>
                  </w:pPr>
                  <w:r>
                    <w:rPr>
                      <w:rFonts w:hint="eastAsia" w:ascii="Times New Roman" w:hAnsi="Times New Roman" w:eastAsia="宋体" w:cs="Times New Roman"/>
                      <w:b/>
                      <w:bCs/>
                      <w:color w:val="000000"/>
                      <w:spacing w:val="0"/>
                      <w:kern w:val="0"/>
                      <w:sz w:val="21"/>
                      <w:szCs w:val="21"/>
                      <w:highlight w:val="none"/>
                      <w:lang w:val="en-US" w:eastAsia="zh-CN"/>
                    </w:rPr>
                    <w:t>工程具体情况</w:t>
                  </w:r>
                </w:p>
              </w:tc>
              <w:tc>
                <w:tcPr>
                  <w:tcW w:w="716" w:type="dxa"/>
                  <w:tcBorders>
                    <w:tl2br w:val="nil"/>
                    <w:tr2bl w:val="nil"/>
                  </w:tcBorders>
                  <w:noWrap w:val="0"/>
                  <w:vAlign w:val="center"/>
                </w:tcPr>
                <w:p w14:paraId="06A9DFA6">
                  <w:pPr>
                    <w:widowControl/>
                    <w:autoSpaceDE/>
                    <w:autoSpaceDN/>
                    <w:spacing w:line="320" w:lineRule="exact"/>
                    <w:jc w:val="center"/>
                    <w:rPr>
                      <w:rFonts w:hint="eastAsia" w:ascii="Times New Roman" w:hAnsi="Times New Roman" w:eastAsia="宋体" w:cs="Times New Roman"/>
                      <w:b/>
                      <w:bCs/>
                      <w:color w:val="000000"/>
                      <w:spacing w:val="0"/>
                      <w:kern w:val="0"/>
                      <w:sz w:val="21"/>
                      <w:szCs w:val="21"/>
                      <w:highlight w:val="none"/>
                      <w:lang w:val="en-US" w:eastAsia="zh-CN"/>
                    </w:rPr>
                  </w:pPr>
                  <w:r>
                    <w:rPr>
                      <w:rFonts w:hint="eastAsia" w:ascii="Times New Roman" w:hAnsi="Times New Roman" w:eastAsia="宋体" w:cs="Times New Roman"/>
                      <w:b/>
                      <w:bCs/>
                      <w:color w:val="000000"/>
                      <w:spacing w:val="0"/>
                      <w:kern w:val="0"/>
                      <w:sz w:val="21"/>
                      <w:szCs w:val="21"/>
                      <w:highlight w:val="none"/>
                      <w:lang w:val="en-US" w:eastAsia="zh-CN"/>
                    </w:rPr>
                    <w:t>符合性</w:t>
                  </w:r>
                </w:p>
              </w:tc>
            </w:tr>
            <w:tr w14:paraId="27B96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tcBorders>
                    <w:tl2br w:val="nil"/>
                    <w:tr2bl w:val="nil"/>
                  </w:tcBorders>
                  <w:noWrap w:val="0"/>
                  <w:vAlign w:val="center"/>
                </w:tcPr>
                <w:p w14:paraId="7F56381F">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空间布局约束</w:t>
                  </w:r>
                </w:p>
              </w:tc>
              <w:tc>
                <w:tcPr>
                  <w:tcW w:w="3192" w:type="dxa"/>
                  <w:tcBorders>
                    <w:tl2br w:val="nil"/>
                    <w:tr2bl w:val="nil"/>
                  </w:tcBorders>
                  <w:noWrap w:val="0"/>
                  <w:vAlign w:val="center"/>
                </w:tcPr>
                <w:p w14:paraId="2DB5B728">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严格执行国家、自治区产业政策和环境准入要求，严禁</w:t>
                  </w:r>
                  <w:r>
                    <w:rPr>
                      <w:rFonts w:hint="eastAsia"/>
                      <w:spacing w:val="0"/>
                      <w:kern w:val="0"/>
                      <w:lang w:eastAsia="zh-CN"/>
                    </w:rPr>
                    <w:t>“</w:t>
                  </w:r>
                  <w:r>
                    <w:rPr>
                      <w:rFonts w:hint="eastAsia"/>
                      <w:spacing w:val="0"/>
                      <w:kern w:val="0"/>
                    </w:rPr>
                    <w:t>三高</w:t>
                  </w:r>
                  <w:r>
                    <w:rPr>
                      <w:rFonts w:hint="eastAsia"/>
                      <w:spacing w:val="0"/>
                      <w:kern w:val="0"/>
                      <w:lang w:eastAsia="zh-CN"/>
                    </w:rPr>
                    <w:t>”</w:t>
                  </w:r>
                  <w:r>
                    <w:rPr>
                      <w:rFonts w:hint="eastAsia"/>
                      <w:spacing w:val="0"/>
                      <w:kern w:val="0"/>
                    </w:rPr>
                    <w:t>项目进入新疆，坚决遏制</w:t>
                  </w:r>
                  <w:r>
                    <w:rPr>
                      <w:rFonts w:hint="eastAsia"/>
                      <w:spacing w:val="0"/>
                      <w:kern w:val="0"/>
                      <w:lang w:eastAsia="zh-CN"/>
                    </w:rPr>
                    <w:t>“</w:t>
                  </w:r>
                  <w:r>
                    <w:rPr>
                      <w:rFonts w:hint="eastAsia"/>
                      <w:spacing w:val="0"/>
                      <w:kern w:val="0"/>
                    </w:rPr>
                    <w:t>两高</w:t>
                  </w:r>
                  <w:r>
                    <w:rPr>
                      <w:rFonts w:hint="eastAsia"/>
                      <w:spacing w:val="0"/>
                      <w:kern w:val="0"/>
                      <w:lang w:eastAsia="zh-CN"/>
                    </w:rPr>
                    <w:t>”</w:t>
                  </w:r>
                  <w:r>
                    <w:rPr>
                      <w:rFonts w:hint="eastAsia"/>
                      <w:spacing w:val="0"/>
                      <w:kern w:val="0"/>
                    </w:rPr>
                    <w:t>项目盲目发展。不得在水源涵养区、饮用水水源保护区内和河流、湖泊、水库周围建设重化工、涉重金属等工业污染项目。推动项目集聚发展，新建、改建、扩建工业项目原则应布置于县级及以上人民政府批准建立、环境保护设施完善的产业园区、工业聚集区或规划矿区，并且符合相关规划和规划环评要求。</w:t>
                  </w:r>
                </w:p>
              </w:tc>
              <w:tc>
                <w:tcPr>
                  <w:tcW w:w="2776" w:type="dxa"/>
                  <w:tcBorders>
                    <w:tl2br w:val="nil"/>
                    <w:tr2bl w:val="nil"/>
                  </w:tcBorders>
                  <w:noWrap w:val="0"/>
                  <w:vAlign w:val="center"/>
                </w:tcPr>
                <w:p w14:paraId="22FBED1F">
                  <w:pPr>
                    <w:pStyle w:val="64"/>
                    <w:keepNext w:val="0"/>
                    <w:keepLines w:val="0"/>
                    <w:pageBreakBefore w:val="0"/>
                    <w:widowControl w:val="0"/>
                    <w:kinsoku/>
                    <w:wordWrap/>
                    <w:overflowPunct/>
                    <w:topLinePunct w:val="0"/>
                    <w:autoSpaceDE/>
                    <w:autoSpaceDN/>
                    <w:bidi w:val="0"/>
                    <w:adjustRightInd w:val="0"/>
                    <w:snapToGrid/>
                    <w:jc w:val="both"/>
                    <w:textAlignment w:val="baseline"/>
                    <w:rPr>
                      <w:spacing w:val="0"/>
                      <w:kern w:val="0"/>
                    </w:rPr>
                  </w:pPr>
                  <w:r>
                    <w:rPr>
                      <w:rFonts w:hint="eastAsia"/>
                      <w:spacing w:val="0"/>
                      <w:kern w:val="0"/>
                    </w:rPr>
                    <w:t>本项目不属于</w:t>
                  </w:r>
                  <w:r>
                    <w:rPr>
                      <w:rFonts w:hint="eastAsia"/>
                      <w:spacing w:val="0"/>
                      <w:kern w:val="0"/>
                      <w:lang w:eastAsia="zh-CN"/>
                    </w:rPr>
                    <w:t>“</w:t>
                  </w:r>
                  <w:r>
                    <w:rPr>
                      <w:rFonts w:hint="eastAsia"/>
                      <w:spacing w:val="0"/>
                      <w:kern w:val="0"/>
                    </w:rPr>
                    <w:t>三高项目</w:t>
                  </w:r>
                  <w:r>
                    <w:rPr>
                      <w:rFonts w:hint="eastAsia"/>
                      <w:spacing w:val="0"/>
                      <w:kern w:val="0"/>
                      <w:lang w:eastAsia="zh-CN"/>
                    </w:rPr>
                    <w:t>”</w:t>
                  </w:r>
                  <w:r>
                    <w:rPr>
                      <w:rFonts w:hint="eastAsia"/>
                      <w:spacing w:val="0"/>
                      <w:kern w:val="0"/>
                    </w:rPr>
                    <w:t>。项目周边无水源涵养区、饮用水水源</w:t>
                  </w:r>
                  <w:r>
                    <w:rPr>
                      <w:rFonts w:hint="eastAsia"/>
                      <w:spacing w:val="0"/>
                      <w:kern w:val="0"/>
                      <w:lang w:eastAsia="zh-CN"/>
                    </w:rPr>
                    <w:t>保护区</w:t>
                  </w:r>
                  <w:r>
                    <w:rPr>
                      <w:rFonts w:hint="eastAsia"/>
                      <w:spacing w:val="0"/>
                      <w:kern w:val="0"/>
                    </w:rPr>
                    <w:t>和河流、湖泊、水库。</w:t>
                  </w:r>
                  <w:r>
                    <w:rPr>
                      <w:rFonts w:hint="eastAsia"/>
                      <w:spacing w:val="0"/>
                      <w:kern w:val="0"/>
                      <w:lang w:val="en-US"/>
                    </w:rPr>
                    <w:t>本项目位于</w:t>
                  </w:r>
                  <w:r>
                    <w:rPr>
                      <w:rFonts w:hint="eastAsia"/>
                      <w:spacing w:val="0"/>
                      <w:kern w:val="0"/>
                      <w:lang w:val="en-US" w:eastAsia="zh-CN"/>
                    </w:rPr>
                    <w:t>轮台县轮南镇牙买提社区西环路，百盛加油站以北800米，用地性质为工业用地。</w:t>
                  </w:r>
                </w:p>
              </w:tc>
              <w:tc>
                <w:tcPr>
                  <w:tcW w:w="716" w:type="dxa"/>
                  <w:tcBorders>
                    <w:tl2br w:val="nil"/>
                    <w:tr2bl w:val="nil"/>
                  </w:tcBorders>
                  <w:noWrap w:val="0"/>
                  <w:vAlign w:val="center"/>
                </w:tcPr>
                <w:p w14:paraId="249239D9">
                  <w:pPr>
                    <w:pStyle w:val="64"/>
                    <w:bidi w:val="0"/>
                    <w:rPr>
                      <w:rFonts w:hint="eastAsia"/>
                      <w:spacing w:val="0"/>
                      <w:kern w:val="0"/>
                    </w:rPr>
                  </w:pPr>
                  <w:r>
                    <w:rPr>
                      <w:rFonts w:hint="eastAsia"/>
                      <w:spacing w:val="0"/>
                      <w:kern w:val="0"/>
                    </w:rPr>
                    <w:t>符合</w:t>
                  </w:r>
                </w:p>
              </w:tc>
            </w:tr>
            <w:tr w14:paraId="38033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tcBorders>
                    <w:tl2br w:val="nil"/>
                    <w:tr2bl w:val="nil"/>
                  </w:tcBorders>
                  <w:noWrap w:val="0"/>
                  <w:vAlign w:val="center"/>
                </w:tcPr>
                <w:p w14:paraId="217A1B3D">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污染物排放管控</w:t>
                  </w:r>
                </w:p>
              </w:tc>
              <w:tc>
                <w:tcPr>
                  <w:tcW w:w="3192" w:type="dxa"/>
                  <w:tcBorders>
                    <w:tl2br w:val="nil"/>
                    <w:tr2bl w:val="nil"/>
                  </w:tcBorders>
                  <w:noWrap w:val="0"/>
                  <w:vAlign w:val="center"/>
                </w:tcPr>
                <w:p w14:paraId="05CAB143">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深化行业污染源头治理，深入开展火电行业减排，全力推进钢铁行业超低排放改造，有序推进石化行业</w:t>
                  </w:r>
                  <w:r>
                    <w:rPr>
                      <w:rFonts w:hint="eastAsia"/>
                      <w:spacing w:val="0"/>
                      <w:kern w:val="0"/>
                      <w:lang w:eastAsia="zh-CN"/>
                    </w:rPr>
                    <w:t>“</w:t>
                  </w:r>
                  <w:r>
                    <w:rPr>
                      <w:rFonts w:hint="eastAsia"/>
                      <w:spacing w:val="0"/>
                      <w:kern w:val="0"/>
                    </w:rPr>
                    <w:t>泄漏检测与修复</w:t>
                  </w:r>
                  <w:r>
                    <w:rPr>
                      <w:rFonts w:hint="eastAsia"/>
                      <w:spacing w:val="0"/>
                      <w:kern w:val="0"/>
                      <w:lang w:eastAsia="zh-CN"/>
                    </w:rPr>
                    <w:t>”</w:t>
                  </w:r>
                  <w:r>
                    <w:rPr>
                      <w:rFonts w:hint="eastAsia"/>
                      <w:spacing w:val="0"/>
                      <w:kern w:val="0"/>
                    </w:rPr>
                    <w:t>技术改造。强化煤化工、石化、有机化工、表面涂装、包装印刷等重点行业挥发性有机物控制。深入开展燃煤锅炉污染综合整治，深化工业炉窑综合治理。加强</w:t>
                  </w:r>
                  <w:r>
                    <w:rPr>
                      <w:rFonts w:hint="eastAsia"/>
                      <w:spacing w:val="0"/>
                      <w:kern w:val="0"/>
                      <w:lang w:eastAsia="zh-CN"/>
                    </w:rPr>
                    <w:t>“</w:t>
                  </w:r>
                  <w:r>
                    <w:rPr>
                      <w:rFonts w:hint="eastAsia"/>
                      <w:spacing w:val="0"/>
                      <w:kern w:val="0"/>
                    </w:rPr>
                    <w:t>散乱污</w:t>
                  </w:r>
                  <w:r>
                    <w:rPr>
                      <w:rFonts w:hint="eastAsia"/>
                      <w:spacing w:val="0"/>
                      <w:kern w:val="0"/>
                      <w:lang w:eastAsia="zh-CN"/>
                    </w:rPr>
                    <w:t>”</w:t>
                  </w:r>
                  <w:r>
                    <w:rPr>
                      <w:rFonts w:hint="eastAsia"/>
                      <w:spacing w:val="0"/>
                      <w:kern w:val="0"/>
                    </w:rPr>
                    <w:t>企业综合整治。优化区域交通运输结构，加快货物运输绿色转型，做好车油联合管控。</w:t>
                  </w:r>
                </w:p>
              </w:tc>
              <w:tc>
                <w:tcPr>
                  <w:tcW w:w="2776" w:type="dxa"/>
                  <w:tcBorders>
                    <w:tl2br w:val="nil"/>
                    <w:tr2bl w:val="nil"/>
                  </w:tcBorders>
                  <w:noWrap w:val="0"/>
                  <w:vAlign w:val="center"/>
                </w:tcPr>
                <w:p w14:paraId="4D07FF91">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default"/>
                      <w:spacing w:val="0"/>
                      <w:kern w:val="0"/>
                      <w:lang w:val="en-US" w:eastAsia="zh-CN"/>
                    </w:rPr>
                  </w:pPr>
                  <w:r>
                    <w:rPr>
                      <w:rFonts w:hint="eastAsia"/>
                      <w:spacing w:val="0"/>
                      <w:kern w:val="0"/>
                      <w:lang w:val="en-US" w:eastAsia="zh-CN"/>
                    </w:rPr>
                    <w:t>本项目底胶和PE防腐层缠绕废气经集气罩+软帘收集后进入二级活性炭装置进行处置，处理后的废气满足《合成树脂工业污染物排放标准》（GB31572-2015，含2024年修改单）表4大气污染物排放限值后通过15m排气筒排放。</w:t>
                  </w:r>
                </w:p>
              </w:tc>
              <w:tc>
                <w:tcPr>
                  <w:tcW w:w="716" w:type="dxa"/>
                  <w:tcBorders>
                    <w:tl2br w:val="nil"/>
                    <w:tr2bl w:val="nil"/>
                  </w:tcBorders>
                  <w:noWrap w:val="0"/>
                  <w:vAlign w:val="center"/>
                </w:tcPr>
                <w:p w14:paraId="59262168">
                  <w:pPr>
                    <w:pStyle w:val="64"/>
                    <w:bidi w:val="0"/>
                    <w:rPr>
                      <w:rFonts w:hint="eastAsia"/>
                      <w:spacing w:val="0"/>
                      <w:kern w:val="0"/>
                    </w:rPr>
                  </w:pPr>
                  <w:r>
                    <w:rPr>
                      <w:rFonts w:hint="eastAsia"/>
                      <w:spacing w:val="0"/>
                      <w:kern w:val="0"/>
                    </w:rPr>
                    <w:t>符合</w:t>
                  </w:r>
                </w:p>
              </w:tc>
            </w:tr>
            <w:tr w14:paraId="4232C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tcBorders>
                    <w:tl2br w:val="nil"/>
                    <w:tr2bl w:val="nil"/>
                  </w:tcBorders>
                  <w:noWrap w:val="0"/>
                  <w:vAlign w:val="center"/>
                </w:tcPr>
                <w:p w14:paraId="3FC88CCB">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环境风险防控</w:t>
                  </w:r>
                </w:p>
              </w:tc>
              <w:tc>
                <w:tcPr>
                  <w:tcW w:w="3192" w:type="dxa"/>
                  <w:tcBorders>
                    <w:tl2br w:val="nil"/>
                    <w:tr2bl w:val="nil"/>
                  </w:tcBorders>
                  <w:noWrap w:val="0"/>
                  <w:vAlign w:val="center"/>
                </w:tcPr>
                <w:p w14:paraId="0AF6A6A4">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禁止在化工园区外新建、扩建危险化学品生产项目。严格落实危险废物处置相关要求。加强重点流域水环境风险管控，保障水环境安全。</w:t>
                  </w:r>
                </w:p>
              </w:tc>
              <w:tc>
                <w:tcPr>
                  <w:tcW w:w="2776" w:type="dxa"/>
                  <w:tcBorders>
                    <w:tl2br w:val="nil"/>
                    <w:tr2bl w:val="nil"/>
                  </w:tcBorders>
                  <w:noWrap w:val="0"/>
                  <w:vAlign w:val="center"/>
                </w:tcPr>
                <w:p w14:paraId="4F128352">
                  <w:pPr>
                    <w:pStyle w:val="64"/>
                    <w:keepNext w:val="0"/>
                    <w:keepLines w:val="0"/>
                    <w:pageBreakBefore w:val="0"/>
                    <w:widowControl w:val="0"/>
                    <w:kinsoku/>
                    <w:wordWrap/>
                    <w:overflowPunct/>
                    <w:topLinePunct w:val="0"/>
                    <w:autoSpaceDE/>
                    <w:autoSpaceDN/>
                    <w:bidi w:val="0"/>
                    <w:adjustRightInd w:val="0"/>
                    <w:snapToGrid/>
                    <w:jc w:val="both"/>
                    <w:textAlignment w:val="baseline"/>
                    <w:rPr>
                      <w:spacing w:val="0"/>
                      <w:kern w:val="0"/>
                    </w:rPr>
                  </w:pPr>
                  <w:r>
                    <w:rPr>
                      <w:rFonts w:hint="eastAsia"/>
                      <w:spacing w:val="0"/>
                      <w:kern w:val="0"/>
                      <w:lang w:val="en-US" w:eastAsia="zh-CN"/>
                    </w:rPr>
                    <w:t>本</w:t>
                  </w:r>
                  <w:r>
                    <w:rPr>
                      <w:rFonts w:hint="eastAsia"/>
                      <w:spacing w:val="0"/>
                      <w:kern w:val="0"/>
                    </w:rPr>
                    <w:t>项目</w:t>
                  </w:r>
                  <w:r>
                    <w:rPr>
                      <w:rFonts w:hint="eastAsia"/>
                      <w:spacing w:val="0"/>
                      <w:kern w:val="0"/>
                      <w:lang w:val="en-US" w:eastAsia="zh-CN"/>
                    </w:rPr>
                    <w:t>不属于危险化学品生产项目，产生的危险废物暂存在危废暂存间，交有资质单位安全处置</w:t>
                  </w:r>
                  <w:r>
                    <w:rPr>
                      <w:rFonts w:hint="eastAsia"/>
                      <w:spacing w:val="0"/>
                      <w:kern w:val="0"/>
                    </w:rPr>
                    <w:t>。</w:t>
                  </w:r>
                </w:p>
              </w:tc>
              <w:tc>
                <w:tcPr>
                  <w:tcW w:w="716" w:type="dxa"/>
                  <w:tcBorders>
                    <w:tl2br w:val="nil"/>
                    <w:tr2bl w:val="nil"/>
                  </w:tcBorders>
                  <w:noWrap w:val="0"/>
                  <w:vAlign w:val="center"/>
                </w:tcPr>
                <w:p w14:paraId="50AFF5E1">
                  <w:pPr>
                    <w:pStyle w:val="64"/>
                    <w:bidi w:val="0"/>
                    <w:rPr>
                      <w:rFonts w:hint="eastAsia"/>
                      <w:spacing w:val="0"/>
                      <w:kern w:val="0"/>
                    </w:rPr>
                  </w:pPr>
                  <w:r>
                    <w:rPr>
                      <w:rFonts w:hint="eastAsia"/>
                      <w:spacing w:val="0"/>
                      <w:kern w:val="0"/>
                    </w:rPr>
                    <w:t>符合</w:t>
                  </w:r>
                </w:p>
              </w:tc>
            </w:tr>
            <w:tr w14:paraId="30014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tcBorders>
                    <w:tl2br w:val="nil"/>
                    <w:tr2bl w:val="nil"/>
                  </w:tcBorders>
                  <w:noWrap w:val="0"/>
                  <w:vAlign w:val="center"/>
                </w:tcPr>
                <w:p w14:paraId="51BC32CF">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资源利用效率要求</w:t>
                  </w:r>
                </w:p>
              </w:tc>
              <w:tc>
                <w:tcPr>
                  <w:tcW w:w="3192" w:type="dxa"/>
                  <w:tcBorders>
                    <w:tl2br w:val="nil"/>
                    <w:tr2bl w:val="nil"/>
                  </w:tcBorders>
                  <w:noWrap w:val="0"/>
                  <w:vAlign w:val="center"/>
                </w:tcPr>
                <w:p w14:paraId="3649F118">
                  <w:pPr>
                    <w:pStyle w:val="64"/>
                    <w:keepNext w:val="0"/>
                    <w:keepLines w:val="0"/>
                    <w:pageBreakBefore w:val="0"/>
                    <w:widowControl w:val="0"/>
                    <w:kinsoku/>
                    <w:wordWrap/>
                    <w:overflowPunct/>
                    <w:topLinePunct w:val="0"/>
                    <w:autoSpaceDE/>
                    <w:autoSpaceDN/>
                    <w:bidi w:val="0"/>
                    <w:adjustRightInd w:val="0"/>
                    <w:snapToGrid/>
                    <w:jc w:val="both"/>
                    <w:textAlignment w:val="baseline"/>
                    <w:rPr>
                      <w:rFonts w:hint="eastAsia"/>
                      <w:spacing w:val="0"/>
                      <w:kern w:val="0"/>
                    </w:rPr>
                  </w:pPr>
                  <w:r>
                    <w:rPr>
                      <w:rFonts w:hint="eastAsia"/>
                      <w:spacing w:val="0"/>
                      <w:kern w:val="0"/>
                    </w:rPr>
                    <w:t>优化能源结构，控制煤炭等化石能源使用量，鼓励使用清洁能源，协同推进减污降碳。全面实施节水工程，合理开发利用水资源，提升水资源利用效率，保障生态用水，严防地下水超采。</w:t>
                  </w:r>
                </w:p>
              </w:tc>
              <w:tc>
                <w:tcPr>
                  <w:tcW w:w="2776" w:type="dxa"/>
                  <w:tcBorders>
                    <w:tl2br w:val="nil"/>
                    <w:tr2bl w:val="nil"/>
                  </w:tcBorders>
                  <w:noWrap w:val="0"/>
                  <w:vAlign w:val="center"/>
                </w:tcPr>
                <w:p w14:paraId="5BE7D5DB">
                  <w:pPr>
                    <w:pStyle w:val="64"/>
                    <w:keepNext w:val="0"/>
                    <w:keepLines w:val="0"/>
                    <w:pageBreakBefore w:val="0"/>
                    <w:widowControl w:val="0"/>
                    <w:kinsoku/>
                    <w:wordWrap/>
                    <w:overflowPunct/>
                    <w:topLinePunct w:val="0"/>
                    <w:autoSpaceDE/>
                    <w:autoSpaceDN/>
                    <w:bidi w:val="0"/>
                    <w:adjustRightInd w:val="0"/>
                    <w:snapToGrid/>
                    <w:jc w:val="both"/>
                    <w:textAlignment w:val="baseline"/>
                    <w:rPr>
                      <w:spacing w:val="0"/>
                      <w:kern w:val="0"/>
                    </w:rPr>
                  </w:pPr>
                  <w:r>
                    <w:rPr>
                      <w:rFonts w:hint="eastAsia"/>
                      <w:spacing w:val="0"/>
                      <w:kern w:val="0"/>
                    </w:rPr>
                    <w:t>项目运营过程中消耗一定量的电力及</w:t>
                  </w:r>
                  <w:r>
                    <w:rPr>
                      <w:rFonts w:hint="eastAsia"/>
                      <w:spacing w:val="0"/>
                      <w:kern w:val="0"/>
                      <w:lang w:val="en-US" w:eastAsia="zh-CN"/>
                    </w:rPr>
                    <w:t>水</w:t>
                  </w:r>
                  <w:r>
                    <w:rPr>
                      <w:rFonts w:hint="eastAsia"/>
                      <w:spacing w:val="0"/>
                      <w:kern w:val="0"/>
                    </w:rPr>
                    <w:t>资源，项目资源消耗相对区域资源利用总量较少，不会超过当地资源利用上线。</w:t>
                  </w:r>
                </w:p>
              </w:tc>
              <w:tc>
                <w:tcPr>
                  <w:tcW w:w="716" w:type="dxa"/>
                  <w:tcBorders>
                    <w:tl2br w:val="nil"/>
                    <w:tr2bl w:val="nil"/>
                  </w:tcBorders>
                  <w:noWrap w:val="0"/>
                  <w:vAlign w:val="center"/>
                </w:tcPr>
                <w:p w14:paraId="68179D99">
                  <w:pPr>
                    <w:pStyle w:val="64"/>
                    <w:bidi w:val="0"/>
                    <w:rPr>
                      <w:rFonts w:hint="eastAsia"/>
                      <w:spacing w:val="0"/>
                      <w:kern w:val="0"/>
                    </w:rPr>
                  </w:pPr>
                  <w:r>
                    <w:rPr>
                      <w:rFonts w:hint="eastAsia"/>
                      <w:spacing w:val="0"/>
                      <w:kern w:val="0"/>
                    </w:rPr>
                    <w:t>符合</w:t>
                  </w:r>
                </w:p>
              </w:tc>
            </w:tr>
            <w:tr w14:paraId="6B9D4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vMerge w:val="restart"/>
                  <w:tcBorders>
                    <w:tl2br w:val="nil"/>
                    <w:tr2bl w:val="nil"/>
                  </w:tcBorders>
                  <w:noWrap w:val="0"/>
                  <w:vAlign w:val="center"/>
                </w:tcPr>
                <w:p w14:paraId="24C7FE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Times New Roman" w:eastAsia="宋体" w:cs="Times New Roman"/>
                      <w:color w:val="auto"/>
                      <w:spacing w:val="0"/>
                      <w:kern w:val="0"/>
                      <w:sz w:val="21"/>
                      <w:szCs w:val="21"/>
                      <w:vertAlign w:val="baseline"/>
                      <w:lang w:val="en-US" w:eastAsia="zh-CN" w:bidi="ar-SA"/>
                    </w:rPr>
                  </w:pPr>
                  <w:r>
                    <w:rPr>
                      <w:rFonts w:hint="eastAsia" w:ascii="Times New Roman" w:hAnsi="宋体" w:eastAsia="宋体" w:cs="宋体"/>
                      <w:color w:val="auto"/>
                      <w:spacing w:val="0"/>
                      <w:kern w:val="0"/>
                      <w:sz w:val="21"/>
                      <w:szCs w:val="21"/>
                      <w:highlight w:val="none"/>
                      <w:lang w:bidi="ar"/>
                    </w:rPr>
                    <w:t>天山南坡片区总体管控要求</w:t>
                  </w:r>
                </w:p>
              </w:tc>
              <w:tc>
                <w:tcPr>
                  <w:tcW w:w="3192" w:type="dxa"/>
                  <w:tcBorders>
                    <w:tl2br w:val="nil"/>
                    <w:tr2bl w:val="nil"/>
                  </w:tcBorders>
                  <w:noWrap w:val="0"/>
                  <w:vAlign w:val="center"/>
                </w:tcPr>
                <w:p w14:paraId="64476370">
                  <w:pPr>
                    <w:widowControl/>
                    <w:spacing w:line="0" w:lineRule="atLeast"/>
                    <w:jc w:val="center"/>
                    <w:rPr>
                      <w:rFonts w:hint="eastAsia" w:ascii="Times New Roman" w:hAnsi="Times New Roman" w:eastAsia="宋体" w:cs="Times New Roman"/>
                      <w:color w:val="auto"/>
                      <w:spacing w:val="0"/>
                      <w:kern w:val="0"/>
                      <w:sz w:val="21"/>
                      <w:szCs w:val="21"/>
                      <w:vertAlign w:val="baseline"/>
                      <w:lang w:val="en-US" w:eastAsia="zh-CN" w:bidi="ar-SA"/>
                    </w:rPr>
                  </w:pPr>
                  <w:r>
                    <w:rPr>
                      <w:rFonts w:hint="eastAsia" w:ascii="Times New Roman" w:hAnsi="宋体" w:eastAsia="宋体" w:cs="宋体"/>
                      <w:color w:val="auto"/>
                      <w:spacing w:val="0"/>
                      <w:kern w:val="0"/>
                      <w:sz w:val="21"/>
                      <w:szCs w:val="21"/>
                      <w:highlight w:val="none"/>
                      <w:lang w:bidi="ar"/>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2776" w:type="dxa"/>
                  <w:tcBorders>
                    <w:tl2br w:val="nil"/>
                    <w:tr2bl w:val="nil"/>
                  </w:tcBorders>
                  <w:noWrap w:val="0"/>
                  <w:vAlign w:val="center"/>
                </w:tcPr>
                <w:p w14:paraId="35D6E444">
                  <w:pPr>
                    <w:adjustRightInd w:val="0"/>
                    <w:spacing w:line="0" w:lineRule="atLeast"/>
                    <w:jc w:val="center"/>
                    <w:rPr>
                      <w:rFonts w:hint="eastAsia" w:ascii="Times New Roman" w:hAnsi="Times New Roman" w:eastAsia="宋体" w:cs="Times New Roman"/>
                      <w:color w:val="auto"/>
                      <w:spacing w:val="0"/>
                      <w:kern w:val="0"/>
                      <w:sz w:val="21"/>
                      <w:szCs w:val="24"/>
                      <w:lang w:val="en-US" w:eastAsia="zh-CN" w:bidi="ar-SA"/>
                    </w:rPr>
                  </w:pPr>
                  <w:r>
                    <w:rPr>
                      <w:rFonts w:hint="eastAsia" w:ascii="Times New Roman" w:hAnsi="宋体" w:eastAsia="宋体" w:cs="宋体"/>
                      <w:color w:val="auto"/>
                      <w:spacing w:val="0"/>
                      <w:kern w:val="0"/>
                      <w:sz w:val="21"/>
                      <w:szCs w:val="21"/>
                      <w:highlight w:val="none"/>
                      <w:lang w:bidi="ar"/>
                    </w:rPr>
                    <w:t>本项目不在托木尔峰和天山南坡中段冰雪水源及生物多样性保护生态功能区</w:t>
                  </w:r>
                </w:p>
              </w:tc>
              <w:tc>
                <w:tcPr>
                  <w:tcW w:w="716" w:type="dxa"/>
                  <w:tcBorders>
                    <w:tl2br w:val="nil"/>
                    <w:tr2bl w:val="nil"/>
                  </w:tcBorders>
                  <w:noWrap w:val="0"/>
                  <w:vAlign w:val="center"/>
                </w:tcPr>
                <w:p w14:paraId="70B97CA7">
                  <w:pPr>
                    <w:bidi w:val="0"/>
                    <w:spacing w:line="240" w:lineRule="auto"/>
                    <w:jc w:val="center"/>
                    <w:rPr>
                      <w:rFonts w:hint="eastAsia" w:ascii="Times New Roman" w:hAnsi="Times New Roman" w:eastAsia="宋体" w:cs="Times New Roman"/>
                      <w:spacing w:val="0"/>
                      <w:kern w:val="0"/>
                      <w:sz w:val="21"/>
                    </w:rPr>
                  </w:pPr>
                  <w:r>
                    <w:rPr>
                      <w:rFonts w:hint="eastAsia" w:ascii="Times New Roman" w:hAnsi="Times New Roman" w:eastAsia="宋体" w:cs="Times New Roman"/>
                      <w:spacing w:val="0"/>
                      <w:kern w:val="0"/>
                      <w:sz w:val="21"/>
                    </w:rPr>
                    <w:t>符合</w:t>
                  </w:r>
                </w:p>
              </w:tc>
            </w:tr>
            <w:tr w14:paraId="282D0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vMerge w:val="continue"/>
                  <w:tcBorders>
                    <w:tl2br w:val="nil"/>
                    <w:tr2bl w:val="nil"/>
                  </w:tcBorders>
                  <w:noWrap w:val="0"/>
                  <w:vAlign w:val="center"/>
                </w:tcPr>
                <w:p w14:paraId="43F912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宋体" w:eastAsia="宋体" w:cs="宋体"/>
                      <w:color w:val="auto"/>
                      <w:spacing w:val="0"/>
                      <w:kern w:val="0"/>
                      <w:sz w:val="21"/>
                      <w:szCs w:val="21"/>
                      <w:highlight w:val="none"/>
                      <w:lang w:bidi="ar"/>
                    </w:rPr>
                  </w:pPr>
                </w:p>
              </w:tc>
              <w:tc>
                <w:tcPr>
                  <w:tcW w:w="3192" w:type="dxa"/>
                  <w:tcBorders>
                    <w:tl2br w:val="nil"/>
                    <w:tr2bl w:val="nil"/>
                  </w:tcBorders>
                  <w:noWrap w:val="0"/>
                  <w:vAlign w:val="center"/>
                </w:tcPr>
                <w:p w14:paraId="19B8D6BB">
                  <w:pPr>
                    <w:widowControl/>
                    <w:spacing w:line="0" w:lineRule="atLeast"/>
                    <w:jc w:val="center"/>
                    <w:rPr>
                      <w:rFonts w:hint="eastAsia" w:ascii="Times New Roman" w:hAnsi="Times New Roman" w:eastAsia="宋体" w:cs="Times New Roman"/>
                      <w:color w:val="auto"/>
                      <w:spacing w:val="0"/>
                      <w:kern w:val="0"/>
                      <w:sz w:val="21"/>
                      <w:szCs w:val="21"/>
                      <w:vertAlign w:val="baseline"/>
                      <w:lang w:val="en-US" w:eastAsia="zh-CN" w:bidi="ar-SA"/>
                    </w:rPr>
                  </w:pPr>
                  <w:r>
                    <w:rPr>
                      <w:rFonts w:hint="eastAsia" w:ascii="Times New Roman" w:hAnsi="宋体" w:eastAsia="宋体" w:cs="宋体"/>
                      <w:color w:val="auto"/>
                      <w:spacing w:val="0"/>
                      <w:kern w:val="0"/>
                      <w:sz w:val="21"/>
                      <w:szCs w:val="21"/>
                      <w:highlight w:val="none"/>
                      <w:lang w:bidi="ar"/>
                    </w:rPr>
                    <w:t>重点做好塔里木盆地北缘荒漠化防治。加强荒漠植被及河岸荒漠林保护，规范油气勘探开发作业，建立油田和公路扰动区域工程与生物相结合的防风固沙体系，逐步形成生态屏障。</w:t>
                  </w:r>
                </w:p>
              </w:tc>
              <w:tc>
                <w:tcPr>
                  <w:tcW w:w="2776" w:type="dxa"/>
                  <w:tcBorders>
                    <w:tl2br w:val="nil"/>
                    <w:tr2bl w:val="nil"/>
                  </w:tcBorders>
                  <w:noWrap w:val="0"/>
                  <w:vAlign w:val="center"/>
                </w:tcPr>
                <w:p w14:paraId="16E4F5C9">
                  <w:pPr>
                    <w:adjustRightInd w:val="0"/>
                    <w:spacing w:line="0" w:lineRule="atLeast"/>
                    <w:jc w:val="center"/>
                    <w:rPr>
                      <w:rFonts w:hint="default" w:ascii="Times New Roman" w:hAnsi="Times New Roman" w:eastAsia="宋体" w:cs="Times New Roman"/>
                      <w:color w:val="auto"/>
                      <w:spacing w:val="0"/>
                      <w:kern w:val="0"/>
                      <w:sz w:val="21"/>
                      <w:szCs w:val="24"/>
                      <w:lang w:val="en-US" w:eastAsia="zh-CN" w:bidi="ar-SA"/>
                    </w:rPr>
                  </w:pPr>
                  <w:r>
                    <w:rPr>
                      <w:rFonts w:hint="eastAsia" w:ascii="Times New Roman" w:hAnsi="宋体" w:eastAsia="宋体" w:cs="宋体"/>
                      <w:color w:val="auto"/>
                      <w:spacing w:val="0"/>
                      <w:kern w:val="0"/>
                      <w:sz w:val="21"/>
                      <w:szCs w:val="21"/>
                      <w:highlight w:val="none"/>
                      <w:lang w:val="en-US" w:eastAsia="zh-CN"/>
                    </w:rPr>
                    <w:t>本项目区周边已进行了绿化。</w:t>
                  </w:r>
                </w:p>
              </w:tc>
              <w:tc>
                <w:tcPr>
                  <w:tcW w:w="716" w:type="dxa"/>
                  <w:tcBorders>
                    <w:tl2br w:val="nil"/>
                    <w:tr2bl w:val="nil"/>
                  </w:tcBorders>
                  <w:noWrap w:val="0"/>
                  <w:vAlign w:val="center"/>
                </w:tcPr>
                <w:p w14:paraId="5CD95946">
                  <w:pPr>
                    <w:bidi w:val="0"/>
                    <w:spacing w:line="240" w:lineRule="auto"/>
                    <w:jc w:val="center"/>
                    <w:rPr>
                      <w:rFonts w:hint="eastAsia" w:ascii="Times New Roman" w:hAnsi="Times New Roman" w:eastAsia="宋体" w:cs="Times New Roman"/>
                      <w:spacing w:val="0"/>
                      <w:kern w:val="0"/>
                      <w:sz w:val="21"/>
                    </w:rPr>
                  </w:pPr>
                  <w:r>
                    <w:rPr>
                      <w:rFonts w:hint="eastAsia" w:ascii="Times New Roman" w:hAnsi="Times New Roman" w:eastAsia="宋体" w:cs="Times New Roman"/>
                      <w:spacing w:val="0"/>
                      <w:kern w:val="0"/>
                      <w:sz w:val="21"/>
                    </w:rPr>
                    <w:t>符合</w:t>
                  </w:r>
                </w:p>
              </w:tc>
            </w:tr>
            <w:tr w14:paraId="00F90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vMerge w:val="continue"/>
                  <w:tcBorders>
                    <w:tl2br w:val="nil"/>
                    <w:tr2bl w:val="nil"/>
                  </w:tcBorders>
                  <w:noWrap w:val="0"/>
                  <w:vAlign w:val="center"/>
                </w:tcPr>
                <w:p w14:paraId="37983A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宋体" w:eastAsia="宋体" w:cs="宋体"/>
                      <w:color w:val="auto"/>
                      <w:spacing w:val="0"/>
                      <w:kern w:val="0"/>
                      <w:sz w:val="21"/>
                      <w:szCs w:val="21"/>
                      <w:highlight w:val="none"/>
                      <w:lang w:bidi="ar"/>
                    </w:rPr>
                  </w:pPr>
                </w:p>
              </w:tc>
              <w:tc>
                <w:tcPr>
                  <w:tcW w:w="3192" w:type="dxa"/>
                  <w:tcBorders>
                    <w:tl2br w:val="nil"/>
                    <w:tr2bl w:val="nil"/>
                  </w:tcBorders>
                  <w:noWrap w:val="0"/>
                  <w:vAlign w:val="center"/>
                </w:tcPr>
                <w:p w14:paraId="1732BF58">
                  <w:pPr>
                    <w:autoSpaceDE w:val="0"/>
                    <w:autoSpaceDN w:val="0"/>
                    <w:adjustRightInd w:val="0"/>
                    <w:spacing w:line="0" w:lineRule="atLeast"/>
                    <w:jc w:val="center"/>
                    <w:rPr>
                      <w:rFonts w:hint="eastAsia" w:ascii="Times New Roman" w:hAnsi="Times New Roman" w:eastAsia="宋体" w:cs="Times New Roman"/>
                      <w:color w:val="auto"/>
                      <w:spacing w:val="0"/>
                      <w:kern w:val="0"/>
                      <w:sz w:val="21"/>
                      <w:szCs w:val="21"/>
                      <w:vertAlign w:val="baseline"/>
                      <w:lang w:val="en-US" w:eastAsia="zh-CN" w:bidi="ar-SA"/>
                    </w:rPr>
                  </w:pPr>
                  <w:r>
                    <w:rPr>
                      <w:rFonts w:hint="eastAsia" w:ascii="Times New Roman" w:hAnsi="宋体" w:eastAsia="宋体" w:cs="宋体"/>
                      <w:color w:val="auto"/>
                      <w:spacing w:val="0"/>
                      <w:kern w:val="0"/>
                      <w:sz w:val="21"/>
                      <w:szCs w:val="21"/>
                      <w:highlight w:val="none"/>
                      <w:lang w:bidi="ar"/>
                    </w:rPr>
                    <w:t>推进塔里木河流域用水结构调整，维护塔里木河、博斯腾湖基本生态用水。</w:t>
                  </w:r>
                </w:p>
              </w:tc>
              <w:tc>
                <w:tcPr>
                  <w:tcW w:w="2776" w:type="dxa"/>
                  <w:tcBorders>
                    <w:tl2br w:val="nil"/>
                    <w:tr2bl w:val="nil"/>
                  </w:tcBorders>
                  <w:noWrap w:val="0"/>
                  <w:vAlign w:val="center"/>
                </w:tcPr>
                <w:p w14:paraId="0C69DAAD">
                  <w:pPr>
                    <w:adjustRightInd w:val="0"/>
                    <w:spacing w:line="0" w:lineRule="atLeast"/>
                    <w:jc w:val="center"/>
                    <w:rPr>
                      <w:rFonts w:hint="eastAsia" w:ascii="Times New Roman" w:hAnsi="Times New Roman" w:eastAsia="宋体" w:cs="Times New Roman"/>
                      <w:color w:val="auto"/>
                      <w:spacing w:val="0"/>
                      <w:kern w:val="0"/>
                      <w:sz w:val="21"/>
                      <w:szCs w:val="24"/>
                      <w:lang w:val="en-US" w:eastAsia="zh-CN" w:bidi="ar-SA"/>
                    </w:rPr>
                  </w:pPr>
                  <w:r>
                    <w:rPr>
                      <w:rFonts w:hint="eastAsia" w:ascii="Times New Roman" w:hAnsi="宋体" w:eastAsia="宋体" w:cs="宋体"/>
                      <w:color w:val="auto"/>
                      <w:spacing w:val="0"/>
                      <w:kern w:val="0"/>
                      <w:sz w:val="21"/>
                      <w:szCs w:val="21"/>
                      <w:highlight w:val="none"/>
                    </w:rPr>
                    <w:t>本项目不涉及塔里木河、博斯腾湖生态用水</w:t>
                  </w:r>
                </w:p>
              </w:tc>
              <w:tc>
                <w:tcPr>
                  <w:tcW w:w="716" w:type="dxa"/>
                  <w:tcBorders>
                    <w:tl2br w:val="nil"/>
                    <w:tr2bl w:val="nil"/>
                  </w:tcBorders>
                  <w:noWrap w:val="0"/>
                  <w:vAlign w:val="center"/>
                </w:tcPr>
                <w:p w14:paraId="2BE6675E">
                  <w:pPr>
                    <w:bidi w:val="0"/>
                    <w:spacing w:line="240" w:lineRule="auto"/>
                    <w:jc w:val="center"/>
                    <w:rPr>
                      <w:rFonts w:hint="eastAsia" w:ascii="Times New Roman" w:hAnsi="Times New Roman" w:eastAsia="宋体" w:cs="Times New Roman"/>
                      <w:spacing w:val="0"/>
                      <w:kern w:val="0"/>
                      <w:sz w:val="21"/>
                    </w:rPr>
                  </w:pPr>
                  <w:r>
                    <w:rPr>
                      <w:rFonts w:hint="eastAsia" w:ascii="Times New Roman" w:hAnsi="Times New Roman" w:eastAsia="宋体" w:cs="Times New Roman"/>
                      <w:spacing w:val="0"/>
                      <w:kern w:val="0"/>
                      <w:sz w:val="21"/>
                    </w:rPr>
                    <w:t>符合</w:t>
                  </w:r>
                </w:p>
              </w:tc>
            </w:tr>
            <w:tr w14:paraId="142B8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vMerge w:val="continue"/>
                  <w:tcBorders>
                    <w:tl2br w:val="nil"/>
                    <w:tr2bl w:val="nil"/>
                  </w:tcBorders>
                  <w:noWrap w:val="0"/>
                  <w:vAlign w:val="center"/>
                </w:tcPr>
                <w:p w14:paraId="0D4391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宋体" w:eastAsia="宋体" w:cs="宋体"/>
                      <w:color w:val="auto"/>
                      <w:spacing w:val="0"/>
                      <w:kern w:val="0"/>
                      <w:sz w:val="21"/>
                      <w:szCs w:val="21"/>
                      <w:highlight w:val="none"/>
                      <w:lang w:bidi="ar"/>
                    </w:rPr>
                  </w:pPr>
                </w:p>
              </w:tc>
              <w:tc>
                <w:tcPr>
                  <w:tcW w:w="3192" w:type="dxa"/>
                  <w:tcBorders>
                    <w:tl2br w:val="nil"/>
                    <w:tr2bl w:val="nil"/>
                  </w:tcBorders>
                  <w:noWrap w:val="0"/>
                  <w:vAlign w:val="center"/>
                </w:tcPr>
                <w:p w14:paraId="75167BC2">
                  <w:pPr>
                    <w:autoSpaceDE w:val="0"/>
                    <w:autoSpaceDN w:val="0"/>
                    <w:adjustRightInd w:val="0"/>
                    <w:spacing w:line="0" w:lineRule="atLeast"/>
                    <w:jc w:val="center"/>
                    <w:rPr>
                      <w:rFonts w:hint="eastAsia" w:ascii="Times New Roman" w:hAnsi="Times New Roman" w:eastAsia="宋体" w:cs="Times New Roman"/>
                      <w:color w:val="auto"/>
                      <w:spacing w:val="0"/>
                      <w:kern w:val="0"/>
                      <w:sz w:val="21"/>
                      <w:szCs w:val="21"/>
                      <w:vertAlign w:val="baseline"/>
                      <w:lang w:val="en-US" w:eastAsia="zh-CN" w:bidi="ar-SA"/>
                    </w:rPr>
                  </w:pPr>
                  <w:r>
                    <w:rPr>
                      <w:rFonts w:hint="eastAsia" w:ascii="Times New Roman" w:hAnsi="宋体" w:eastAsia="宋体" w:cs="宋体"/>
                      <w:color w:val="auto"/>
                      <w:spacing w:val="0"/>
                      <w:kern w:val="0"/>
                      <w:sz w:val="21"/>
                      <w:szCs w:val="21"/>
                      <w:highlight w:val="none"/>
                    </w:rPr>
                    <w:t>加强塔里木河流域水环境风险管控。加大博斯腾湖污染源头达标排放治理和监督力度，实施博斯腾湖综合治理。</w:t>
                  </w:r>
                </w:p>
              </w:tc>
              <w:tc>
                <w:tcPr>
                  <w:tcW w:w="2776" w:type="dxa"/>
                  <w:tcBorders>
                    <w:tl2br w:val="nil"/>
                    <w:tr2bl w:val="nil"/>
                  </w:tcBorders>
                  <w:noWrap w:val="0"/>
                  <w:vAlign w:val="center"/>
                </w:tcPr>
                <w:p w14:paraId="039A06CF">
                  <w:pPr>
                    <w:adjustRightInd w:val="0"/>
                    <w:spacing w:line="0" w:lineRule="atLeast"/>
                    <w:jc w:val="center"/>
                    <w:rPr>
                      <w:rFonts w:hint="eastAsia" w:ascii="Times New Roman" w:hAnsi="Times New Roman" w:eastAsia="宋体" w:cs="Times New Roman"/>
                      <w:color w:val="auto"/>
                      <w:spacing w:val="0"/>
                      <w:kern w:val="0"/>
                      <w:sz w:val="21"/>
                      <w:szCs w:val="24"/>
                      <w:lang w:val="en-US" w:eastAsia="zh-CN" w:bidi="ar-SA"/>
                    </w:rPr>
                  </w:pPr>
                  <w:r>
                    <w:rPr>
                      <w:rFonts w:hint="eastAsia" w:ascii="Times New Roman" w:hAnsi="宋体" w:eastAsia="宋体" w:cs="宋体"/>
                      <w:color w:val="auto"/>
                      <w:spacing w:val="0"/>
                      <w:kern w:val="0"/>
                      <w:sz w:val="21"/>
                      <w:szCs w:val="21"/>
                      <w:highlight w:val="none"/>
                    </w:rPr>
                    <w:t>本项目不涉及</w:t>
                  </w:r>
                </w:p>
              </w:tc>
              <w:tc>
                <w:tcPr>
                  <w:tcW w:w="716" w:type="dxa"/>
                  <w:tcBorders>
                    <w:tl2br w:val="nil"/>
                    <w:tr2bl w:val="nil"/>
                  </w:tcBorders>
                  <w:noWrap w:val="0"/>
                  <w:vAlign w:val="center"/>
                </w:tcPr>
                <w:p w14:paraId="6E5A7309">
                  <w:pPr>
                    <w:bidi w:val="0"/>
                    <w:spacing w:line="240" w:lineRule="auto"/>
                    <w:jc w:val="center"/>
                    <w:rPr>
                      <w:rFonts w:hint="eastAsia" w:ascii="Times New Roman" w:hAnsi="Times New Roman" w:eastAsia="宋体" w:cs="Times New Roman"/>
                      <w:spacing w:val="0"/>
                      <w:kern w:val="0"/>
                      <w:sz w:val="21"/>
                    </w:rPr>
                  </w:pPr>
                  <w:r>
                    <w:rPr>
                      <w:rFonts w:hint="eastAsia" w:ascii="Times New Roman" w:hAnsi="Times New Roman" w:eastAsia="宋体" w:cs="Times New Roman"/>
                      <w:spacing w:val="0"/>
                      <w:kern w:val="0"/>
                      <w:sz w:val="21"/>
                    </w:rPr>
                    <w:t>符合</w:t>
                  </w:r>
                </w:p>
              </w:tc>
            </w:tr>
            <w:tr w14:paraId="3F762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0" w:type="dxa"/>
                  <w:vMerge w:val="continue"/>
                  <w:tcBorders>
                    <w:tl2br w:val="nil"/>
                    <w:tr2bl w:val="nil"/>
                  </w:tcBorders>
                  <w:noWrap w:val="0"/>
                  <w:vAlign w:val="center"/>
                </w:tcPr>
                <w:p w14:paraId="276D31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Times New Roman" w:hAnsi="宋体" w:eastAsia="宋体" w:cs="宋体"/>
                      <w:color w:val="auto"/>
                      <w:spacing w:val="0"/>
                      <w:kern w:val="0"/>
                      <w:sz w:val="21"/>
                      <w:szCs w:val="21"/>
                      <w:highlight w:val="none"/>
                      <w:lang w:bidi="ar"/>
                    </w:rPr>
                  </w:pPr>
                </w:p>
              </w:tc>
              <w:tc>
                <w:tcPr>
                  <w:tcW w:w="3192" w:type="dxa"/>
                  <w:tcBorders>
                    <w:tl2br w:val="nil"/>
                    <w:tr2bl w:val="nil"/>
                  </w:tcBorders>
                  <w:noWrap w:val="0"/>
                  <w:vAlign w:val="center"/>
                </w:tcPr>
                <w:p w14:paraId="070AF494">
                  <w:pPr>
                    <w:autoSpaceDE w:val="0"/>
                    <w:autoSpaceDN w:val="0"/>
                    <w:adjustRightInd w:val="0"/>
                    <w:spacing w:line="0" w:lineRule="atLeast"/>
                    <w:jc w:val="center"/>
                    <w:rPr>
                      <w:rFonts w:hint="eastAsia" w:ascii="Times New Roman" w:hAnsi="Times New Roman" w:eastAsia="宋体" w:cs="Times New Roman"/>
                      <w:color w:val="auto"/>
                      <w:spacing w:val="0"/>
                      <w:kern w:val="0"/>
                      <w:sz w:val="21"/>
                      <w:szCs w:val="21"/>
                      <w:vertAlign w:val="baseline"/>
                      <w:lang w:val="en-US" w:eastAsia="zh-CN" w:bidi="ar-SA"/>
                    </w:rPr>
                  </w:pPr>
                  <w:r>
                    <w:rPr>
                      <w:rFonts w:hint="eastAsia" w:ascii="Times New Roman" w:hAnsi="宋体" w:eastAsia="宋体" w:cs="宋体"/>
                      <w:color w:val="auto"/>
                      <w:spacing w:val="0"/>
                      <w:kern w:val="0"/>
                      <w:sz w:val="21"/>
                      <w:szCs w:val="21"/>
                      <w:highlight w:val="none"/>
                    </w:rPr>
                    <w:t>加强油</w:t>
                  </w:r>
                  <w:r>
                    <w:rPr>
                      <w:rFonts w:hint="eastAsia" w:ascii="Times New Roman" w:hAnsi="宋体" w:eastAsia="宋体" w:cs="宋体"/>
                      <w:color w:val="auto"/>
                      <w:spacing w:val="0"/>
                      <w:kern w:val="0"/>
                      <w:sz w:val="21"/>
                      <w:szCs w:val="21"/>
                      <w:highlight w:val="none"/>
                      <w:lang w:eastAsia="zh-CN"/>
                    </w:rPr>
                    <w:t>（</w:t>
                  </w:r>
                  <w:r>
                    <w:rPr>
                      <w:rFonts w:hint="eastAsia" w:ascii="Times New Roman" w:hAnsi="宋体" w:eastAsia="宋体" w:cs="宋体"/>
                      <w:color w:val="auto"/>
                      <w:spacing w:val="0"/>
                      <w:kern w:val="0"/>
                      <w:sz w:val="21"/>
                      <w:szCs w:val="21"/>
                      <w:highlight w:val="none"/>
                    </w:rPr>
                    <w:t>气</w:t>
                  </w:r>
                  <w:r>
                    <w:rPr>
                      <w:rFonts w:hint="eastAsia" w:ascii="Times New Roman" w:hAnsi="宋体" w:eastAsia="宋体" w:cs="宋体"/>
                      <w:color w:val="auto"/>
                      <w:spacing w:val="0"/>
                      <w:kern w:val="0"/>
                      <w:sz w:val="21"/>
                      <w:szCs w:val="21"/>
                      <w:highlight w:val="none"/>
                      <w:lang w:eastAsia="zh-CN"/>
                    </w:rPr>
                    <w:t>）</w:t>
                  </w:r>
                  <w:r>
                    <w:rPr>
                      <w:rFonts w:hint="eastAsia" w:ascii="Times New Roman" w:hAnsi="宋体" w:eastAsia="宋体" w:cs="宋体"/>
                      <w:color w:val="auto"/>
                      <w:spacing w:val="0"/>
                      <w:kern w:val="0"/>
                      <w:sz w:val="21"/>
                      <w:szCs w:val="21"/>
                      <w:highlight w:val="none"/>
                    </w:rPr>
                    <w:t>资源开发区土壤环境污染综合整治。强化涉重金属行业污染防控与工业废物处理处置。</w:t>
                  </w:r>
                </w:p>
              </w:tc>
              <w:tc>
                <w:tcPr>
                  <w:tcW w:w="2776" w:type="dxa"/>
                  <w:tcBorders>
                    <w:tl2br w:val="nil"/>
                    <w:tr2bl w:val="nil"/>
                  </w:tcBorders>
                  <w:noWrap w:val="0"/>
                  <w:vAlign w:val="center"/>
                </w:tcPr>
                <w:p w14:paraId="4DCD227C">
                  <w:pPr>
                    <w:adjustRightInd w:val="0"/>
                    <w:spacing w:line="0" w:lineRule="atLeast"/>
                    <w:jc w:val="center"/>
                    <w:rPr>
                      <w:rFonts w:hint="eastAsia" w:ascii="Times New Roman" w:hAnsi="Times New Roman" w:eastAsia="宋体" w:cs="Times New Roman"/>
                      <w:color w:val="auto"/>
                      <w:spacing w:val="0"/>
                      <w:kern w:val="0"/>
                      <w:sz w:val="21"/>
                      <w:szCs w:val="24"/>
                      <w:lang w:val="en-US" w:eastAsia="zh-CN" w:bidi="ar-SA"/>
                    </w:rPr>
                  </w:pPr>
                  <w:r>
                    <w:rPr>
                      <w:rFonts w:hint="eastAsia" w:ascii="Times New Roman" w:hAnsi="宋体" w:eastAsia="宋体" w:cs="宋体"/>
                      <w:color w:val="auto"/>
                      <w:spacing w:val="0"/>
                      <w:kern w:val="0"/>
                      <w:sz w:val="21"/>
                      <w:szCs w:val="21"/>
                      <w:highlight w:val="none"/>
                    </w:rPr>
                    <w:t>本项目</w:t>
                  </w:r>
                  <w:r>
                    <w:rPr>
                      <w:rFonts w:hint="eastAsia" w:ascii="Times New Roman" w:hAnsi="宋体" w:eastAsia="宋体" w:cs="宋体"/>
                      <w:color w:val="auto"/>
                      <w:spacing w:val="0"/>
                      <w:kern w:val="0"/>
                      <w:sz w:val="21"/>
                      <w:szCs w:val="21"/>
                      <w:highlight w:val="none"/>
                      <w:lang w:bidi="ar"/>
                    </w:rPr>
                    <w:t>不涉及重金属排放</w:t>
                  </w:r>
                </w:p>
              </w:tc>
              <w:tc>
                <w:tcPr>
                  <w:tcW w:w="716" w:type="dxa"/>
                  <w:tcBorders>
                    <w:tl2br w:val="nil"/>
                    <w:tr2bl w:val="nil"/>
                  </w:tcBorders>
                  <w:noWrap w:val="0"/>
                  <w:vAlign w:val="center"/>
                </w:tcPr>
                <w:p w14:paraId="71CD81B7">
                  <w:pPr>
                    <w:bidi w:val="0"/>
                    <w:spacing w:line="240" w:lineRule="auto"/>
                    <w:jc w:val="center"/>
                    <w:rPr>
                      <w:rFonts w:hint="eastAsia" w:ascii="Times New Roman" w:hAnsi="Times New Roman" w:eastAsia="宋体" w:cs="Times New Roman"/>
                      <w:spacing w:val="0"/>
                      <w:kern w:val="0"/>
                      <w:sz w:val="21"/>
                    </w:rPr>
                  </w:pPr>
                  <w:r>
                    <w:rPr>
                      <w:rFonts w:hint="eastAsia" w:ascii="Times New Roman" w:hAnsi="Times New Roman" w:eastAsia="宋体" w:cs="Times New Roman"/>
                      <w:spacing w:val="0"/>
                      <w:kern w:val="0"/>
                      <w:sz w:val="21"/>
                    </w:rPr>
                    <w:t>符合</w:t>
                  </w:r>
                </w:p>
              </w:tc>
            </w:tr>
          </w:tbl>
          <w:p w14:paraId="0479E151">
            <w:pPr>
              <w:pStyle w:val="63"/>
              <w:bidi w:val="0"/>
              <w:rPr>
                <w:rFonts w:hint="eastAsia"/>
                <w:lang w:eastAsia="zh-CN"/>
              </w:rPr>
            </w:pPr>
            <w:r>
              <w:rPr>
                <w:rFonts w:hint="eastAsia"/>
                <w:lang w:val="en-US" w:eastAsia="zh-CN"/>
              </w:rPr>
              <w:t>综上所述，本项目符合</w:t>
            </w:r>
            <w:r>
              <w:rPr>
                <w:rFonts w:hint="eastAsia"/>
              </w:rPr>
              <w:t>《新疆维吾尔自治区七大片区</w:t>
            </w:r>
            <w:r>
              <w:rPr>
                <w:rFonts w:hint="eastAsia"/>
                <w:lang w:eastAsia="zh-CN"/>
              </w:rPr>
              <w:t>“</w:t>
            </w:r>
            <w:r>
              <w:rPr>
                <w:rFonts w:hint="eastAsia"/>
              </w:rPr>
              <w:t>三线一单</w:t>
            </w:r>
            <w:r>
              <w:rPr>
                <w:rFonts w:hint="eastAsia"/>
                <w:lang w:eastAsia="zh-CN"/>
              </w:rPr>
              <w:t>”</w:t>
            </w:r>
            <w:r>
              <w:rPr>
                <w:rFonts w:hint="eastAsia"/>
              </w:rPr>
              <w:t>生态环境分区管控要求》（2021年版）（新环环评发〔2021〕162号）</w:t>
            </w:r>
            <w:r>
              <w:rPr>
                <w:rFonts w:hint="eastAsia"/>
                <w:lang w:val="en-US" w:eastAsia="zh-CN"/>
              </w:rPr>
              <w:t>管控要求</w:t>
            </w:r>
            <w:r>
              <w:rPr>
                <w:rFonts w:hint="eastAsia"/>
                <w:lang w:eastAsia="zh-CN"/>
              </w:rPr>
              <w:t>。</w:t>
            </w:r>
          </w:p>
          <w:p w14:paraId="4FB266B5">
            <w:pPr>
              <w:pStyle w:val="33"/>
              <w:adjustRightInd w:val="0"/>
              <w:snapToGrid w:val="0"/>
              <w:rPr>
                <w:rFonts w:hint="eastAsia"/>
                <w:lang w:val="en-US" w:eastAsia="zh-CN"/>
              </w:rPr>
            </w:pPr>
            <w:r>
              <w:rPr>
                <w:rFonts w:hint="eastAsia"/>
                <w:lang w:val="en-US" w:eastAsia="zh-CN"/>
              </w:rPr>
              <w:t>本项目与《关于印发巴音郭楞蒙古自治州“三线一单”生态环境分区管控动态更新成果（2023年）的通知》（巴政办发〔2024〕32号）表1-3</w:t>
            </w:r>
            <w:r>
              <w:rPr>
                <w:rFonts w:hint="eastAsia"/>
                <w:lang w:eastAsia="zh-CN"/>
              </w:rPr>
              <w:t>。</w:t>
            </w:r>
            <w:r>
              <w:rPr>
                <w:rFonts w:hint="eastAsia"/>
                <w:lang w:val="en-US" w:eastAsia="zh-CN"/>
              </w:rPr>
              <w:t>项目与巴音郭楞蒙古自治州“三线一单”生态环境分区管控方案位置关系图见</w:t>
            </w:r>
            <w:r>
              <w:rPr>
                <w:rFonts w:hint="eastAsia"/>
                <w:color w:val="000000" w:themeColor="text1"/>
                <w:lang w:val="en-US" w:eastAsia="zh-CN"/>
                <w14:textFill>
                  <w14:solidFill>
                    <w14:schemeClr w14:val="tx1"/>
                  </w14:solidFill>
                </w14:textFill>
              </w:rPr>
              <w:t>附图1。</w:t>
            </w:r>
          </w:p>
          <w:p w14:paraId="408CAA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auto"/>
                <w:kern w:val="2"/>
                <w:sz w:val="24"/>
                <w:szCs w:val="21"/>
                <w:highlight w:val="none"/>
                <w:lang w:val="en-US" w:eastAsia="zh-CN" w:bidi="ar-SA"/>
              </w:rPr>
            </w:pPr>
            <w:r>
              <w:rPr>
                <w:rFonts w:hint="eastAsia" w:ascii="Times New Roman" w:hAnsi="Times New Roman" w:eastAsia="宋体" w:cs="Times New Roman"/>
                <w:b/>
                <w:bCs w:val="0"/>
                <w:color w:val="auto"/>
                <w:kern w:val="2"/>
                <w:sz w:val="24"/>
                <w:szCs w:val="21"/>
                <w:highlight w:val="none"/>
                <w:lang w:val="en-US" w:eastAsia="zh-CN" w:bidi="ar-SA"/>
              </w:rPr>
              <w:t>1-3 与自治州“三线一单”生态环境分区管控方案</w:t>
            </w:r>
            <w:r>
              <w:rPr>
                <w:rFonts w:hint="default" w:ascii="Times New Roman" w:hAnsi="Times New Roman" w:eastAsia="宋体" w:cs="Times New Roman"/>
                <w:b/>
                <w:bCs w:val="0"/>
                <w:color w:val="auto"/>
                <w:kern w:val="2"/>
                <w:sz w:val="24"/>
                <w:szCs w:val="21"/>
                <w:highlight w:val="none"/>
                <w:lang w:val="en-US" w:eastAsia="zh-CN" w:bidi="ar-SA"/>
              </w:rPr>
              <w:t>符合分析</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44"/>
              <w:gridCol w:w="750"/>
              <w:gridCol w:w="3921"/>
              <w:gridCol w:w="1793"/>
            </w:tblGrid>
            <w:tr w14:paraId="69E6F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tcBorders>
                    <w:tl2br w:val="nil"/>
                    <w:tr2bl w:val="nil"/>
                  </w:tcBorders>
                  <w:noWrap w:val="0"/>
                  <w:vAlign w:val="center"/>
                </w:tcPr>
                <w:p w14:paraId="2F0E235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bCs/>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bCs/>
                      <w:i w:val="0"/>
                      <w:caps w:val="0"/>
                      <w:color w:val="000000"/>
                      <w:spacing w:val="0"/>
                      <w:w w:val="100"/>
                      <w:kern w:val="2"/>
                      <w:sz w:val="21"/>
                      <w:szCs w:val="21"/>
                      <w:highlight w:val="none"/>
                      <w:lang w:val="en-US" w:eastAsia="zh-CN" w:bidi="ar-SA"/>
                    </w:rPr>
                    <w:t>环境管控单元名称及编码</w:t>
                  </w:r>
                </w:p>
              </w:tc>
              <w:tc>
                <w:tcPr>
                  <w:tcW w:w="3195" w:type="pct"/>
                  <w:gridSpan w:val="2"/>
                  <w:tcBorders>
                    <w:tl2br w:val="nil"/>
                    <w:tr2bl w:val="nil"/>
                  </w:tcBorders>
                  <w:noWrap w:val="0"/>
                  <w:vAlign w:val="center"/>
                </w:tcPr>
                <w:p w14:paraId="74826ED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bCs/>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bCs/>
                      <w:i w:val="0"/>
                      <w:caps w:val="0"/>
                      <w:color w:val="000000"/>
                      <w:spacing w:val="0"/>
                      <w:w w:val="100"/>
                      <w:kern w:val="2"/>
                      <w:sz w:val="21"/>
                      <w:szCs w:val="21"/>
                      <w:highlight w:val="none"/>
                      <w:lang w:val="en-US" w:eastAsia="zh-CN" w:bidi="ar-SA"/>
                    </w:rPr>
                    <w:t>“三线一单”要求</w:t>
                  </w:r>
                </w:p>
              </w:tc>
              <w:tc>
                <w:tcPr>
                  <w:tcW w:w="1226" w:type="pct"/>
                  <w:tcBorders>
                    <w:tl2br w:val="nil"/>
                    <w:tr2bl w:val="nil"/>
                  </w:tcBorders>
                  <w:noWrap w:val="0"/>
                  <w:vAlign w:val="center"/>
                </w:tcPr>
                <w:p w14:paraId="0D077FC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bCs/>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bCs/>
                      <w:i w:val="0"/>
                      <w:caps w:val="0"/>
                      <w:color w:val="000000"/>
                      <w:spacing w:val="0"/>
                      <w:w w:val="100"/>
                      <w:kern w:val="2"/>
                      <w:sz w:val="21"/>
                      <w:szCs w:val="21"/>
                      <w:highlight w:val="none"/>
                      <w:lang w:val="en-US" w:eastAsia="zh-CN" w:bidi="ar-SA"/>
                    </w:rPr>
                    <w:t>本项目</w:t>
                  </w:r>
                </w:p>
              </w:tc>
            </w:tr>
            <w:tr w14:paraId="442B8B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restart"/>
                  <w:tcBorders>
                    <w:tl2br w:val="nil"/>
                    <w:tr2bl w:val="nil"/>
                  </w:tcBorders>
                  <w:noWrap w:val="0"/>
                  <w:vAlign w:val="center"/>
                </w:tcPr>
                <w:p w14:paraId="191F601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轮台县一般管控区（ZH65282230001）</w:t>
                  </w:r>
                </w:p>
              </w:tc>
              <w:tc>
                <w:tcPr>
                  <w:tcW w:w="513" w:type="pct"/>
                  <w:vMerge w:val="restart"/>
                  <w:tcBorders>
                    <w:tl2br w:val="nil"/>
                    <w:tr2bl w:val="nil"/>
                  </w:tcBorders>
                  <w:noWrap w:val="0"/>
                  <w:vAlign w:val="center"/>
                </w:tcPr>
                <w:p w14:paraId="7737562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空间管控约束</w:t>
                  </w:r>
                </w:p>
              </w:tc>
              <w:tc>
                <w:tcPr>
                  <w:tcW w:w="2682" w:type="pct"/>
                  <w:tcBorders>
                    <w:tl2br w:val="nil"/>
                    <w:tr2bl w:val="nil"/>
                  </w:tcBorders>
                  <w:noWrap w:val="0"/>
                  <w:vAlign w:val="top"/>
                </w:tcPr>
                <w:p w14:paraId="369F4DF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1.建设项目用地原则上不得占用基本农田，确需占用基本农田的建设项目须符合《中华人民共和国基本农田保护条例》中相关要求，占用耕地、林地或草地的建设项目须按照国家、自治区相关补偿要求进行补偿。</w:t>
                  </w:r>
                </w:p>
              </w:tc>
              <w:tc>
                <w:tcPr>
                  <w:tcW w:w="1226" w:type="pct"/>
                  <w:tcBorders>
                    <w:tl2br w:val="nil"/>
                    <w:tr2bl w:val="nil"/>
                  </w:tcBorders>
                  <w:noWrap w:val="0"/>
                  <w:vAlign w:val="top"/>
                </w:tcPr>
                <w:p w14:paraId="51047216">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符合，本项目用地性质为工业用地。</w:t>
                  </w:r>
                </w:p>
              </w:tc>
            </w:tr>
            <w:tr w14:paraId="60E44D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746FA86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50D3126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2CE3F2B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w:t>
                  </w:r>
                </w:p>
              </w:tc>
              <w:tc>
                <w:tcPr>
                  <w:tcW w:w="1226" w:type="pct"/>
                  <w:tcBorders>
                    <w:tl2br w:val="nil"/>
                    <w:tr2bl w:val="nil"/>
                  </w:tcBorders>
                  <w:noWrap w:val="0"/>
                  <w:vAlign w:val="top"/>
                </w:tcPr>
                <w:p w14:paraId="0560531E">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符合，本项目不属于采矿业。</w:t>
                  </w:r>
                </w:p>
              </w:tc>
            </w:tr>
            <w:tr w14:paraId="356EF8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2CF31FD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4714C0D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050F976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3.永久基本农田集中区域禁止规划新建可能造成土壤污染的建设项目。涉及有毒有害物质可能造成土壤污染的新(改、扩)建项目，提出并落实土壤和地下水污染防治要求。</w:t>
                  </w:r>
                </w:p>
              </w:tc>
              <w:tc>
                <w:tcPr>
                  <w:tcW w:w="1226" w:type="pct"/>
                  <w:tcBorders>
                    <w:tl2br w:val="nil"/>
                    <w:tr2bl w:val="nil"/>
                  </w:tcBorders>
                  <w:noWrap w:val="0"/>
                  <w:vAlign w:val="top"/>
                </w:tcPr>
                <w:p w14:paraId="674AD556">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符合，本项目不涉及永久基本农田，本项目危废暂存间内进行重点防渗。</w:t>
                  </w:r>
                </w:p>
              </w:tc>
            </w:tr>
            <w:tr w14:paraId="531C9A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7148F69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6533D37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19BB59D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4.严格执行畜禽养殖禁养区规定，根据区域用地和消纳水平，合理确定养殖规模。</w:t>
                  </w:r>
                </w:p>
              </w:tc>
              <w:tc>
                <w:tcPr>
                  <w:tcW w:w="1226" w:type="pct"/>
                  <w:tcBorders>
                    <w:tl2br w:val="nil"/>
                    <w:tr2bl w:val="nil"/>
                  </w:tcBorders>
                  <w:noWrap w:val="0"/>
                  <w:vAlign w:val="top"/>
                </w:tcPr>
                <w:p w14:paraId="696DBCBF">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符合，本项目不属于养殖行业。</w:t>
                  </w:r>
                </w:p>
              </w:tc>
            </w:tr>
            <w:tr w14:paraId="24D6AE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4A09950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25A580F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61BE04A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5.禁止向沙漠、滩涂、盐碱地、沼泽地等非法排污、倾倒有毒有害物质。</w:t>
                  </w:r>
                </w:p>
              </w:tc>
              <w:tc>
                <w:tcPr>
                  <w:tcW w:w="1226" w:type="pct"/>
                  <w:tcBorders>
                    <w:tl2br w:val="nil"/>
                    <w:tr2bl w:val="nil"/>
                  </w:tcBorders>
                  <w:noWrap w:val="0"/>
                  <w:vAlign w:val="top"/>
                </w:tcPr>
                <w:p w14:paraId="7771E803">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符合，本项目产生的危险废物集中收集后定期交由有资质单位进行处置。</w:t>
                  </w:r>
                </w:p>
              </w:tc>
            </w:tr>
            <w:tr w14:paraId="736DEC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2700C43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75D8592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6C9E8FB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6.禁止利用渗坑、裂隙、溶洞或者采用稀释等方法处置危险废物。</w:t>
                  </w:r>
                </w:p>
              </w:tc>
              <w:tc>
                <w:tcPr>
                  <w:tcW w:w="1226" w:type="pct"/>
                  <w:tcBorders>
                    <w:tl2br w:val="nil"/>
                    <w:tr2bl w:val="nil"/>
                  </w:tcBorders>
                  <w:noWrap w:val="0"/>
                  <w:vAlign w:val="top"/>
                </w:tcPr>
                <w:p w14:paraId="56DA02E2">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符合，本项目产生的危险废物集中收集后定期交由有资质单位进行处置。</w:t>
                  </w:r>
                </w:p>
              </w:tc>
            </w:tr>
            <w:tr w14:paraId="266B7A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0383898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restart"/>
                  <w:tcBorders>
                    <w:tl2br w:val="nil"/>
                    <w:tr2bl w:val="nil"/>
                  </w:tcBorders>
                  <w:noWrap w:val="0"/>
                  <w:vAlign w:val="center"/>
                </w:tcPr>
                <w:p w14:paraId="15EAE13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污染物排放管控</w:t>
                  </w:r>
                </w:p>
              </w:tc>
              <w:tc>
                <w:tcPr>
                  <w:tcW w:w="2682" w:type="pct"/>
                  <w:tcBorders>
                    <w:tl2br w:val="nil"/>
                    <w:tr2bl w:val="nil"/>
                  </w:tcBorders>
                  <w:noWrap w:val="0"/>
                  <w:vAlign w:val="top"/>
                </w:tcPr>
                <w:p w14:paraId="6000E4C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kern w:val="0"/>
                      <w:sz w:val="20"/>
                      <w:szCs w:val="20"/>
                      <w:lang w:val="en-US" w:eastAsia="zh-CN" w:bidi="ar"/>
                    </w:rPr>
                    <w:t>1.</w:t>
                  </w:r>
                  <w:r>
                    <w:rPr>
                      <w:rFonts w:hint="eastAsia" w:ascii="宋体" w:hAnsi="宋体" w:eastAsia="宋体" w:cs="宋体"/>
                      <w:color w:val="000000"/>
                      <w:kern w:val="0"/>
                      <w:sz w:val="20"/>
                      <w:szCs w:val="20"/>
                      <w:lang w:val="en-US" w:eastAsia="zh-CN" w:bidi="ar"/>
                    </w:rPr>
                    <w:t>强化畜禽粪污资源化利用，改善养殖场通风环境，提高畜禽粪污综合利用率，减少氨挥发排放。鼓励和支持散养密集区实行畜禽粪污分户收集、集中处理。</w:t>
                  </w:r>
                </w:p>
              </w:tc>
              <w:tc>
                <w:tcPr>
                  <w:tcW w:w="1226" w:type="pct"/>
                  <w:tcBorders>
                    <w:tl2br w:val="nil"/>
                    <w:tr2bl w:val="nil"/>
                  </w:tcBorders>
                  <w:noWrap w:val="0"/>
                  <w:vAlign w:val="center"/>
                </w:tcPr>
                <w:p w14:paraId="60B6BF73">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符合，本项目不属于畜禽养殖行业。</w:t>
                  </w:r>
                </w:p>
              </w:tc>
            </w:tr>
            <w:tr w14:paraId="0C99C1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7D24933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2E0DBDF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3EF24408">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2.</w:t>
                  </w:r>
                  <w:r>
                    <w:rPr>
                      <w:rFonts w:hint="eastAsia" w:ascii="宋体" w:hAnsi="宋体" w:eastAsia="宋体" w:cs="宋体"/>
                      <w:color w:val="000000"/>
                      <w:kern w:val="0"/>
                      <w:sz w:val="20"/>
                      <w:szCs w:val="20"/>
                      <w:lang w:val="en-US" w:eastAsia="zh-CN" w:bidi="ar"/>
                    </w:rPr>
                    <w:t>严格控制林地、草地、园地农药使用量，禁止使用高毒、高残留农药。</w:t>
                  </w:r>
                </w:p>
              </w:tc>
              <w:tc>
                <w:tcPr>
                  <w:tcW w:w="1226" w:type="pct"/>
                  <w:tcBorders>
                    <w:tl2br w:val="nil"/>
                    <w:tr2bl w:val="nil"/>
                  </w:tcBorders>
                  <w:noWrap w:val="0"/>
                  <w:vAlign w:val="center"/>
                </w:tcPr>
                <w:p w14:paraId="03A4D359">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符合，本项目不属于农业类项目，不使用农药。</w:t>
                  </w:r>
                </w:p>
              </w:tc>
            </w:tr>
            <w:tr w14:paraId="3E34A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4D3EAA2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33BD083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6A17AA3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3.</w:t>
                  </w:r>
                  <w:r>
                    <w:rPr>
                      <w:rFonts w:hint="eastAsia" w:ascii="宋体" w:hAnsi="宋体" w:eastAsia="宋体" w:cs="宋体"/>
                      <w:color w:val="000000"/>
                      <w:kern w:val="0"/>
                      <w:sz w:val="20"/>
                      <w:szCs w:val="20"/>
                      <w:lang w:val="en-US" w:eastAsia="zh-CN" w:bidi="ar"/>
                    </w:rPr>
                    <w:t>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226" w:type="pct"/>
                  <w:tcBorders>
                    <w:tl2br w:val="nil"/>
                    <w:tr2bl w:val="nil"/>
                  </w:tcBorders>
                  <w:noWrap w:val="0"/>
                  <w:vAlign w:val="center"/>
                </w:tcPr>
                <w:p w14:paraId="559598E1">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符合，本项目不属于种植业。</w:t>
                  </w:r>
                </w:p>
              </w:tc>
            </w:tr>
            <w:tr w14:paraId="10D3C7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0595138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074D341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509E0EF9">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4.</w:t>
                  </w:r>
                  <w:r>
                    <w:rPr>
                      <w:rFonts w:hint="eastAsia" w:ascii="宋体" w:hAnsi="宋体" w:eastAsia="宋体" w:cs="宋体"/>
                      <w:color w:val="000000"/>
                      <w:kern w:val="0"/>
                      <w:sz w:val="20"/>
                      <w:szCs w:val="20"/>
                      <w:lang w:val="en-US" w:eastAsia="zh-CN" w:bidi="ar"/>
                    </w:rPr>
                    <w:t>对化学品生产企业、工业集聚区、尾矿库、矿山开采区、危险废物处置场、垃圾填埋场等</w:t>
                  </w:r>
                  <w:r>
                    <w:rPr>
                      <w:rFonts w:hint="default" w:ascii="Times New Roman" w:hAnsi="Times New Roman" w:eastAsia="宋体" w:cs="Times New Roman"/>
                      <w:sz w:val="21"/>
                      <w:szCs w:val="21"/>
                      <w:highlight w:val="none"/>
                      <w:lang w:val="en-US" w:eastAsia="zh-CN"/>
                    </w:rPr>
                    <w:t>地下水污染源及周边区域，逐步开展地下水环境状况调查评估，加强风险管控。</w:t>
                  </w:r>
                </w:p>
              </w:tc>
              <w:tc>
                <w:tcPr>
                  <w:tcW w:w="1226" w:type="pct"/>
                  <w:tcBorders>
                    <w:tl2br w:val="nil"/>
                    <w:tr2bl w:val="nil"/>
                  </w:tcBorders>
                  <w:noWrap w:val="0"/>
                  <w:vAlign w:val="center"/>
                </w:tcPr>
                <w:p w14:paraId="708CD67C">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符合，本项目不属于上述行业。</w:t>
                  </w:r>
                </w:p>
              </w:tc>
            </w:tr>
            <w:tr w14:paraId="3EE64E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161F373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22BB6E8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3A05389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5.严控土壤重金属污染，加强油（气）田开发土壤污染防治，以历史遗留工业企业污染场地为重点，开展土壤污染风险管控与修复工程。</w:t>
                  </w:r>
                </w:p>
              </w:tc>
              <w:tc>
                <w:tcPr>
                  <w:tcW w:w="1226" w:type="pct"/>
                  <w:tcBorders>
                    <w:tl2br w:val="nil"/>
                    <w:tr2bl w:val="nil"/>
                  </w:tcBorders>
                  <w:noWrap w:val="0"/>
                  <w:vAlign w:val="center"/>
                </w:tcPr>
                <w:p w14:paraId="51F8D0B8">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符合，本项目不涉及土壤污染。</w:t>
                  </w:r>
                </w:p>
              </w:tc>
            </w:tr>
            <w:tr w14:paraId="4521F6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473791A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74DC1E3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top"/>
                </w:tcPr>
                <w:p w14:paraId="2FB889E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left"/>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226" w:type="pct"/>
                  <w:tcBorders>
                    <w:tl2br w:val="nil"/>
                    <w:tr2bl w:val="nil"/>
                  </w:tcBorders>
                  <w:noWrap w:val="0"/>
                  <w:vAlign w:val="center"/>
                </w:tcPr>
                <w:p w14:paraId="11E93126">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符合，本项目不涉及上述行业。</w:t>
                  </w:r>
                </w:p>
              </w:tc>
            </w:tr>
            <w:tr w14:paraId="55DF63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1B8C06B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restart"/>
                  <w:tcBorders>
                    <w:tl2br w:val="nil"/>
                    <w:tr2bl w:val="nil"/>
                  </w:tcBorders>
                  <w:noWrap w:val="0"/>
                  <w:vAlign w:val="center"/>
                </w:tcPr>
                <w:p w14:paraId="022CEFE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环境风险防控</w:t>
                  </w:r>
                </w:p>
              </w:tc>
              <w:tc>
                <w:tcPr>
                  <w:tcW w:w="2682" w:type="pct"/>
                  <w:tcBorders>
                    <w:tl2br w:val="nil"/>
                    <w:tr2bl w:val="nil"/>
                  </w:tcBorders>
                  <w:noWrap w:val="0"/>
                  <w:vAlign w:val="center"/>
                </w:tcPr>
                <w:p w14:paraId="0872E0BC">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1.加强对矿山、油田等矿产资源开采影响区域内未利用地的环境监管，发现土壤污染问题的，要坚决查处，并及时督促有关单位采取有效防治措施消除或减轻污染。</w:t>
                  </w:r>
                </w:p>
              </w:tc>
              <w:tc>
                <w:tcPr>
                  <w:tcW w:w="1226" w:type="pct"/>
                  <w:tcBorders>
                    <w:tl2br w:val="nil"/>
                    <w:tr2bl w:val="nil"/>
                  </w:tcBorders>
                  <w:noWrap w:val="0"/>
                  <w:vAlign w:val="center"/>
                </w:tcPr>
                <w:p w14:paraId="223542E5">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符合，本项目不涉及土壤污染。</w:t>
                  </w:r>
                </w:p>
              </w:tc>
            </w:tr>
            <w:tr w14:paraId="0C4F40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0D072C7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149CB15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center"/>
                </w:tcPr>
                <w:p w14:paraId="24327D34">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2.对排查出的危库和病库以及风险评估有严重环境安全隐患的尾矿库，要求企业完善污染治理设施、进行治理和修复。全面整治历史遗留尾矿库，完善覆膜、压土、排洪、堤坝加固等隐患治理和闭库措施。</w:t>
                  </w:r>
                </w:p>
              </w:tc>
              <w:tc>
                <w:tcPr>
                  <w:tcW w:w="1226" w:type="pct"/>
                  <w:tcBorders>
                    <w:tl2br w:val="nil"/>
                    <w:tr2bl w:val="nil"/>
                  </w:tcBorders>
                  <w:noWrap w:val="0"/>
                  <w:vAlign w:val="center"/>
                </w:tcPr>
                <w:p w14:paraId="1F79D20D">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符合，本项目不涉及上述行业。</w:t>
                  </w:r>
                </w:p>
              </w:tc>
            </w:tr>
            <w:tr w14:paraId="1FCDB7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4DD0DE2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12C1A93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center"/>
                </w:tcPr>
                <w:p w14:paraId="7E4E91B7">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3.依法推行农用地分类管理制度，强化受污染耕地安全利用和风险管控。因地制宜制定实施安全利用方案，鼓励采取种植结构调整等措施，确保受污染耕地全部实现安全利用。</w:t>
                  </w:r>
                </w:p>
              </w:tc>
              <w:tc>
                <w:tcPr>
                  <w:tcW w:w="1226" w:type="pct"/>
                  <w:tcBorders>
                    <w:tl2br w:val="nil"/>
                    <w:tr2bl w:val="nil"/>
                  </w:tcBorders>
                  <w:noWrap w:val="0"/>
                  <w:vAlign w:val="center"/>
                </w:tcPr>
                <w:p w14:paraId="1517393A">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符合，本项目用地性质为工业用地。</w:t>
                  </w:r>
                </w:p>
              </w:tc>
            </w:tr>
            <w:tr w14:paraId="61F9B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3361387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restart"/>
                  <w:tcBorders>
                    <w:tl2br w:val="nil"/>
                    <w:tr2bl w:val="nil"/>
                  </w:tcBorders>
                  <w:noWrap w:val="0"/>
                  <w:vAlign w:val="center"/>
                </w:tcPr>
                <w:p w14:paraId="2C9C774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资源利用效率</w:t>
                  </w:r>
                </w:p>
              </w:tc>
              <w:tc>
                <w:tcPr>
                  <w:tcW w:w="2682" w:type="pct"/>
                  <w:tcBorders>
                    <w:tl2br w:val="nil"/>
                    <w:tr2bl w:val="nil"/>
                  </w:tcBorders>
                  <w:noWrap w:val="0"/>
                  <w:vAlign w:val="center"/>
                </w:tcPr>
                <w:p w14:paraId="4060698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1.全面推进秸秆综合利用，鼓励秸秆资源化、饲料化、肥料化利用，推动秸秆还田与离田收集。</w:t>
                  </w:r>
                </w:p>
              </w:tc>
              <w:tc>
                <w:tcPr>
                  <w:tcW w:w="1226" w:type="pct"/>
                  <w:tcBorders>
                    <w:tl2br w:val="nil"/>
                    <w:tr2bl w:val="nil"/>
                  </w:tcBorders>
                  <w:noWrap w:val="0"/>
                  <w:vAlign w:val="center"/>
                </w:tcPr>
                <w:p w14:paraId="4C4024DC">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符合，本项目不涉及。</w:t>
                  </w:r>
                </w:p>
              </w:tc>
            </w:tr>
            <w:tr w14:paraId="09F565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0638351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77405E5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center"/>
                </w:tcPr>
                <w:p w14:paraId="138DE3F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2.减少化肥农药使用量，增加有机肥使用量，实现化肥农药使用量负增长。</w:t>
                  </w:r>
                </w:p>
              </w:tc>
              <w:tc>
                <w:tcPr>
                  <w:tcW w:w="1226" w:type="pct"/>
                  <w:tcBorders>
                    <w:tl2br w:val="nil"/>
                    <w:tr2bl w:val="nil"/>
                  </w:tcBorders>
                  <w:noWrap w:val="0"/>
                  <w:vAlign w:val="center"/>
                </w:tcPr>
                <w:p w14:paraId="4A79F2BA">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符合，本项目不涉及。</w:t>
                  </w:r>
                </w:p>
              </w:tc>
            </w:tr>
            <w:tr w14:paraId="206A47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577" w:type="pct"/>
                  <w:vMerge w:val="continue"/>
                  <w:tcBorders>
                    <w:tl2br w:val="nil"/>
                    <w:tr2bl w:val="nil"/>
                  </w:tcBorders>
                  <w:noWrap w:val="0"/>
                  <w:vAlign w:val="center"/>
                </w:tcPr>
                <w:p w14:paraId="0CCD710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513" w:type="pct"/>
                  <w:vMerge w:val="continue"/>
                  <w:tcBorders>
                    <w:tl2br w:val="nil"/>
                    <w:tr2bl w:val="nil"/>
                  </w:tcBorders>
                  <w:noWrap w:val="0"/>
                  <w:vAlign w:val="center"/>
                </w:tcPr>
                <w:p w14:paraId="34FCA71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p>
              </w:tc>
              <w:tc>
                <w:tcPr>
                  <w:tcW w:w="2682" w:type="pct"/>
                  <w:tcBorders>
                    <w:tl2br w:val="nil"/>
                    <w:tr2bl w:val="nil"/>
                  </w:tcBorders>
                  <w:noWrap w:val="0"/>
                  <w:vAlign w:val="center"/>
                </w:tcPr>
                <w:p w14:paraId="7EDE5EE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t>3.推广渠道防渗、管道输水、喷灌、微灌等节水灌溉技术，完善灌溉用水计量设施。推进规模化高效节水灌溉，推广农作物节水抗旱技术。建立灌区墒情测报网络，提高农业用水效率，降低农业用水比重。</w:t>
                  </w:r>
                </w:p>
              </w:tc>
              <w:tc>
                <w:tcPr>
                  <w:tcW w:w="1226" w:type="pct"/>
                  <w:tcBorders>
                    <w:tl2br w:val="nil"/>
                    <w:tr2bl w:val="nil"/>
                  </w:tcBorders>
                  <w:noWrap w:val="0"/>
                  <w:vAlign w:val="center"/>
                </w:tcPr>
                <w:p w14:paraId="07671F9D">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240" w:lineRule="auto"/>
                    <w:jc w:val="both"/>
                    <w:textAlignment w:val="baseline"/>
                    <w:rPr>
                      <w:rFonts w:hint="default" w:ascii="Times New Roman" w:hAnsi="Times New Roman" w:eastAsia="宋体" w:cs="Times New Roman"/>
                      <w:b w:val="0"/>
                      <w:i w:val="0"/>
                      <w:caps w:val="0"/>
                      <w:color w:val="000000"/>
                      <w:spacing w:val="0"/>
                      <w:w w:val="100"/>
                      <w:kern w:val="2"/>
                      <w:sz w:val="21"/>
                      <w:szCs w:val="21"/>
                      <w:highlight w:val="none"/>
                      <w:lang w:val="en-US" w:eastAsia="zh-CN" w:bidi="ar-SA"/>
                    </w:rPr>
                  </w:pPr>
                  <w:r>
                    <w:rPr>
                      <w:rFonts w:hint="eastAsia" w:ascii="Times New Roman" w:hAnsi="Times New Roman" w:eastAsia="宋体" w:cs="Times New Roman"/>
                      <w:b w:val="0"/>
                      <w:i w:val="0"/>
                      <w:caps w:val="0"/>
                      <w:color w:val="000000"/>
                      <w:spacing w:val="0"/>
                      <w:w w:val="100"/>
                      <w:kern w:val="2"/>
                      <w:sz w:val="21"/>
                      <w:szCs w:val="21"/>
                      <w:highlight w:val="none"/>
                      <w:lang w:val="en-US" w:eastAsia="zh-CN" w:bidi="ar-SA"/>
                    </w:rPr>
                    <w:t>符合，本项目不涉及。</w:t>
                  </w:r>
                </w:p>
              </w:tc>
            </w:tr>
          </w:tbl>
          <w:p w14:paraId="2D3F2AB8">
            <w:pPr>
              <w:pStyle w:val="33"/>
              <w:adjustRightInd w:val="0"/>
              <w:snapToGrid w:val="0"/>
              <w:rPr>
                <w:rFonts w:hint="eastAsia" w:ascii="Times New Roman" w:hAnsi="Times New Roman" w:eastAsia="宋体" w:cs="Times New Roman"/>
                <w:lang w:eastAsia="zh-CN"/>
              </w:rPr>
            </w:pPr>
            <w:r>
              <w:rPr>
                <w:rFonts w:hint="eastAsia" w:ascii="Times New Roman" w:hAnsi="Times New Roman" w:eastAsia="宋体" w:cs="Times New Roman"/>
              </w:rPr>
              <w:t>综合</w:t>
            </w:r>
            <w:r>
              <w:rPr>
                <w:rFonts w:hint="eastAsia" w:ascii="Times New Roman" w:hAnsi="Times New Roman" w:eastAsia="宋体" w:cs="Times New Roman"/>
                <w:lang w:val="en-US" w:eastAsia="zh-CN"/>
              </w:rPr>
              <w:t>所述</w:t>
            </w:r>
            <w:r>
              <w:rPr>
                <w:rFonts w:hint="eastAsia" w:ascii="Times New Roman" w:hAnsi="Times New Roman" w:eastAsia="宋体" w:cs="Times New Roman"/>
              </w:rPr>
              <w:t>，本项目符合</w:t>
            </w:r>
            <w:r>
              <w:rPr>
                <w:rFonts w:hint="eastAsia" w:ascii="Times New Roman" w:hAnsi="Times New Roman" w:eastAsia="宋体" w:cs="Times New Roman"/>
                <w:lang w:val="en-US" w:eastAsia="zh-CN"/>
              </w:rPr>
              <w:t>《关于印发巴音郭楞蒙古自治州“三线一单”生态环境分区管控动态更新成果（2023年）的通知》（巴政办发〔2024〕32号）</w:t>
            </w:r>
            <w:r>
              <w:rPr>
                <w:rFonts w:hint="eastAsia" w:ascii="Times New Roman" w:hAnsi="Times New Roman" w:eastAsia="宋体" w:cs="Times New Roman"/>
              </w:rPr>
              <w:t>文件</w:t>
            </w:r>
            <w:r>
              <w:rPr>
                <w:rFonts w:hint="eastAsia" w:ascii="Times New Roman" w:hAnsi="Times New Roman" w:eastAsia="宋体" w:cs="Times New Roman"/>
                <w:lang w:val="en-US" w:eastAsia="zh-CN"/>
              </w:rPr>
              <w:t>管控</w:t>
            </w:r>
            <w:r>
              <w:rPr>
                <w:rFonts w:hint="eastAsia" w:ascii="Times New Roman" w:hAnsi="Times New Roman" w:eastAsia="宋体" w:cs="Times New Roman"/>
              </w:rPr>
              <w:t>要求</w:t>
            </w:r>
            <w:r>
              <w:rPr>
                <w:rFonts w:hint="eastAsia" w:ascii="Times New Roman" w:hAnsi="Times New Roman" w:eastAsia="宋体" w:cs="Times New Roman"/>
                <w:lang w:eastAsia="zh-CN"/>
              </w:rPr>
              <w:t>。</w:t>
            </w:r>
          </w:p>
          <w:p w14:paraId="1833ECF8">
            <w:pPr>
              <w:widowControl/>
              <w:spacing w:line="360" w:lineRule="auto"/>
              <w:jc w:val="left"/>
              <w:rPr>
                <w:rFonts w:hint="default" w:ascii="Times New Roman" w:hAnsi="Times New Roman" w:eastAsia="宋体" w:cs="Times New Roman"/>
                <w:b/>
                <w:bCs/>
                <w:sz w:val="24"/>
                <w:szCs w:val="20"/>
                <w:lang w:val="en-US" w:eastAsia="zh-CN"/>
              </w:rPr>
            </w:pPr>
            <w:r>
              <w:rPr>
                <w:rFonts w:hint="default" w:ascii="Times New Roman" w:hAnsi="Times New Roman" w:eastAsia="宋体" w:cs="Times New Roman"/>
                <w:b/>
                <w:bCs/>
                <w:sz w:val="24"/>
                <w:szCs w:val="20"/>
                <w:lang w:val="en-US" w:eastAsia="zh-CN"/>
              </w:rPr>
              <w:t>3、</w:t>
            </w:r>
            <w:r>
              <w:rPr>
                <w:rFonts w:hint="eastAsia" w:cs="Times New Roman"/>
                <w:b/>
                <w:bCs/>
                <w:sz w:val="24"/>
                <w:szCs w:val="20"/>
                <w:lang w:val="en-US" w:eastAsia="zh-CN"/>
              </w:rPr>
              <w:t>与“</w:t>
            </w:r>
            <w:r>
              <w:rPr>
                <w:rFonts w:hint="default" w:ascii="Times New Roman" w:hAnsi="Times New Roman" w:eastAsia="宋体" w:cs="Times New Roman"/>
                <w:b/>
                <w:bCs/>
                <w:sz w:val="24"/>
                <w:szCs w:val="20"/>
                <w:lang w:val="en-US" w:eastAsia="zh-CN"/>
              </w:rPr>
              <w:t>国务院关于印发《空气质量持续改善行动计划》的通知</w:t>
            </w:r>
            <w:r>
              <w:rPr>
                <w:rFonts w:hint="eastAsia" w:cs="Times New Roman"/>
                <w:b/>
                <w:bCs/>
                <w:sz w:val="24"/>
                <w:szCs w:val="20"/>
                <w:lang w:val="en-US" w:eastAsia="zh-CN"/>
              </w:rPr>
              <w:t>（</w:t>
            </w:r>
            <w:r>
              <w:rPr>
                <w:rFonts w:hint="default" w:ascii="Times New Roman" w:hAnsi="Times New Roman" w:eastAsia="宋体" w:cs="Times New Roman"/>
                <w:b/>
                <w:bCs/>
                <w:sz w:val="24"/>
                <w:szCs w:val="20"/>
                <w:lang w:val="en-US" w:eastAsia="zh-CN"/>
              </w:rPr>
              <w:t>国发〔2023〕24号</w:t>
            </w:r>
            <w:r>
              <w:rPr>
                <w:rFonts w:hint="eastAsia" w:cs="Times New Roman"/>
                <w:b/>
                <w:bCs/>
                <w:sz w:val="24"/>
                <w:szCs w:val="20"/>
                <w:lang w:val="en-US" w:eastAsia="zh-CN"/>
              </w:rPr>
              <w:t>）”的符合性分析</w:t>
            </w:r>
          </w:p>
          <w:p w14:paraId="390E2E74">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eastAsia="宋体" w:cs="Times New Roman"/>
                <w:b w:val="0"/>
                <w:bCs w:val="0"/>
                <w:snapToGrid w:val="0"/>
                <w:color w:val="000000"/>
                <w:spacing w:val="0"/>
                <w:kern w:val="0"/>
                <w:sz w:val="24"/>
                <w:szCs w:val="24"/>
                <w:lang w:val="en-US" w:eastAsia="zh-CN"/>
              </w:rPr>
            </w:pPr>
            <w:r>
              <w:rPr>
                <w:rFonts w:hint="default" w:ascii="Times New Roman" w:hAnsi="Times New Roman" w:eastAsia="宋体" w:cs="Times New Roman"/>
                <w:b w:val="0"/>
                <w:bCs w:val="0"/>
                <w:snapToGrid w:val="0"/>
                <w:color w:val="000000"/>
                <w:spacing w:val="0"/>
                <w:kern w:val="0"/>
                <w:sz w:val="24"/>
                <w:szCs w:val="24"/>
                <w:lang w:val="en-US" w:eastAsia="zh-CN"/>
              </w:rPr>
              <w:t>（二十一）强化VOCs全流程、全环节综合治理。</w:t>
            </w:r>
            <w:r>
              <w:rPr>
                <w:rFonts w:hint="eastAsia" w:ascii="Times New Roman" w:hAnsi="Times New Roman" w:eastAsia="宋体" w:cs="Times New Roman"/>
                <w:b w:val="0"/>
                <w:bCs w:val="0"/>
                <w:snapToGrid w:val="0"/>
                <w:color w:val="000000"/>
                <w:spacing w:val="0"/>
                <w:kern w:val="0"/>
                <w:sz w:val="24"/>
                <w:szCs w:val="24"/>
                <w:lang w:val="en-US" w:eastAsia="zh-CN"/>
              </w:rPr>
              <w:t>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大气污染处理设施。</w:t>
            </w:r>
          </w:p>
          <w:p w14:paraId="7FD630A5">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snapToGrid w:val="0"/>
                <w:color w:val="000000"/>
                <w:spacing w:val="0"/>
                <w:kern w:val="0"/>
                <w:sz w:val="24"/>
                <w:szCs w:val="24"/>
                <w:lang w:val="en-US" w:eastAsia="zh-CN"/>
              </w:rPr>
            </w:pPr>
            <w:r>
              <w:rPr>
                <w:rFonts w:hint="eastAsia" w:ascii="Times New Roman" w:hAnsi="Times New Roman" w:eastAsia="宋体" w:cs="Times New Roman"/>
                <w:b w:val="0"/>
                <w:bCs w:val="0"/>
                <w:snapToGrid w:val="0"/>
                <w:color w:val="000000"/>
                <w:spacing w:val="0"/>
                <w:kern w:val="0"/>
                <w:sz w:val="24"/>
                <w:szCs w:val="24"/>
                <w:lang w:val="en-US" w:eastAsia="zh-CN"/>
              </w:rPr>
              <w:t>本项目生产过程中产生的VOCs经二级活性炭装置处理后，通过15m排气筒排放，排放浓度满足《合成树脂工业污染物排放标准》（GB31572-2015，含2024年修改单）表4中非甲烷总烃排放限值。综上所述，本项目符合文件中的要求。</w:t>
            </w:r>
          </w:p>
          <w:p w14:paraId="18577C56">
            <w:pPr>
              <w:widowControl/>
              <w:spacing w:line="360" w:lineRule="auto"/>
              <w:jc w:val="left"/>
              <w:rPr>
                <w:rFonts w:hint="default" w:ascii="Times New Roman" w:hAnsi="Times New Roman" w:eastAsia="宋体" w:cs="Times New Roman"/>
                <w:b/>
                <w:bCs/>
                <w:sz w:val="24"/>
                <w:szCs w:val="20"/>
                <w:lang w:val="en-US" w:eastAsia="zh-CN"/>
              </w:rPr>
            </w:pPr>
            <w:r>
              <w:rPr>
                <w:rFonts w:hint="eastAsia" w:cs="Times New Roman"/>
                <w:b/>
                <w:bCs/>
                <w:sz w:val="24"/>
                <w:szCs w:val="20"/>
                <w:lang w:val="en-US" w:eastAsia="zh-CN"/>
              </w:rPr>
              <w:t>4、</w:t>
            </w:r>
            <w:r>
              <w:rPr>
                <w:rFonts w:hint="eastAsia" w:ascii="Times New Roman" w:hAnsi="Times New Roman" w:eastAsia="宋体" w:cs="Times New Roman"/>
                <w:b/>
                <w:bCs/>
                <w:sz w:val="24"/>
                <w:szCs w:val="20"/>
                <w:lang w:val="en-US" w:eastAsia="zh-CN"/>
              </w:rPr>
              <w:t>与《挥发性有机物（VOCs） 污染防治技术政策》的符合性分析</w:t>
            </w:r>
          </w:p>
          <w:p w14:paraId="1CB794A1">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b w:val="0"/>
                <w:bCs w:val="0"/>
                <w:snapToGrid w:val="0"/>
                <w:color w:val="000000"/>
                <w:spacing w:val="0"/>
                <w:kern w:val="0"/>
                <w:sz w:val="24"/>
                <w:szCs w:val="24"/>
                <w:lang w:val="en-US" w:eastAsia="zh-CN"/>
              </w:rPr>
            </w:pPr>
            <w:r>
              <w:rPr>
                <w:rFonts w:hint="default" w:ascii="Times New Roman" w:hAnsi="Times New Roman" w:eastAsia="宋体" w:cs="Times New Roman"/>
                <w:b w:val="0"/>
                <w:bCs w:val="0"/>
                <w:snapToGrid w:val="0"/>
                <w:color w:val="000000"/>
                <w:spacing w:val="0"/>
                <w:kern w:val="0"/>
                <w:sz w:val="24"/>
                <w:szCs w:val="24"/>
                <w:lang w:val="en-US" w:eastAsia="zh-CN"/>
              </w:rPr>
              <w:t>含VOCs产品的使用过程中，应采取废气收集措施，提高废气收集效率，减少废气的无组织排放与逸散，并对收集后的废气进行回收或处理后达标排放。</w:t>
            </w:r>
          </w:p>
          <w:p w14:paraId="51F876E8">
            <w:pPr>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p w14:paraId="156895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napToGrid w:val="0"/>
                <w:color w:val="000000"/>
                <w:spacing w:val="0"/>
                <w:kern w:val="0"/>
                <w:sz w:val="24"/>
                <w:szCs w:val="24"/>
                <w:lang w:val="en-US" w:eastAsia="zh-CN"/>
              </w:rPr>
            </w:pPr>
            <w:r>
              <w:rPr>
                <w:rFonts w:hint="eastAsia" w:ascii="Times New Roman" w:hAnsi="Times New Roman" w:eastAsia="宋体" w:cs="Times New Roman"/>
                <w:b w:val="0"/>
                <w:bCs w:val="0"/>
                <w:snapToGrid w:val="0"/>
                <w:color w:val="000000"/>
                <w:spacing w:val="0"/>
                <w:kern w:val="0"/>
                <w:sz w:val="24"/>
                <w:szCs w:val="24"/>
                <w:lang w:val="en-US" w:eastAsia="zh-CN"/>
              </w:rPr>
              <w:t>本项目底胶和PE防腐层缠绕均在厂房内进行，挤出缠绕设备上方设置集气罩+软帘收集VOCs，可有效</w:t>
            </w:r>
            <w:r>
              <w:rPr>
                <w:rFonts w:hint="eastAsia" w:cs="Times New Roman"/>
                <w:b w:val="0"/>
                <w:bCs w:val="0"/>
                <w:snapToGrid w:val="0"/>
                <w:color w:val="000000"/>
                <w:spacing w:val="0"/>
                <w:kern w:val="0"/>
                <w:sz w:val="24"/>
                <w:szCs w:val="24"/>
                <w:lang w:val="en-US" w:eastAsia="zh-CN"/>
              </w:rPr>
              <w:t>地</w:t>
            </w:r>
            <w:r>
              <w:rPr>
                <w:rFonts w:hint="eastAsia" w:ascii="Times New Roman" w:hAnsi="Times New Roman" w:eastAsia="宋体" w:cs="Times New Roman"/>
                <w:b w:val="0"/>
                <w:bCs w:val="0"/>
                <w:snapToGrid w:val="0"/>
                <w:color w:val="000000"/>
                <w:spacing w:val="0"/>
                <w:kern w:val="0"/>
                <w:sz w:val="24"/>
                <w:szCs w:val="24"/>
                <w:lang w:val="en-US" w:eastAsia="zh-CN"/>
              </w:rPr>
              <w:t>减少无组织排放。末端采用二级活性炭装置处理废气，本项目符合《挥发性有机物VOCs污染防治技术政策》要求。</w:t>
            </w:r>
          </w:p>
          <w:p w14:paraId="4E777D51">
            <w:pPr>
              <w:widowControl/>
              <w:spacing w:line="360" w:lineRule="auto"/>
              <w:jc w:val="left"/>
              <w:rPr>
                <w:rFonts w:hint="eastAsia" w:ascii="Times New Roman" w:hAnsi="Times New Roman" w:eastAsia="宋体" w:cs="Times New Roman"/>
                <w:b/>
                <w:bCs/>
                <w:snapToGrid w:val="0"/>
                <w:kern w:val="0"/>
                <w:sz w:val="24"/>
              </w:rPr>
            </w:pPr>
            <w:r>
              <w:rPr>
                <w:rFonts w:hint="eastAsia" w:cs="Times New Roman"/>
                <w:b/>
                <w:bCs/>
                <w:sz w:val="24"/>
                <w:szCs w:val="20"/>
                <w:lang w:val="en-US" w:eastAsia="zh-CN"/>
              </w:rPr>
              <w:t>5</w:t>
            </w:r>
            <w:r>
              <w:rPr>
                <w:rFonts w:hint="eastAsia" w:ascii="Times New Roman" w:hAnsi="Times New Roman" w:eastAsia="宋体" w:cs="Times New Roman"/>
                <w:b/>
                <w:bCs/>
                <w:sz w:val="24"/>
                <w:szCs w:val="20"/>
                <w:lang w:val="en-US" w:eastAsia="zh-CN"/>
              </w:rPr>
              <w:t>、</w:t>
            </w:r>
            <w:r>
              <w:rPr>
                <w:rFonts w:hint="eastAsia" w:ascii="Times New Roman" w:hAnsi="Times New Roman" w:eastAsia="宋体" w:cs="Times New Roman"/>
                <w:b/>
                <w:bCs/>
                <w:snapToGrid w:val="0"/>
                <w:kern w:val="0"/>
                <w:sz w:val="24"/>
              </w:rPr>
              <w:t>与</w:t>
            </w:r>
            <w:r>
              <w:rPr>
                <w:rFonts w:ascii="Times New Roman" w:hAnsi="Times New Roman" w:eastAsia="宋体" w:cs="Times New Roman"/>
                <w:b/>
                <w:bCs/>
                <w:snapToGrid w:val="0"/>
                <w:kern w:val="0"/>
                <w:sz w:val="24"/>
              </w:rPr>
              <w:t>《</w:t>
            </w:r>
            <w:r>
              <w:rPr>
                <w:rFonts w:ascii="Times New Roman" w:hAnsi="Times New Roman" w:eastAsia="宋体" w:cs="Times New Roman"/>
                <w:b/>
                <w:bCs/>
                <w:color w:val="000000"/>
                <w:sz w:val="24"/>
              </w:rPr>
              <w:t>新疆生态环境保护“十四五”规划</w:t>
            </w:r>
            <w:r>
              <w:rPr>
                <w:rFonts w:ascii="Times New Roman" w:hAnsi="Times New Roman" w:eastAsia="宋体" w:cs="Times New Roman"/>
                <w:b/>
                <w:bCs/>
                <w:snapToGrid w:val="0"/>
                <w:kern w:val="0"/>
                <w:sz w:val="24"/>
              </w:rPr>
              <w:t>》</w:t>
            </w:r>
            <w:r>
              <w:rPr>
                <w:rFonts w:hint="eastAsia" w:ascii="Times New Roman" w:hAnsi="Times New Roman" w:eastAsia="宋体" w:cs="Times New Roman"/>
                <w:b/>
                <w:bCs/>
                <w:snapToGrid w:val="0"/>
                <w:kern w:val="0"/>
                <w:sz w:val="24"/>
              </w:rPr>
              <w:t>的符合性分析</w:t>
            </w:r>
          </w:p>
          <w:p w14:paraId="6B1795E8">
            <w:pPr>
              <w:widowControl/>
              <w:adjustRightInd w:val="0"/>
              <w:snapToGrid w:val="0"/>
              <w:spacing w:line="360" w:lineRule="auto"/>
              <w:ind w:firstLine="480" w:firstLineChars="200"/>
              <w:jc w:val="left"/>
              <w:rPr>
                <w:rFonts w:hint="eastAsia" w:ascii="Times New Roman" w:hAnsi="Times New Roman" w:eastAsia="宋体" w:cs="Times New Roman"/>
                <w:snapToGrid w:val="0"/>
                <w:kern w:val="0"/>
                <w:sz w:val="24"/>
              </w:rPr>
            </w:pPr>
            <w:r>
              <w:rPr>
                <w:rFonts w:hint="eastAsia" w:ascii="Times New Roman" w:hAnsi="Times New Roman" w:eastAsia="宋体" w:cs="Times New Roman"/>
                <w:snapToGrid w:val="0"/>
                <w:kern w:val="0"/>
                <w:sz w:val="24"/>
              </w:rPr>
              <w:t>深入推进重点区域大气污染治理。深入推进“乌—昌—石”“奎—独—乌”和伊宁市及周边区域大气污染治理，加快推进“乌—昌—石”区域城市细颗粒物和臭氧协同防控“一市一策”驻点跟踪研究工作。强化区域大气污染联防联控，合理确定产业布局，推动区域内统一产业准入和排放标准。实施钢铁、水泥、焦化等行业季节性生产调控措施，推进散煤整治、挥发性有机污染物（以下简称“VOCs”）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p>
          <w:p w14:paraId="78EECC8D">
            <w:pPr>
              <w:widowControl/>
              <w:adjustRightInd w:val="0"/>
              <w:snapToGrid w:val="0"/>
              <w:spacing w:line="360" w:lineRule="auto"/>
              <w:ind w:firstLine="480" w:firstLineChars="200"/>
              <w:jc w:val="left"/>
              <w:rPr>
                <w:rFonts w:hint="default" w:ascii="Times New Roman" w:hAnsi="Times New Roman" w:eastAsia="宋体" w:cs="Times New Roman"/>
                <w:snapToGrid w:val="0"/>
                <w:kern w:val="0"/>
                <w:sz w:val="24"/>
                <w:szCs w:val="24"/>
                <w:lang w:val="en-US" w:eastAsia="zh-CN"/>
              </w:rPr>
            </w:pPr>
            <w:r>
              <w:rPr>
                <w:rFonts w:hint="eastAsia" w:ascii="Times New Roman" w:hAnsi="Times New Roman" w:eastAsia="宋体" w:cs="Times New Roman"/>
                <w:snapToGrid w:val="0"/>
                <w:kern w:val="0"/>
                <w:sz w:val="24"/>
                <w:szCs w:val="24"/>
                <w:lang w:val="en-US" w:eastAsia="zh-CN"/>
              </w:rPr>
              <w:t>本项目生产过程中产生的VOCs经二级活性炭装置处理后，通过15m排气筒排放，排放浓度满足《合成树脂工业污染物排放标准》（GB31572-2015，含2024年修改单）表4中非甲烷总烃排放限值</w:t>
            </w:r>
            <w:r>
              <w:rPr>
                <w:rFonts w:hint="eastAsia" w:ascii="Times New Roman" w:hAnsi="Times New Roman" w:eastAsia="宋体" w:cs="Times New Roman"/>
                <w:b w:val="0"/>
                <w:bCs/>
                <w:color w:val="000000"/>
                <w:spacing w:val="-6"/>
                <w:sz w:val="24"/>
                <w:szCs w:val="24"/>
                <w:lang w:val="en-US" w:eastAsia="zh-CN"/>
              </w:rPr>
              <w:t>。综上所述，本项目符合《新疆生态环境保护“十四五”规划》中的要求。</w:t>
            </w:r>
          </w:p>
          <w:p w14:paraId="539C87E6">
            <w:pPr>
              <w:spacing w:line="360" w:lineRule="auto"/>
              <w:rPr>
                <w:rFonts w:hint="default" w:ascii="Times New Roman" w:hAnsi="Times New Roman" w:eastAsia="宋体" w:cs="Times New Roman"/>
                <w:b/>
                <w:bCs/>
                <w:sz w:val="24"/>
                <w:szCs w:val="20"/>
                <w:lang w:val="en-US" w:eastAsia="zh-CN"/>
              </w:rPr>
            </w:pPr>
            <w:r>
              <w:rPr>
                <w:rFonts w:hint="eastAsia" w:cs="Times New Roman"/>
                <w:b/>
                <w:bCs/>
                <w:sz w:val="24"/>
                <w:szCs w:val="20"/>
                <w:lang w:val="en-US" w:eastAsia="zh-CN"/>
              </w:rPr>
              <w:t>6</w:t>
            </w:r>
            <w:r>
              <w:rPr>
                <w:rFonts w:hint="eastAsia" w:ascii="Times New Roman" w:hAnsi="Times New Roman" w:eastAsia="宋体" w:cs="Times New Roman"/>
                <w:b/>
                <w:bCs/>
                <w:sz w:val="24"/>
                <w:szCs w:val="20"/>
                <w:lang w:eastAsia="zh-CN"/>
              </w:rPr>
              <w:t>、</w:t>
            </w:r>
            <w:r>
              <w:rPr>
                <w:rFonts w:hint="eastAsia" w:ascii="Times New Roman" w:hAnsi="Times New Roman" w:eastAsia="宋体" w:cs="Times New Roman"/>
                <w:b/>
                <w:bCs/>
                <w:sz w:val="24"/>
                <w:szCs w:val="20"/>
                <w:lang w:val="en-US" w:eastAsia="zh-CN"/>
              </w:rPr>
              <w:t>与《巴州生态环境“十四五”规划》的符合性分析</w:t>
            </w:r>
          </w:p>
          <w:p w14:paraId="337F47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sz w:val="24"/>
                <w:szCs w:val="20"/>
                <w:lang w:eastAsia="zh-CN"/>
              </w:rPr>
            </w:pPr>
            <w:r>
              <w:rPr>
                <w:rFonts w:hint="eastAsia" w:ascii="Times New Roman" w:hAnsi="Times New Roman" w:eastAsia="宋体" w:cs="Times New Roman"/>
                <w:b w:val="0"/>
                <w:bCs w:val="0"/>
                <w:sz w:val="24"/>
                <w:szCs w:val="20"/>
                <w:lang w:eastAsia="zh-CN"/>
              </w:rPr>
              <w:t>加强重点行业VOCs协同控制。深入实施《自治州重点行业挥发性有机物综合治理方案》，切实推进重点行业VOCs污染治理。重点推进石化、化工、包装印刷、工业涂装等重点行业以及机动车、油品储运销等交通源VOCs污染防治，加强芳香烃、烯烃、炔烃、醛类等活性强的VOCs排放控制，持续削减重点企业VOCs排放量。建立健全以改善环境空气质量为核心的VOCs污染防治管理体系，加强石化、煤化工、表面处理、印刷、油气储罐等重点排放行业的精细化管控，持续实施LARD治理。强化新增污染物排放控制，推进VOCs与NOx等的协同减排，改善环境空气质量。</w:t>
            </w:r>
          </w:p>
          <w:p w14:paraId="756C45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sz w:val="24"/>
                <w:szCs w:val="20"/>
                <w:lang w:eastAsia="zh-CN"/>
              </w:rPr>
            </w:pPr>
            <w:r>
              <w:rPr>
                <w:rFonts w:hint="eastAsia" w:ascii="Times New Roman" w:hAnsi="Times New Roman" w:eastAsia="宋体" w:cs="Times New Roman"/>
                <w:b w:val="0"/>
                <w:bCs w:val="0"/>
                <w:sz w:val="24"/>
                <w:szCs w:val="20"/>
                <w:lang w:val="en-US" w:eastAsia="zh-CN"/>
              </w:rPr>
              <w:t>本项目生产过程中产生的VOCs经二级活性炭装置处理后，通过15m排气筒排放，排放浓度满足《合成树脂工业污染物排放标准》（GB31572-2015，含2024年修改单）表4中非甲烷总烃排放限值。综上所述，本项目符合《巴州生态环境“十四五”规划》中的要求。</w:t>
            </w:r>
          </w:p>
          <w:p w14:paraId="36609FBE">
            <w:pPr>
              <w:spacing w:line="360" w:lineRule="auto"/>
              <w:rPr>
                <w:rFonts w:hint="eastAsia" w:ascii="Times New Roman" w:hAnsi="Times New Roman" w:eastAsia="宋体" w:cs="Times New Roman"/>
                <w:b/>
                <w:bCs/>
                <w:sz w:val="24"/>
                <w:szCs w:val="20"/>
              </w:rPr>
            </w:pPr>
            <w:r>
              <w:rPr>
                <w:rFonts w:hint="eastAsia" w:cs="Times New Roman"/>
                <w:b/>
                <w:bCs/>
                <w:sz w:val="24"/>
                <w:szCs w:val="20"/>
                <w:lang w:val="en-US" w:eastAsia="zh-CN"/>
              </w:rPr>
              <w:t>7、</w:t>
            </w:r>
            <w:r>
              <w:rPr>
                <w:rFonts w:hint="eastAsia" w:ascii="Times New Roman" w:hAnsi="Times New Roman" w:eastAsia="宋体" w:cs="Times New Roman"/>
                <w:b/>
                <w:bCs/>
                <w:sz w:val="24"/>
                <w:szCs w:val="20"/>
              </w:rPr>
              <w:t>《重点行业挥发性有机物综合治理方案》的符合性分析</w:t>
            </w:r>
          </w:p>
          <w:p w14:paraId="5D11C79E">
            <w:pPr>
              <w:spacing w:line="360" w:lineRule="auto"/>
              <w:ind w:firstLine="480" w:firstLineChars="200"/>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依据《重点行业挥发性有机物综合治理方案》中“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6D974BE8">
            <w:pPr>
              <w:spacing w:line="360" w:lineRule="auto"/>
              <w:ind w:firstLine="480" w:firstLineChars="200"/>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47A081B3">
            <w:pPr>
              <w:spacing w:line="360" w:lineRule="auto"/>
              <w:ind w:firstLine="480" w:firstLineChars="200"/>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w:t>
            </w:r>
          </w:p>
          <w:p w14:paraId="03758669">
            <w:pPr>
              <w:spacing w:line="360" w:lineRule="auto"/>
              <w:ind w:firstLine="480" w:firstLineChars="200"/>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14:paraId="7B25AC6F">
            <w:pPr>
              <w:spacing w:line="360" w:lineRule="auto"/>
              <w:ind w:firstLine="480" w:firstLineChars="200"/>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t>本项目原料</w:t>
            </w:r>
            <w:r>
              <w:rPr>
                <w:rFonts w:hint="eastAsia" w:ascii="Times New Roman" w:hAnsi="Times New Roman" w:eastAsia="宋体" w:cs="Times New Roman"/>
                <w:sz w:val="24"/>
                <w:szCs w:val="20"/>
                <w:lang w:val="en-US" w:eastAsia="zh-CN"/>
              </w:rPr>
              <w:t>PE颗粒</w:t>
            </w:r>
            <w:r>
              <w:rPr>
                <w:rFonts w:hint="eastAsia" w:ascii="Times New Roman" w:hAnsi="Times New Roman" w:eastAsia="宋体" w:cs="Times New Roman"/>
                <w:sz w:val="24"/>
                <w:szCs w:val="20"/>
              </w:rPr>
              <w:t>常温下无挥发性有机物产生，生产过程中产生的挥发性有机物，由</w:t>
            </w:r>
            <w:r>
              <w:rPr>
                <w:rFonts w:hint="eastAsia" w:ascii="Times New Roman" w:hAnsi="Times New Roman" w:eastAsia="宋体" w:cs="Times New Roman"/>
                <w:sz w:val="24"/>
                <w:szCs w:val="20"/>
                <w:lang w:val="en-US" w:eastAsia="zh-CN"/>
              </w:rPr>
              <w:t>二级活性炭装置</w:t>
            </w:r>
            <w:r>
              <w:rPr>
                <w:rFonts w:hint="eastAsia" w:ascii="Times New Roman" w:hAnsi="Times New Roman" w:eastAsia="宋体" w:cs="Times New Roman"/>
                <w:sz w:val="24"/>
                <w:szCs w:val="20"/>
              </w:rPr>
              <w:t>处理后经15m高排气筒排放，属于VOCs治理有效措施</w:t>
            </w:r>
            <w:r>
              <w:rPr>
                <w:rFonts w:hint="eastAsia" w:ascii="Times New Roman" w:hAnsi="Times New Roman" w:eastAsia="宋体" w:cs="Times New Roman"/>
                <w:sz w:val="24"/>
                <w:szCs w:val="20"/>
                <w:lang w:val="en-US" w:eastAsia="zh-CN"/>
              </w:rPr>
              <w:t>。底胶挤出机距离PE料挤出机约0.5m，在上方安装集气罩+软帘收集废气，废气经收集后进入二级活性炭装置处理后通过15m排气筒排放，使用大风量，确保最远控制点控制风速不小于0.3m/s。</w:t>
            </w:r>
            <w:r>
              <w:rPr>
                <w:rFonts w:hint="eastAsia" w:ascii="Times New Roman" w:hAnsi="Times New Roman" w:eastAsia="宋体" w:cs="Times New Roman"/>
                <w:sz w:val="24"/>
                <w:szCs w:val="20"/>
              </w:rPr>
              <w:t>符合《重点行业挥发性有机物综合治理方案》要求。</w:t>
            </w:r>
          </w:p>
          <w:p w14:paraId="4B707C5B">
            <w:pPr>
              <w:numPr>
                <w:ilvl w:val="0"/>
                <w:numId w:val="0"/>
              </w:numPr>
              <w:spacing w:line="360" w:lineRule="auto"/>
              <w:rPr>
                <w:rFonts w:hint="eastAsia" w:ascii="Times New Roman" w:hAnsi="Times New Roman" w:eastAsia="宋体" w:cs="Times New Roman"/>
                <w:b/>
                <w:bCs/>
                <w:sz w:val="24"/>
                <w:szCs w:val="20"/>
                <w:lang w:val="en-US" w:eastAsia="zh-CN"/>
              </w:rPr>
            </w:pPr>
            <w:r>
              <w:rPr>
                <w:rFonts w:hint="eastAsia" w:cs="Times New Roman"/>
                <w:b/>
                <w:bCs/>
                <w:kern w:val="2"/>
                <w:sz w:val="24"/>
                <w:szCs w:val="20"/>
                <w:lang w:val="en-US" w:eastAsia="zh-CN" w:bidi="ar-SA"/>
              </w:rPr>
              <w:t>8</w:t>
            </w:r>
            <w:r>
              <w:rPr>
                <w:rFonts w:hint="eastAsia" w:ascii="Times New Roman" w:hAnsi="Times New Roman" w:eastAsia="宋体" w:cs="Times New Roman"/>
                <w:b/>
                <w:bCs/>
                <w:kern w:val="2"/>
                <w:sz w:val="24"/>
                <w:szCs w:val="20"/>
                <w:lang w:val="en-US" w:eastAsia="zh-CN" w:bidi="ar-SA"/>
              </w:rPr>
              <w:t>、</w:t>
            </w:r>
            <w:r>
              <w:rPr>
                <w:rFonts w:hint="eastAsia" w:ascii="Times New Roman" w:hAnsi="Times New Roman" w:eastAsia="宋体" w:cs="Times New Roman"/>
                <w:b/>
                <w:bCs/>
                <w:sz w:val="24"/>
                <w:szCs w:val="20"/>
                <w:lang w:val="en-US" w:eastAsia="zh-CN"/>
              </w:rPr>
              <w:t>与《自治州大气污染防治三年攻坚行动方案（2023－2025年）》符合性分析</w:t>
            </w:r>
          </w:p>
          <w:p w14:paraId="6503903C">
            <w:pPr>
              <w:spacing w:line="360" w:lineRule="auto"/>
              <w:ind w:firstLine="482" w:firstLineChars="200"/>
              <w:rPr>
                <w:rFonts w:hint="eastAsia" w:ascii="Times New Roman" w:hAnsi="Times New Roman" w:eastAsia="宋体" w:cs="Times New Roman"/>
                <w:sz w:val="24"/>
                <w:szCs w:val="20"/>
              </w:rPr>
            </w:pPr>
            <w:r>
              <w:rPr>
                <w:rFonts w:hint="eastAsia" w:ascii="Times New Roman" w:hAnsi="Times New Roman" w:eastAsia="宋体" w:cs="Times New Roman"/>
                <w:b/>
                <w:bCs/>
                <w:sz w:val="24"/>
                <w:szCs w:val="20"/>
                <w:lang w:val="en-US" w:eastAsia="zh-CN"/>
              </w:rPr>
              <w:t>26.完成低效治理设施提升改造。</w:t>
            </w:r>
            <w:r>
              <w:rPr>
                <w:rFonts w:hint="eastAsia" w:ascii="Times New Roman" w:hAnsi="Times New Roman" w:eastAsia="宋体" w:cs="Times New Roman"/>
                <w:sz w:val="24"/>
                <w:szCs w:val="20"/>
                <w:lang w:val="en-US" w:eastAsia="zh-CN"/>
              </w:rPr>
              <w:t>全面排查除尘脱硫一体化、简易碱法脱硫、简易氨法脱硫脱硝、湿法脱硝等低效治理技术的工业企业，以及使用光催化、光氧化、低温等离子等简易低效VOCs治理设施，动态完善清单台账，坚持低效治理设施动态清零，发现一个，改造一个。</w:t>
            </w:r>
          </w:p>
          <w:p w14:paraId="11BACF10">
            <w:pPr>
              <w:pStyle w:val="9"/>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eastAsia"/>
              </w:rPr>
            </w:pPr>
            <w:r>
              <w:rPr>
                <w:rFonts w:hint="eastAsia" w:ascii="Times New Roman" w:hAnsi="Times New Roman" w:eastAsia="宋体" w:cs="Times New Roman"/>
                <w:b w:val="0"/>
                <w:bCs w:val="0"/>
                <w:sz w:val="24"/>
                <w:szCs w:val="20"/>
                <w:lang w:val="en-US" w:eastAsia="zh-CN"/>
              </w:rPr>
              <w:t>本项目生产过程中产生的VOCs经二级活性炭装置处理后，通过15m排气筒排放，排放浓度满足《合成树脂工业污染物排放标准》（GB31572-2015，含2024年修改单）表4中非甲烷总烃排放限值。综上所述，本项目符合《自治州大气污染防治三年攻坚行动方案（2023-2025年）》中的要求。</w:t>
            </w:r>
          </w:p>
          <w:p w14:paraId="23EDCBBB">
            <w:pPr>
              <w:pStyle w:val="9"/>
              <w:ind w:left="480"/>
              <w:rPr>
                <w:rFonts w:hint="eastAsia"/>
              </w:rPr>
            </w:pPr>
          </w:p>
          <w:p w14:paraId="7FC88FE2">
            <w:pPr>
              <w:pStyle w:val="9"/>
              <w:ind w:left="480"/>
              <w:rPr>
                <w:rFonts w:hint="eastAsia"/>
              </w:rPr>
            </w:pPr>
          </w:p>
          <w:p w14:paraId="71D0DCD1">
            <w:pPr>
              <w:pStyle w:val="9"/>
              <w:ind w:left="480"/>
              <w:rPr>
                <w:rFonts w:hint="eastAsia"/>
              </w:rPr>
            </w:pPr>
          </w:p>
          <w:p w14:paraId="19F08A74"/>
        </w:tc>
      </w:tr>
    </w:tbl>
    <w:p w14:paraId="73DBF816">
      <w:pPr>
        <w:rPr>
          <w:rFonts w:eastAsia="黑体"/>
          <w:sz w:val="30"/>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08042F2E">
      <w:pPr>
        <w:pStyle w:val="3"/>
        <w:rPr>
          <w:color w:val="auto"/>
        </w:rPr>
      </w:pPr>
      <w:bookmarkStart w:id="2" w:name="_Toc18574"/>
      <w:r>
        <w:rPr>
          <w:color w:val="auto"/>
        </w:rPr>
        <w:t>二、建设项目工程分析</w:t>
      </w:r>
      <w:bookmarkEnd w:id="2"/>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62"/>
        <w:gridCol w:w="8054"/>
      </w:tblGrid>
      <w:tr w14:paraId="0376B6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2" w:type="dxa"/>
            <w:tcBorders>
              <w:tl2br w:val="nil"/>
              <w:tr2bl w:val="nil"/>
            </w:tcBorders>
            <w:noWrap w:val="0"/>
            <w:vAlign w:val="center"/>
          </w:tcPr>
          <w:p w14:paraId="1F2E505A">
            <w:pPr>
              <w:pStyle w:val="19"/>
              <w:keepNext/>
              <w:keepLines w:val="0"/>
              <w:pageBreakBefore w:val="0"/>
              <w:widowControl/>
              <w:kinsoku/>
              <w:wordWrap/>
              <w:overflowPunct/>
              <w:topLinePunct w:val="0"/>
              <w:autoSpaceDE/>
              <w:autoSpaceDN/>
              <w:bidi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建设内容</w:t>
            </w:r>
          </w:p>
        </w:tc>
        <w:tc>
          <w:tcPr>
            <w:tcW w:w="8054" w:type="dxa"/>
            <w:tcBorders>
              <w:tl2br w:val="nil"/>
              <w:tr2bl w:val="nil"/>
            </w:tcBorders>
            <w:noWrap w:val="0"/>
            <w:vAlign w:val="top"/>
          </w:tcPr>
          <w:p w14:paraId="069743B7">
            <w:pPr>
              <w:keepNext/>
              <w:keepLines w:val="0"/>
              <w:pageBreakBefore w:val="0"/>
              <w:widowControl/>
              <w:numPr>
                <w:ilvl w:val="0"/>
                <w:numId w:val="2"/>
              </w:numPr>
              <w:kinsoku/>
              <w:wordWrap/>
              <w:overflowPunct/>
              <w:topLinePunct w:val="0"/>
              <w:autoSpaceDE/>
              <w:autoSpaceDN/>
              <w:bidi w:val="0"/>
              <w:adjustRightInd w:val="0"/>
              <w:snapToGrid w:val="0"/>
              <w:rPr>
                <w:b/>
                <w:bCs/>
                <w:color w:val="000000"/>
                <w:kern w:val="0"/>
              </w:rPr>
            </w:pPr>
            <w:r>
              <w:rPr>
                <w:b/>
                <w:bCs/>
                <w:color w:val="000000"/>
                <w:kern w:val="0"/>
              </w:rPr>
              <w:t>建设内容</w:t>
            </w:r>
          </w:p>
          <w:p w14:paraId="1ACF8F19">
            <w:pPr>
              <w:keepNext/>
              <w:keepLines w:val="0"/>
              <w:pageBreakBefore w:val="0"/>
              <w:widowControl/>
              <w:kinsoku/>
              <w:wordWrap/>
              <w:overflowPunct/>
              <w:topLinePunct w:val="0"/>
              <w:autoSpaceDE/>
              <w:autoSpaceDN/>
              <w:bidi w:val="0"/>
              <w:ind w:firstLine="480" w:firstLineChars="200"/>
              <w:rPr>
                <w:rFonts w:hint="eastAsia"/>
                <w:color w:val="000000"/>
                <w:kern w:val="0"/>
              </w:rPr>
            </w:pPr>
            <w:r>
              <w:rPr>
                <w:color w:val="000000"/>
                <w:kern w:val="0"/>
              </w:rPr>
              <w:t>本项目位于</w:t>
            </w:r>
            <w:r>
              <w:rPr>
                <w:rFonts w:hint="eastAsia"/>
                <w:color w:val="000000"/>
                <w:kern w:val="0"/>
                <w:lang w:val="en-US" w:eastAsia="zh-CN"/>
              </w:rPr>
              <w:t>新疆巴州</w:t>
            </w:r>
            <w:r>
              <w:rPr>
                <w:rFonts w:hint="eastAsia"/>
                <w:color w:val="000000"/>
                <w:kern w:val="0"/>
              </w:rPr>
              <w:t>轮台县轮南镇牙买提社区西环路，百盛加油站以北800米，</w:t>
            </w:r>
            <w:r>
              <w:rPr>
                <w:color w:val="000000"/>
                <w:kern w:val="0"/>
              </w:rPr>
              <w:t>项目区中心地理坐标：</w:t>
            </w:r>
            <w:r>
              <w:rPr>
                <w:rFonts w:hint="eastAsia"/>
                <w:color w:val="000000"/>
                <w:kern w:val="0"/>
                <w:lang w:val="en-US" w:eastAsia="zh-CN"/>
              </w:rPr>
              <w:t>东经：</w:t>
            </w:r>
            <w:r>
              <w:rPr>
                <w:rFonts w:hint="default" w:ascii="Times New Roman" w:hAnsi="Times New Roman" w:cs="Times New Roman"/>
                <w:color w:val="000000"/>
                <w:kern w:val="0"/>
              </w:rPr>
              <w:t>84°2′34.313″</w:t>
            </w:r>
            <w:r>
              <w:rPr>
                <w:rFonts w:hint="default" w:ascii="Times New Roman" w:hAnsi="Times New Roman" w:cs="Times New Roman"/>
                <w:color w:val="000000"/>
                <w:kern w:val="0"/>
                <w:lang w:eastAsia="zh-CN"/>
              </w:rPr>
              <w:t>，</w:t>
            </w:r>
            <w:r>
              <w:rPr>
                <w:rFonts w:hint="default" w:ascii="Times New Roman" w:hAnsi="Times New Roman" w:cs="Times New Roman"/>
                <w:color w:val="000000"/>
                <w:kern w:val="0"/>
                <w:lang w:val="en-US" w:eastAsia="zh-CN"/>
              </w:rPr>
              <w:t>北纬：</w:t>
            </w:r>
            <w:r>
              <w:rPr>
                <w:rFonts w:hint="default" w:ascii="Times New Roman" w:hAnsi="Times New Roman" w:cs="Times New Roman"/>
                <w:color w:val="000000"/>
                <w:kern w:val="0"/>
              </w:rPr>
              <w:t>41°20′49.260″</w:t>
            </w:r>
            <w:r>
              <w:rPr>
                <w:color w:val="000000"/>
                <w:kern w:val="0"/>
              </w:rPr>
              <w:t>，具体位置见：附图</w:t>
            </w:r>
            <w:r>
              <w:rPr>
                <w:rFonts w:hint="eastAsia"/>
                <w:color w:val="000000"/>
                <w:kern w:val="0"/>
                <w:lang w:val="en-US" w:eastAsia="zh-CN"/>
              </w:rPr>
              <w:t>2</w:t>
            </w:r>
            <w:r>
              <w:rPr>
                <w:color w:val="000000"/>
                <w:kern w:val="0"/>
              </w:rPr>
              <w:t xml:space="preserve"> 建设项目地理位置图，项目区</w:t>
            </w:r>
            <w:r>
              <w:rPr>
                <w:rFonts w:hint="eastAsia"/>
                <w:color w:val="000000"/>
                <w:kern w:val="0"/>
                <w:lang w:val="en-US" w:eastAsia="zh-CN"/>
              </w:rPr>
              <w:t>东</w:t>
            </w:r>
            <w:r>
              <w:rPr>
                <w:color w:val="000000"/>
                <w:kern w:val="0"/>
              </w:rPr>
              <w:t>侧为</w:t>
            </w:r>
            <w:r>
              <w:rPr>
                <w:rFonts w:hint="eastAsia"/>
                <w:color w:val="000000"/>
                <w:kern w:val="0"/>
                <w:lang w:val="en-US" w:eastAsia="zh-CN"/>
              </w:rPr>
              <w:t>西环路</w:t>
            </w:r>
            <w:r>
              <w:rPr>
                <w:color w:val="000000"/>
                <w:kern w:val="0"/>
              </w:rPr>
              <w:t>、</w:t>
            </w:r>
            <w:r>
              <w:rPr>
                <w:rFonts w:hint="eastAsia"/>
                <w:color w:val="000000"/>
                <w:kern w:val="0"/>
                <w:lang w:val="en-US" w:eastAsia="zh-CN"/>
              </w:rPr>
              <w:t>其余三侧均为空地</w:t>
            </w:r>
            <w:r>
              <w:rPr>
                <w:color w:val="000000"/>
                <w:kern w:val="0"/>
              </w:rPr>
              <w:t>，周边关系见：附图</w:t>
            </w:r>
            <w:r>
              <w:rPr>
                <w:rFonts w:hint="eastAsia"/>
                <w:color w:val="000000"/>
                <w:kern w:val="0"/>
                <w:lang w:val="en-US" w:eastAsia="zh-CN"/>
              </w:rPr>
              <w:t>3</w:t>
            </w:r>
            <w:r>
              <w:rPr>
                <w:color w:val="000000"/>
                <w:kern w:val="0"/>
              </w:rPr>
              <w:t xml:space="preserve"> 建设项目周边关系图</w:t>
            </w:r>
            <w:r>
              <w:rPr>
                <w:rFonts w:hint="eastAsia"/>
                <w:color w:val="000000"/>
                <w:kern w:val="0"/>
              </w:rPr>
              <w:t>。</w:t>
            </w:r>
          </w:p>
          <w:p w14:paraId="565CC000">
            <w:pPr>
              <w:keepNext/>
              <w:keepLines w:val="0"/>
              <w:pageBreakBefore w:val="0"/>
              <w:widowControl/>
              <w:kinsoku/>
              <w:wordWrap/>
              <w:overflowPunct/>
              <w:topLinePunct w:val="0"/>
              <w:autoSpaceDE/>
              <w:autoSpaceDN/>
              <w:bidi w:val="0"/>
              <w:ind w:firstLine="480" w:firstLineChars="200"/>
              <w:rPr>
                <w:color w:val="000000"/>
                <w:kern w:val="0"/>
              </w:rPr>
            </w:pPr>
            <w:r>
              <w:rPr>
                <w:rFonts w:hint="eastAsia"/>
                <w:color w:val="000000"/>
                <w:kern w:val="0"/>
                <w:lang w:val="en-US" w:eastAsia="zh-CN"/>
              </w:rPr>
              <w:t>厂区占地面积21600m</w:t>
            </w:r>
            <w:r>
              <w:rPr>
                <w:rFonts w:hint="eastAsia"/>
                <w:color w:val="000000"/>
                <w:kern w:val="0"/>
                <w:vertAlign w:val="superscript"/>
                <w:lang w:val="en-US" w:eastAsia="zh-CN"/>
              </w:rPr>
              <w:t>2</w:t>
            </w:r>
            <w:r>
              <w:rPr>
                <w:rFonts w:hint="eastAsia"/>
                <w:color w:val="000000"/>
                <w:kern w:val="0"/>
                <w:lang w:val="en-US" w:eastAsia="zh-CN"/>
              </w:rPr>
              <w:t>，新建300m</w:t>
            </w:r>
            <w:r>
              <w:rPr>
                <w:rFonts w:hint="eastAsia"/>
                <w:color w:val="000000"/>
                <w:kern w:val="0"/>
                <w:vertAlign w:val="superscript"/>
                <w:lang w:val="en-US" w:eastAsia="zh-CN"/>
              </w:rPr>
              <w:t>2</w:t>
            </w:r>
            <w:r>
              <w:rPr>
                <w:rFonts w:hint="eastAsia"/>
                <w:color w:val="000000"/>
                <w:kern w:val="0"/>
                <w:lang w:val="en-US" w:eastAsia="zh-CN"/>
              </w:rPr>
              <w:t>生产车间1栋（已建设完成），并建设1条缠绕式3PE防腐管生产线，建成后年生产加工3PE防腐管线45km。</w:t>
            </w:r>
            <w:r>
              <w:rPr>
                <w:color w:val="000000"/>
                <w:kern w:val="0"/>
              </w:rPr>
              <w:t>项目主要工程内容见表</w:t>
            </w:r>
            <w:r>
              <w:rPr>
                <w:rFonts w:hint="eastAsia"/>
                <w:color w:val="000000"/>
                <w:kern w:val="0"/>
                <w:lang w:val="en-US" w:eastAsia="zh-CN"/>
              </w:rPr>
              <w:t>2-1</w:t>
            </w:r>
            <w:r>
              <w:rPr>
                <w:color w:val="000000"/>
                <w:kern w:val="0"/>
              </w:rPr>
              <w:t>。</w:t>
            </w:r>
          </w:p>
          <w:p w14:paraId="1272DDE8">
            <w:pPr>
              <w:keepNext/>
              <w:keepLines w:val="0"/>
              <w:pageBreakBefore w:val="0"/>
              <w:widowControl/>
              <w:kinsoku/>
              <w:wordWrap/>
              <w:overflowPunct/>
              <w:topLinePunct w:val="0"/>
              <w:autoSpaceDE/>
              <w:autoSpaceDN/>
              <w:bidi w:val="0"/>
              <w:adjustRightInd w:val="0"/>
              <w:snapToGrid w:val="0"/>
              <w:spacing w:line="240" w:lineRule="auto"/>
              <w:ind w:firstLine="422" w:firstLineChars="200"/>
              <w:rPr>
                <w:color w:val="000000"/>
                <w:kern w:val="0"/>
                <w:sz w:val="21"/>
                <w:szCs w:val="21"/>
              </w:rPr>
            </w:pPr>
            <w:r>
              <w:rPr>
                <w:b/>
                <w:bCs/>
                <w:color w:val="000000"/>
                <w:kern w:val="0"/>
                <w:sz w:val="21"/>
                <w:szCs w:val="21"/>
              </w:rPr>
              <w:t>表</w:t>
            </w:r>
            <w:r>
              <w:rPr>
                <w:rFonts w:hint="eastAsia"/>
                <w:b/>
                <w:bCs/>
                <w:color w:val="000000"/>
                <w:kern w:val="0"/>
                <w:sz w:val="21"/>
                <w:szCs w:val="21"/>
                <w:lang w:val="en-US" w:eastAsia="zh-CN"/>
              </w:rPr>
              <w:t>2-1</w:t>
            </w:r>
            <w:r>
              <w:rPr>
                <w:b/>
                <w:bCs/>
                <w:color w:val="000000"/>
                <w:kern w:val="0"/>
                <w:sz w:val="21"/>
                <w:szCs w:val="21"/>
              </w:rPr>
              <w:t xml:space="preserve">                   项目主要工程内容一览表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39"/>
              <w:gridCol w:w="5761"/>
              <w:gridCol w:w="699"/>
            </w:tblGrid>
            <w:tr w14:paraId="6FDA4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14:paraId="1322EFF1">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r>
                    <w:rPr>
                      <w:color w:val="000000"/>
                      <w:kern w:val="0"/>
                      <w:sz w:val="21"/>
                      <w:szCs w:val="21"/>
                      <w:lang w:val="zh-CN"/>
                    </w:rPr>
                    <w:t>类别</w:t>
                  </w:r>
                </w:p>
              </w:tc>
              <w:tc>
                <w:tcPr>
                  <w:tcW w:w="6500" w:type="dxa"/>
                  <w:gridSpan w:val="2"/>
                  <w:noWrap w:val="0"/>
                  <w:vAlign w:val="center"/>
                </w:tcPr>
                <w:p w14:paraId="30A43BE0">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r>
                    <w:rPr>
                      <w:color w:val="000000"/>
                      <w:kern w:val="0"/>
                      <w:sz w:val="21"/>
                      <w:szCs w:val="21"/>
                    </w:rPr>
                    <w:t>建设内容</w:t>
                  </w:r>
                </w:p>
              </w:tc>
              <w:tc>
                <w:tcPr>
                  <w:tcW w:w="699" w:type="dxa"/>
                  <w:noWrap w:val="0"/>
                  <w:vAlign w:val="center"/>
                </w:tcPr>
                <w:p w14:paraId="1A73E58F">
                  <w:pPr>
                    <w:pStyle w:val="48"/>
                    <w:keepNext/>
                    <w:keepLines w:val="0"/>
                    <w:pageBreakBefore w:val="0"/>
                    <w:widowControl/>
                    <w:kinsoku/>
                    <w:wordWrap/>
                    <w:overflowPunct/>
                    <w:topLinePunct w:val="0"/>
                    <w:autoSpaceDE/>
                    <w:autoSpaceDN/>
                    <w:bidi w:val="0"/>
                    <w:adjustRightInd w:val="0"/>
                    <w:snapToGrid w:val="0"/>
                    <w:jc w:val="center"/>
                    <w:rPr>
                      <w:rFonts w:hint="eastAsia" w:eastAsia="宋体"/>
                      <w:color w:val="000000"/>
                      <w:kern w:val="0"/>
                      <w:sz w:val="21"/>
                      <w:szCs w:val="21"/>
                      <w:lang w:val="en-US" w:eastAsia="zh-CN"/>
                    </w:rPr>
                  </w:pPr>
                  <w:r>
                    <w:rPr>
                      <w:rFonts w:hint="eastAsia"/>
                      <w:color w:val="000000"/>
                      <w:kern w:val="0"/>
                      <w:sz w:val="21"/>
                      <w:szCs w:val="21"/>
                      <w:lang w:val="en-US" w:eastAsia="zh-CN"/>
                    </w:rPr>
                    <w:t>备注</w:t>
                  </w:r>
                </w:p>
              </w:tc>
            </w:tr>
            <w:tr w14:paraId="02E02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noWrap w:val="0"/>
                  <w:vAlign w:val="center"/>
                </w:tcPr>
                <w:p w14:paraId="2BA782A5">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r>
                    <w:rPr>
                      <w:color w:val="000000"/>
                      <w:kern w:val="0"/>
                      <w:sz w:val="21"/>
                      <w:szCs w:val="21"/>
                      <w:lang w:val="zh-CN"/>
                    </w:rPr>
                    <w:t>主体工程</w:t>
                  </w:r>
                </w:p>
              </w:tc>
              <w:tc>
                <w:tcPr>
                  <w:tcW w:w="739" w:type="dxa"/>
                  <w:noWrap w:val="0"/>
                  <w:vAlign w:val="center"/>
                </w:tcPr>
                <w:p w14:paraId="694E9C02">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生产车间</w:t>
                  </w:r>
                </w:p>
              </w:tc>
              <w:tc>
                <w:tcPr>
                  <w:tcW w:w="5761" w:type="dxa"/>
                  <w:noWrap w:val="0"/>
                  <w:vAlign w:val="center"/>
                </w:tcPr>
                <w:p w14:paraId="2DF6F4DC">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rFonts w:hint="eastAsia"/>
                      <w:color w:val="000000"/>
                      <w:kern w:val="0"/>
                      <w:sz w:val="21"/>
                      <w:szCs w:val="21"/>
                      <w:lang w:val="en-US" w:eastAsia="zh-CN"/>
                    </w:rPr>
                    <w:t>新建生产车间1栋，建筑面积300m</w:t>
                  </w:r>
                  <w:r>
                    <w:rPr>
                      <w:rFonts w:hint="eastAsia"/>
                      <w:color w:val="000000"/>
                      <w:kern w:val="0"/>
                      <w:sz w:val="21"/>
                      <w:szCs w:val="21"/>
                      <w:vertAlign w:val="superscript"/>
                      <w:lang w:val="en-US" w:eastAsia="zh-CN"/>
                    </w:rPr>
                    <w:t>2</w:t>
                  </w:r>
                  <w:r>
                    <w:rPr>
                      <w:rFonts w:hint="eastAsia"/>
                      <w:color w:val="000000"/>
                      <w:kern w:val="0"/>
                      <w:sz w:val="21"/>
                      <w:szCs w:val="21"/>
                      <w:lang w:val="en-US" w:eastAsia="zh-CN"/>
                    </w:rPr>
                    <w:t>，</w:t>
                  </w:r>
                  <w:r>
                    <w:rPr>
                      <w:color w:val="000000"/>
                      <w:kern w:val="0"/>
                      <w:sz w:val="21"/>
                      <w:szCs w:val="21"/>
                    </w:rPr>
                    <w:t>1F，钢结构，建设3PE缠绕式生产线</w:t>
                  </w:r>
                  <w:r>
                    <w:rPr>
                      <w:rFonts w:hint="eastAsia"/>
                      <w:color w:val="000000"/>
                      <w:kern w:val="0"/>
                      <w:sz w:val="21"/>
                      <w:szCs w:val="21"/>
                    </w:rPr>
                    <w:t>1</w:t>
                  </w:r>
                  <w:r>
                    <w:rPr>
                      <w:color w:val="000000"/>
                      <w:kern w:val="0"/>
                      <w:sz w:val="21"/>
                      <w:szCs w:val="21"/>
                    </w:rPr>
                    <w:t>条</w:t>
                  </w:r>
                </w:p>
              </w:tc>
              <w:tc>
                <w:tcPr>
                  <w:tcW w:w="699" w:type="dxa"/>
                  <w:noWrap w:val="0"/>
                  <w:vAlign w:val="center"/>
                </w:tcPr>
                <w:p w14:paraId="1C3A26F6">
                  <w:pPr>
                    <w:pStyle w:val="48"/>
                    <w:keepNext/>
                    <w:keepLines w:val="0"/>
                    <w:pageBreakBefore w:val="0"/>
                    <w:widowControl/>
                    <w:kinsoku/>
                    <w:wordWrap/>
                    <w:overflowPunct/>
                    <w:topLinePunct w:val="0"/>
                    <w:autoSpaceDE/>
                    <w:autoSpaceDN/>
                    <w:bidi w:val="0"/>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已建成</w:t>
                  </w:r>
                </w:p>
              </w:tc>
            </w:tr>
            <w:tr w14:paraId="13F79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noWrap w:val="0"/>
                  <w:vAlign w:val="center"/>
                </w:tcPr>
                <w:p w14:paraId="352618FB">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r>
                    <w:rPr>
                      <w:rFonts w:hint="eastAsia"/>
                      <w:color w:val="000000"/>
                      <w:kern w:val="0"/>
                      <w:sz w:val="21"/>
                      <w:szCs w:val="21"/>
                      <w:lang w:val="en-US" w:eastAsia="zh-CN"/>
                    </w:rPr>
                    <w:t>依托</w:t>
                  </w:r>
                  <w:r>
                    <w:rPr>
                      <w:color w:val="000000"/>
                      <w:kern w:val="0"/>
                      <w:sz w:val="21"/>
                      <w:szCs w:val="21"/>
                      <w:lang w:val="zh-CN"/>
                    </w:rPr>
                    <w:t>工程</w:t>
                  </w:r>
                </w:p>
              </w:tc>
              <w:tc>
                <w:tcPr>
                  <w:tcW w:w="739" w:type="dxa"/>
                  <w:noWrap w:val="0"/>
                  <w:vAlign w:val="center"/>
                </w:tcPr>
                <w:p w14:paraId="5644F72C">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办公生活区</w:t>
                  </w:r>
                </w:p>
              </w:tc>
              <w:tc>
                <w:tcPr>
                  <w:tcW w:w="5761" w:type="dxa"/>
                  <w:noWrap w:val="0"/>
                  <w:vAlign w:val="center"/>
                </w:tcPr>
                <w:p w14:paraId="62EBA015">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依托现有办公生活区，建筑面积300m</w:t>
                  </w:r>
                  <w:r>
                    <w:rPr>
                      <w:rFonts w:hint="eastAsia"/>
                      <w:color w:val="000000"/>
                      <w:kern w:val="0"/>
                      <w:sz w:val="21"/>
                      <w:szCs w:val="21"/>
                      <w:vertAlign w:val="superscript"/>
                      <w:lang w:val="en-US" w:eastAsia="zh-CN"/>
                    </w:rPr>
                    <w:t>2</w:t>
                  </w:r>
                </w:p>
              </w:tc>
              <w:tc>
                <w:tcPr>
                  <w:tcW w:w="699" w:type="dxa"/>
                  <w:noWrap w:val="0"/>
                  <w:vAlign w:val="center"/>
                </w:tcPr>
                <w:p w14:paraId="12E3816A">
                  <w:pPr>
                    <w:keepNext/>
                    <w:keepLines w:val="0"/>
                    <w:pageBreakBefore w:val="0"/>
                    <w:widowControl/>
                    <w:kinsoku/>
                    <w:wordWrap/>
                    <w:overflowPunct/>
                    <w:topLinePunct w:val="0"/>
                    <w:autoSpaceDE/>
                    <w:autoSpaceDN/>
                    <w:bidi w:val="0"/>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依托</w:t>
                  </w:r>
                </w:p>
              </w:tc>
            </w:tr>
            <w:tr w14:paraId="74FFC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0CB35795">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p>
              </w:tc>
              <w:tc>
                <w:tcPr>
                  <w:tcW w:w="739" w:type="dxa"/>
                  <w:noWrap w:val="0"/>
                  <w:vAlign w:val="center"/>
                </w:tcPr>
                <w:p w14:paraId="3C1D54F8">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rFonts w:hint="eastAsia"/>
                      <w:sz w:val="21"/>
                      <w:szCs w:val="21"/>
                      <w:lang w:val="en-US" w:eastAsia="zh-CN"/>
                    </w:rPr>
                    <w:t>原料</w:t>
                  </w:r>
                  <w:r>
                    <w:rPr>
                      <w:rFonts w:hint="eastAsia"/>
                      <w:color w:val="000000"/>
                      <w:kern w:val="0"/>
                      <w:sz w:val="21"/>
                      <w:szCs w:val="21"/>
                    </w:rPr>
                    <w:t>库房</w:t>
                  </w:r>
                </w:p>
              </w:tc>
              <w:tc>
                <w:tcPr>
                  <w:tcW w:w="5761" w:type="dxa"/>
                  <w:noWrap w:val="0"/>
                  <w:vAlign w:val="center"/>
                </w:tcPr>
                <w:p w14:paraId="58F907AE">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依托现有，建筑面积500m</w:t>
                  </w:r>
                  <w:r>
                    <w:rPr>
                      <w:rFonts w:hint="eastAsia"/>
                      <w:color w:val="000000"/>
                      <w:kern w:val="0"/>
                      <w:sz w:val="21"/>
                      <w:szCs w:val="21"/>
                      <w:vertAlign w:val="superscript"/>
                      <w:lang w:val="en-US" w:eastAsia="zh-CN"/>
                    </w:rPr>
                    <w:t>2</w:t>
                  </w:r>
                </w:p>
              </w:tc>
              <w:tc>
                <w:tcPr>
                  <w:tcW w:w="699" w:type="dxa"/>
                  <w:noWrap w:val="0"/>
                  <w:vAlign w:val="center"/>
                </w:tcPr>
                <w:p w14:paraId="08A003BE">
                  <w:pPr>
                    <w:keepNext/>
                    <w:keepLines w:val="0"/>
                    <w:pageBreakBefore w:val="0"/>
                    <w:widowControl/>
                    <w:kinsoku/>
                    <w:wordWrap/>
                    <w:overflowPunct/>
                    <w:topLinePunct w:val="0"/>
                    <w:autoSpaceDE/>
                    <w:autoSpaceDN/>
                    <w:bidi w:val="0"/>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依托</w:t>
                  </w:r>
                </w:p>
              </w:tc>
            </w:tr>
            <w:tr w14:paraId="0039B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noWrap w:val="0"/>
                  <w:vAlign w:val="center"/>
                </w:tcPr>
                <w:p w14:paraId="05A357D0">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r>
                    <w:rPr>
                      <w:color w:val="000000"/>
                      <w:kern w:val="0"/>
                      <w:sz w:val="21"/>
                      <w:szCs w:val="21"/>
                      <w:lang w:val="zh-CN"/>
                    </w:rPr>
                    <w:t>公用工程</w:t>
                  </w:r>
                </w:p>
              </w:tc>
              <w:tc>
                <w:tcPr>
                  <w:tcW w:w="739" w:type="dxa"/>
                  <w:noWrap w:val="0"/>
                  <w:vAlign w:val="center"/>
                </w:tcPr>
                <w:p w14:paraId="4E5C4264">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供水</w:t>
                  </w:r>
                </w:p>
              </w:tc>
              <w:tc>
                <w:tcPr>
                  <w:tcW w:w="5761" w:type="dxa"/>
                  <w:noWrap w:val="0"/>
                  <w:vAlign w:val="center"/>
                </w:tcPr>
                <w:p w14:paraId="0A2C0360">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依托现有供水设施</w:t>
                  </w:r>
                </w:p>
              </w:tc>
              <w:tc>
                <w:tcPr>
                  <w:tcW w:w="699" w:type="dxa"/>
                  <w:noWrap w:val="0"/>
                  <w:vAlign w:val="center"/>
                </w:tcPr>
                <w:p w14:paraId="53BFD651">
                  <w:pPr>
                    <w:keepNext/>
                    <w:keepLines w:val="0"/>
                    <w:pageBreakBefore w:val="0"/>
                    <w:widowControl/>
                    <w:kinsoku/>
                    <w:wordWrap/>
                    <w:overflowPunct/>
                    <w:topLinePunct w:val="0"/>
                    <w:autoSpaceDE/>
                    <w:autoSpaceDN/>
                    <w:bidi w:val="0"/>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依托</w:t>
                  </w:r>
                </w:p>
              </w:tc>
            </w:tr>
            <w:tr w14:paraId="1FC8C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0CBBE2B5">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p>
              </w:tc>
              <w:tc>
                <w:tcPr>
                  <w:tcW w:w="739" w:type="dxa"/>
                  <w:noWrap w:val="0"/>
                  <w:vAlign w:val="center"/>
                </w:tcPr>
                <w:p w14:paraId="7E37D1AF">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供电</w:t>
                  </w:r>
                </w:p>
              </w:tc>
              <w:tc>
                <w:tcPr>
                  <w:tcW w:w="5761" w:type="dxa"/>
                  <w:noWrap w:val="0"/>
                  <w:vAlign w:val="center"/>
                </w:tcPr>
                <w:p w14:paraId="227E5DAC">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rFonts w:hint="eastAsia"/>
                      <w:color w:val="000000"/>
                      <w:kern w:val="0"/>
                      <w:sz w:val="21"/>
                      <w:szCs w:val="21"/>
                      <w:lang w:val="en-US" w:eastAsia="zh-CN"/>
                    </w:rPr>
                    <w:t>依托现有供电设施</w:t>
                  </w:r>
                </w:p>
              </w:tc>
              <w:tc>
                <w:tcPr>
                  <w:tcW w:w="699" w:type="dxa"/>
                  <w:noWrap w:val="0"/>
                  <w:vAlign w:val="center"/>
                </w:tcPr>
                <w:p w14:paraId="61551A1C">
                  <w:pPr>
                    <w:keepNext/>
                    <w:keepLines w:val="0"/>
                    <w:pageBreakBefore w:val="0"/>
                    <w:widowControl/>
                    <w:kinsoku/>
                    <w:wordWrap/>
                    <w:overflowPunct/>
                    <w:topLinePunct w:val="0"/>
                    <w:autoSpaceDE/>
                    <w:autoSpaceDN/>
                    <w:bidi w:val="0"/>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依托</w:t>
                  </w:r>
                </w:p>
              </w:tc>
            </w:tr>
            <w:tr w14:paraId="1AE87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533F2986">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p>
              </w:tc>
              <w:tc>
                <w:tcPr>
                  <w:tcW w:w="739" w:type="dxa"/>
                  <w:noWrap w:val="0"/>
                  <w:vAlign w:val="center"/>
                </w:tcPr>
                <w:p w14:paraId="5EB172B0">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排水</w:t>
                  </w:r>
                </w:p>
              </w:tc>
              <w:tc>
                <w:tcPr>
                  <w:tcW w:w="5761" w:type="dxa"/>
                  <w:noWrap w:val="0"/>
                  <w:vAlign w:val="center"/>
                </w:tcPr>
                <w:p w14:paraId="41A13C01">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本项目冷却循环水经循环水池+冷却塔冷却后，循环使用，冷却循环水排污用于周边绿；生活污水集中收集后定期清运至轮台县新城区污水处理厂进行处理</w:t>
                  </w:r>
                </w:p>
              </w:tc>
              <w:tc>
                <w:tcPr>
                  <w:tcW w:w="699" w:type="dxa"/>
                  <w:noWrap w:val="0"/>
                  <w:vAlign w:val="center"/>
                </w:tcPr>
                <w:p w14:paraId="69BD37E5">
                  <w:pPr>
                    <w:keepNext/>
                    <w:keepLines w:val="0"/>
                    <w:pageBreakBefore w:val="0"/>
                    <w:widowControl/>
                    <w:kinsoku/>
                    <w:wordWrap/>
                    <w:overflowPunct/>
                    <w:topLinePunct w:val="0"/>
                    <w:autoSpaceDE/>
                    <w:autoSpaceDN/>
                    <w:bidi w:val="0"/>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依托</w:t>
                  </w:r>
                </w:p>
              </w:tc>
            </w:tr>
            <w:tr w14:paraId="14405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3106D1B1">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p>
              </w:tc>
              <w:tc>
                <w:tcPr>
                  <w:tcW w:w="739" w:type="dxa"/>
                  <w:noWrap w:val="0"/>
                  <w:vAlign w:val="center"/>
                </w:tcPr>
                <w:p w14:paraId="6D8C5151">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供热</w:t>
                  </w:r>
                </w:p>
              </w:tc>
              <w:tc>
                <w:tcPr>
                  <w:tcW w:w="5761" w:type="dxa"/>
                  <w:noWrap w:val="0"/>
                  <w:vAlign w:val="center"/>
                </w:tcPr>
                <w:p w14:paraId="719806E2">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项目生产采用设备电供热，冬季生活区供暖采用电采暖。</w:t>
                  </w:r>
                </w:p>
              </w:tc>
              <w:tc>
                <w:tcPr>
                  <w:tcW w:w="699" w:type="dxa"/>
                  <w:noWrap w:val="0"/>
                  <w:vAlign w:val="center"/>
                </w:tcPr>
                <w:p w14:paraId="7CF95BB3">
                  <w:pPr>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rFonts w:hint="eastAsia"/>
                      <w:color w:val="000000"/>
                      <w:kern w:val="0"/>
                      <w:sz w:val="21"/>
                      <w:szCs w:val="21"/>
                      <w:lang w:val="en-US" w:eastAsia="zh-CN"/>
                    </w:rPr>
                    <w:t>依托</w:t>
                  </w:r>
                </w:p>
              </w:tc>
            </w:tr>
            <w:tr w14:paraId="09821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noWrap w:val="0"/>
                  <w:vAlign w:val="center"/>
                </w:tcPr>
                <w:p w14:paraId="289838E7">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lang w:val="zh-CN"/>
                    </w:rPr>
                    <w:t>环保工程</w:t>
                  </w:r>
                </w:p>
              </w:tc>
              <w:tc>
                <w:tcPr>
                  <w:tcW w:w="739" w:type="dxa"/>
                  <w:noWrap w:val="0"/>
                  <w:vAlign w:val="center"/>
                </w:tcPr>
                <w:p w14:paraId="31E4353E">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废气</w:t>
                  </w:r>
                </w:p>
              </w:tc>
              <w:tc>
                <w:tcPr>
                  <w:tcW w:w="6460" w:type="dxa"/>
                  <w:gridSpan w:val="2"/>
                  <w:noWrap w:val="0"/>
                  <w:vAlign w:val="center"/>
                </w:tcPr>
                <w:p w14:paraId="662B1DD7">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抛丸过程中产生的废气进入布袋除尘器进行处理，处理后的废气通过15m排气筒（DA001）排放。</w:t>
                  </w:r>
                </w:p>
                <w:p w14:paraId="3AB8E656">
                  <w:pPr>
                    <w:pStyle w:val="48"/>
                    <w:keepNext/>
                    <w:keepLines w:val="0"/>
                    <w:pageBreakBefore w:val="0"/>
                    <w:widowControl/>
                    <w:kinsoku/>
                    <w:wordWrap/>
                    <w:overflowPunct/>
                    <w:topLinePunct w:val="0"/>
                    <w:autoSpaceDE/>
                    <w:autoSpaceDN/>
                    <w:bidi w:val="0"/>
                    <w:adjustRightInd w:val="0"/>
                    <w:snapToGrid w:val="0"/>
                    <w:jc w:val="center"/>
                    <w:rPr>
                      <w:rFonts w:hint="eastAsia"/>
                      <w:color w:val="000000"/>
                      <w:kern w:val="0"/>
                      <w:sz w:val="21"/>
                      <w:szCs w:val="21"/>
                    </w:rPr>
                  </w:pPr>
                  <w:r>
                    <w:rPr>
                      <w:rFonts w:hint="eastAsia"/>
                      <w:color w:val="000000"/>
                      <w:kern w:val="0"/>
                      <w:sz w:val="21"/>
                      <w:szCs w:val="21"/>
                    </w:rPr>
                    <w:t>环氧</w:t>
                  </w:r>
                  <w:r>
                    <w:rPr>
                      <w:rFonts w:hint="eastAsia"/>
                      <w:color w:val="000000"/>
                      <w:kern w:val="0"/>
                      <w:sz w:val="21"/>
                      <w:szCs w:val="21"/>
                      <w:lang w:val="en-US" w:eastAsia="zh-CN"/>
                    </w:rPr>
                    <w:t>粉末</w:t>
                  </w:r>
                  <w:r>
                    <w:rPr>
                      <w:rFonts w:hint="eastAsia"/>
                      <w:color w:val="000000"/>
                      <w:kern w:val="0"/>
                      <w:sz w:val="21"/>
                      <w:szCs w:val="21"/>
                    </w:rPr>
                    <w:t>喷涂废气</w:t>
                  </w:r>
                  <w:r>
                    <w:rPr>
                      <w:rFonts w:hint="eastAsia"/>
                      <w:color w:val="000000"/>
                      <w:kern w:val="0"/>
                      <w:sz w:val="21"/>
                      <w:szCs w:val="21"/>
                      <w:lang w:val="en-US" w:eastAsia="zh-CN"/>
                    </w:rPr>
                    <w:t>经旋风除尘器+滤芯除尘后与</w:t>
                  </w:r>
                  <w:r>
                    <w:rPr>
                      <w:rFonts w:hint="eastAsia"/>
                      <w:color w:val="000000"/>
                      <w:kern w:val="0"/>
                      <w:sz w:val="21"/>
                      <w:szCs w:val="21"/>
                    </w:rPr>
                    <w:t>PE防腐层缠绕挤出废气</w:t>
                  </w:r>
                  <w:r>
                    <w:rPr>
                      <w:rFonts w:hint="eastAsia"/>
                      <w:color w:val="000000"/>
                      <w:kern w:val="0"/>
                      <w:sz w:val="21"/>
                      <w:szCs w:val="21"/>
                      <w:lang w:val="en-US" w:eastAsia="zh-CN"/>
                    </w:rPr>
                    <w:t>一同进入二级活性炭装置处理，处理后的废气经15m排气筒（DA002）排放。</w:t>
                  </w:r>
                </w:p>
              </w:tc>
            </w:tr>
            <w:tr w14:paraId="429D7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1A58EA3D">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lang w:val="zh-CN"/>
                    </w:rPr>
                  </w:pPr>
                </w:p>
              </w:tc>
              <w:tc>
                <w:tcPr>
                  <w:tcW w:w="739" w:type="dxa"/>
                  <w:noWrap w:val="0"/>
                  <w:vAlign w:val="center"/>
                </w:tcPr>
                <w:p w14:paraId="56A5E727">
                  <w:pPr>
                    <w:pStyle w:val="48"/>
                    <w:keepNext/>
                    <w:keepLines w:val="0"/>
                    <w:pageBreakBefore w:val="0"/>
                    <w:widowControl/>
                    <w:kinsoku/>
                    <w:wordWrap/>
                    <w:overflowPunct/>
                    <w:topLinePunct w:val="0"/>
                    <w:autoSpaceDE/>
                    <w:autoSpaceDN/>
                    <w:bidi w:val="0"/>
                    <w:adjustRightInd w:val="0"/>
                    <w:snapToGrid w:val="0"/>
                    <w:jc w:val="center"/>
                    <w:rPr>
                      <w:rFonts w:hint="eastAsia" w:eastAsia="宋体"/>
                      <w:color w:val="000000"/>
                      <w:kern w:val="0"/>
                      <w:sz w:val="21"/>
                      <w:szCs w:val="21"/>
                      <w:lang w:val="en-US" w:eastAsia="zh-CN"/>
                    </w:rPr>
                  </w:pPr>
                  <w:r>
                    <w:rPr>
                      <w:rFonts w:hint="eastAsia"/>
                      <w:color w:val="000000"/>
                      <w:kern w:val="0"/>
                      <w:sz w:val="21"/>
                      <w:szCs w:val="21"/>
                      <w:lang w:val="en-US" w:eastAsia="zh-CN"/>
                    </w:rPr>
                    <w:t>废水</w:t>
                  </w:r>
                </w:p>
              </w:tc>
              <w:tc>
                <w:tcPr>
                  <w:tcW w:w="6460" w:type="dxa"/>
                  <w:gridSpan w:val="2"/>
                  <w:noWrap w:val="0"/>
                  <w:vAlign w:val="center"/>
                </w:tcPr>
                <w:p w14:paraId="5B781C76">
                  <w:pPr>
                    <w:pStyle w:val="48"/>
                    <w:keepNext/>
                    <w:keepLines w:val="0"/>
                    <w:pageBreakBefore w:val="0"/>
                    <w:widowControl/>
                    <w:kinsoku/>
                    <w:wordWrap/>
                    <w:overflowPunct/>
                    <w:topLinePunct w:val="0"/>
                    <w:autoSpaceDE/>
                    <w:autoSpaceDN/>
                    <w:bidi w:val="0"/>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冷却循环水经循环水池（容积15m</w:t>
                  </w:r>
                  <w:r>
                    <w:rPr>
                      <w:rFonts w:hint="eastAsia"/>
                      <w:color w:val="000000"/>
                      <w:kern w:val="0"/>
                      <w:sz w:val="21"/>
                      <w:szCs w:val="21"/>
                      <w:vertAlign w:val="superscript"/>
                      <w:lang w:val="en-US" w:eastAsia="zh-CN"/>
                    </w:rPr>
                    <w:t>3</w:t>
                  </w:r>
                  <w:r>
                    <w:rPr>
                      <w:rFonts w:hint="eastAsia"/>
                      <w:color w:val="000000"/>
                      <w:kern w:val="0"/>
                      <w:sz w:val="21"/>
                      <w:szCs w:val="21"/>
                      <w:lang w:val="en-US" w:eastAsia="zh-CN"/>
                    </w:rPr>
                    <w:t>）+冷却塔冷却后，循环使用，冷却循环水排污用于周边绿化；生活污水集中收集至化粪池</w:t>
                  </w:r>
                  <w:r>
                    <w:rPr>
                      <w:rFonts w:hint="eastAsia" w:ascii="Times New Roman" w:eastAsia="宋体"/>
                      <w:color w:val="000000"/>
                      <w:kern w:val="0"/>
                      <w:sz w:val="21"/>
                      <w:szCs w:val="21"/>
                      <w:lang w:val="en-US" w:eastAsia="zh-CN"/>
                    </w:rPr>
                    <w:t>（容积15m</w:t>
                  </w:r>
                  <w:r>
                    <w:rPr>
                      <w:rFonts w:hint="eastAsia" w:ascii="Times New Roman" w:eastAsia="宋体"/>
                      <w:color w:val="000000"/>
                      <w:kern w:val="0"/>
                      <w:sz w:val="21"/>
                      <w:szCs w:val="21"/>
                      <w:vertAlign w:val="superscript"/>
                      <w:lang w:val="en-US" w:eastAsia="zh-CN"/>
                    </w:rPr>
                    <w:t>3</w:t>
                  </w:r>
                  <w:r>
                    <w:rPr>
                      <w:rFonts w:hint="eastAsia" w:ascii="Times New Roman" w:eastAsia="宋体"/>
                      <w:color w:val="000000"/>
                      <w:kern w:val="0"/>
                      <w:sz w:val="21"/>
                      <w:szCs w:val="21"/>
                      <w:lang w:val="en-US" w:eastAsia="zh-CN"/>
                    </w:rPr>
                    <w:t>）</w:t>
                  </w:r>
                  <w:r>
                    <w:rPr>
                      <w:rFonts w:hint="eastAsia"/>
                      <w:color w:val="000000"/>
                      <w:kern w:val="0"/>
                      <w:sz w:val="21"/>
                      <w:szCs w:val="21"/>
                      <w:lang w:val="en-US" w:eastAsia="zh-CN"/>
                    </w:rPr>
                    <w:t>后定期清运至轮台县新城区污水处理厂处理</w:t>
                  </w:r>
                </w:p>
              </w:tc>
            </w:tr>
            <w:tr w14:paraId="4624D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1DE5247B">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p>
              </w:tc>
              <w:tc>
                <w:tcPr>
                  <w:tcW w:w="739" w:type="dxa"/>
                  <w:noWrap w:val="0"/>
                  <w:vAlign w:val="center"/>
                </w:tcPr>
                <w:p w14:paraId="22EAF4AB">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噪声</w:t>
                  </w:r>
                </w:p>
              </w:tc>
              <w:tc>
                <w:tcPr>
                  <w:tcW w:w="6460" w:type="dxa"/>
                  <w:gridSpan w:val="2"/>
                  <w:noWrap w:val="0"/>
                  <w:vAlign w:val="center"/>
                </w:tcPr>
                <w:p w14:paraId="68CA375C">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本项目产生的噪声主要为生产过程中各类机械设备，设备噪声主要采用基础减震、厂房隔声、设备维护等减噪、降噪措施。</w:t>
                  </w:r>
                </w:p>
              </w:tc>
            </w:tr>
            <w:tr w14:paraId="58099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0E848E32">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p>
              </w:tc>
              <w:tc>
                <w:tcPr>
                  <w:tcW w:w="739" w:type="dxa"/>
                  <w:noWrap w:val="0"/>
                  <w:vAlign w:val="center"/>
                </w:tcPr>
                <w:p w14:paraId="5A6F417D">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固废</w:t>
                  </w:r>
                </w:p>
              </w:tc>
              <w:tc>
                <w:tcPr>
                  <w:tcW w:w="6460" w:type="dxa"/>
                  <w:gridSpan w:val="2"/>
                  <w:noWrap w:val="0"/>
                  <w:vAlign w:val="center"/>
                </w:tcPr>
                <w:p w14:paraId="5D631EF5">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r>
                    <w:rPr>
                      <w:color w:val="000000"/>
                      <w:kern w:val="0"/>
                      <w:sz w:val="21"/>
                      <w:szCs w:val="21"/>
                    </w:rPr>
                    <w:t>除尘器收集粉尘</w:t>
                  </w:r>
                  <w:r>
                    <w:rPr>
                      <w:rFonts w:hint="eastAsia"/>
                      <w:color w:val="000000"/>
                      <w:kern w:val="0"/>
                      <w:sz w:val="21"/>
                      <w:szCs w:val="21"/>
                      <w:lang w:eastAsia="zh-CN"/>
                    </w:rPr>
                    <w:t>、</w:t>
                  </w:r>
                  <w:r>
                    <w:rPr>
                      <w:color w:val="000000"/>
                      <w:kern w:val="0"/>
                      <w:sz w:val="21"/>
                      <w:szCs w:val="21"/>
                    </w:rPr>
                    <w:t>废包装袋</w:t>
                  </w:r>
                  <w:r>
                    <w:rPr>
                      <w:rFonts w:hint="eastAsia"/>
                      <w:color w:val="000000"/>
                      <w:kern w:val="0"/>
                      <w:sz w:val="21"/>
                      <w:szCs w:val="21"/>
                      <w:lang w:eastAsia="zh-CN"/>
                    </w:rPr>
                    <w:t>、废钢丸</w:t>
                  </w:r>
                  <w:r>
                    <w:rPr>
                      <w:color w:val="000000"/>
                      <w:kern w:val="0"/>
                      <w:sz w:val="21"/>
                      <w:szCs w:val="21"/>
                    </w:rPr>
                    <w:t>、</w:t>
                  </w:r>
                  <w:r>
                    <w:rPr>
                      <w:rFonts w:hint="eastAsia"/>
                      <w:color w:val="000000"/>
                      <w:kern w:val="0"/>
                      <w:sz w:val="21"/>
                      <w:szCs w:val="21"/>
                      <w:lang w:val="en-US" w:eastAsia="zh-CN"/>
                    </w:rPr>
                    <w:t>PE边角料</w:t>
                  </w:r>
                  <w:r>
                    <w:rPr>
                      <w:color w:val="000000"/>
                      <w:kern w:val="0"/>
                      <w:sz w:val="21"/>
                      <w:szCs w:val="21"/>
                    </w:rPr>
                    <w:t>、废布袋经收集后</w:t>
                  </w:r>
                  <w:r>
                    <w:rPr>
                      <w:rFonts w:hint="eastAsia"/>
                      <w:color w:val="000000"/>
                      <w:kern w:val="0"/>
                      <w:sz w:val="21"/>
                      <w:szCs w:val="21"/>
                      <w:lang w:val="en-US" w:eastAsia="zh-CN"/>
                    </w:rPr>
                    <w:t>交由一般固废处置单位进行处理</w:t>
                  </w:r>
                  <w:r>
                    <w:rPr>
                      <w:color w:val="000000"/>
                      <w:kern w:val="0"/>
                      <w:sz w:val="21"/>
                      <w:szCs w:val="21"/>
                    </w:rPr>
                    <w:t>；废</w:t>
                  </w:r>
                  <w:r>
                    <w:rPr>
                      <w:rFonts w:hint="eastAsia"/>
                      <w:color w:val="000000"/>
                      <w:kern w:val="0"/>
                      <w:sz w:val="21"/>
                      <w:szCs w:val="21"/>
                      <w:lang w:val="en-US" w:eastAsia="zh-CN"/>
                    </w:rPr>
                    <w:t>活性炭、废润滑油、废润滑油桶集中收集至危险废物暂存间内，定期交由有资质单位清运处置</w:t>
                  </w:r>
                  <w:r>
                    <w:rPr>
                      <w:color w:val="000000"/>
                      <w:kern w:val="0"/>
                      <w:sz w:val="21"/>
                      <w:szCs w:val="21"/>
                    </w:rPr>
                    <w:t>。</w:t>
                  </w:r>
                </w:p>
              </w:tc>
            </w:tr>
            <w:tr w14:paraId="53E0A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6E2ACFE9">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p>
              </w:tc>
              <w:tc>
                <w:tcPr>
                  <w:tcW w:w="739" w:type="dxa"/>
                  <w:noWrap w:val="0"/>
                  <w:vAlign w:val="center"/>
                </w:tcPr>
                <w:p w14:paraId="6094CE9C">
                  <w:pPr>
                    <w:pStyle w:val="48"/>
                    <w:keepNext/>
                    <w:keepLines w:val="0"/>
                    <w:pageBreakBefore w:val="0"/>
                    <w:widowControl/>
                    <w:kinsoku/>
                    <w:wordWrap/>
                    <w:overflowPunct/>
                    <w:topLinePunct w:val="0"/>
                    <w:autoSpaceDE/>
                    <w:autoSpaceDN/>
                    <w:bidi w:val="0"/>
                    <w:adjustRightInd w:val="0"/>
                    <w:snapToGrid w:val="0"/>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一般固废暂存间</w:t>
                  </w:r>
                </w:p>
              </w:tc>
              <w:tc>
                <w:tcPr>
                  <w:tcW w:w="6460" w:type="dxa"/>
                  <w:gridSpan w:val="2"/>
                  <w:noWrap w:val="0"/>
                  <w:vAlign w:val="center"/>
                </w:tcPr>
                <w:p w14:paraId="6272D452">
                  <w:pPr>
                    <w:pStyle w:val="48"/>
                    <w:keepNext/>
                    <w:keepLines w:val="0"/>
                    <w:pageBreakBefore w:val="0"/>
                    <w:widowControl/>
                    <w:kinsoku/>
                    <w:wordWrap/>
                    <w:overflowPunct/>
                    <w:topLinePunct w:val="0"/>
                    <w:autoSpaceDE/>
                    <w:autoSpaceDN/>
                    <w:bidi w:val="0"/>
                    <w:adjustRightInd w:val="0"/>
                    <w:snapToGrid w:val="0"/>
                    <w:ind w:firstLine="0" w:firstLineChars="0"/>
                    <w:jc w:val="center"/>
                    <w:rPr>
                      <w:rFonts w:hint="default"/>
                      <w:color w:val="000000"/>
                      <w:kern w:val="0"/>
                      <w:sz w:val="21"/>
                      <w:szCs w:val="21"/>
                      <w:lang w:val="en-US" w:eastAsia="zh-CN"/>
                    </w:rPr>
                  </w:pPr>
                  <w:r>
                    <w:rPr>
                      <w:rFonts w:hint="eastAsia"/>
                      <w:color w:val="000000"/>
                      <w:kern w:val="0"/>
                      <w:sz w:val="21"/>
                      <w:szCs w:val="21"/>
                      <w:lang w:val="en-US" w:eastAsia="zh-CN"/>
                    </w:rPr>
                    <w:t>利用现有房间改造一般固废暂存间1间20m</w:t>
                  </w:r>
                  <w:r>
                    <w:rPr>
                      <w:rFonts w:hint="eastAsia"/>
                      <w:color w:val="000000"/>
                      <w:kern w:val="0"/>
                      <w:sz w:val="21"/>
                      <w:szCs w:val="21"/>
                      <w:vertAlign w:val="superscript"/>
                      <w:lang w:val="en-US" w:eastAsia="zh-CN"/>
                    </w:rPr>
                    <w:t>2</w:t>
                  </w:r>
                  <w:r>
                    <w:rPr>
                      <w:rFonts w:hint="eastAsia"/>
                      <w:color w:val="000000"/>
                      <w:kern w:val="0"/>
                      <w:sz w:val="21"/>
                      <w:szCs w:val="21"/>
                      <w:lang w:val="en-US" w:eastAsia="zh-CN"/>
                    </w:rPr>
                    <w:t>。</w:t>
                  </w:r>
                </w:p>
              </w:tc>
            </w:tr>
            <w:tr w14:paraId="66DA0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noWrap w:val="0"/>
                  <w:vAlign w:val="center"/>
                </w:tcPr>
                <w:p w14:paraId="16D93160">
                  <w:pPr>
                    <w:pStyle w:val="48"/>
                    <w:keepNext/>
                    <w:keepLines w:val="0"/>
                    <w:pageBreakBefore w:val="0"/>
                    <w:widowControl/>
                    <w:kinsoku/>
                    <w:wordWrap/>
                    <w:overflowPunct/>
                    <w:topLinePunct w:val="0"/>
                    <w:autoSpaceDE/>
                    <w:autoSpaceDN/>
                    <w:bidi w:val="0"/>
                    <w:adjustRightInd w:val="0"/>
                    <w:snapToGrid w:val="0"/>
                    <w:jc w:val="center"/>
                    <w:rPr>
                      <w:color w:val="000000"/>
                      <w:kern w:val="0"/>
                      <w:sz w:val="21"/>
                      <w:szCs w:val="21"/>
                    </w:rPr>
                  </w:pPr>
                </w:p>
              </w:tc>
              <w:tc>
                <w:tcPr>
                  <w:tcW w:w="739" w:type="dxa"/>
                  <w:noWrap w:val="0"/>
                  <w:vAlign w:val="center"/>
                </w:tcPr>
                <w:p w14:paraId="025B79C6">
                  <w:pPr>
                    <w:pStyle w:val="48"/>
                    <w:keepNext/>
                    <w:keepLines w:val="0"/>
                    <w:pageBreakBefore w:val="0"/>
                    <w:widowControl/>
                    <w:kinsoku/>
                    <w:wordWrap/>
                    <w:overflowPunct/>
                    <w:topLinePunct w:val="0"/>
                    <w:autoSpaceDE/>
                    <w:autoSpaceDN/>
                    <w:bidi w:val="0"/>
                    <w:adjustRightInd w:val="0"/>
                    <w:snapToGrid w:val="0"/>
                    <w:ind w:firstLine="0" w:firstLineChars="0"/>
                    <w:jc w:val="center"/>
                    <w:rPr>
                      <w:rFonts w:hint="eastAsia"/>
                      <w:color w:val="000000"/>
                      <w:kern w:val="0"/>
                      <w:sz w:val="21"/>
                      <w:szCs w:val="21"/>
                      <w:lang w:val="en-US" w:eastAsia="zh-CN" w:bidi="ar-SA"/>
                    </w:rPr>
                  </w:pPr>
                  <w:r>
                    <w:rPr>
                      <w:color w:val="000000"/>
                      <w:kern w:val="0"/>
                      <w:sz w:val="21"/>
                      <w:szCs w:val="21"/>
                    </w:rPr>
                    <w:t>危废暂存间</w:t>
                  </w:r>
                </w:p>
              </w:tc>
              <w:tc>
                <w:tcPr>
                  <w:tcW w:w="6460" w:type="dxa"/>
                  <w:gridSpan w:val="2"/>
                  <w:noWrap w:val="0"/>
                  <w:vAlign w:val="center"/>
                </w:tcPr>
                <w:p w14:paraId="3A223E7D">
                  <w:pPr>
                    <w:pStyle w:val="48"/>
                    <w:keepNext/>
                    <w:keepLines w:val="0"/>
                    <w:pageBreakBefore w:val="0"/>
                    <w:widowControl/>
                    <w:kinsoku/>
                    <w:wordWrap/>
                    <w:overflowPunct/>
                    <w:topLinePunct w:val="0"/>
                    <w:autoSpaceDE/>
                    <w:autoSpaceDN/>
                    <w:bidi w:val="0"/>
                    <w:adjustRightInd w:val="0"/>
                    <w:snapToGrid w:val="0"/>
                    <w:ind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利用现有房间改造内改造</w:t>
                  </w:r>
                  <w:r>
                    <w:rPr>
                      <w:color w:val="000000"/>
                      <w:kern w:val="0"/>
                      <w:sz w:val="21"/>
                      <w:szCs w:val="21"/>
                    </w:rPr>
                    <w:t>危废暂存间1间20m</w:t>
                  </w:r>
                  <w:r>
                    <w:rPr>
                      <w:color w:val="000000"/>
                      <w:kern w:val="0"/>
                      <w:sz w:val="21"/>
                      <w:szCs w:val="21"/>
                      <w:vertAlign w:val="superscript"/>
                    </w:rPr>
                    <w:t>2</w:t>
                  </w:r>
                  <w:r>
                    <w:rPr>
                      <w:color w:val="000000"/>
                      <w:kern w:val="0"/>
                      <w:sz w:val="21"/>
                      <w:szCs w:val="21"/>
                    </w:rPr>
                    <w:t>，地面设置</w:t>
                  </w:r>
                  <w:r>
                    <w:rPr>
                      <w:rFonts w:hint="eastAsia"/>
                      <w:color w:val="000000"/>
                      <w:kern w:val="0"/>
                      <w:sz w:val="21"/>
                      <w:szCs w:val="21"/>
                      <w:lang w:val="en-US" w:eastAsia="zh-CN"/>
                    </w:rPr>
                    <w:t>环氧粉末</w:t>
                  </w:r>
                  <w:r>
                    <w:rPr>
                      <w:color w:val="000000"/>
                      <w:kern w:val="0"/>
                      <w:sz w:val="21"/>
                      <w:szCs w:val="21"/>
                    </w:rPr>
                    <w:t>防渗层、四周设置</w:t>
                  </w:r>
                  <w:r>
                    <w:rPr>
                      <w:rFonts w:hint="eastAsia"/>
                      <w:color w:val="000000"/>
                      <w:kern w:val="0"/>
                      <w:sz w:val="21"/>
                      <w:szCs w:val="21"/>
                      <w:lang w:val="en-US" w:eastAsia="zh-CN"/>
                    </w:rPr>
                    <w:t>裙脚</w:t>
                  </w:r>
                  <w:r>
                    <w:rPr>
                      <w:color w:val="000000"/>
                      <w:kern w:val="0"/>
                      <w:sz w:val="21"/>
                      <w:szCs w:val="21"/>
                    </w:rPr>
                    <w:t>，废机油收集至密封铁桶内，危险废物进行标识，定期交由有资质单位进行无害化处置。</w:t>
                  </w:r>
                </w:p>
              </w:tc>
            </w:tr>
          </w:tbl>
          <w:p w14:paraId="776A4193">
            <w:pPr>
              <w:keepNext/>
              <w:keepLines w:val="0"/>
              <w:pageBreakBefore w:val="0"/>
              <w:widowControl/>
              <w:kinsoku/>
              <w:wordWrap/>
              <w:overflowPunct/>
              <w:topLinePunct w:val="0"/>
              <w:autoSpaceDE/>
              <w:autoSpaceDN/>
              <w:bidi w:val="0"/>
              <w:rPr>
                <w:b/>
                <w:bCs/>
                <w:color w:val="000000"/>
                <w:kern w:val="0"/>
                <w:sz w:val="21"/>
                <w:szCs w:val="21"/>
              </w:rPr>
            </w:pPr>
            <w:r>
              <w:rPr>
                <w:b/>
                <w:bCs/>
                <w:color w:val="000000"/>
                <w:kern w:val="0"/>
                <w:sz w:val="21"/>
                <w:szCs w:val="21"/>
              </w:rPr>
              <w:t>2主要产品产能</w:t>
            </w:r>
          </w:p>
          <w:p w14:paraId="58F705D0">
            <w:pPr>
              <w:keepNext/>
              <w:keepLines w:val="0"/>
              <w:pageBreakBefore w:val="0"/>
              <w:widowControl/>
              <w:kinsoku/>
              <w:wordWrap/>
              <w:overflowPunct/>
              <w:topLinePunct w:val="0"/>
              <w:autoSpaceDE/>
              <w:autoSpaceDN/>
              <w:bidi w:val="0"/>
              <w:ind w:firstLine="420" w:firstLineChars="200"/>
              <w:rPr>
                <w:b/>
                <w:bCs/>
                <w:color w:val="000000"/>
                <w:kern w:val="0"/>
                <w:sz w:val="21"/>
                <w:szCs w:val="21"/>
              </w:rPr>
            </w:pPr>
            <w:r>
              <w:rPr>
                <w:color w:val="000000"/>
                <w:kern w:val="0"/>
                <w:sz w:val="21"/>
                <w:szCs w:val="21"/>
              </w:rPr>
              <w:t>厂区主要生产产品见表</w:t>
            </w:r>
            <w:r>
              <w:rPr>
                <w:rFonts w:hint="eastAsia"/>
                <w:color w:val="000000"/>
                <w:kern w:val="0"/>
                <w:sz w:val="21"/>
                <w:szCs w:val="21"/>
                <w:lang w:val="en-US" w:eastAsia="zh-CN"/>
              </w:rPr>
              <w:t>2-2</w:t>
            </w:r>
            <w:r>
              <w:rPr>
                <w:rFonts w:hint="eastAsia"/>
                <w:color w:val="000000"/>
                <w:kern w:val="0"/>
                <w:sz w:val="21"/>
                <w:szCs w:val="21"/>
              </w:rPr>
              <w:t>。</w:t>
            </w:r>
          </w:p>
          <w:p w14:paraId="7321C336">
            <w:pPr>
              <w:keepNext/>
              <w:keepLines w:val="0"/>
              <w:pageBreakBefore w:val="0"/>
              <w:widowControl/>
              <w:kinsoku/>
              <w:wordWrap/>
              <w:overflowPunct/>
              <w:topLinePunct w:val="0"/>
              <w:autoSpaceDE/>
              <w:autoSpaceDN/>
              <w:bidi w:val="0"/>
              <w:adjustRightInd w:val="0"/>
              <w:snapToGrid w:val="0"/>
              <w:spacing w:line="240" w:lineRule="auto"/>
              <w:ind w:firstLine="422" w:firstLineChars="200"/>
              <w:rPr>
                <w:b/>
                <w:bCs/>
                <w:color w:val="000000"/>
                <w:kern w:val="0"/>
                <w:sz w:val="21"/>
                <w:szCs w:val="21"/>
              </w:rPr>
            </w:pPr>
            <w:r>
              <w:rPr>
                <w:b/>
                <w:bCs/>
                <w:color w:val="000000"/>
                <w:kern w:val="0"/>
                <w:sz w:val="21"/>
                <w:szCs w:val="21"/>
              </w:rPr>
              <w:t>表</w:t>
            </w:r>
            <w:r>
              <w:rPr>
                <w:rFonts w:hint="eastAsia"/>
                <w:b/>
                <w:bCs/>
                <w:color w:val="000000"/>
                <w:kern w:val="0"/>
                <w:sz w:val="21"/>
                <w:szCs w:val="21"/>
                <w:lang w:val="en-US" w:eastAsia="zh-CN"/>
              </w:rPr>
              <w:t>2-2</w:t>
            </w:r>
            <w:r>
              <w:rPr>
                <w:b/>
                <w:bCs/>
                <w:color w:val="000000"/>
                <w:kern w:val="0"/>
                <w:sz w:val="21"/>
                <w:szCs w:val="21"/>
              </w:rPr>
              <w:t xml:space="preserve">                    主要产品产能表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03"/>
              <w:gridCol w:w="1356"/>
              <w:gridCol w:w="817"/>
              <w:gridCol w:w="3243"/>
            </w:tblGrid>
            <w:tr w14:paraId="3864A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1" w:type="pct"/>
                  <w:noWrap w:val="0"/>
                  <w:vAlign w:val="center"/>
                </w:tcPr>
                <w:p w14:paraId="734A2F0C">
                  <w:pPr>
                    <w:keepNext/>
                    <w:keepLines w:val="0"/>
                    <w:pageBreakBefore w:val="0"/>
                    <w:widowControl/>
                    <w:kinsoku/>
                    <w:wordWrap/>
                    <w:overflowPunct/>
                    <w:topLinePunct w:val="0"/>
                    <w:autoSpaceDE/>
                    <w:autoSpaceDN/>
                    <w:bidi w:val="0"/>
                    <w:adjustRightInd w:val="0"/>
                    <w:snapToGrid w:val="0"/>
                    <w:spacing w:line="240" w:lineRule="auto"/>
                    <w:jc w:val="center"/>
                    <w:rPr>
                      <w:color w:val="000000"/>
                      <w:kern w:val="0"/>
                      <w:sz w:val="21"/>
                      <w:szCs w:val="21"/>
                    </w:rPr>
                  </w:pPr>
                  <w:r>
                    <w:rPr>
                      <w:color w:val="000000"/>
                      <w:kern w:val="0"/>
                      <w:sz w:val="21"/>
                      <w:szCs w:val="21"/>
                    </w:rPr>
                    <w:t>序号</w:t>
                  </w:r>
                </w:p>
              </w:tc>
              <w:tc>
                <w:tcPr>
                  <w:tcW w:w="1023" w:type="pct"/>
                  <w:noWrap w:val="0"/>
                  <w:vAlign w:val="center"/>
                </w:tcPr>
                <w:p w14:paraId="66AB2400">
                  <w:pPr>
                    <w:keepNext/>
                    <w:keepLines w:val="0"/>
                    <w:pageBreakBefore w:val="0"/>
                    <w:widowControl/>
                    <w:kinsoku/>
                    <w:wordWrap/>
                    <w:overflowPunct/>
                    <w:topLinePunct w:val="0"/>
                    <w:autoSpaceDE/>
                    <w:autoSpaceDN/>
                    <w:bidi w:val="0"/>
                    <w:adjustRightInd w:val="0"/>
                    <w:snapToGrid w:val="0"/>
                    <w:spacing w:line="240" w:lineRule="auto"/>
                    <w:jc w:val="center"/>
                    <w:rPr>
                      <w:color w:val="000000"/>
                      <w:kern w:val="0"/>
                      <w:sz w:val="21"/>
                      <w:szCs w:val="21"/>
                    </w:rPr>
                  </w:pPr>
                  <w:r>
                    <w:rPr>
                      <w:color w:val="000000"/>
                      <w:kern w:val="0"/>
                      <w:sz w:val="21"/>
                      <w:szCs w:val="21"/>
                    </w:rPr>
                    <w:t>名称</w:t>
                  </w:r>
                </w:p>
              </w:tc>
              <w:tc>
                <w:tcPr>
                  <w:tcW w:w="865" w:type="pct"/>
                  <w:noWrap w:val="0"/>
                  <w:vAlign w:val="center"/>
                </w:tcPr>
                <w:p w14:paraId="10383570">
                  <w:pPr>
                    <w:keepNext/>
                    <w:keepLines w:val="0"/>
                    <w:pageBreakBefore w:val="0"/>
                    <w:widowControl/>
                    <w:kinsoku/>
                    <w:wordWrap/>
                    <w:overflowPunct/>
                    <w:topLinePunct w:val="0"/>
                    <w:autoSpaceDE/>
                    <w:autoSpaceDN/>
                    <w:bidi w:val="0"/>
                    <w:adjustRightInd w:val="0"/>
                    <w:snapToGrid w:val="0"/>
                    <w:spacing w:line="240" w:lineRule="auto"/>
                    <w:jc w:val="center"/>
                    <w:rPr>
                      <w:color w:val="000000"/>
                      <w:kern w:val="0"/>
                      <w:sz w:val="21"/>
                      <w:szCs w:val="21"/>
                    </w:rPr>
                  </w:pPr>
                  <w:r>
                    <w:rPr>
                      <w:color w:val="000000"/>
                      <w:kern w:val="0"/>
                      <w:sz w:val="21"/>
                      <w:szCs w:val="21"/>
                    </w:rPr>
                    <w:t>设计产量</w:t>
                  </w:r>
                </w:p>
              </w:tc>
              <w:tc>
                <w:tcPr>
                  <w:tcW w:w="521" w:type="pct"/>
                  <w:noWrap w:val="0"/>
                  <w:vAlign w:val="center"/>
                </w:tcPr>
                <w:p w14:paraId="475F835C">
                  <w:pPr>
                    <w:keepNext/>
                    <w:keepLines w:val="0"/>
                    <w:pageBreakBefore w:val="0"/>
                    <w:widowControl/>
                    <w:kinsoku/>
                    <w:wordWrap/>
                    <w:overflowPunct/>
                    <w:topLinePunct w:val="0"/>
                    <w:autoSpaceDE/>
                    <w:autoSpaceDN/>
                    <w:bidi w:val="0"/>
                    <w:adjustRightInd w:val="0"/>
                    <w:snapToGrid w:val="0"/>
                    <w:spacing w:line="240" w:lineRule="auto"/>
                    <w:jc w:val="center"/>
                    <w:rPr>
                      <w:color w:val="000000"/>
                      <w:kern w:val="0"/>
                      <w:sz w:val="21"/>
                      <w:szCs w:val="21"/>
                    </w:rPr>
                  </w:pPr>
                  <w:r>
                    <w:rPr>
                      <w:color w:val="000000"/>
                      <w:kern w:val="0"/>
                      <w:sz w:val="21"/>
                      <w:szCs w:val="21"/>
                    </w:rPr>
                    <w:t>单位</w:t>
                  </w:r>
                </w:p>
              </w:tc>
              <w:tc>
                <w:tcPr>
                  <w:tcW w:w="2069" w:type="pct"/>
                  <w:noWrap w:val="0"/>
                  <w:vAlign w:val="center"/>
                </w:tcPr>
                <w:p w14:paraId="749AD10F">
                  <w:pPr>
                    <w:keepNext/>
                    <w:keepLines w:val="0"/>
                    <w:pageBreakBefore w:val="0"/>
                    <w:widowControl/>
                    <w:kinsoku/>
                    <w:wordWrap/>
                    <w:overflowPunct/>
                    <w:topLinePunct w:val="0"/>
                    <w:autoSpaceDE/>
                    <w:autoSpaceDN/>
                    <w:bidi w:val="0"/>
                    <w:adjustRightInd w:val="0"/>
                    <w:snapToGrid w:val="0"/>
                    <w:spacing w:line="240" w:lineRule="auto"/>
                    <w:jc w:val="center"/>
                    <w:rPr>
                      <w:color w:val="000000"/>
                      <w:kern w:val="0"/>
                      <w:sz w:val="21"/>
                      <w:szCs w:val="21"/>
                    </w:rPr>
                  </w:pPr>
                  <w:r>
                    <w:rPr>
                      <w:color w:val="000000"/>
                      <w:kern w:val="0"/>
                      <w:sz w:val="21"/>
                      <w:szCs w:val="21"/>
                    </w:rPr>
                    <w:t>备注</w:t>
                  </w:r>
                </w:p>
              </w:tc>
            </w:tr>
            <w:tr w14:paraId="5C779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noWrap w:val="0"/>
                  <w:vAlign w:val="center"/>
                </w:tcPr>
                <w:p w14:paraId="3D35B74D">
                  <w:pPr>
                    <w:keepNext/>
                    <w:keepLines w:val="0"/>
                    <w:pageBreakBefore w:val="0"/>
                    <w:widowControl/>
                    <w:kinsoku/>
                    <w:wordWrap/>
                    <w:overflowPunct/>
                    <w:topLinePunct w:val="0"/>
                    <w:autoSpaceDE/>
                    <w:autoSpaceDN/>
                    <w:bidi w:val="0"/>
                    <w:adjustRightInd w:val="0"/>
                    <w:snapToGrid w:val="0"/>
                    <w:spacing w:line="240" w:lineRule="auto"/>
                    <w:jc w:val="center"/>
                    <w:rPr>
                      <w:rFonts w:hint="eastAsia" w:eastAsia="宋体"/>
                      <w:color w:val="000000"/>
                      <w:kern w:val="0"/>
                      <w:sz w:val="21"/>
                      <w:szCs w:val="21"/>
                      <w:lang w:val="en-US" w:eastAsia="zh-CN"/>
                    </w:rPr>
                  </w:pPr>
                  <w:r>
                    <w:rPr>
                      <w:rFonts w:hint="eastAsia"/>
                      <w:color w:val="000000"/>
                      <w:kern w:val="0"/>
                      <w:sz w:val="21"/>
                      <w:szCs w:val="21"/>
                      <w:lang w:val="en-US" w:eastAsia="zh-CN"/>
                    </w:rPr>
                    <w:t>1</w:t>
                  </w:r>
                </w:p>
              </w:tc>
              <w:tc>
                <w:tcPr>
                  <w:tcW w:w="1023" w:type="pct"/>
                  <w:noWrap w:val="0"/>
                  <w:vAlign w:val="center"/>
                </w:tcPr>
                <w:p w14:paraId="1E1477BF">
                  <w:pPr>
                    <w:keepNext/>
                    <w:keepLines w:val="0"/>
                    <w:pageBreakBefore w:val="0"/>
                    <w:widowControl/>
                    <w:kinsoku/>
                    <w:wordWrap/>
                    <w:overflowPunct/>
                    <w:topLinePunct w:val="0"/>
                    <w:autoSpaceDE/>
                    <w:autoSpaceDN/>
                    <w:bidi w:val="0"/>
                    <w:adjustRightInd w:val="0"/>
                    <w:snapToGrid w:val="0"/>
                    <w:spacing w:line="240" w:lineRule="auto"/>
                    <w:jc w:val="center"/>
                    <w:rPr>
                      <w:rFonts w:hint="eastAsia"/>
                      <w:color w:val="000000"/>
                      <w:kern w:val="0"/>
                      <w:sz w:val="21"/>
                      <w:szCs w:val="21"/>
                    </w:rPr>
                  </w:pPr>
                  <w:r>
                    <w:rPr>
                      <w:rFonts w:hint="eastAsia"/>
                      <w:color w:val="000000"/>
                      <w:kern w:val="0"/>
                      <w:sz w:val="21"/>
                      <w:szCs w:val="21"/>
                    </w:rPr>
                    <w:t>3PE防腐管</w:t>
                  </w:r>
                </w:p>
              </w:tc>
              <w:tc>
                <w:tcPr>
                  <w:tcW w:w="865" w:type="pct"/>
                  <w:noWrap w:val="0"/>
                  <w:vAlign w:val="center"/>
                </w:tcPr>
                <w:p w14:paraId="1679502B">
                  <w:pPr>
                    <w:keepNext/>
                    <w:keepLines w:val="0"/>
                    <w:pageBreakBefore w:val="0"/>
                    <w:widowControl/>
                    <w:kinsoku/>
                    <w:wordWrap/>
                    <w:overflowPunct/>
                    <w:topLinePunct w:val="0"/>
                    <w:autoSpaceDE/>
                    <w:autoSpaceDN/>
                    <w:bidi w:val="0"/>
                    <w:adjustRightInd w:val="0"/>
                    <w:snapToGrid w:val="0"/>
                    <w:spacing w:line="240" w:lineRule="auto"/>
                    <w:jc w:val="center"/>
                    <w:rPr>
                      <w:rFonts w:hint="default" w:eastAsia="宋体"/>
                      <w:color w:val="000000"/>
                      <w:kern w:val="0"/>
                      <w:sz w:val="21"/>
                      <w:szCs w:val="21"/>
                      <w:lang w:val="en-US" w:eastAsia="zh-CN"/>
                    </w:rPr>
                  </w:pPr>
                  <w:r>
                    <w:rPr>
                      <w:rFonts w:hint="eastAsia"/>
                      <w:color w:val="000000"/>
                      <w:kern w:val="0"/>
                      <w:sz w:val="21"/>
                      <w:szCs w:val="21"/>
                      <w:lang w:val="en-US" w:eastAsia="zh-CN"/>
                    </w:rPr>
                    <w:t>45</w:t>
                  </w:r>
                </w:p>
              </w:tc>
              <w:tc>
                <w:tcPr>
                  <w:tcW w:w="521" w:type="pct"/>
                  <w:noWrap w:val="0"/>
                  <w:vAlign w:val="center"/>
                </w:tcPr>
                <w:p w14:paraId="1B037809">
                  <w:pPr>
                    <w:keepNext/>
                    <w:keepLines w:val="0"/>
                    <w:pageBreakBefore w:val="0"/>
                    <w:widowControl/>
                    <w:kinsoku/>
                    <w:wordWrap/>
                    <w:overflowPunct/>
                    <w:topLinePunct w:val="0"/>
                    <w:autoSpaceDE/>
                    <w:autoSpaceDN/>
                    <w:bidi w:val="0"/>
                    <w:adjustRightInd w:val="0"/>
                    <w:snapToGrid w:val="0"/>
                    <w:spacing w:line="240" w:lineRule="auto"/>
                    <w:jc w:val="center"/>
                    <w:rPr>
                      <w:rFonts w:hint="eastAsia"/>
                      <w:color w:val="000000"/>
                      <w:kern w:val="0"/>
                      <w:sz w:val="21"/>
                      <w:szCs w:val="21"/>
                    </w:rPr>
                  </w:pPr>
                  <w:r>
                    <w:rPr>
                      <w:rFonts w:hint="eastAsia"/>
                      <w:color w:val="000000"/>
                      <w:kern w:val="0"/>
                      <w:sz w:val="21"/>
                      <w:szCs w:val="21"/>
                    </w:rPr>
                    <w:t>km</w:t>
                  </w:r>
                  <w:r>
                    <w:rPr>
                      <w:color w:val="000000"/>
                      <w:kern w:val="0"/>
                      <w:sz w:val="21"/>
                      <w:szCs w:val="21"/>
                    </w:rPr>
                    <w:t>/a</w:t>
                  </w:r>
                </w:p>
              </w:tc>
              <w:tc>
                <w:tcPr>
                  <w:tcW w:w="2069" w:type="pct"/>
                  <w:noWrap w:val="0"/>
                  <w:vAlign w:val="center"/>
                </w:tcPr>
                <w:p w14:paraId="5CB5CCAA">
                  <w:pPr>
                    <w:keepNext/>
                    <w:keepLines w:val="0"/>
                    <w:pageBreakBefore w:val="0"/>
                    <w:widowControl/>
                    <w:kinsoku/>
                    <w:wordWrap/>
                    <w:overflowPunct/>
                    <w:topLinePunct w:val="0"/>
                    <w:autoSpaceDE/>
                    <w:autoSpaceDN/>
                    <w:bidi w:val="0"/>
                    <w:adjustRightInd w:val="0"/>
                    <w:snapToGrid w:val="0"/>
                    <w:spacing w:line="240" w:lineRule="auto"/>
                    <w:jc w:val="center"/>
                    <w:rPr>
                      <w:rFonts w:hint="eastAsia"/>
                      <w:color w:val="000000"/>
                      <w:kern w:val="0"/>
                      <w:sz w:val="21"/>
                      <w:szCs w:val="21"/>
                    </w:rPr>
                  </w:pPr>
                  <w:r>
                    <w:rPr>
                      <w:rFonts w:hint="eastAsia"/>
                      <w:color w:val="000000"/>
                      <w:kern w:val="0"/>
                      <w:sz w:val="21"/>
                      <w:szCs w:val="21"/>
                    </w:rPr>
                    <w:t>具体规格视客户要求而定</w:t>
                  </w:r>
                </w:p>
              </w:tc>
            </w:tr>
          </w:tbl>
          <w:p w14:paraId="1EC43EE3">
            <w:pPr>
              <w:keepNext/>
              <w:keepLines w:val="0"/>
              <w:pageBreakBefore w:val="0"/>
              <w:widowControl/>
              <w:kinsoku/>
              <w:wordWrap/>
              <w:overflowPunct/>
              <w:topLinePunct w:val="0"/>
              <w:autoSpaceDE/>
              <w:autoSpaceDN/>
              <w:bidi w:val="0"/>
              <w:rPr>
                <w:b/>
                <w:bCs/>
                <w:color w:val="000000"/>
                <w:kern w:val="0"/>
                <w:sz w:val="24"/>
                <w:szCs w:val="24"/>
              </w:rPr>
            </w:pPr>
            <w:r>
              <w:rPr>
                <w:rFonts w:hint="eastAsia"/>
                <w:b/>
                <w:bCs/>
                <w:color w:val="000000"/>
                <w:kern w:val="0"/>
                <w:sz w:val="24"/>
                <w:szCs w:val="24"/>
              </w:rPr>
              <w:t>3</w:t>
            </w:r>
            <w:r>
              <w:rPr>
                <w:b/>
                <w:bCs/>
                <w:color w:val="000000"/>
                <w:kern w:val="0"/>
                <w:sz w:val="24"/>
                <w:szCs w:val="24"/>
              </w:rPr>
              <w:t>主要生产设施及参数</w:t>
            </w:r>
          </w:p>
          <w:p w14:paraId="079BFE1E">
            <w:pPr>
              <w:keepNext/>
              <w:keepLines w:val="0"/>
              <w:pageBreakBefore w:val="0"/>
              <w:widowControl/>
              <w:kinsoku/>
              <w:wordWrap/>
              <w:overflowPunct/>
              <w:topLinePunct w:val="0"/>
              <w:autoSpaceDE/>
              <w:autoSpaceDN/>
              <w:bidi w:val="0"/>
              <w:adjustRightInd w:val="0"/>
              <w:snapToGrid w:val="0"/>
              <w:spacing w:line="240" w:lineRule="auto"/>
              <w:ind w:firstLine="422" w:firstLineChars="200"/>
              <w:rPr>
                <w:b/>
                <w:bCs/>
                <w:color w:val="000000"/>
                <w:kern w:val="0"/>
                <w:sz w:val="21"/>
                <w:szCs w:val="21"/>
              </w:rPr>
            </w:pPr>
            <w:r>
              <w:rPr>
                <w:b/>
                <w:bCs/>
                <w:color w:val="000000"/>
                <w:kern w:val="0"/>
                <w:sz w:val="21"/>
                <w:szCs w:val="21"/>
              </w:rPr>
              <w:t>表</w:t>
            </w:r>
            <w:r>
              <w:rPr>
                <w:rFonts w:hint="eastAsia"/>
                <w:b/>
                <w:bCs/>
                <w:color w:val="000000"/>
                <w:kern w:val="0"/>
                <w:sz w:val="21"/>
                <w:szCs w:val="21"/>
                <w:lang w:val="en-US" w:eastAsia="zh-CN"/>
              </w:rPr>
              <w:t>2-3</w:t>
            </w:r>
            <w:r>
              <w:rPr>
                <w:b/>
                <w:bCs/>
                <w:color w:val="000000"/>
                <w:kern w:val="0"/>
                <w:sz w:val="21"/>
                <w:szCs w:val="21"/>
              </w:rPr>
              <w:t xml:space="preserve">                    项目生产设备设施表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3231"/>
              <w:gridCol w:w="1945"/>
              <w:gridCol w:w="887"/>
              <w:gridCol w:w="888"/>
            </w:tblGrid>
            <w:tr w14:paraId="2DF88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noWrap w:val="0"/>
                  <w:vAlign w:val="center"/>
                </w:tcPr>
                <w:p w14:paraId="4A3ADC51">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序号</w:t>
                  </w:r>
                </w:p>
              </w:tc>
              <w:tc>
                <w:tcPr>
                  <w:tcW w:w="2061" w:type="pct"/>
                  <w:noWrap w:val="0"/>
                  <w:vAlign w:val="center"/>
                </w:tcPr>
                <w:p w14:paraId="2B77937D">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设备名称</w:t>
                  </w:r>
                </w:p>
              </w:tc>
              <w:tc>
                <w:tcPr>
                  <w:tcW w:w="1241" w:type="pct"/>
                  <w:noWrap w:val="0"/>
                  <w:vAlign w:val="center"/>
                </w:tcPr>
                <w:p w14:paraId="272C6F85">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型号</w:t>
                  </w:r>
                </w:p>
              </w:tc>
              <w:tc>
                <w:tcPr>
                  <w:tcW w:w="566" w:type="pct"/>
                  <w:noWrap w:val="0"/>
                  <w:vAlign w:val="center"/>
                </w:tcPr>
                <w:p w14:paraId="5B7403EC">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单位</w:t>
                  </w:r>
                </w:p>
              </w:tc>
              <w:tc>
                <w:tcPr>
                  <w:tcW w:w="566" w:type="pct"/>
                  <w:noWrap w:val="0"/>
                  <w:vAlign w:val="center"/>
                </w:tcPr>
                <w:p w14:paraId="231BD291">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数量</w:t>
                  </w:r>
                </w:p>
              </w:tc>
            </w:tr>
            <w:tr w14:paraId="414AD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noWrap w:val="0"/>
                  <w:vAlign w:val="center"/>
                </w:tcPr>
                <w:p w14:paraId="467E2BDA">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061" w:type="pct"/>
                  <w:noWrap w:val="0"/>
                  <w:vAlign w:val="center"/>
                </w:tcPr>
                <w:p w14:paraId="7F31DD7B">
                  <w:pPr>
                    <w:keepNext/>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rPr>
                    <w:t>高效螺杆挤出机</w:t>
                  </w:r>
                  <w:r>
                    <w:rPr>
                      <w:rFonts w:hint="eastAsia"/>
                      <w:sz w:val="21"/>
                      <w:szCs w:val="21"/>
                      <w:lang w:eastAsia="zh-CN"/>
                    </w:rPr>
                    <w:t>（</w:t>
                  </w:r>
                  <w:r>
                    <w:rPr>
                      <w:rFonts w:hint="eastAsia"/>
                      <w:sz w:val="21"/>
                      <w:szCs w:val="21"/>
                      <w:lang w:val="en-US" w:eastAsia="zh-CN"/>
                    </w:rPr>
                    <w:t>PE挤出机</w:t>
                  </w:r>
                  <w:r>
                    <w:rPr>
                      <w:rFonts w:hint="eastAsia"/>
                      <w:sz w:val="21"/>
                      <w:szCs w:val="21"/>
                      <w:lang w:eastAsia="zh-CN"/>
                    </w:rPr>
                    <w:t>）</w:t>
                  </w:r>
                </w:p>
              </w:tc>
              <w:tc>
                <w:tcPr>
                  <w:tcW w:w="1241" w:type="pct"/>
                  <w:noWrap w:val="0"/>
                  <w:vAlign w:val="center"/>
                </w:tcPr>
                <w:p w14:paraId="07173FB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sz w:val="21"/>
                      <w:szCs w:val="21"/>
                    </w:rPr>
                    <w:t>SJF-</w:t>
                  </w:r>
                  <w:r>
                    <w:rPr>
                      <w:rFonts w:hint="default" w:ascii="Times New Roman" w:hAnsi="Times New Roman" w:eastAsia="宋体" w:cs="Times New Roman"/>
                      <w:sz w:val="21"/>
                      <w:szCs w:val="21"/>
                      <w:lang w:val="en-US" w:eastAsia="zh-CN"/>
                    </w:rPr>
                    <w:t>150</w:t>
                  </w:r>
                </w:p>
              </w:tc>
              <w:tc>
                <w:tcPr>
                  <w:tcW w:w="566" w:type="pct"/>
                  <w:noWrap w:val="0"/>
                  <w:vAlign w:val="center"/>
                </w:tcPr>
                <w:p w14:paraId="14C43BA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套</w:t>
                  </w:r>
                </w:p>
              </w:tc>
              <w:tc>
                <w:tcPr>
                  <w:tcW w:w="566" w:type="pct"/>
                  <w:noWrap w:val="0"/>
                  <w:vAlign w:val="center"/>
                </w:tcPr>
                <w:p w14:paraId="3874A5EC">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lang w:val="en-US" w:eastAsia="zh-CN"/>
                    </w:rPr>
                    <w:t>1</w:t>
                  </w:r>
                </w:p>
              </w:tc>
            </w:tr>
            <w:tr w14:paraId="4C82A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noWrap w:val="0"/>
                  <w:vAlign w:val="center"/>
                </w:tcPr>
                <w:p w14:paraId="29D07C0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061" w:type="pct"/>
                  <w:noWrap w:val="0"/>
                  <w:vAlign w:val="center"/>
                </w:tcPr>
                <w:p w14:paraId="6F58BAC6">
                  <w:pPr>
                    <w:keepNext/>
                    <w:keepLines w:val="0"/>
                    <w:pageBreakBefore w:val="0"/>
                    <w:widowControl/>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rPr>
                    <w:t>高效螺杆挤出机</w:t>
                  </w:r>
                  <w:r>
                    <w:rPr>
                      <w:rFonts w:hint="eastAsia"/>
                      <w:sz w:val="21"/>
                      <w:szCs w:val="21"/>
                      <w:lang w:eastAsia="zh-CN"/>
                    </w:rPr>
                    <w:t>（</w:t>
                  </w:r>
                  <w:r>
                    <w:rPr>
                      <w:rFonts w:hint="eastAsia"/>
                      <w:sz w:val="21"/>
                      <w:szCs w:val="21"/>
                      <w:lang w:val="en-US" w:eastAsia="zh-CN"/>
                    </w:rPr>
                    <w:t>底胶挤出机</w:t>
                  </w:r>
                  <w:r>
                    <w:rPr>
                      <w:rFonts w:hint="eastAsia"/>
                      <w:sz w:val="21"/>
                      <w:szCs w:val="21"/>
                      <w:lang w:eastAsia="zh-CN"/>
                    </w:rPr>
                    <w:t>）</w:t>
                  </w:r>
                </w:p>
              </w:tc>
              <w:tc>
                <w:tcPr>
                  <w:tcW w:w="1241" w:type="pct"/>
                  <w:noWrap w:val="0"/>
                  <w:vAlign w:val="center"/>
                </w:tcPr>
                <w:p w14:paraId="4A24D69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SJF-</w:t>
                  </w:r>
                  <w:r>
                    <w:rPr>
                      <w:rFonts w:hint="default" w:ascii="Times New Roman" w:hAnsi="Times New Roman" w:eastAsia="宋体" w:cs="Times New Roman"/>
                      <w:color w:val="000000"/>
                      <w:kern w:val="0"/>
                      <w:sz w:val="21"/>
                      <w:szCs w:val="21"/>
                      <w:lang w:val="en-US" w:eastAsia="zh-CN"/>
                    </w:rPr>
                    <w:t>65</w:t>
                  </w:r>
                </w:p>
              </w:tc>
              <w:tc>
                <w:tcPr>
                  <w:tcW w:w="566" w:type="pct"/>
                  <w:noWrap w:val="0"/>
                  <w:vAlign w:val="center"/>
                </w:tcPr>
                <w:p w14:paraId="67A4B38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套</w:t>
                  </w:r>
                </w:p>
              </w:tc>
              <w:tc>
                <w:tcPr>
                  <w:tcW w:w="566" w:type="pct"/>
                  <w:noWrap w:val="0"/>
                  <w:vAlign w:val="center"/>
                </w:tcPr>
                <w:p w14:paraId="3AC9B541">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r>
            <w:tr w14:paraId="79492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noWrap w:val="0"/>
                  <w:vAlign w:val="center"/>
                </w:tcPr>
                <w:p w14:paraId="62487292">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061" w:type="pct"/>
                  <w:noWrap w:val="0"/>
                  <w:vAlign w:val="center"/>
                </w:tcPr>
                <w:p w14:paraId="7D1488E2">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中频加热装置</w:t>
                  </w:r>
                </w:p>
              </w:tc>
              <w:tc>
                <w:tcPr>
                  <w:tcW w:w="1241" w:type="pct"/>
                  <w:noWrap w:val="0"/>
                  <w:vAlign w:val="center"/>
                </w:tcPr>
                <w:p w14:paraId="283945D3">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KGPS-500k</w:t>
                  </w:r>
                  <w:r>
                    <w:rPr>
                      <w:rFonts w:hint="eastAsia" w:cs="Times New Roman"/>
                      <w:color w:val="000000"/>
                      <w:kern w:val="0"/>
                      <w:sz w:val="21"/>
                      <w:szCs w:val="21"/>
                      <w:lang w:val="en-US" w:eastAsia="zh-CN"/>
                    </w:rPr>
                    <w:t>W</w:t>
                  </w:r>
                </w:p>
              </w:tc>
              <w:tc>
                <w:tcPr>
                  <w:tcW w:w="566" w:type="pct"/>
                  <w:noWrap w:val="0"/>
                  <w:vAlign w:val="center"/>
                </w:tcPr>
                <w:p w14:paraId="6F047CF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套</w:t>
                  </w:r>
                </w:p>
              </w:tc>
              <w:tc>
                <w:tcPr>
                  <w:tcW w:w="566" w:type="pct"/>
                  <w:noWrap w:val="0"/>
                  <w:vAlign w:val="center"/>
                </w:tcPr>
                <w:p w14:paraId="129A7567">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r>
            <w:tr w14:paraId="35364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noWrap w:val="0"/>
                  <w:vAlign w:val="center"/>
                </w:tcPr>
                <w:p w14:paraId="6E5ED699">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w:t>
                  </w:r>
                </w:p>
              </w:tc>
              <w:tc>
                <w:tcPr>
                  <w:tcW w:w="2061" w:type="pct"/>
                  <w:noWrap w:val="0"/>
                  <w:vAlign w:val="center"/>
                </w:tcPr>
                <w:p w14:paraId="3BFB76B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多管抛丸除锈作业线</w:t>
                  </w:r>
                </w:p>
              </w:tc>
              <w:tc>
                <w:tcPr>
                  <w:tcW w:w="1241" w:type="pct"/>
                  <w:noWrap w:val="0"/>
                  <w:vAlign w:val="center"/>
                </w:tcPr>
                <w:p w14:paraId="3B14ED9E">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566" w:type="pct"/>
                  <w:noWrap w:val="0"/>
                  <w:vAlign w:val="center"/>
                </w:tcPr>
                <w:p w14:paraId="04BFE4C7">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套</w:t>
                  </w:r>
                </w:p>
              </w:tc>
              <w:tc>
                <w:tcPr>
                  <w:tcW w:w="566" w:type="pct"/>
                  <w:noWrap w:val="0"/>
                  <w:vAlign w:val="center"/>
                </w:tcPr>
                <w:p w14:paraId="597A186C">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r>
            <w:tr w14:paraId="73387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noWrap w:val="0"/>
                  <w:vAlign w:val="center"/>
                </w:tcPr>
                <w:p w14:paraId="0DFDFAD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w:t>
                  </w:r>
                </w:p>
              </w:tc>
              <w:tc>
                <w:tcPr>
                  <w:tcW w:w="2061" w:type="pct"/>
                  <w:noWrap w:val="0"/>
                  <w:vAlign w:val="center"/>
                </w:tcPr>
                <w:p w14:paraId="39443E3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钢制管道外壁静电喷涂</w:t>
                  </w:r>
                </w:p>
              </w:tc>
              <w:tc>
                <w:tcPr>
                  <w:tcW w:w="1241" w:type="pct"/>
                  <w:noWrap w:val="0"/>
                  <w:vAlign w:val="center"/>
                </w:tcPr>
                <w:p w14:paraId="70551898">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c>
                <w:tcPr>
                  <w:tcW w:w="566" w:type="pct"/>
                  <w:noWrap w:val="0"/>
                  <w:vAlign w:val="center"/>
                </w:tcPr>
                <w:p w14:paraId="48B4562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套</w:t>
                  </w:r>
                </w:p>
              </w:tc>
              <w:tc>
                <w:tcPr>
                  <w:tcW w:w="566" w:type="pct"/>
                  <w:noWrap w:val="0"/>
                  <w:vAlign w:val="center"/>
                </w:tcPr>
                <w:p w14:paraId="421EF4FD">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1</w:t>
                  </w:r>
                </w:p>
              </w:tc>
            </w:tr>
          </w:tbl>
          <w:p w14:paraId="4AB39301">
            <w:pPr>
              <w:keepNext/>
              <w:keepLines w:val="0"/>
              <w:pageBreakBefore w:val="0"/>
              <w:widowControl/>
              <w:kinsoku/>
              <w:wordWrap/>
              <w:overflowPunct/>
              <w:topLinePunct w:val="0"/>
              <w:autoSpaceDE/>
              <w:autoSpaceDN/>
              <w:bidi w:val="0"/>
              <w:rPr>
                <w:b/>
                <w:bCs/>
                <w:color w:val="000000"/>
                <w:kern w:val="0"/>
                <w:sz w:val="21"/>
                <w:szCs w:val="21"/>
              </w:rPr>
            </w:pPr>
            <w:r>
              <w:rPr>
                <w:rFonts w:hint="eastAsia"/>
                <w:b/>
                <w:bCs/>
                <w:color w:val="000000"/>
                <w:kern w:val="0"/>
                <w:sz w:val="21"/>
                <w:szCs w:val="21"/>
              </w:rPr>
              <w:t>4</w:t>
            </w:r>
            <w:r>
              <w:rPr>
                <w:b/>
                <w:bCs/>
                <w:color w:val="000000"/>
                <w:kern w:val="0"/>
                <w:sz w:val="21"/>
                <w:szCs w:val="21"/>
              </w:rPr>
              <w:t>主要原辅材料及种类</w:t>
            </w:r>
          </w:p>
          <w:p w14:paraId="6C726AF9">
            <w:pPr>
              <w:keepNext/>
              <w:keepLines w:val="0"/>
              <w:pageBreakBefore w:val="0"/>
              <w:widowControl/>
              <w:kinsoku/>
              <w:wordWrap/>
              <w:overflowPunct/>
              <w:topLinePunct w:val="0"/>
              <w:autoSpaceDE/>
              <w:autoSpaceDN/>
              <w:bidi w:val="0"/>
              <w:ind w:firstLine="480" w:firstLineChars="200"/>
              <w:rPr>
                <w:color w:val="000000"/>
                <w:kern w:val="0"/>
              </w:rPr>
            </w:pPr>
            <w:r>
              <w:rPr>
                <w:color w:val="000000"/>
                <w:kern w:val="0"/>
              </w:rPr>
              <w:t>项目主要原辅料及燃料种类见表</w:t>
            </w:r>
            <w:r>
              <w:rPr>
                <w:rFonts w:hint="eastAsia"/>
                <w:color w:val="000000"/>
                <w:kern w:val="0"/>
                <w:lang w:val="en-US" w:eastAsia="zh-CN"/>
              </w:rPr>
              <w:t>2-4</w:t>
            </w:r>
            <w:r>
              <w:rPr>
                <w:color w:val="000000"/>
                <w:kern w:val="0"/>
              </w:rPr>
              <w:t>。</w:t>
            </w:r>
          </w:p>
          <w:p w14:paraId="2D9A4DF6">
            <w:pPr>
              <w:keepNext/>
              <w:keepLines w:val="0"/>
              <w:pageBreakBefore w:val="0"/>
              <w:widowControl/>
              <w:kinsoku/>
              <w:wordWrap/>
              <w:overflowPunct/>
              <w:topLinePunct w:val="0"/>
              <w:autoSpaceDE/>
              <w:autoSpaceDN/>
              <w:bidi w:val="0"/>
              <w:adjustRightInd w:val="0"/>
              <w:snapToGrid w:val="0"/>
              <w:spacing w:line="240" w:lineRule="auto"/>
              <w:ind w:firstLine="422" w:firstLineChars="200"/>
              <w:rPr>
                <w:b/>
                <w:bCs/>
                <w:color w:val="000000"/>
                <w:kern w:val="0"/>
                <w:sz w:val="21"/>
                <w:szCs w:val="21"/>
              </w:rPr>
            </w:pPr>
            <w:r>
              <w:rPr>
                <w:b/>
                <w:bCs/>
                <w:color w:val="000000"/>
                <w:kern w:val="0"/>
                <w:sz w:val="21"/>
                <w:szCs w:val="21"/>
              </w:rPr>
              <w:t>表</w:t>
            </w:r>
            <w:r>
              <w:rPr>
                <w:rFonts w:hint="eastAsia"/>
                <w:b/>
                <w:bCs/>
                <w:color w:val="000000"/>
                <w:kern w:val="0"/>
                <w:sz w:val="21"/>
                <w:szCs w:val="21"/>
                <w:lang w:val="en-US" w:eastAsia="zh-CN"/>
              </w:rPr>
              <w:t>2-4</w:t>
            </w:r>
            <w:r>
              <w:rPr>
                <w:b/>
                <w:bCs/>
                <w:color w:val="000000"/>
                <w:kern w:val="0"/>
                <w:sz w:val="21"/>
                <w:szCs w:val="21"/>
              </w:rPr>
              <w:t xml:space="preserve">                 主要原辅材料种类表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4"/>
              <w:gridCol w:w="1518"/>
              <w:gridCol w:w="1042"/>
              <w:gridCol w:w="1968"/>
              <w:gridCol w:w="2896"/>
            </w:tblGrid>
            <w:tr w14:paraId="6788A05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3077DC84">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序号</w:t>
                  </w:r>
                </w:p>
              </w:tc>
              <w:tc>
                <w:tcPr>
                  <w:tcW w:w="968" w:type="pct"/>
                  <w:noWrap w:val="0"/>
                  <w:vAlign w:val="center"/>
                </w:tcPr>
                <w:p w14:paraId="34F3EB61">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原料名称</w:t>
                  </w:r>
                </w:p>
              </w:tc>
              <w:tc>
                <w:tcPr>
                  <w:tcW w:w="664" w:type="pct"/>
                  <w:noWrap w:val="0"/>
                  <w:vAlign w:val="center"/>
                </w:tcPr>
                <w:p w14:paraId="4BBFBA99">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单位</w:t>
                  </w:r>
                </w:p>
              </w:tc>
              <w:tc>
                <w:tcPr>
                  <w:tcW w:w="1255" w:type="pct"/>
                  <w:noWrap w:val="0"/>
                  <w:vAlign w:val="center"/>
                </w:tcPr>
                <w:p w14:paraId="72396275">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用量</w:t>
                  </w:r>
                </w:p>
              </w:tc>
              <w:tc>
                <w:tcPr>
                  <w:tcW w:w="1847" w:type="pct"/>
                  <w:noWrap w:val="0"/>
                  <w:vAlign w:val="center"/>
                </w:tcPr>
                <w:p w14:paraId="0946BB8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备注</w:t>
                  </w:r>
                </w:p>
              </w:tc>
            </w:tr>
            <w:tr w14:paraId="6ECB63B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2FA79D9C">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1</w:t>
                  </w:r>
                </w:p>
              </w:tc>
              <w:tc>
                <w:tcPr>
                  <w:tcW w:w="968" w:type="pct"/>
                  <w:noWrap w:val="0"/>
                  <w:vAlign w:val="center"/>
                </w:tcPr>
                <w:p w14:paraId="21AEB82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钢管</w:t>
                  </w:r>
                </w:p>
              </w:tc>
              <w:tc>
                <w:tcPr>
                  <w:tcW w:w="664" w:type="pct"/>
                  <w:noWrap w:val="0"/>
                  <w:vAlign w:val="center"/>
                </w:tcPr>
                <w:p w14:paraId="22110280">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t/a</w:t>
                  </w:r>
                </w:p>
              </w:tc>
              <w:tc>
                <w:tcPr>
                  <w:tcW w:w="1255" w:type="pct"/>
                  <w:shd w:val="clear" w:color="auto" w:fill="auto"/>
                  <w:noWrap w:val="0"/>
                  <w:vAlign w:val="center"/>
                </w:tcPr>
                <w:p w14:paraId="0058272E">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1350</w:t>
                  </w:r>
                </w:p>
              </w:tc>
              <w:tc>
                <w:tcPr>
                  <w:tcW w:w="1847" w:type="pct"/>
                  <w:shd w:val="clear" w:color="auto" w:fill="auto"/>
                  <w:noWrap w:val="0"/>
                  <w:vAlign w:val="center"/>
                </w:tcPr>
                <w:p w14:paraId="0D172444">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（钢管内径为DN100-DN300，主要以DN200为主）</w:t>
                  </w:r>
                </w:p>
              </w:tc>
            </w:tr>
            <w:tr w14:paraId="52C23F1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5CC06D70">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2</w:t>
                  </w:r>
                </w:p>
              </w:tc>
              <w:tc>
                <w:tcPr>
                  <w:tcW w:w="968" w:type="pct"/>
                  <w:noWrap w:val="0"/>
                  <w:vAlign w:val="center"/>
                </w:tcPr>
                <w:p w14:paraId="2DA9B754">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聚乙烯防腐树脂</w:t>
                  </w:r>
                </w:p>
              </w:tc>
              <w:tc>
                <w:tcPr>
                  <w:tcW w:w="664" w:type="pct"/>
                  <w:noWrap w:val="0"/>
                  <w:vAlign w:val="center"/>
                </w:tcPr>
                <w:p w14:paraId="47F6754D">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1255" w:type="pct"/>
                  <w:shd w:val="clear" w:color="auto" w:fill="auto"/>
                  <w:noWrap w:val="0"/>
                  <w:vAlign w:val="center"/>
                </w:tcPr>
                <w:p w14:paraId="7937B444">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100</w:t>
                  </w:r>
                </w:p>
              </w:tc>
              <w:tc>
                <w:tcPr>
                  <w:tcW w:w="1847" w:type="pct"/>
                  <w:shd w:val="clear" w:color="auto" w:fill="auto"/>
                  <w:noWrap w:val="0"/>
                  <w:vAlign w:val="center"/>
                </w:tcPr>
                <w:p w14:paraId="1591258C">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r w14:paraId="1B60603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1C87BA8E">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rPr>
                    <w:t>3</w:t>
                  </w:r>
                </w:p>
              </w:tc>
              <w:tc>
                <w:tcPr>
                  <w:tcW w:w="968" w:type="pct"/>
                  <w:noWrap w:val="0"/>
                  <w:vAlign w:val="center"/>
                </w:tcPr>
                <w:p w14:paraId="155CCA18">
                  <w:pPr>
                    <w:keepNext/>
                    <w:keepLines w:val="0"/>
                    <w:pageBreakBefore w:val="0"/>
                    <w:widowControl/>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bidi="ar"/>
                    </w:rPr>
                    <w:t>环氧粉末</w:t>
                  </w:r>
                </w:p>
              </w:tc>
              <w:tc>
                <w:tcPr>
                  <w:tcW w:w="664" w:type="pct"/>
                  <w:noWrap w:val="0"/>
                  <w:vAlign w:val="center"/>
                </w:tcPr>
                <w:p w14:paraId="187957BD">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1255" w:type="pct"/>
                  <w:shd w:val="clear" w:color="auto" w:fill="auto"/>
                  <w:noWrap w:val="0"/>
                  <w:vAlign w:val="center"/>
                </w:tcPr>
                <w:p w14:paraId="22B4C2E7">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30</w:t>
                  </w:r>
                </w:p>
              </w:tc>
              <w:tc>
                <w:tcPr>
                  <w:tcW w:w="1847" w:type="pct"/>
                  <w:shd w:val="clear" w:color="auto" w:fill="auto"/>
                  <w:noWrap w:val="0"/>
                  <w:vAlign w:val="center"/>
                </w:tcPr>
                <w:p w14:paraId="3147DB1A">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r w14:paraId="6CDC0A6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6E71EC77">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4</w:t>
                  </w:r>
                </w:p>
              </w:tc>
              <w:tc>
                <w:tcPr>
                  <w:tcW w:w="968" w:type="pct"/>
                  <w:noWrap w:val="0"/>
                  <w:vAlign w:val="center"/>
                </w:tcPr>
                <w:p w14:paraId="29A09349">
                  <w:pPr>
                    <w:keepNext/>
                    <w:keepLines w:val="0"/>
                    <w:pageBreakBefore w:val="0"/>
                    <w:widowControl/>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共聚聚烯烃底胶</w:t>
                  </w:r>
                </w:p>
              </w:tc>
              <w:tc>
                <w:tcPr>
                  <w:tcW w:w="664" w:type="pct"/>
                  <w:noWrap w:val="0"/>
                  <w:vAlign w:val="center"/>
                </w:tcPr>
                <w:p w14:paraId="3A71777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t/a</w:t>
                  </w:r>
                </w:p>
              </w:tc>
              <w:tc>
                <w:tcPr>
                  <w:tcW w:w="1255" w:type="pct"/>
                  <w:shd w:val="clear" w:color="auto" w:fill="auto"/>
                  <w:noWrap w:val="0"/>
                  <w:vAlign w:val="center"/>
                </w:tcPr>
                <w:p w14:paraId="07A15DC2">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30</w:t>
                  </w:r>
                </w:p>
              </w:tc>
              <w:tc>
                <w:tcPr>
                  <w:tcW w:w="1847" w:type="pct"/>
                  <w:shd w:val="clear" w:color="auto" w:fill="auto"/>
                  <w:noWrap w:val="0"/>
                  <w:vAlign w:val="center"/>
                </w:tcPr>
                <w:p w14:paraId="621C3E18">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r w14:paraId="2CDDDFA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shd w:val="clear" w:color="auto" w:fill="auto"/>
                  <w:noWrap w:val="0"/>
                  <w:vAlign w:val="center"/>
                </w:tcPr>
                <w:p w14:paraId="7F5E5EC9">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5</w:t>
                  </w:r>
                </w:p>
              </w:tc>
              <w:tc>
                <w:tcPr>
                  <w:tcW w:w="968" w:type="pct"/>
                  <w:noWrap w:val="0"/>
                  <w:vAlign w:val="center"/>
                </w:tcPr>
                <w:p w14:paraId="05791219">
                  <w:pPr>
                    <w:keepNext/>
                    <w:keepLines w:val="0"/>
                    <w:pageBreakBefore w:val="0"/>
                    <w:widowControl/>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阻垢剂</w:t>
                  </w:r>
                </w:p>
              </w:tc>
              <w:tc>
                <w:tcPr>
                  <w:tcW w:w="664" w:type="pct"/>
                  <w:noWrap w:val="0"/>
                  <w:vAlign w:val="center"/>
                </w:tcPr>
                <w:p w14:paraId="692B6E2D">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t/a</w:t>
                  </w:r>
                </w:p>
              </w:tc>
              <w:tc>
                <w:tcPr>
                  <w:tcW w:w="1255" w:type="pct"/>
                  <w:shd w:val="clear" w:color="auto" w:fill="auto"/>
                  <w:noWrap w:val="0"/>
                  <w:vAlign w:val="center"/>
                </w:tcPr>
                <w:p w14:paraId="6DD30B0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0.75</w:t>
                  </w:r>
                </w:p>
              </w:tc>
              <w:tc>
                <w:tcPr>
                  <w:tcW w:w="1847" w:type="pct"/>
                  <w:shd w:val="clear" w:color="auto" w:fill="auto"/>
                  <w:noWrap w:val="0"/>
                  <w:vAlign w:val="center"/>
                </w:tcPr>
                <w:p w14:paraId="4A356131">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i w:val="0"/>
                      <w:iCs w:val="0"/>
                      <w:caps w:val="0"/>
                      <w:color w:val="404040"/>
                      <w:spacing w:val="0"/>
                      <w:sz w:val="21"/>
                      <w:szCs w:val="21"/>
                    </w:rPr>
                    <w:t>HEDP</w:t>
                  </w:r>
                </w:p>
              </w:tc>
            </w:tr>
            <w:tr w14:paraId="2B1501F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shd w:val="clear" w:color="auto" w:fill="auto"/>
                  <w:noWrap w:val="0"/>
                  <w:vAlign w:val="center"/>
                </w:tcPr>
                <w:p w14:paraId="748B95D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6</w:t>
                  </w:r>
                </w:p>
              </w:tc>
              <w:tc>
                <w:tcPr>
                  <w:tcW w:w="968" w:type="pct"/>
                  <w:noWrap w:val="0"/>
                  <w:vAlign w:val="center"/>
                </w:tcPr>
                <w:p w14:paraId="592D013A">
                  <w:pPr>
                    <w:keepNext/>
                    <w:keepLines w:val="0"/>
                    <w:pageBreakBefore w:val="0"/>
                    <w:widowControl/>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缓蚀剂</w:t>
                  </w:r>
                </w:p>
              </w:tc>
              <w:tc>
                <w:tcPr>
                  <w:tcW w:w="664" w:type="pct"/>
                  <w:noWrap w:val="0"/>
                  <w:vAlign w:val="center"/>
                </w:tcPr>
                <w:p w14:paraId="0108F503">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t/a</w:t>
                  </w:r>
                </w:p>
              </w:tc>
              <w:tc>
                <w:tcPr>
                  <w:tcW w:w="1255" w:type="pct"/>
                  <w:shd w:val="clear" w:color="auto" w:fill="auto"/>
                  <w:noWrap w:val="0"/>
                  <w:vAlign w:val="center"/>
                </w:tcPr>
                <w:p w14:paraId="12A8B0FA">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w:t>
                  </w:r>
                </w:p>
              </w:tc>
              <w:tc>
                <w:tcPr>
                  <w:tcW w:w="1847" w:type="pct"/>
                  <w:shd w:val="clear" w:color="auto" w:fill="auto"/>
                  <w:noWrap w:val="0"/>
                  <w:vAlign w:val="center"/>
                </w:tcPr>
                <w:p w14:paraId="0E202640">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r w14:paraId="24D04AE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54E88E3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968" w:type="pct"/>
                  <w:noWrap w:val="0"/>
                  <w:vAlign w:val="center"/>
                </w:tcPr>
                <w:p w14:paraId="3313C9E6">
                  <w:pPr>
                    <w:keepNext/>
                    <w:keepLines w:val="0"/>
                    <w:pageBreakBefore w:val="0"/>
                    <w:widowControl/>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杀菌剂</w:t>
                  </w:r>
                </w:p>
              </w:tc>
              <w:tc>
                <w:tcPr>
                  <w:tcW w:w="664" w:type="pct"/>
                  <w:noWrap w:val="0"/>
                  <w:vAlign w:val="center"/>
                </w:tcPr>
                <w:p w14:paraId="4E7944D5">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t/a</w:t>
                  </w:r>
                </w:p>
              </w:tc>
              <w:tc>
                <w:tcPr>
                  <w:tcW w:w="1255" w:type="pct"/>
                  <w:shd w:val="clear" w:color="auto" w:fill="auto"/>
                  <w:noWrap w:val="0"/>
                  <w:vAlign w:val="center"/>
                </w:tcPr>
                <w:p w14:paraId="49D5E096">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w:t>
                  </w:r>
                  <w:r>
                    <w:rPr>
                      <w:rFonts w:hint="eastAsia" w:ascii="Times New Roman" w:hAnsi="Times New Roman" w:eastAsia="宋体" w:cs="Times New Roman"/>
                      <w:color w:val="000000"/>
                      <w:kern w:val="0"/>
                      <w:sz w:val="21"/>
                      <w:szCs w:val="21"/>
                      <w:lang w:val="en-US" w:eastAsia="zh-CN"/>
                    </w:rPr>
                    <w:t>3</w:t>
                  </w:r>
                </w:p>
              </w:tc>
              <w:tc>
                <w:tcPr>
                  <w:tcW w:w="1847" w:type="pct"/>
                  <w:shd w:val="clear" w:color="auto" w:fill="auto"/>
                  <w:noWrap w:val="0"/>
                  <w:vAlign w:val="center"/>
                </w:tcPr>
                <w:p w14:paraId="167DB4D4">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次氯酸钠（10%溶液）</w:t>
                  </w:r>
                </w:p>
              </w:tc>
            </w:tr>
            <w:tr w14:paraId="6D3A212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1E139E5C">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968" w:type="pct"/>
                  <w:noWrap w:val="0"/>
                  <w:vAlign w:val="center"/>
                </w:tcPr>
                <w:p w14:paraId="2EEE56D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电</w:t>
                  </w:r>
                </w:p>
              </w:tc>
              <w:tc>
                <w:tcPr>
                  <w:tcW w:w="664" w:type="pct"/>
                  <w:noWrap w:val="0"/>
                  <w:vAlign w:val="center"/>
                </w:tcPr>
                <w:p w14:paraId="296D391B">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万</w:t>
                  </w:r>
                  <w:r>
                    <w:rPr>
                      <w:rFonts w:hint="default" w:ascii="Times New Roman" w:hAnsi="Times New Roman" w:eastAsia="宋体" w:cs="Times New Roman"/>
                      <w:color w:val="000000"/>
                      <w:kern w:val="0"/>
                      <w:sz w:val="21"/>
                      <w:szCs w:val="21"/>
                      <w:lang w:val="en-US" w:eastAsia="zh-CN"/>
                    </w:rPr>
                    <w:t>kW</w:t>
                  </w:r>
                  <w:r>
                    <w:rPr>
                      <w:rFonts w:hint="default" w:ascii="Times New Roman" w:hAnsi="Times New Roman" w:eastAsia="宋体" w:cs="Times New Roman"/>
                      <w:color w:val="000000"/>
                      <w:kern w:val="0"/>
                      <w:sz w:val="21"/>
                      <w:szCs w:val="21"/>
                    </w:rPr>
                    <w:t>·h</w:t>
                  </w:r>
                </w:p>
              </w:tc>
              <w:tc>
                <w:tcPr>
                  <w:tcW w:w="1255" w:type="pct"/>
                  <w:noWrap w:val="0"/>
                  <w:vAlign w:val="center"/>
                </w:tcPr>
                <w:p w14:paraId="05654D45">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20</w:t>
                  </w:r>
                </w:p>
              </w:tc>
              <w:tc>
                <w:tcPr>
                  <w:tcW w:w="1847" w:type="pct"/>
                  <w:noWrap w:val="0"/>
                  <w:vAlign w:val="center"/>
                </w:tcPr>
                <w:p w14:paraId="483397D4">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r w14:paraId="68DDDCB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4" w:type="pct"/>
                  <w:noWrap w:val="0"/>
                  <w:vAlign w:val="center"/>
                </w:tcPr>
                <w:p w14:paraId="2E8A9F33">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w:t>
                  </w:r>
                </w:p>
              </w:tc>
              <w:tc>
                <w:tcPr>
                  <w:tcW w:w="968" w:type="pct"/>
                  <w:noWrap w:val="0"/>
                  <w:vAlign w:val="center"/>
                </w:tcPr>
                <w:p w14:paraId="1BC69882">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水</w:t>
                  </w:r>
                </w:p>
              </w:tc>
              <w:tc>
                <w:tcPr>
                  <w:tcW w:w="664" w:type="pct"/>
                  <w:noWrap w:val="0"/>
                  <w:vAlign w:val="center"/>
                </w:tcPr>
                <w:p w14:paraId="011D2B26">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m</w:t>
                  </w:r>
                  <w:r>
                    <w:rPr>
                      <w:rFonts w:hint="default" w:ascii="Times New Roman" w:hAnsi="Times New Roman" w:eastAsia="宋体" w:cs="Times New Roman"/>
                      <w:color w:val="000000"/>
                      <w:kern w:val="0"/>
                      <w:sz w:val="21"/>
                      <w:szCs w:val="21"/>
                      <w:vertAlign w:val="superscript"/>
                      <w:lang w:val="en-US" w:eastAsia="zh-CN"/>
                    </w:rPr>
                    <w:t>3</w:t>
                  </w:r>
                  <w:r>
                    <w:rPr>
                      <w:rFonts w:hint="default" w:ascii="Times New Roman" w:hAnsi="Times New Roman" w:eastAsia="宋体" w:cs="Times New Roman"/>
                      <w:color w:val="000000"/>
                      <w:kern w:val="0"/>
                      <w:sz w:val="21"/>
                      <w:szCs w:val="21"/>
                      <w:lang w:val="en-US" w:eastAsia="zh-CN"/>
                    </w:rPr>
                    <w:t>/a</w:t>
                  </w:r>
                </w:p>
              </w:tc>
              <w:tc>
                <w:tcPr>
                  <w:tcW w:w="1255" w:type="pct"/>
                  <w:noWrap w:val="0"/>
                  <w:vAlign w:val="center"/>
                </w:tcPr>
                <w:p w14:paraId="2583087F">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1710</w:t>
                  </w:r>
                </w:p>
              </w:tc>
              <w:tc>
                <w:tcPr>
                  <w:tcW w:w="1847" w:type="pct"/>
                  <w:noWrap w:val="0"/>
                  <w:vAlign w:val="center"/>
                </w:tcPr>
                <w:p w14:paraId="4A26ECBC">
                  <w:pPr>
                    <w:keepNext/>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w:t>
                  </w:r>
                </w:p>
              </w:tc>
            </w:tr>
          </w:tbl>
          <w:p w14:paraId="684B16E4">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 xml:space="preserve">环氧粉末涂料：环氧粉末涂料是一种不含有机溶剂的干态固体粉末，它与一般溶剂型的涂料和水性涂料不同，涂装时不需要用溶剂或水作为分散介质，而是以空气作为分散介质，均匀涂装与工件表面，晾干后形成涂膜的一种新型涂料。由于不需要加入含苯稀释剂，喷塑过程中产生微量环氧粉末受热气化物，对环境的影响极小。其理化性质： </w:t>
            </w:r>
          </w:p>
          <w:p w14:paraId="65E189F9">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 xml:space="preserve">①力学性能高。环氧粉末具有很强的内聚力，分子结构致密，所以它的力学性能高于酚醛树脂和不饱和聚酯等通用型热固性树脂。 </w:t>
            </w:r>
          </w:p>
          <w:p w14:paraId="1E6C26C2">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 xml:space="preserve">②附着力强。环氧粉末固化体系中含有活性极大的环氧基，羟基以及醚键、胺键、脂键等极性基团，赋予环氧固化物对金属、陶瓷、玻璃、混凝土、木材等极性基材以优良的附着力。 </w:t>
            </w:r>
          </w:p>
          <w:p w14:paraId="6D0C249B">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 xml:space="preserve">③固化收缩率小。一般为 1%～2%。是热固性树脂中固化收缩率最小的品种之一。线胀系数也很小，一般为 6×10-5/℃。所以固化后体积变化不大。 </w:t>
            </w:r>
          </w:p>
          <w:p w14:paraId="65ECC983">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 xml:space="preserve">④工艺性好。环氧粉末固化时基本上不产生低分子挥发物，所以可低压成型或接触压成型。能与各种固化剂配合制造无溶剂、高固体、粉末涂料及水性涂料等环保型涂料。 </w:t>
            </w:r>
          </w:p>
          <w:p w14:paraId="0EF06626">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 xml:space="preserve">⑤优良的电绝缘性。环氧粉末是热固性树脂中介电性能最好的品种之一。 </w:t>
            </w:r>
          </w:p>
          <w:p w14:paraId="2F40103D">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 xml:space="preserve">⑥稳定性好，抗化学药品性优良。不含碱、盐等杂质的环氧粉末不易变质。只要贮存得当（密封、不受潮、不遇高温），其贮存期为 1 年。超期后若检验合格仍可使用。环氧固化物具有优良的化学稳定性。其耐酸、碱、盐等多种介质腐蚀的性能优于不饱和聚酯树脂、酚醛树脂等热固性树脂。因此环氧粉末大量用作防腐蚀底漆，又因环氧粉末固化物呈三维网状结构，又能耐油类等的浸渍、油轮、飞机的整体油箱内壁衬里等。 </w:t>
            </w:r>
          </w:p>
          <w:p w14:paraId="0FC83A8C">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⑦环氧固化物的耐热性一般为 80～100℃。环氧粉末的耐热品种可达 2000℃或更高。</w:t>
            </w:r>
          </w:p>
          <w:p w14:paraId="03F6F22C">
            <w:pPr>
              <w:pStyle w:val="33"/>
              <w:keepNext/>
              <w:keepLines w:val="0"/>
              <w:pageBreakBefore w:val="0"/>
              <w:widowControl/>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聚乙烯防腐树脂：聚乙烯为白色蜡状半透明材料。柔而韧，比水轻，无毒，具有优越的介电性能。易燃烧且离火后继续燃烧。透水率低，对有机蒸汽透过率则较大。聚乙烯的透明度随结晶度增加而下降，在一定结晶度下，透明度随分子量增大而增加。高密度聚乙烯熔点范围为 132～135℃，低密度聚乙烯熔点较低（112℃）且范围宽。常温下不溶于任何已知溶剂中，70℃以上可少量溶解于甲苯、乙酸戊聚乙烯酯、三氯乙烯等溶剂中。</w:t>
            </w:r>
          </w:p>
          <w:p w14:paraId="27CD2176">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lang w:val="en-US" w:eastAsia="zh-CN"/>
              </w:rPr>
              <w:t>共聚聚烯烃底胶也称聚乙烯防腐层胶粘剂，又名管道防腐胶粘剂，通常为改性聚乙烯（如HDPE、LDPE）或乙烯共聚物（如EVA）。是目前国内外选用聚乙烯塑料对埋地输油、输气、给排水钢质管道进行外防腐 2PE 结构的底胶，3PE 结构的中间胶粘剂层，也可用于其他用途钢材聚乙烯涂层结构中增加附着力。</w:t>
            </w:r>
          </w:p>
          <w:p w14:paraId="024ACE62">
            <w:pPr>
              <w:keepNext/>
              <w:keepLines w:val="0"/>
              <w:pageBreakBefore w:val="0"/>
              <w:widowControl/>
              <w:kinsoku/>
              <w:wordWrap/>
              <w:overflowPunct/>
              <w:topLinePunct w:val="0"/>
              <w:autoSpaceDE/>
              <w:autoSpaceDN/>
              <w:bidi w:val="0"/>
              <w:rPr>
                <w:rFonts w:ascii="宋体" w:hAnsi="宋体" w:cs="宋体"/>
                <w:b/>
                <w:bCs/>
                <w:color w:val="000000"/>
                <w:kern w:val="0"/>
              </w:rPr>
            </w:pPr>
            <w:r>
              <w:rPr>
                <w:rFonts w:hint="eastAsia" w:ascii="宋体" w:hAnsi="宋体" w:cs="宋体"/>
                <w:b/>
                <w:bCs/>
                <w:color w:val="000000"/>
                <w:kern w:val="0"/>
              </w:rPr>
              <w:t>5公用工程</w:t>
            </w:r>
          </w:p>
          <w:p w14:paraId="636F690C">
            <w:pPr>
              <w:keepNext/>
              <w:keepLines w:val="0"/>
              <w:pageBreakBefore w:val="0"/>
              <w:widowControl/>
              <w:numPr>
                <w:ilvl w:val="0"/>
                <w:numId w:val="0"/>
              </w:numPr>
              <w:kinsoku/>
              <w:wordWrap/>
              <w:overflowPunct/>
              <w:topLinePunct w:val="0"/>
              <w:autoSpaceDE/>
              <w:autoSpaceDN/>
              <w:bidi w:val="0"/>
              <w:ind w:firstLine="480" w:firstLineChars="200"/>
              <w:rPr>
                <w:rFonts w:hint="eastAsia"/>
                <w:color w:val="000000"/>
                <w:kern w:val="0"/>
                <w:lang w:val="en-US" w:eastAsia="zh-CN"/>
              </w:rPr>
            </w:pPr>
            <w:r>
              <w:rPr>
                <w:rFonts w:hint="eastAsia"/>
                <w:color w:val="000000"/>
                <w:kern w:val="0"/>
                <w:lang w:val="en-US" w:eastAsia="zh-CN"/>
              </w:rPr>
              <w:t>给水：本项目用水主要为冷却循环水补水、生活用水及绿化用水。</w:t>
            </w:r>
          </w:p>
          <w:p w14:paraId="31D6888C">
            <w:pPr>
              <w:keepNext/>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color w:val="000000"/>
                <w:kern w:val="0"/>
                <w:lang w:val="en-US" w:eastAsia="zh-CN"/>
              </w:rPr>
            </w:pPr>
            <w:r>
              <w:rPr>
                <w:rFonts w:hint="eastAsia"/>
                <w:color w:val="000000"/>
                <w:kern w:val="0"/>
                <w:lang w:val="en-US" w:eastAsia="zh-CN"/>
              </w:rPr>
              <w:t>生活用水：依据《新疆维吾尔自治区生活用水定额》中的用水量估算，本项目定员30人，用水量按照每人平均80L/人·d计算，年工作日300天，则年生活用水量为720m</w:t>
            </w:r>
            <w:r>
              <w:rPr>
                <w:rFonts w:hint="eastAsia"/>
                <w:color w:val="000000"/>
                <w:kern w:val="0"/>
                <w:vertAlign w:val="superscript"/>
                <w:lang w:val="en-US" w:eastAsia="zh-CN"/>
              </w:rPr>
              <w:t>3</w:t>
            </w:r>
            <w:r>
              <w:rPr>
                <w:rFonts w:hint="eastAsia"/>
                <w:color w:val="000000"/>
                <w:kern w:val="0"/>
                <w:lang w:val="en-US" w:eastAsia="zh-CN"/>
              </w:rPr>
              <w:t>/a</w:t>
            </w:r>
          </w:p>
          <w:p w14:paraId="6561D5E6">
            <w:pPr>
              <w:adjustRightInd w:val="0"/>
              <w:snapToGrid w:val="0"/>
              <w:spacing w:line="360" w:lineRule="auto"/>
              <w:ind w:firstLine="480" w:firstLineChars="200"/>
              <w:rPr>
                <w:rFonts w:ascii="Times New Roman" w:hAnsi="Times New Roman" w:eastAsia="宋体" w:cs="Times New Roman"/>
                <w:sz w:val="24"/>
              </w:rPr>
            </w:pPr>
            <w:r>
              <w:rPr>
                <w:rFonts w:hint="eastAsia"/>
                <w:color w:val="000000"/>
                <w:kern w:val="0"/>
                <w:lang w:val="en-US" w:eastAsia="zh-CN"/>
              </w:rPr>
              <w:t>冷却循环水：</w:t>
            </w:r>
            <w:r>
              <w:rPr>
                <w:rFonts w:ascii="Times New Roman" w:hAnsi="Times New Roman" w:eastAsia="宋体" w:cs="Times New Roman"/>
                <w:kern w:val="0"/>
                <w:sz w:val="24"/>
                <w:lang w:bidi="en-US"/>
              </w:rPr>
              <w:t>本项目</w:t>
            </w:r>
            <w:r>
              <w:rPr>
                <w:rFonts w:hint="eastAsia" w:ascii="Times New Roman" w:hAnsi="Times New Roman" w:eastAsia="宋体" w:cs="Times New Roman"/>
                <w:kern w:val="0"/>
                <w:sz w:val="24"/>
                <w:lang w:val="en-US" w:eastAsia="zh-CN" w:bidi="en-US"/>
              </w:rPr>
              <w:t>在聚乙烯防腐树脂缠绕后采用水将3PE防腐管进行冷却，冷却水进入循环水池+冷却塔进行冷却，冷却后循环使用，循环水中定期投加阻垢剂、缓蚀剂、杀菌剂。循环水量为50t/h。</w:t>
            </w:r>
            <w:r>
              <w:rPr>
                <w:rFonts w:ascii="Times New Roman" w:hAnsi="Times New Roman" w:eastAsia="宋体" w:cs="Times New Roman"/>
                <w:sz w:val="24"/>
              </w:rPr>
              <w:t>参考《工业循环水冷却设计规范》（GB/T50102-2014），开式冷却塔水损耗包括蒸发损失量和风吹损失量，蒸发损失量、风吹损失量、排水量以及补水量计算如下：</w:t>
            </w:r>
          </w:p>
          <w:p w14:paraId="49676649">
            <w:pPr>
              <w:widowControl w:val="0"/>
              <w:tabs>
                <w:tab w:val="left" w:pos="425"/>
              </w:tabs>
              <w:adjustRightInd w:val="0"/>
              <w:snapToGrid w:val="0"/>
              <w:spacing w:after="0" w:line="360" w:lineRule="auto"/>
              <w:ind w:left="0" w:leftChars="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1）蒸发损失水量</w:t>
            </w:r>
            <w:r>
              <w:rPr>
                <w:rFonts w:ascii="Times New Roman" w:hAnsi="Times New Roman" w:eastAsia="等线" w:cs="Times New Roman"/>
                <w:i/>
                <w:iCs/>
                <w:kern w:val="2"/>
                <w:sz w:val="24"/>
                <w:szCs w:val="24"/>
                <w:lang w:val="en-US" w:eastAsia="zh-CN" w:bidi="ar-SA"/>
              </w:rPr>
              <w:t>Q</w:t>
            </w:r>
            <w:r>
              <w:rPr>
                <w:rFonts w:ascii="Times New Roman" w:hAnsi="Times New Roman" w:eastAsia="等线" w:cs="Times New Roman"/>
                <w:iCs/>
                <w:kern w:val="2"/>
                <w:sz w:val="24"/>
                <w:szCs w:val="24"/>
                <w:vertAlign w:val="subscript"/>
                <w:lang w:val="en-US" w:eastAsia="zh-CN" w:bidi="ar-SA"/>
              </w:rPr>
              <w:t>e</w:t>
            </w:r>
          </w:p>
          <w:p w14:paraId="4D677893">
            <w:pPr>
              <w:widowControl w:val="0"/>
              <w:tabs>
                <w:tab w:val="left" w:pos="425"/>
              </w:tabs>
              <w:adjustRightInd w:val="0"/>
              <w:snapToGrid w:val="0"/>
              <w:spacing w:after="0" w:line="360" w:lineRule="auto"/>
              <w:ind w:left="0" w:leftChars="0" w:firstLine="480" w:firstLineChars="200"/>
              <w:jc w:val="both"/>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2"/>
                <w:sz w:val="24"/>
                <w:szCs w:val="24"/>
                <w:lang w:val="en-US" w:eastAsia="zh-CN" w:bidi="ar-SA"/>
              </w:rPr>
              <w:t>蒸发损失水量计算公式如下：</w:t>
            </w:r>
          </w:p>
          <w:p w14:paraId="64EF4B58">
            <w:pPr>
              <w:widowControl w:val="0"/>
              <w:tabs>
                <w:tab w:val="left" w:pos="425"/>
              </w:tabs>
              <w:adjustRightInd w:val="0"/>
              <w:snapToGrid w:val="0"/>
              <w:spacing w:after="0" w:line="360" w:lineRule="auto"/>
              <w:ind w:left="480" w:leftChars="200" w:firstLine="480" w:firstLineChars="200"/>
              <w:jc w:val="center"/>
              <w:rPr>
                <w:rFonts w:ascii="Times New Roman" w:hAnsi="Times New Roman" w:eastAsia="宋体" w:cs="Times New Roman"/>
                <w:kern w:val="2"/>
                <w:sz w:val="24"/>
                <w:szCs w:val="24"/>
                <w:lang w:val="en-US" w:eastAsia="zh-CN" w:bidi="ar-SA"/>
              </w:rPr>
            </w:pPr>
            <w:r>
              <w:rPr>
                <w:rFonts w:ascii="Times New Roman" w:hAnsi="Times New Roman" w:eastAsia="等线" w:cs="Times New Roman"/>
                <w:i/>
                <w:iCs/>
                <w:kern w:val="2"/>
                <w:sz w:val="24"/>
                <w:szCs w:val="24"/>
                <w:lang w:val="en-US" w:eastAsia="zh-CN" w:bidi="ar-SA"/>
              </w:rPr>
              <w:t>Q</w:t>
            </w:r>
            <w:r>
              <w:rPr>
                <w:rFonts w:ascii="Times New Roman" w:hAnsi="Times New Roman" w:eastAsia="等线" w:cs="Times New Roman"/>
                <w:iCs/>
                <w:kern w:val="2"/>
                <w:sz w:val="24"/>
                <w:szCs w:val="24"/>
                <w:vertAlign w:val="subscript"/>
                <w:lang w:val="en-US" w:eastAsia="zh-CN" w:bidi="ar-SA"/>
              </w:rPr>
              <w:t>e</w:t>
            </w:r>
            <w:r>
              <w:rPr>
                <w:rFonts w:ascii="Times New Roman" w:hAnsi="Times New Roman" w:eastAsia="TimesNewRomanPSMT" w:cs="Times New Roman"/>
                <w:kern w:val="2"/>
                <w:sz w:val="24"/>
                <w:szCs w:val="24"/>
                <w:lang w:val="en-US" w:eastAsia="zh-CN" w:bidi="ar-SA"/>
              </w:rPr>
              <w:t>=</w:t>
            </w:r>
            <w:r>
              <w:rPr>
                <w:rFonts w:ascii="Times New Roman" w:hAnsi="Times New Roman" w:eastAsia="TimesNewRomanPSMT" w:cs="Times New Roman"/>
                <w:i/>
                <w:kern w:val="2"/>
                <w:sz w:val="24"/>
                <w:szCs w:val="24"/>
                <w:lang w:val="en-US" w:eastAsia="zh-CN" w:bidi="ar-SA"/>
              </w:rPr>
              <w:t>k</w:t>
            </w:r>
            <w:r>
              <w:rPr>
                <w:rFonts w:ascii="Times New Roman" w:hAnsi="Times New Roman" w:eastAsia="等线" w:cs="Times New Roman"/>
                <w:i/>
                <w:kern w:val="2"/>
                <w:sz w:val="24"/>
                <w:szCs w:val="24"/>
                <w:lang w:val="en-US" w:eastAsia="zh-CN" w:bidi="ar-SA"/>
              </w:rPr>
              <w:t>×</w:t>
            </w:r>
            <w:r>
              <w:rPr>
                <w:rFonts w:ascii="Times New Roman" w:hAnsi="Times New Roman" w:eastAsia="TimesNewRomanPSMT" w:cs="Times New Roman"/>
                <w:kern w:val="2"/>
                <w:sz w:val="24"/>
                <w:szCs w:val="24"/>
                <w:lang w:val="en-US" w:eastAsia="zh-CN" w:bidi="ar-SA"/>
              </w:rPr>
              <w:t>Δ</w:t>
            </w:r>
            <w:r>
              <w:rPr>
                <w:rFonts w:ascii="Times New Roman" w:hAnsi="Times New Roman" w:eastAsia="TimesNewRomanPSMT" w:cs="Times New Roman"/>
                <w:i/>
                <w:kern w:val="2"/>
                <w:sz w:val="24"/>
                <w:szCs w:val="24"/>
                <w:lang w:val="en-US" w:eastAsia="zh-CN" w:bidi="ar-SA"/>
              </w:rPr>
              <w:t>t</w:t>
            </w:r>
            <w:r>
              <w:rPr>
                <w:rFonts w:ascii="Times New Roman" w:hAnsi="Times New Roman" w:eastAsia="等线" w:cs="Times New Roman"/>
                <w:i/>
                <w:kern w:val="2"/>
                <w:sz w:val="24"/>
                <w:szCs w:val="24"/>
                <w:lang w:val="en-US" w:eastAsia="zh-CN" w:bidi="ar-SA"/>
              </w:rPr>
              <w:t>×</w:t>
            </w:r>
            <w:r>
              <w:rPr>
                <w:rFonts w:ascii="Times New Roman" w:hAnsi="Times New Roman" w:eastAsia="宋体" w:cs="Times New Roman"/>
                <w:i/>
                <w:kern w:val="2"/>
                <w:sz w:val="24"/>
                <w:szCs w:val="24"/>
                <w:lang w:val="en-US" w:eastAsia="zh-CN" w:bidi="ar-SA"/>
              </w:rPr>
              <w:t>Q</w:t>
            </w:r>
            <w:r>
              <w:rPr>
                <w:rFonts w:ascii="Times New Roman" w:hAnsi="Times New Roman" w:eastAsia="宋体" w:cs="Times New Roman"/>
                <w:iCs/>
                <w:kern w:val="2"/>
                <w:sz w:val="24"/>
                <w:szCs w:val="24"/>
                <w:vertAlign w:val="subscript"/>
                <w:lang w:val="en-US" w:eastAsia="zh-CN" w:bidi="ar-SA"/>
              </w:rPr>
              <w:t>r</w:t>
            </w:r>
          </w:p>
          <w:p w14:paraId="20EE37A0">
            <w:pPr>
              <w:keepNext w:val="0"/>
              <w:keepLines w:val="0"/>
              <w:pageBreakBefore w:val="0"/>
              <w:widowControl w:val="0"/>
              <w:tabs>
                <w:tab w:val="left" w:pos="425"/>
              </w:tabs>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式中：</w:t>
            </w:r>
            <w:r>
              <w:rPr>
                <w:rFonts w:ascii="Times New Roman" w:hAnsi="Times New Roman" w:eastAsia="宋体" w:cs="Times New Roman"/>
                <w:i/>
                <w:iCs/>
                <w:kern w:val="2"/>
                <w:sz w:val="24"/>
                <w:szCs w:val="24"/>
                <w:lang w:val="en-US" w:eastAsia="zh-CN" w:bidi="ar-SA"/>
              </w:rPr>
              <w:t>Q</w:t>
            </w:r>
            <w:r>
              <w:rPr>
                <w:rFonts w:ascii="Times New Roman" w:hAnsi="Times New Roman" w:eastAsia="宋体" w:cs="Times New Roman"/>
                <w:iCs/>
                <w:kern w:val="2"/>
                <w:sz w:val="24"/>
                <w:szCs w:val="24"/>
                <w:vertAlign w:val="subscript"/>
                <w:lang w:val="en-US" w:eastAsia="zh-CN" w:bidi="ar-SA"/>
              </w:rPr>
              <w:t>e</w:t>
            </w:r>
            <w:r>
              <w:rPr>
                <w:rFonts w:ascii="Times New Roman" w:hAnsi="Times New Roman" w:eastAsia="宋体" w:cs="Times New Roman"/>
                <w:kern w:val="2"/>
                <w:sz w:val="24"/>
                <w:szCs w:val="24"/>
                <w:lang w:val="en-US" w:eastAsia="zh-CN" w:bidi="ar-SA"/>
              </w:rPr>
              <w:t xml:space="preserve"> </w:t>
            </w:r>
            <w:r>
              <w:rPr>
                <w:rFonts w:ascii="Times New Roman" w:hAnsi="Times New Roman" w:eastAsia="宋体" w:cs="Times New Roman"/>
                <w:iCs/>
                <w:kern w:val="2"/>
                <w:sz w:val="24"/>
                <w:szCs w:val="24"/>
                <w:lang w:val="en-US" w:eastAsia="zh-CN" w:bidi="ar-SA"/>
              </w:rPr>
              <w:t>——</w:t>
            </w:r>
            <w:r>
              <w:rPr>
                <w:rFonts w:ascii="Times New Roman" w:hAnsi="Times New Roman" w:eastAsia="宋体" w:cs="Times New Roman"/>
                <w:kern w:val="2"/>
                <w:sz w:val="24"/>
                <w:szCs w:val="24"/>
                <w:lang w:val="en-US" w:eastAsia="zh-CN" w:bidi="ar-SA"/>
              </w:rPr>
              <w:t>蒸发损失率，</w:t>
            </w:r>
            <w:r>
              <w:rPr>
                <w:rFonts w:ascii="Times New Roman" w:hAnsi="Times New Roman" w:eastAsia="宋体" w:cs="Times New Roman"/>
                <w:iCs/>
                <w:kern w:val="2"/>
                <w:sz w:val="24"/>
                <w:szCs w:val="24"/>
                <w:lang w:val="en-US" w:eastAsia="zh-CN" w:bidi="ar-SA"/>
              </w:rPr>
              <w:t>m</w:t>
            </w:r>
            <w:r>
              <w:rPr>
                <w:rFonts w:ascii="Times New Roman" w:hAnsi="Times New Roman" w:eastAsia="宋体" w:cs="Times New Roman"/>
                <w:iCs/>
                <w:kern w:val="2"/>
                <w:sz w:val="24"/>
                <w:szCs w:val="24"/>
                <w:vertAlign w:val="superscript"/>
                <w:lang w:val="en-US" w:eastAsia="zh-CN" w:bidi="ar-SA"/>
              </w:rPr>
              <w:t>3</w:t>
            </w:r>
            <w:r>
              <w:rPr>
                <w:rFonts w:ascii="Times New Roman" w:hAnsi="Times New Roman" w:eastAsia="宋体" w:cs="Times New Roman"/>
                <w:iCs/>
                <w:kern w:val="2"/>
                <w:sz w:val="24"/>
                <w:szCs w:val="24"/>
                <w:lang w:val="en-US" w:eastAsia="zh-CN" w:bidi="ar-SA"/>
              </w:rPr>
              <w:t>/h</w:t>
            </w:r>
            <w:r>
              <w:rPr>
                <w:rFonts w:ascii="Times New Roman" w:hAnsi="Times New Roman" w:eastAsia="宋体" w:cs="Times New Roman"/>
                <w:kern w:val="2"/>
                <w:sz w:val="24"/>
                <w:szCs w:val="24"/>
                <w:lang w:val="en-US" w:eastAsia="zh-CN" w:bidi="ar-SA"/>
              </w:rPr>
              <w:t>；</w:t>
            </w:r>
          </w:p>
          <w:p w14:paraId="4C3F785E">
            <w:pPr>
              <w:keepNext w:val="0"/>
              <w:keepLines w:val="0"/>
              <w:pageBreakBefore w:val="0"/>
              <w:widowControl w:val="0"/>
              <w:tabs>
                <w:tab w:val="left" w:pos="425"/>
              </w:tabs>
              <w:kinsoku/>
              <w:wordWrap/>
              <w:overflowPunct/>
              <w:topLinePunct w:val="0"/>
              <w:autoSpaceDE/>
              <w:autoSpaceDN/>
              <w:bidi w:val="0"/>
              <w:adjustRightInd w:val="0"/>
              <w:snapToGrid w:val="0"/>
              <w:spacing w:after="0" w:line="360" w:lineRule="auto"/>
              <w:ind w:left="0" w:leftChars="0" w:firstLine="1200" w:firstLineChars="500"/>
              <w:jc w:val="both"/>
              <w:textAlignment w:val="auto"/>
              <w:rPr>
                <w:rFonts w:ascii="Times New Roman" w:hAnsi="Times New Roman" w:eastAsia="宋体" w:cs="Times New Roman"/>
                <w:kern w:val="0"/>
                <w:sz w:val="24"/>
                <w:szCs w:val="24"/>
                <w:lang w:val="en-US" w:eastAsia="zh-CN" w:bidi="en-US"/>
              </w:rPr>
            </w:pPr>
            <w:r>
              <w:rPr>
                <w:rFonts w:ascii="Times New Roman" w:hAnsi="Times New Roman" w:eastAsia="宋体" w:cs="Times New Roman"/>
                <w:i/>
                <w:kern w:val="2"/>
                <w:sz w:val="24"/>
                <w:szCs w:val="24"/>
                <w:lang w:val="en-US" w:eastAsia="zh-CN" w:bidi="ar-SA"/>
              </w:rPr>
              <w:t>k</w:t>
            </w:r>
            <w:r>
              <w:rPr>
                <w:rFonts w:ascii="Times New Roman" w:hAnsi="Times New Roman" w:eastAsia="宋体" w:cs="Times New Roman"/>
                <w:iCs/>
                <w:kern w:val="2"/>
                <w:sz w:val="24"/>
                <w:szCs w:val="24"/>
                <w:lang w:val="en-US" w:eastAsia="zh-CN" w:bidi="ar-SA"/>
              </w:rPr>
              <w:t>——</w:t>
            </w:r>
            <w:r>
              <w:rPr>
                <w:rFonts w:ascii="Times New Roman" w:hAnsi="Times New Roman" w:eastAsia="宋体" w:cs="Times New Roman"/>
                <w:kern w:val="2"/>
                <w:sz w:val="24"/>
                <w:szCs w:val="24"/>
                <w:lang w:val="en-US" w:eastAsia="zh-CN" w:bidi="ar-SA"/>
              </w:rPr>
              <w:t>系气温数，1/℃，根据建设单位设计参数，进塔温度设为</w:t>
            </w:r>
            <w:r>
              <w:rPr>
                <w:rFonts w:ascii="Times New Roman" w:hAnsi="Times New Roman" w:eastAsia="宋体" w:cs="Times New Roman"/>
                <w:kern w:val="0"/>
                <w:sz w:val="24"/>
                <w:szCs w:val="24"/>
                <w:lang w:val="en-US" w:eastAsia="zh-CN" w:bidi="en-US"/>
              </w:rPr>
              <w:t>37℃，出塔温度为32℃，湿球温度为28℃，则K取值0.00157；</w:t>
            </w:r>
          </w:p>
          <w:p w14:paraId="109ED147">
            <w:pPr>
              <w:keepNext w:val="0"/>
              <w:keepLines w:val="0"/>
              <w:pageBreakBefore w:val="0"/>
              <w:widowControl w:val="0"/>
              <w:tabs>
                <w:tab w:val="left" w:pos="425"/>
              </w:tabs>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ascii="Times New Roman" w:hAnsi="Times New Roman" w:eastAsia="宋体" w:cs="Times New Roman"/>
                <w:kern w:val="0"/>
                <w:sz w:val="24"/>
                <w:szCs w:val="24"/>
                <w:lang w:val="en-US" w:eastAsia="zh-CN" w:bidi="en-US"/>
              </w:rPr>
            </w:pPr>
            <w:r>
              <w:rPr>
                <w:rFonts w:ascii="Times New Roman" w:hAnsi="Times New Roman" w:eastAsia="宋体" w:cs="Times New Roman"/>
                <w:kern w:val="0"/>
                <w:sz w:val="24"/>
                <w:szCs w:val="24"/>
                <w:lang w:val="en-US" w:eastAsia="zh-CN" w:bidi="en-US"/>
              </w:rPr>
              <w:t>Δt——冷却塔进水与出水温度差，℃，本项目取值5；</w:t>
            </w:r>
          </w:p>
          <w:p w14:paraId="65D95869">
            <w:pPr>
              <w:keepNext w:val="0"/>
              <w:keepLines w:val="0"/>
              <w:pageBreakBefore w:val="0"/>
              <w:widowControl w:val="0"/>
              <w:tabs>
                <w:tab w:val="left" w:pos="425"/>
              </w:tabs>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ascii="Times New Roman" w:hAnsi="Times New Roman" w:eastAsia="宋体" w:cs="Times New Roman"/>
                <w:kern w:val="0"/>
                <w:sz w:val="24"/>
                <w:szCs w:val="24"/>
                <w:lang w:val="en-US" w:eastAsia="zh-CN" w:bidi="en-US"/>
              </w:rPr>
            </w:pPr>
            <w:r>
              <w:rPr>
                <w:rFonts w:ascii="Times New Roman" w:hAnsi="Times New Roman" w:eastAsia="宋体" w:cs="Times New Roman"/>
                <w:kern w:val="0"/>
                <w:sz w:val="24"/>
                <w:szCs w:val="24"/>
                <w:lang w:val="en-US" w:eastAsia="zh-CN" w:bidi="en-US"/>
              </w:rPr>
              <w:t>Qr——循环水量，</w:t>
            </w:r>
            <w:r>
              <w:rPr>
                <w:rFonts w:ascii="Times New Roman" w:hAnsi="Times New Roman" w:eastAsia="宋体" w:cs="Times New Roman"/>
                <w:iCs/>
                <w:kern w:val="2"/>
                <w:sz w:val="24"/>
                <w:szCs w:val="24"/>
                <w:lang w:val="en-US" w:eastAsia="zh-CN" w:bidi="ar-SA"/>
              </w:rPr>
              <w:t>m</w:t>
            </w:r>
            <w:r>
              <w:rPr>
                <w:rFonts w:ascii="Times New Roman" w:hAnsi="Times New Roman" w:eastAsia="宋体" w:cs="Times New Roman"/>
                <w:iCs/>
                <w:kern w:val="2"/>
                <w:sz w:val="24"/>
                <w:szCs w:val="24"/>
                <w:vertAlign w:val="superscript"/>
                <w:lang w:val="en-US" w:eastAsia="zh-CN" w:bidi="ar-SA"/>
              </w:rPr>
              <w:t>3</w:t>
            </w:r>
            <w:r>
              <w:rPr>
                <w:rFonts w:ascii="Times New Roman" w:hAnsi="Times New Roman" w:eastAsia="宋体" w:cs="Times New Roman"/>
                <w:kern w:val="0"/>
                <w:sz w:val="24"/>
                <w:szCs w:val="24"/>
                <w:lang w:val="en-US" w:eastAsia="zh-CN" w:bidi="en-US"/>
              </w:rPr>
              <w:t>/h。</w:t>
            </w:r>
          </w:p>
          <w:p w14:paraId="3ED833F4">
            <w:pPr>
              <w:spacing w:line="360" w:lineRule="auto"/>
              <w:ind w:firstLine="480" w:firstLineChars="200"/>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计算得Qe值为</w:t>
            </w:r>
            <w:r>
              <w:rPr>
                <w:rFonts w:hint="eastAsia" w:ascii="Times New Roman" w:hAnsi="Times New Roman" w:eastAsia="宋体" w:cs="Times New Roman"/>
                <w:kern w:val="0"/>
                <w:sz w:val="24"/>
                <w:lang w:val="en-US" w:eastAsia="zh-CN" w:bidi="en-US"/>
              </w:rPr>
              <w:t>0.3925</w:t>
            </w:r>
            <w:r>
              <w:rPr>
                <w:rFonts w:ascii="Times New Roman" w:hAnsi="Times New Roman" w:eastAsia="宋体" w:cs="Times New Roman"/>
                <w:iCs/>
                <w:sz w:val="24"/>
              </w:rPr>
              <w:t>m</w:t>
            </w:r>
            <w:r>
              <w:rPr>
                <w:rFonts w:ascii="Times New Roman" w:hAnsi="Times New Roman" w:eastAsia="宋体" w:cs="Times New Roman"/>
                <w:iCs/>
                <w:sz w:val="24"/>
                <w:vertAlign w:val="superscript"/>
              </w:rPr>
              <w:t>3</w:t>
            </w:r>
            <w:r>
              <w:rPr>
                <w:rFonts w:ascii="Times New Roman" w:hAnsi="Times New Roman" w:eastAsia="宋体" w:cs="Times New Roman"/>
                <w:kern w:val="0"/>
                <w:sz w:val="24"/>
                <w:lang w:bidi="en-US"/>
              </w:rPr>
              <w:t>/h，则冷却塔日均冷却蒸发耗水量为</w:t>
            </w:r>
            <w:r>
              <w:rPr>
                <w:rFonts w:hint="eastAsia" w:ascii="Times New Roman" w:hAnsi="Times New Roman" w:eastAsia="宋体" w:cs="Times New Roman"/>
                <w:kern w:val="0"/>
                <w:sz w:val="24"/>
                <w:lang w:val="en-US" w:eastAsia="zh-CN" w:bidi="en-US"/>
              </w:rPr>
              <w:t>3.14</w:t>
            </w:r>
            <w:r>
              <w:rPr>
                <w:rFonts w:ascii="Times New Roman" w:hAnsi="Times New Roman" w:eastAsia="宋体" w:cs="Times New Roman"/>
                <w:iCs/>
                <w:sz w:val="24"/>
              </w:rPr>
              <w:t>m</w:t>
            </w:r>
            <w:r>
              <w:rPr>
                <w:rFonts w:ascii="Times New Roman" w:hAnsi="Times New Roman" w:eastAsia="宋体" w:cs="Times New Roman"/>
                <w:iCs/>
                <w:sz w:val="24"/>
                <w:vertAlign w:val="superscript"/>
              </w:rPr>
              <w:t>3</w:t>
            </w:r>
            <w:r>
              <w:rPr>
                <w:rFonts w:ascii="Times New Roman" w:hAnsi="Times New Roman" w:eastAsia="宋体" w:cs="Times New Roman"/>
                <w:kern w:val="0"/>
                <w:sz w:val="24"/>
                <w:lang w:bidi="en-US"/>
              </w:rPr>
              <w:t>/d，即</w:t>
            </w:r>
            <w:r>
              <w:rPr>
                <w:rFonts w:hint="eastAsia" w:ascii="Times New Roman" w:hAnsi="Times New Roman" w:eastAsia="宋体" w:cs="Times New Roman"/>
                <w:kern w:val="0"/>
                <w:sz w:val="24"/>
                <w:lang w:val="en-US" w:eastAsia="zh-CN" w:bidi="en-US"/>
              </w:rPr>
              <w:t>942</w:t>
            </w:r>
            <w:r>
              <w:rPr>
                <w:rFonts w:ascii="Times New Roman" w:hAnsi="Times New Roman" w:eastAsia="宋体" w:cs="Times New Roman"/>
                <w:iCs/>
                <w:sz w:val="24"/>
              </w:rPr>
              <w:t>m</w:t>
            </w:r>
            <w:r>
              <w:rPr>
                <w:rFonts w:ascii="Times New Roman" w:hAnsi="Times New Roman" w:eastAsia="宋体" w:cs="Times New Roman"/>
                <w:iCs/>
                <w:sz w:val="24"/>
                <w:vertAlign w:val="superscript"/>
              </w:rPr>
              <w:t>3</w:t>
            </w:r>
            <w:r>
              <w:rPr>
                <w:rFonts w:ascii="Times New Roman" w:hAnsi="Times New Roman" w:eastAsia="宋体" w:cs="Times New Roman"/>
                <w:kern w:val="0"/>
                <w:sz w:val="24"/>
                <w:lang w:bidi="en-US"/>
              </w:rPr>
              <w:t>/a。</w:t>
            </w:r>
          </w:p>
          <w:p w14:paraId="4469ACFB">
            <w:pPr>
              <w:spacing w:line="360" w:lineRule="auto"/>
              <w:ind w:firstLine="480" w:firstLineChars="200"/>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2）风吹损失水量Qw</w:t>
            </w:r>
          </w:p>
          <w:p w14:paraId="00A41CD9">
            <w:pPr>
              <w:spacing w:line="360" w:lineRule="auto"/>
              <w:ind w:firstLine="480" w:firstLineChars="200"/>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风吹损失水量计算公式如下：</w:t>
            </w:r>
          </w:p>
          <w:p w14:paraId="282D3ADD">
            <w:pPr>
              <w:spacing w:line="360" w:lineRule="auto"/>
              <w:ind w:firstLine="480" w:firstLineChars="200"/>
              <w:jc w:val="center"/>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Qw=Pw×Qr</w:t>
            </w:r>
          </w:p>
          <w:p w14:paraId="1EA3C8E9">
            <w:pPr>
              <w:widowControl w:val="0"/>
              <w:tabs>
                <w:tab w:val="left" w:pos="425"/>
              </w:tabs>
              <w:adjustRightInd w:val="0"/>
              <w:snapToGrid w:val="0"/>
              <w:spacing w:after="0" w:line="360" w:lineRule="auto"/>
              <w:ind w:left="480" w:leftChars="200"/>
              <w:jc w:val="both"/>
              <w:rPr>
                <w:rFonts w:ascii="Times New Roman" w:hAnsi="Times New Roman" w:eastAsia="宋体" w:cs="Times New Roman"/>
                <w:kern w:val="0"/>
                <w:sz w:val="24"/>
                <w:szCs w:val="24"/>
                <w:lang w:val="en-US" w:eastAsia="zh-CN" w:bidi="en-US"/>
              </w:rPr>
            </w:pPr>
            <w:r>
              <w:rPr>
                <w:rFonts w:ascii="Times New Roman" w:hAnsi="Times New Roman" w:eastAsia="宋体" w:cs="Times New Roman"/>
                <w:kern w:val="0"/>
                <w:sz w:val="24"/>
                <w:szCs w:val="24"/>
                <w:lang w:val="en-US" w:eastAsia="zh-CN" w:bidi="en-US"/>
              </w:rPr>
              <w:t>式中：Qw——风吹损失水量，</w:t>
            </w:r>
            <w:r>
              <w:rPr>
                <w:rFonts w:ascii="Times New Roman" w:hAnsi="Times New Roman" w:eastAsia="宋体" w:cs="Times New Roman"/>
                <w:iCs/>
                <w:kern w:val="2"/>
                <w:sz w:val="24"/>
                <w:szCs w:val="24"/>
                <w:lang w:val="en-US" w:eastAsia="zh-CN" w:bidi="ar-SA"/>
              </w:rPr>
              <w:t>m</w:t>
            </w:r>
            <w:r>
              <w:rPr>
                <w:rFonts w:ascii="Times New Roman" w:hAnsi="Times New Roman" w:eastAsia="宋体" w:cs="Times New Roman"/>
                <w:iCs/>
                <w:kern w:val="2"/>
                <w:sz w:val="24"/>
                <w:szCs w:val="24"/>
                <w:vertAlign w:val="superscript"/>
                <w:lang w:val="en-US" w:eastAsia="zh-CN" w:bidi="ar-SA"/>
              </w:rPr>
              <w:t>3</w:t>
            </w:r>
            <w:r>
              <w:rPr>
                <w:rFonts w:ascii="Times New Roman" w:hAnsi="Times New Roman" w:eastAsia="宋体" w:cs="Times New Roman"/>
                <w:kern w:val="0"/>
                <w:sz w:val="24"/>
                <w:szCs w:val="24"/>
                <w:lang w:val="en-US" w:eastAsia="zh-CN" w:bidi="en-US"/>
              </w:rPr>
              <w:t>/h；</w:t>
            </w:r>
          </w:p>
          <w:p w14:paraId="5231E8D3">
            <w:pPr>
              <w:spacing w:line="360" w:lineRule="auto"/>
              <w:ind w:firstLine="1200" w:firstLineChars="500"/>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Pw——冷却塔的风水损失率，%，取值0.05%；</w:t>
            </w:r>
          </w:p>
          <w:p w14:paraId="71E43D0C">
            <w:pPr>
              <w:spacing w:line="360" w:lineRule="auto"/>
              <w:ind w:firstLine="480" w:firstLineChars="200"/>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计算得Qw值为</w:t>
            </w:r>
            <w:r>
              <w:rPr>
                <w:rFonts w:hint="eastAsia" w:ascii="Times New Roman" w:hAnsi="Times New Roman" w:eastAsia="宋体" w:cs="Times New Roman"/>
                <w:kern w:val="0"/>
                <w:sz w:val="24"/>
                <w:lang w:val="en-US" w:eastAsia="zh-CN" w:bidi="en-US"/>
              </w:rPr>
              <w:t>0.025</w:t>
            </w:r>
            <w:r>
              <w:rPr>
                <w:rFonts w:ascii="Times New Roman" w:hAnsi="Times New Roman" w:eastAsia="宋体" w:cs="Times New Roman"/>
                <w:kern w:val="0"/>
                <w:sz w:val="24"/>
                <w:lang w:bidi="en-US"/>
              </w:rPr>
              <w:t>m</w:t>
            </w:r>
            <w:r>
              <w:rPr>
                <w:rFonts w:ascii="Times New Roman" w:hAnsi="Times New Roman" w:eastAsia="宋体" w:cs="Times New Roman"/>
                <w:kern w:val="0"/>
                <w:sz w:val="24"/>
                <w:vertAlign w:val="superscript"/>
                <w:lang w:bidi="en-US"/>
              </w:rPr>
              <w:t>3</w:t>
            </w:r>
            <w:r>
              <w:rPr>
                <w:rFonts w:ascii="Times New Roman" w:hAnsi="Times New Roman" w:eastAsia="宋体" w:cs="Times New Roman"/>
                <w:kern w:val="0"/>
                <w:sz w:val="24"/>
                <w:lang w:bidi="en-US"/>
              </w:rPr>
              <w:t>/h，则冷却塔日均冷却风吹耗水量为</w:t>
            </w:r>
            <w:r>
              <w:rPr>
                <w:rFonts w:hint="eastAsia" w:ascii="Times New Roman" w:hAnsi="Times New Roman" w:eastAsia="宋体" w:cs="Times New Roman"/>
                <w:kern w:val="0"/>
                <w:sz w:val="24"/>
                <w:lang w:val="en-US" w:eastAsia="zh-CN" w:bidi="en-US"/>
              </w:rPr>
              <w:t>0.2</w:t>
            </w:r>
            <w:r>
              <w:rPr>
                <w:rFonts w:ascii="Times New Roman" w:hAnsi="Times New Roman" w:eastAsia="宋体" w:cs="Times New Roman"/>
                <w:iCs/>
                <w:sz w:val="24"/>
              </w:rPr>
              <w:t>m</w:t>
            </w:r>
            <w:r>
              <w:rPr>
                <w:rFonts w:ascii="Times New Roman" w:hAnsi="Times New Roman" w:eastAsia="宋体" w:cs="Times New Roman"/>
                <w:iCs/>
                <w:sz w:val="24"/>
                <w:vertAlign w:val="superscript"/>
              </w:rPr>
              <w:t>3</w:t>
            </w:r>
            <w:r>
              <w:rPr>
                <w:rFonts w:ascii="Times New Roman" w:hAnsi="Times New Roman" w:eastAsia="宋体" w:cs="Times New Roman"/>
                <w:kern w:val="0"/>
                <w:sz w:val="24"/>
                <w:lang w:bidi="en-US"/>
              </w:rPr>
              <w:t>/d，即</w:t>
            </w:r>
            <w:r>
              <w:rPr>
                <w:rFonts w:hint="eastAsia" w:ascii="Times New Roman" w:hAnsi="Times New Roman" w:eastAsia="宋体" w:cs="Times New Roman"/>
                <w:kern w:val="0"/>
                <w:sz w:val="24"/>
                <w:lang w:val="en-US" w:eastAsia="zh-CN" w:bidi="en-US"/>
              </w:rPr>
              <w:t>60</w:t>
            </w:r>
            <w:r>
              <w:rPr>
                <w:rFonts w:ascii="Times New Roman" w:hAnsi="Times New Roman" w:eastAsia="宋体" w:cs="Times New Roman"/>
                <w:iCs/>
                <w:sz w:val="24"/>
              </w:rPr>
              <w:t>m</w:t>
            </w:r>
            <w:r>
              <w:rPr>
                <w:rFonts w:ascii="Times New Roman" w:hAnsi="Times New Roman" w:eastAsia="宋体" w:cs="Times New Roman"/>
                <w:iCs/>
                <w:sz w:val="24"/>
                <w:vertAlign w:val="superscript"/>
              </w:rPr>
              <w:t>3</w:t>
            </w:r>
            <w:r>
              <w:rPr>
                <w:rFonts w:ascii="Times New Roman" w:hAnsi="Times New Roman" w:eastAsia="宋体" w:cs="Times New Roman"/>
                <w:kern w:val="0"/>
                <w:sz w:val="24"/>
                <w:lang w:bidi="en-US"/>
              </w:rPr>
              <w:t>/a。</w:t>
            </w:r>
          </w:p>
          <w:p w14:paraId="67221562">
            <w:pPr>
              <w:spacing w:line="360" w:lineRule="auto"/>
              <w:ind w:firstLine="480" w:firstLineChars="200"/>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3）排水量Qb</w:t>
            </w:r>
          </w:p>
          <w:p w14:paraId="3C7227F2">
            <w:pPr>
              <w:spacing w:line="360" w:lineRule="auto"/>
              <w:ind w:firstLine="480" w:firstLineChars="200"/>
              <w:rPr>
                <w:rFonts w:ascii="Times New Roman" w:hAnsi="Times New Roman" w:eastAsia="宋体" w:cs="Times New Roman"/>
                <w:kern w:val="0"/>
                <w:sz w:val="24"/>
                <w:lang w:bidi="en-US"/>
              </w:rPr>
            </w:pPr>
            <w:r>
              <w:rPr>
                <w:rFonts w:ascii="Times New Roman" w:hAnsi="Times New Roman" w:eastAsia="宋体" w:cs="Times New Roman"/>
                <w:kern w:val="0"/>
                <w:sz w:val="24"/>
                <w:lang w:bidi="en-US"/>
              </w:rPr>
              <w:t>排水量计算公式如下：</w:t>
            </w:r>
          </w:p>
          <w:p w14:paraId="30C8A6BA">
            <w:pPr>
              <w:spacing w:line="360" w:lineRule="auto"/>
              <w:ind w:firstLine="480" w:firstLineChars="200"/>
              <w:jc w:val="center"/>
              <w:rPr>
                <w:rFonts w:ascii="Times New Roman" w:hAnsi="Times New Roman" w:eastAsia="等线" w:cs="Times New Roman"/>
                <w:i/>
                <w:iCs/>
                <w:sz w:val="24"/>
              </w:rPr>
            </w:pPr>
            <w:r>
              <w:rPr>
                <w:rFonts w:ascii="Times New Roman" w:hAnsi="Times New Roman" w:eastAsia="宋体" w:cs="Times New Roman"/>
                <w:i/>
                <w:iCs/>
                <w:sz w:val="24"/>
              </w:rPr>
              <w:t>Q</w:t>
            </w:r>
            <w:r>
              <w:rPr>
                <w:rFonts w:ascii="Times New Roman" w:hAnsi="Times New Roman" w:eastAsia="宋体" w:cs="Times New Roman"/>
                <w:i/>
                <w:iCs/>
                <w:sz w:val="24"/>
                <w:vertAlign w:val="subscript"/>
              </w:rPr>
              <w:t>b</w:t>
            </w:r>
            <w:r>
              <w:rPr>
                <w:rFonts w:ascii="Times New Roman" w:hAnsi="Times New Roman" w:eastAsia="宋体" w:cs="Times New Roman"/>
                <w:sz w:val="24"/>
              </w:rPr>
              <w:t>=</w:t>
            </w:r>
            <w:r>
              <w:rPr>
                <w:rFonts w:ascii="Times New Roman" w:hAnsi="Times New Roman" w:eastAsia="等线" w:cs="Times New Roman"/>
                <w:i/>
                <w:iCs/>
                <w:sz w:val="24"/>
              </w:rPr>
              <w:t xml:space="preserve"> Q</w:t>
            </w:r>
            <w:r>
              <w:rPr>
                <w:rFonts w:ascii="Times New Roman" w:hAnsi="Times New Roman" w:eastAsia="等线" w:cs="Times New Roman"/>
                <w:iCs/>
                <w:sz w:val="24"/>
                <w:vertAlign w:val="subscript"/>
              </w:rPr>
              <w:t>e</w:t>
            </w:r>
            <w:r>
              <w:rPr>
                <w:rFonts w:ascii="Times New Roman" w:hAnsi="Times New Roman" w:eastAsia="等线" w:cs="Times New Roman"/>
                <w:iCs/>
                <w:sz w:val="24"/>
              </w:rPr>
              <w:t>/（N-1）-</w:t>
            </w:r>
            <w:r>
              <w:rPr>
                <w:rFonts w:ascii="Times New Roman" w:hAnsi="Times New Roman" w:eastAsia="等线" w:cs="Times New Roman"/>
                <w:i/>
                <w:iCs/>
                <w:sz w:val="24"/>
              </w:rPr>
              <w:t xml:space="preserve"> Q</w:t>
            </w:r>
            <w:r>
              <w:rPr>
                <w:rFonts w:ascii="Times New Roman" w:hAnsi="Times New Roman" w:eastAsia="等线" w:cs="Times New Roman"/>
                <w:i/>
                <w:iCs/>
                <w:sz w:val="24"/>
                <w:vertAlign w:val="subscript"/>
              </w:rPr>
              <w:t>w</w:t>
            </w:r>
          </w:p>
          <w:p w14:paraId="3A265700">
            <w:pPr>
              <w:widowControl w:val="0"/>
              <w:tabs>
                <w:tab w:val="left" w:pos="425"/>
              </w:tabs>
              <w:adjustRightInd w:val="0"/>
              <w:snapToGrid w:val="0"/>
              <w:spacing w:after="0" w:line="360" w:lineRule="auto"/>
              <w:ind w:left="480" w:left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式中：</w:t>
            </w:r>
            <w:r>
              <w:rPr>
                <w:rFonts w:ascii="Times New Roman" w:hAnsi="Times New Roman" w:eastAsia="宋体" w:cs="Times New Roman"/>
                <w:i/>
                <w:iCs/>
                <w:kern w:val="2"/>
                <w:sz w:val="24"/>
                <w:szCs w:val="24"/>
                <w:lang w:val="en-US" w:eastAsia="zh-CN" w:bidi="ar-SA"/>
              </w:rPr>
              <w:t>Q</w:t>
            </w:r>
            <w:r>
              <w:rPr>
                <w:rFonts w:ascii="Times New Roman" w:hAnsi="Times New Roman" w:eastAsia="宋体" w:cs="Times New Roman"/>
                <w:i/>
                <w:iCs/>
                <w:kern w:val="2"/>
                <w:sz w:val="24"/>
                <w:szCs w:val="24"/>
                <w:vertAlign w:val="subscript"/>
                <w:lang w:val="en-US" w:eastAsia="zh-CN" w:bidi="ar-SA"/>
              </w:rPr>
              <w:t>b</w:t>
            </w:r>
            <w:r>
              <w:rPr>
                <w:rFonts w:ascii="Times New Roman" w:hAnsi="Times New Roman" w:eastAsia="宋体" w:cs="Times New Roman"/>
                <w:iCs/>
                <w:kern w:val="2"/>
                <w:sz w:val="24"/>
                <w:szCs w:val="24"/>
                <w:lang w:val="en-US" w:eastAsia="zh-CN" w:bidi="ar-SA"/>
              </w:rPr>
              <w:t>——</w:t>
            </w:r>
            <w:r>
              <w:rPr>
                <w:rFonts w:ascii="Times New Roman" w:hAnsi="Times New Roman" w:eastAsia="宋体" w:cs="Times New Roman"/>
                <w:kern w:val="2"/>
                <w:sz w:val="24"/>
                <w:szCs w:val="24"/>
                <w:lang w:val="en-US" w:eastAsia="zh-CN" w:bidi="ar-SA"/>
              </w:rPr>
              <w:t>排水量，</w:t>
            </w:r>
            <w:r>
              <w:rPr>
                <w:rFonts w:ascii="Times New Roman" w:hAnsi="Times New Roman" w:eastAsia="宋体" w:cs="Times New Roman"/>
                <w:iCs/>
                <w:kern w:val="2"/>
                <w:sz w:val="24"/>
                <w:szCs w:val="24"/>
                <w:lang w:val="en-US" w:eastAsia="zh-CN" w:bidi="ar-SA"/>
              </w:rPr>
              <w:t>m</w:t>
            </w:r>
            <w:r>
              <w:rPr>
                <w:rFonts w:ascii="Times New Roman" w:hAnsi="Times New Roman" w:eastAsia="宋体" w:cs="Times New Roman"/>
                <w:iCs/>
                <w:kern w:val="2"/>
                <w:sz w:val="24"/>
                <w:szCs w:val="24"/>
                <w:vertAlign w:val="superscript"/>
                <w:lang w:val="en-US" w:eastAsia="zh-CN" w:bidi="ar-SA"/>
              </w:rPr>
              <w:t>3</w:t>
            </w:r>
            <w:r>
              <w:rPr>
                <w:rFonts w:ascii="Times New Roman" w:hAnsi="Times New Roman" w:eastAsia="宋体" w:cs="Times New Roman"/>
                <w:iCs/>
                <w:kern w:val="2"/>
                <w:sz w:val="24"/>
                <w:szCs w:val="24"/>
                <w:lang w:val="en-US" w:eastAsia="zh-CN" w:bidi="ar-SA"/>
              </w:rPr>
              <w:t>/h</w:t>
            </w:r>
            <w:r>
              <w:rPr>
                <w:rFonts w:ascii="Times New Roman" w:hAnsi="Times New Roman" w:eastAsia="宋体" w:cs="Times New Roman"/>
                <w:kern w:val="2"/>
                <w:sz w:val="24"/>
                <w:szCs w:val="24"/>
                <w:lang w:val="en-US" w:eastAsia="zh-CN" w:bidi="ar-SA"/>
              </w:rPr>
              <w:t>；</w:t>
            </w:r>
          </w:p>
          <w:p w14:paraId="65794888">
            <w:pPr>
              <w:keepNext w:val="0"/>
              <w:keepLines w:val="0"/>
              <w:pageBreakBefore w:val="0"/>
              <w:widowControl w:val="0"/>
              <w:tabs>
                <w:tab w:val="left" w:pos="425"/>
              </w:tabs>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i/>
                <w:kern w:val="2"/>
                <w:sz w:val="24"/>
                <w:szCs w:val="24"/>
                <w:lang w:val="en-US" w:eastAsia="zh-CN" w:bidi="ar-SA"/>
              </w:rPr>
              <w:t>N</w:t>
            </w:r>
            <w:r>
              <w:rPr>
                <w:rFonts w:ascii="Times New Roman" w:hAnsi="Times New Roman" w:eastAsia="宋体" w:cs="Times New Roman"/>
                <w:iCs/>
                <w:kern w:val="2"/>
                <w:sz w:val="24"/>
                <w:szCs w:val="24"/>
                <w:lang w:val="en-US" w:eastAsia="zh-CN" w:bidi="ar-SA"/>
              </w:rPr>
              <w:t>——</w:t>
            </w:r>
            <w:r>
              <w:rPr>
                <w:rFonts w:ascii="Times New Roman" w:hAnsi="Times New Roman" w:eastAsia="宋体" w:cs="Times New Roman"/>
                <w:kern w:val="2"/>
                <w:sz w:val="24"/>
                <w:szCs w:val="24"/>
                <w:lang w:val="en-US" w:eastAsia="zh-CN" w:bidi="ar-SA"/>
              </w:rPr>
              <w:t>浓水倍数，根据《建筑给水排水设计手册》，N一般不超过5~6，本项目取值5。</w:t>
            </w:r>
          </w:p>
          <w:p w14:paraId="67F7FD9A">
            <w:pPr>
              <w:keepNext w:val="0"/>
              <w:keepLines w:val="0"/>
              <w:pageBreakBefore w:val="0"/>
              <w:widowControl w:val="0"/>
              <w:tabs>
                <w:tab w:val="left" w:pos="425"/>
              </w:tabs>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计算得</w:t>
            </w:r>
            <w:r>
              <w:rPr>
                <w:rFonts w:ascii="Times New Roman" w:hAnsi="Times New Roman" w:eastAsia="宋体" w:cs="Times New Roman"/>
                <w:i/>
                <w:iCs/>
                <w:kern w:val="2"/>
                <w:sz w:val="24"/>
                <w:szCs w:val="24"/>
                <w:lang w:val="en-US" w:eastAsia="zh-CN" w:bidi="ar-SA"/>
              </w:rPr>
              <w:t>Q</w:t>
            </w:r>
            <w:r>
              <w:rPr>
                <w:rFonts w:ascii="Times New Roman" w:hAnsi="Times New Roman" w:eastAsia="宋体" w:cs="Times New Roman"/>
                <w:iCs/>
                <w:kern w:val="2"/>
                <w:sz w:val="24"/>
                <w:szCs w:val="24"/>
                <w:vertAlign w:val="subscript"/>
                <w:lang w:val="en-US" w:eastAsia="zh-CN" w:bidi="ar-SA"/>
              </w:rPr>
              <w:t>b</w:t>
            </w:r>
            <w:r>
              <w:rPr>
                <w:rFonts w:ascii="Times New Roman" w:hAnsi="Times New Roman" w:eastAsia="宋体" w:cs="Times New Roman"/>
                <w:kern w:val="2"/>
                <w:sz w:val="24"/>
                <w:szCs w:val="24"/>
                <w:lang w:val="en-US" w:eastAsia="zh-CN" w:bidi="ar-SA"/>
              </w:rPr>
              <w:t>值为</w:t>
            </w:r>
            <w:r>
              <w:rPr>
                <w:rFonts w:hint="eastAsia" w:ascii="Times New Roman" w:hAnsi="Times New Roman" w:eastAsia="宋体" w:cs="Times New Roman"/>
                <w:kern w:val="2"/>
                <w:sz w:val="24"/>
                <w:szCs w:val="24"/>
                <w:lang w:val="en-US" w:eastAsia="zh-CN" w:bidi="ar-SA"/>
              </w:rPr>
              <w:t>0.073</w:t>
            </w:r>
            <w:r>
              <w:rPr>
                <w:rFonts w:ascii="Times New Roman" w:hAnsi="Times New Roman" w:eastAsia="宋体" w:cs="Times New Roman"/>
                <w:iCs/>
                <w:kern w:val="2"/>
                <w:sz w:val="24"/>
                <w:szCs w:val="24"/>
                <w:lang w:val="en-US" w:eastAsia="zh-CN" w:bidi="ar-SA"/>
              </w:rPr>
              <w:t>m</w:t>
            </w:r>
            <w:r>
              <w:rPr>
                <w:rFonts w:ascii="Times New Roman" w:hAnsi="Times New Roman" w:eastAsia="宋体" w:cs="Times New Roman"/>
                <w:iCs/>
                <w:kern w:val="2"/>
                <w:sz w:val="24"/>
                <w:szCs w:val="24"/>
                <w:vertAlign w:val="superscript"/>
                <w:lang w:val="en-US" w:eastAsia="zh-CN" w:bidi="ar-SA"/>
              </w:rPr>
              <w:t>3</w:t>
            </w:r>
            <w:r>
              <w:rPr>
                <w:rFonts w:ascii="Times New Roman" w:hAnsi="Times New Roman" w:eastAsia="宋体" w:cs="Times New Roman"/>
                <w:iCs/>
                <w:kern w:val="2"/>
                <w:sz w:val="24"/>
                <w:szCs w:val="24"/>
                <w:lang w:val="en-US" w:eastAsia="zh-CN" w:bidi="ar-SA"/>
              </w:rPr>
              <w:t>/h</w:t>
            </w:r>
            <w:r>
              <w:rPr>
                <w:rFonts w:ascii="Times New Roman" w:hAnsi="Times New Roman" w:eastAsia="宋体" w:cs="Times New Roman"/>
                <w:kern w:val="2"/>
                <w:sz w:val="24"/>
                <w:szCs w:val="24"/>
                <w:lang w:val="en-US" w:eastAsia="zh-CN" w:bidi="ar-SA"/>
              </w:rPr>
              <w:t>，则冷却塔日均排水量为</w:t>
            </w:r>
            <w:r>
              <w:rPr>
                <w:rFonts w:hint="eastAsia" w:ascii="Times New Roman" w:hAnsi="Times New Roman" w:eastAsia="宋体" w:cs="Times New Roman"/>
                <w:kern w:val="2"/>
                <w:sz w:val="24"/>
                <w:szCs w:val="24"/>
                <w:lang w:val="en-US" w:eastAsia="zh-CN" w:bidi="ar-SA"/>
              </w:rPr>
              <w:t>0.584</w:t>
            </w:r>
            <w:r>
              <w:rPr>
                <w:rFonts w:ascii="Times New Roman" w:hAnsi="Times New Roman" w:eastAsia="宋体" w:cs="Times New Roman"/>
                <w:kern w:val="2"/>
                <w:sz w:val="24"/>
                <w:szCs w:val="24"/>
                <w:lang w:val="en-US" w:eastAsia="zh-CN" w:bidi="ar-SA"/>
              </w:rPr>
              <w:t>m</w:t>
            </w:r>
            <w:r>
              <w:rPr>
                <w:rFonts w:ascii="Times New Roman" w:hAnsi="Times New Roman" w:eastAsia="宋体" w:cs="Times New Roman"/>
                <w:kern w:val="2"/>
                <w:sz w:val="24"/>
                <w:szCs w:val="24"/>
                <w:vertAlign w:val="superscript"/>
                <w:lang w:val="en-US" w:eastAsia="zh-CN" w:bidi="ar-SA"/>
              </w:rPr>
              <w:t>3</w:t>
            </w:r>
            <w:r>
              <w:rPr>
                <w:rFonts w:ascii="Times New Roman" w:hAnsi="Times New Roman" w:eastAsia="宋体" w:cs="Times New Roman"/>
                <w:kern w:val="2"/>
                <w:sz w:val="24"/>
                <w:szCs w:val="24"/>
                <w:lang w:val="en-US" w:eastAsia="zh-CN" w:bidi="ar-SA"/>
              </w:rPr>
              <w:t>/d，即</w:t>
            </w:r>
            <w:r>
              <w:rPr>
                <w:rFonts w:hint="eastAsia" w:ascii="Times New Roman" w:hAnsi="Times New Roman" w:eastAsia="宋体" w:cs="Times New Roman"/>
                <w:kern w:val="2"/>
                <w:sz w:val="24"/>
                <w:szCs w:val="24"/>
                <w:lang w:val="en-US" w:eastAsia="zh-CN" w:bidi="ar-SA"/>
              </w:rPr>
              <w:t>175.2</w:t>
            </w:r>
            <w:r>
              <w:rPr>
                <w:rFonts w:ascii="Times New Roman" w:hAnsi="Times New Roman" w:eastAsia="宋体" w:cs="Times New Roman"/>
                <w:kern w:val="2"/>
                <w:sz w:val="24"/>
                <w:szCs w:val="24"/>
                <w:lang w:val="en-US" w:eastAsia="zh-CN" w:bidi="ar-SA"/>
              </w:rPr>
              <w:t>m</w:t>
            </w:r>
            <w:r>
              <w:rPr>
                <w:rFonts w:ascii="Times New Roman" w:hAnsi="Times New Roman" w:eastAsia="宋体" w:cs="Times New Roman"/>
                <w:kern w:val="2"/>
                <w:sz w:val="24"/>
                <w:szCs w:val="24"/>
                <w:vertAlign w:val="superscript"/>
                <w:lang w:val="en-US" w:eastAsia="zh-CN" w:bidi="ar-SA"/>
              </w:rPr>
              <w:t>3</w:t>
            </w:r>
            <w:r>
              <w:rPr>
                <w:rFonts w:ascii="Times New Roman" w:hAnsi="Times New Roman" w:eastAsia="宋体" w:cs="Times New Roman"/>
                <w:kern w:val="2"/>
                <w:sz w:val="24"/>
                <w:szCs w:val="24"/>
                <w:lang w:val="en-US" w:eastAsia="zh-CN" w:bidi="ar-SA"/>
              </w:rPr>
              <w:t>/a。</w:t>
            </w:r>
          </w:p>
          <w:p w14:paraId="621BEC56">
            <w:pPr>
              <w:widowControl w:val="0"/>
              <w:tabs>
                <w:tab w:val="left" w:pos="425"/>
              </w:tabs>
              <w:adjustRightInd w:val="0"/>
              <w:snapToGrid w:val="0"/>
              <w:spacing w:after="0" w:line="360" w:lineRule="auto"/>
              <w:ind w:left="0" w:leftChars="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4）补水量</w:t>
            </w:r>
            <w:r>
              <w:rPr>
                <w:rFonts w:ascii="Times New Roman" w:hAnsi="Times New Roman" w:eastAsia="宋体" w:cs="Times New Roman"/>
                <w:i/>
                <w:iCs/>
                <w:kern w:val="2"/>
                <w:sz w:val="24"/>
                <w:szCs w:val="24"/>
                <w:lang w:val="en-US" w:eastAsia="zh-CN" w:bidi="ar-SA"/>
              </w:rPr>
              <w:t>Q</w:t>
            </w:r>
            <w:r>
              <w:rPr>
                <w:rFonts w:ascii="Times New Roman" w:hAnsi="Times New Roman" w:eastAsia="宋体" w:cs="Times New Roman"/>
                <w:i/>
                <w:iCs/>
                <w:kern w:val="2"/>
                <w:sz w:val="24"/>
                <w:szCs w:val="24"/>
                <w:vertAlign w:val="subscript"/>
                <w:lang w:val="en-US" w:eastAsia="zh-CN" w:bidi="ar-SA"/>
              </w:rPr>
              <w:t>m</w:t>
            </w:r>
          </w:p>
          <w:p w14:paraId="51E80539">
            <w:pPr>
              <w:widowControl w:val="0"/>
              <w:tabs>
                <w:tab w:val="left" w:pos="425"/>
              </w:tabs>
              <w:adjustRightInd w:val="0"/>
              <w:snapToGrid w:val="0"/>
              <w:spacing w:after="0" w:line="360" w:lineRule="auto"/>
              <w:ind w:left="0" w:leftChars="0" w:firstLine="480" w:firstLineChars="200"/>
              <w:jc w:val="both"/>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排水量计算公式如下：</w:t>
            </w:r>
          </w:p>
          <w:p w14:paraId="0948F16B">
            <w:pPr>
              <w:widowControl w:val="0"/>
              <w:tabs>
                <w:tab w:val="left" w:pos="425"/>
              </w:tabs>
              <w:adjustRightInd w:val="0"/>
              <w:snapToGrid w:val="0"/>
              <w:spacing w:after="0" w:line="360" w:lineRule="auto"/>
              <w:ind w:left="480" w:leftChars="20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i/>
                <w:iCs/>
                <w:kern w:val="2"/>
                <w:sz w:val="24"/>
                <w:szCs w:val="24"/>
                <w:lang w:val="en-US" w:eastAsia="zh-CN" w:bidi="ar-SA"/>
              </w:rPr>
              <w:t>Q</w:t>
            </w:r>
            <w:r>
              <w:rPr>
                <w:rFonts w:ascii="Times New Roman" w:hAnsi="Times New Roman" w:eastAsia="宋体" w:cs="Times New Roman"/>
                <w:i/>
                <w:iCs/>
                <w:kern w:val="2"/>
                <w:sz w:val="24"/>
                <w:szCs w:val="24"/>
                <w:vertAlign w:val="subscript"/>
                <w:lang w:val="en-US" w:eastAsia="zh-CN" w:bidi="ar-SA"/>
              </w:rPr>
              <w:t>m</w:t>
            </w:r>
            <w:r>
              <w:rPr>
                <w:rFonts w:ascii="Times New Roman" w:hAnsi="Times New Roman" w:eastAsia="宋体" w:cs="Times New Roman"/>
                <w:kern w:val="2"/>
                <w:sz w:val="24"/>
                <w:szCs w:val="24"/>
                <w:lang w:val="en-US" w:eastAsia="zh-CN" w:bidi="ar-SA"/>
              </w:rPr>
              <w:t>=</w:t>
            </w:r>
            <w:r>
              <w:rPr>
                <w:rFonts w:ascii="Times New Roman" w:hAnsi="Times New Roman" w:eastAsia="等线" w:cs="Times New Roman"/>
                <w:i/>
                <w:iCs/>
                <w:kern w:val="2"/>
                <w:sz w:val="24"/>
                <w:szCs w:val="24"/>
                <w:lang w:val="en-US" w:eastAsia="zh-CN" w:bidi="ar-SA"/>
              </w:rPr>
              <w:t xml:space="preserve"> Q</w:t>
            </w:r>
            <w:r>
              <w:rPr>
                <w:rFonts w:ascii="Times New Roman" w:hAnsi="Times New Roman" w:eastAsia="等线" w:cs="Times New Roman"/>
                <w:iCs/>
                <w:kern w:val="2"/>
                <w:sz w:val="24"/>
                <w:szCs w:val="24"/>
                <w:vertAlign w:val="subscript"/>
                <w:lang w:val="en-US" w:eastAsia="zh-CN" w:bidi="ar-SA"/>
              </w:rPr>
              <w:t>e</w:t>
            </w:r>
            <w:r>
              <w:rPr>
                <w:rFonts w:ascii="Times New Roman" w:hAnsi="Times New Roman" w:eastAsia="等线" w:cs="Times New Roman"/>
                <w:iCs/>
                <w:kern w:val="2"/>
                <w:sz w:val="24"/>
                <w:szCs w:val="24"/>
                <w:lang w:val="en-US" w:eastAsia="zh-CN" w:bidi="ar-SA"/>
              </w:rPr>
              <w:t>+</w:t>
            </w:r>
            <w:r>
              <w:rPr>
                <w:rFonts w:ascii="Times New Roman" w:hAnsi="Times New Roman" w:eastAsia="等线" w:cs="Times New Roman"/>
                <w:i/>
                <w:iCs/>
                <w:kern w:val="2"/>
                <w:sz w:val="24"/>
                <w:szCs w:val="24"/>
                <w:lang w:val="en-US" w:eastAsia="zh-CN" w:bidi="ar-SA"/>
              </w:rPr>
              <w:t xml:space="preserve"> Q</w:t>
            </w:r>
            <w:r>
              <w:rPr>
                <w:rFonts w:ascii="Times New Roman" w:hAnsi="Times New Roman" w:eastAsia="等线" w:cs="Times New Roman"/>
                <w:i/>
                <w:iCs/>
                <w:kern w:val="2"/>
                <w:sz w:val="24"/>
                <w:szCs w:val="24"/>
                <w:vertAlign w:val="subscript"/>
                <w:lang w:val="en-US" w:eastAsia="zh-CN" w:bidi="ar-SA"/>
              </w:rPr>
              <w:t>w</w:t>
            </w:r>
            <w:r>
              <w:rPr>
                <w:rFonts w:ascii="Times New Roman" w:hAnsi="Times New Roman" w:eastAsia="等线" w:cs="Times New Roman"/>
                <w:i/>
                <w:iCs/>
                <w:kern w:val="2"/>
                <w:sz w:val="24"/>
                <w:szCs w:val="24"/>
                <w:lang w:val="en-US" w:eastAsia="zh-CN" w:bidi="ar-SA"/>
              </w:rPr>
              <w:t>+</w:t>
            </w:r>
            <w:r>
              <w:rPr>
                <w:rFonts w:ascii="Times New Roman" w:hAnsi="Times New Roman" w:eastAsia="宋体" w:cs="Times New Roman"/>
                <w:i/>
                <w:iCs/>
                <w:kern w:val="2"/>
                <w:sz w:val="24"/>
                <w:szCs w:val="24"/>
                <w:lang w:val="en-US" w:eastAsia="zh-CN" w:bidi="ar-SA"/>
              </w:rPr>
              <w:t xml:space="preserve"> Q</w:t>
            </w:r>
            <w:r>
              <w:rPr>
                <w:rFonts w:ascii="Times New Roman" w:hAnsi="Times New Roman" w:eastAsia="宋体" w:cs="Times New Roman"/>
                <w:i/>
                <w:iCs/>
                <w:kern w:val="2"/>
                <w:sz w:val="24"/>
                <w:szCs w:val="24"/>
                <w:vertAlign w:val="subscript"/>
                <w:lang w:val="en-US" w:eastAsia="zh-CN" w:bidi="ar-SA"/>
              </w:rPr>
              <w:t>b</w:t>
            </w:r>
          </w:p>
          <w:p w14:paraId="0687B9EA">
            <w:pPr>
              <w:widowControl/>
              <w:adjustRightInd/>
              <w:snapToGrid/>
              <w:spacing w:line="360" w:lineRule="auto"/>
              <w:ind w:firstLine="480" w:firstLineChars="200"/>
              <w:jc w:val="left"/>
              <w:textAlignment w:val="baseline"/>
              <w:rPr>
                <w:rFonts w:ascii="Times New Roman" w:hAnsi="Times New Roman" w:eastAsia="宋体" w:cs="Times New Roman"/>
                <w:color w:val="auto"/>
                <w:kern w:val="0"/>
                <w:sz w:val="24"/>
                <w:szCs w:val="24"/>
                <w:lang w:val="en-US" w:eastAsia="zh-CN" w:bidi="en-US"/>
              </w:rPr>
            </w:pPr>
            <w:r>
              <w:rPr>
                <w:rFonts w:ascii="Times New Roman" w:hAnsi="Times New Roman" w:eastAsia="宋体" w:cs="Times New Roman"/>
                <w:color w:val="auto"/>
                <w:kern w:val="0"/>
                <w:sz w:val="24"/>
                <w:szCs w:val="24"/>
                <w:lang w:val="en-US" w:eastAsia="zh-CN" w:bidi="en-US"/>
              </w:rPr>
              <w:t>计算得冷却塔补水量为</w:t>
            </w:r>
            <w:r>
              <w:rPr>
                <w:rFonts w:hint="eastAsia" w:ascii="Times New Roman" w:hAnsi="Times New Roman" w:eastAsia="宋体" w:cs="Times New Roman"/>
                <w:color w:val="auto"/>
                <w:kern w:val="0"/>
                <w:sz w:val="24"/>
                <w:szCs w:val="24"/>
                <w:lang w:val="en-US" w:eastAsia="zh-CN" w:bidi="en-US"/>
              </w:rPr>
              <w:t>0.4905</w:t>
            </w:r>
            <w:r>
              <w:rPr>
                <w:rFonts w:ascii="Times New Roman" w:hAnsi="Times New Roman" w:eastAsia="宋体" w:cs="Times New Roman"/>
                <w:iCs/>
                <w:color w:val="auto"/>
                <w:kern w:val="0"/>
                <w:sz w:val="24"/>
                <w:szCs w:val="24"/>
                <w:lang w:val="en-US" w:eastAsia="zh-CN" w:bidi="en-US"/>
              </w:rPr>
              <w:t>m</w:t>
            </w:r>
            <w:r>
              <w:rPr>
                <w:rFonts w:ascii="Times New Roman" w:hAnsi="Times New Roman" w:eastAsia="宋体" w:cs="Times New Roman"/>
                <w:iCs/>
                <w:color w:val="auto"/>
                <w:kern w:val="0"/>
                <w:sz w:val="24"/>
                <w:szCs w:val="24"/>
                <w:vertAlign w:val="superscript"/>
                <w:lang w:val="en-US" w:eastAsia="zh-CN" w:bidi="en-US"/>
              </w:rPr>
              <w:t>3</w:t>
            </w:r>
            <w:r>
              <w:rPr>
                <w:rFonts w:ascii="Times New Roman" w:hAnsi="Times New Roman" w:eastAsia="宋体" w:cs="Times New Roman"/>
                <w:iCs/>
                <w:color w:val="auto"/>
                <w:kern w:val="0"/>
                <w:sz w:val="24"/>
                <w:szCs w:val="24"/>
                <w:lang w:val="en-US" w:eastAsia="zh-CN" w:bidi="en-US"/>
              </w:rPr>
              <w:t>/h，</w:t>
            </w:r>
            <w:r>
              <w:rPr>
                <w:rFonts w:ascii="Times New Roman" w:hAnsi="Times New Roman" w:eastAsia="宋体" w:cs="Times New Roman"/>
                <w:color w:val="auto"/>
                <w:kern w:val="0"/>
                <w:sz w:val="24"/>
                <w:szCs w:val="24"/>
                <w:lang w:val="en-US" w:eastAsia="zh-CN" w:bidi="en-US"/>
              </w:rPr>
              <w:t>则冷却塔日均补水量为</w:t>
            </w:r>
            <w:r>
              <w:rPr>
                <w:rFonts w:hint="eastAsia" w:ascii="Times New Roman" w:hAnsi="Times New Roman" w:eastAsia="宋体" w:cs="Times New Roman"/>
                <w:color w:val="auto"/>
                <w:kern w:val="0"/>
                <w:sz w:val="24"/>
                <w:szCs w:val="24"/>
                <w:lang w:val="en-US" w:eastAsia="zh-CN" w:bidi="en-US"/>
              </w:rPr>
              <w:t>3.924</w:t>
            </w:r>
            <w:r>
              <w:rPr>
                <w:rFonts w:ascii="Times New Roman" w:hAnsi="Times New Roman" w:eastAsia="宋体" w:cs="Times New Roman"/>
                <w:color w:val="auto"/>
                <w:kern w:val="0"/>
                <w:sz w:val="24"/>
                <w:szCs w:val="24"/>
                <w:lang w:val="en-US" w:eastAsia="zh-CN" w:bidi="en-US"/>
              </w:rPr>
              <w:t>m</w:t>
            </w:r>
            <w:r>
              <w:rPr>
                <w:rFonts w:ascii="Times New Roman" w:hAnsi="Times New Roman" w:eastAsia="宋体" w:cs="Times New Roman"/>
                <w:color w:val="auto"/>
                <w:kern w:val="0"/>
                <w:sz w:val="24"/>
                <w:szCs w:val="24"/>
                <w:vertAlign w:val="superscript"/>
                <w:lang w:val="en-US" w:eastAsia="zh-CN" w:bidi="en-US"/>
              </w:rPr>
              <w:t>3</w:t>
            </w:r>
            <w:r>
              <w:rPr>
                <w:rFonts w:ascii="Times New Roman" w:hAnsi="Times New Roman" w:eastAsia="宋体" w:cs="Times New Roman"/>
                <w:color w:val="auto"/>
                <w:kern w:val="0"/>
                <w:sz w:val="24"/>
                <w:szCs w:val="24"/>
                <w:lang w:val="en-US" w:eastAsia="zh-CN" w:bidi="en-US"/>
              </w:rPr>
              <w:t>/d，即</w:t>
            </w:r>
            <w:r>
              <w:rPr>
                <w:rFonts w:hint="eastAsia" w:ascii="Times New Roman" w:hAnsi="Times New Roman" w:eastAsia="宋体" w:cs="Times New Roman"/>
                <w:color w:val="auto"/>
                <w:kern w:val="0"/>
                <w:sz w:val="24"/>
                <w:szCs w:val="24"/>
                <w:lang w:val="en-US" w:eastAsia="zh-CN" w:bidi="en-US"/>
              </w:rPr>
              <w:t>1177.2</w:t>
            </w:r>
            <w:r>
              <w:rPr>
                <w:rFonts w:ascii="Times New Roman" w:hAnsi="Times New Roman" w:eastAsia="宋体" w:cs="Times New Roman"/>
                <w:color w:val="auto"/>
                <w:kern w:val="0"/>
                <w:sz w:val="24"/>
                <w:szCs w:val="24"/>
                <w:lang w:val="en-US" w:eastAsia="zh-CN" w:bidi="en-US"/>
              </w:rPr>
              <w:t>m</w:t>
            </w:r>
            <w:r>
              <w:rPr>
                <w:rFonts w:ascii="Times New Roman" w:hAnsi="Times New Roman" w:eastAsia="宋体" w:cs="Times New Roman"/>
                <w:color w:val="auto"/>
                <w:kern w:val="0"/>
                <w:sz w:val="24"/>
                <w:szCs w:val="24"/>
                <w:vertAlign w:val="superscript"/>
                <w:lang w:val="en-US" w:eastAsia="zh-CN" w:bidi="en-US"/>
              </w:rPr>
              <w:t>3</w:t>
            </w:r>
            <w:r>
              <w:rPr>
                <w:rFonts w:ascii="Times New Roman" w:hAnsi="Times New Roman" w:eastAsia="宋体" w:cs="Times New Roman"/>
                <w:color w:val="auto"/>
                <w:kern w:val="0"/>
                <w:sz w:val="24"/>
                <w:szCs w:val="24"/>
                <w:lang w:val="en-US" w:eastAsia="zh-CN" w:bidi="en-US"/>
              </w:rPr>
              <w:t>/a。</w:t>
            </w:r>
          </w:p>
          <w:p w14:paraId="3B81A2A3">
            <w:pPr>
              <w:keepNext/>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eastAsia="宋体"/>
                <w:color w:val="000000"/>
                <w:kern w:val="0"/>
                <w:lang w:val="en-US" w:eastAsia="zh-CN"/>
              </w:rPr>
            </w:pPr>
            <w:r>
              <w:rPr>
                <w:rFonts w:hint="eastAsia" w:eastAsia="宋体"/>
                <w:color w:val="000000"/>
                <w:kern w:val="0"/>
                <w:lang w:val="en-US" w:eastAsia="zh-CN"/>
              </w:rPr>
              <w:t>绿化用水：根据现场勘查，厂区绿化面积约600m</w:t>
            </w:r>
            <w:r>
              <w:rPr>
                <w:rFonts w:hint="eastAsia" w:eastAsia="宋体"/>
                <w:color w:val="000000"/>
                <w:kern w:val="0"/>
                <w:vertAlign w:val="superscript"/>
                <w:lang w:val="en-US" w:eastAsia="zh-CN"/>
              </w:rPr>
              <w:t>2</w:t>
            </w:r>
            <w:r>
              <w:rPr>
                <w:rFonts w:hint="eastAsia" w:eastAsia="宋体"/>
                <w:color w:val="000000"/>
                <w:kern w:val="0"/>
                <w:lang w:val="en-US" w:eastAsia="zh-CN"/>
              </w:rPr>
              <w:t>（0.9亩），参考《新疆维吾尔自治区生活用水定额》南疆地区用水定额为500~600m</w:t>
            </w:r>
            <w:r>
              <w:rPr>
                <w:rFonts w:hint="eastAsia" w:eastAsia="宋体"/>
                <w:color w:val="000000"/>
                <w:kern w:val="0"/>
                <w:vertAlign w:val="superscript"/>
                <w:lang w:val="en-US" w:eastAsia="zh-CN"/>
              </w:rPr>
              <w:t>3</w:t>
            </w:r>
            <w:r>
              <w:rPr>
                <w:rFonts w:hint="eastAsia" w:eastAsia="宋体"/>
                <w:color w:val="000000"/>
                <w:kern w:val="0"/>
                <w:lang w:val="en-US" w:eastAsia="zh-CN"/>
              </w:rPr>
              <w:t>/亩·年（本项目取值600m</w:t>
            </w:r>
            <w:r>
              <w:rPr>
                <w:rFonts w:hint="eastAsia" w:eastAsia="宋体"/>
                <w:color w:val="000000"/>
                <w:kern w:val="0"/>
                <w:vertAlign w:val="superscript"/>
                <w:lang w:val="en-US" w:eastAsia="zh-CN"/>
              </w:rPr>
              <w:t>3</w:t>
            </w:r>
            <w:r>
              <w:rPr>
                <w:rFonts w:hint="eastAsia" w:eastAsia="宋体"/>
                <w:color w:val="000000"/>
                <w:kern w:val="0"/>
                <w:lang w:val="en-US" w:eastAsia="zh-CN"/>
              </w:rPr>
              <w:t>/亩·年），则绿化用水为540m</w:t>
            </w:r>
            <w:r>
              <w:rPr>
                <w:rFonts w:hint="eastAsia" w:eastAsia="宋体"/>
                <w:color w:val="000000"/>
                <w:kern w:val="0"/>
                <w:vertAlign w:val="superscript"/>
                <w:lang w:val="en-US" w:eastAsia="zh-CN"/>
              </w:rPr>
              <w:t>3</w:t>
            </w:r>
            <w:r>
              <w:rPr>
                <w:rFonts w:hint="eastAsia" w:eastAsia="宋体"/>
                <w:color w:val="000000"/>
                <w:kern w:val="0"/>
                <w:lang w:val="en-US" w:eastAsia="zh-CN"/>
              </w:rPr>
              <w:t>/a</w:t>
            </w:r>
            <w:r>
              <w:rPr>
                <w:rFonts w:hint="eastAsia"/>
                <w:color w:val="000000"/>
                <w:kern w:val="0"/>
                <w:lang w:val="en-US" w:eastAsia="zh-CN"/>
              </w:rPr>
              <w:t>（其中新鲜水364.8m3/a，循环水排水为175.2m</w:t>
            </w:r>
            <w:r>
              <w:rPr>
                <w:rFonts w:hint="eastAsia"/>
                <w:color w:val="000000"/>
                <w:kern w:val="0"/>
                <w:vertAlign w:val="superscript"/>
                <w:lang w:val="en-US" w:eastAsia="zh-CN"/>
              </w:rPr>
              <w:t>3</w:t>
            </w:r>
            <w:r>
              <w:rPr>
                <w:rFonts w:hint="eastAsia"/>
                <w:color w:val="000000"/>
                <w:kern w:val="0"/>
                <w:lang w:val="en-US" w:eastAsia="zh-CN"/>
              </w:rPr>
              <w:t>/a）</w:t>
            </w:r>
            <w:r>
              <w:rPr>
                <w:rFonts w:hint="eastAsia" w:eastAsia="宋体"/>
                <w:color w:val="000000"/>
                <w:kern w:val="0"/>
                <w:lang w:val="en-US" w:eastAsia="zh-CN"/>
              </w:rPr>
              <w:t>。</w:t>
            </w:r>
          </w:p>
          <w:p w14:paraId="6E51B62F">
            <w:pPr>
              <w:keepNext/>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eastAsia="宋体"/>
                <w:color w:val="000000"/>
                <w:kern w:val="0"/>
                <w:lang w:val="en-US" w:eastAsia="zh-CN"/>
              </w:rPr>
            </w:pPr>
            <w:r>
              <w:rPr>
                <w:rFonts w:hint="eastAsia" w:eastAsia="宋体"/>
                <w:color w:val="000000"/>
                <w:kern w:val="0"/>
                <w:lang w:val="en-US" w:eastAsia="zh-CN"/>
              </w:rPr>
              <w:t>综上所述，本项目总用水量为</w:t>
            </w:r>
            <w:r>
              <w:rPr>
                <w:rFonts w:hint="eastAsia"/>
                <w:color w:val="000000"/>
                <w:kern w:val="0"/>
                <w:lang w:val="en-US" w:eastAsia="zh-CN"/>
              </w:rPr>
              <w:t>2262</w:t>
            </w:r>
            <w:r>
              <w:rPr>
                <w:rFonts w:hint="eastAsia" w:eastAsia="宋体"/>
                <w:color w:val="000000"/>
                <w:kern w:val="0"/>
                <w:lang w:val="en-US" w:eastAsia="zh-CN"/>
              </w:rPr>
              <w:t>m</w:t>
            </w:r>
            <w:r>
              <w:rPr>
                <w:rFonts w:hint="eastAsia" w:eastAsia="宋体"/>
                <w:color w:val="000000"/>
                <w:kern w:val="0"/>
                <w:vertAlign w:val="superscript"/>
                <w:lang w:val="en-US" w:eastAsia="zh-CN"/>
              </w:rPr>
              <w:t>3</w:t>
            </w:r>
            <w:r>
              <w:rPr>
                <w:rFonts w:hint="eastAsia" w:eastAsia="宋体"/>
                <w:color w:val="000000"/>
                <w:kern w:val="0"/>
                <w:lang w:val="en-US" w:eastAsia="zh-CN"/>
              </w:rPr>
              <w:t>/a。</w:t>
            </w:r>
          </w:p>
          <w:p w14:paraId="38DAF0FD">
            <w:pPr>
              <w:keepNext/>
              <w:keepLines w:val="0"/>
              <w:pageBreakBefore w:val="0"/>
              <w:widowControl/>
              <w:kinsoku/>
              <w:wordWrap/>
              <w:overflowPunct/>
              <w:topLinePunct w:val="0"/>
              <w:autoSpaceDE/>
              <w:autoSpaceDN/>
              <w:bidi w:val="0"/>
              <w:ind w:firstLine="480" w:firstLineChars="200"/>
              <w:jc w:val="left"/>
              <w:rPr>
                <w:rFonts w:hint="eastAsia"/>
                <w:lang w:val="en-US" w:eastAsia="zh-CN"/>
              </w:rPr>
            </w:pPr>
            <w:r>
              <w:rPr>
                <w:rFonts w:hint="eastAsia"/>
                <w:lang w:val="en-US" w:eastAsia="zh-CN"/>
              </w:rPr>
              <w:t>排水：本项目循环冷却水循环使用定期补充损耗，循环水定期排水175.2m</w:t>
            </w:r>
            <w:r>
              <w:rPr>
                <w:rFonts w:hint="eastAsia"/>
                <w:vertAlign w:val="superscript"/>
                <w:lang w:val="en-US" w:eastAsia="zh-CN"/>
              </w:rPr>
              <w:t>3</w:t>
            </w:r>
            <w:r>
              <w:rPr>
                <w:rFonts w:hint="eastAsia"/>
                <w:lang w:val="en-US" w:eastAsia="zh-CN"/>
              </w:rPr>
              <w:t>/a，属于清净下水，用于周边绿化；</w:t>
            </w:r>
          </w:p>
          <w:p w14:paraId="1A7B11C0">
            <w:pPr>
              <w:keepNext/>
              <w:keepLines w:val="0"/>
              <w:pageBreakBefore w:val="0"/>
              <w:widowControl/>
              <w:kinsoku/>
              <w:wordWrap/>
              <w:overflowPunct/>
              <w:topLinePunct w:val="0"/>
              <w:autoSpaceDE/>
              <w:autoSpaceDN/>
              <w:bidi w:val="0"/>
              <w:ind w:firstLine="480" w:firstLineChars="200"/>
              <w:jc w:val="left"/>
              <w:rPr>
                <w:rFonts w:hint="default"/>
                <w:lang w:val="en-US" w:eastAsia="zh-CN"/>
              </w:rPr>
            </w:pPr>
            <w:r>
              <w:rPr>
                <w:rFonts w:hint="eastAsia"/>
                <w:lang w:val="en-US" w:eastAsia="zh-CN"/>
              </w:rPr>
              <w:t>项目生活用水量为720m</w:t>
            </w:r>
            <w:r>
              <w:rPr>
                <w:rFonts w:hint="eastAsia"/>
                <w:vertAlign w:val="superscript"/>
                <w:lang w:val="en-US" w:eastAsia="zh-CN"/>
              </w:rPr>
              <w:t>3</w:t>
            </w:r>
            <w:r>
              <w:rPr>
                <w:rFonts w:hint="eastAsia"/>
                <w:lang w:val="en-US" w:eastAsia="zh-CN"/>
              </w:rPr>
              <w:t>/a，产生量按照80%计算，则生活污水量为576m</w:t>
            </w:r>
            <w:r>
              <w:rPr>
                <w:rFonts w:hint="eastAsia"/>
                <w:vertAlign w:val="superscript"/>
                <w:lang w:val="en-US" w:eastAsia="zh-CN"/>
              </w:rPr>
              <w:t>3</w:t>
            </w:r>
            <w:r>
              <w:rPr>
                <w:rFonts w:hint="eastAsia"/>
                <w:lang w:val="en-US" w:eastAsia="zh-CN"/>
              </w:rPr>
              <w:t>/a。生活污水经化粪池收集后，定期清运至轮台县新城区污水处理厂进行处理。</w:t>
            </w:r>
          </w:p>
          <w:p w14:paraId="52FFD4F9">
            <w:pPr>
              <w:keepNext/>
              <w:keepLines w:val="0"/>
              <w:pageBreakBefore w:val="0"/>
              <w:widowControl/>
              <w:kinsoku/>
              <w:wordWrap/>
              <w:overflowPunct/>
              <w:topLinePunct w:val="0"/>
              <w:autoSpaceDE/>
              <w:autoSpaceDN/>
              <w:bidi w:val="0"/>
              <w:jc w:val="left"/>
              <w:rPr>
                <w:rFonts w:hint="eastAsia"/>
                <w:color w:val="000000"/>
                <w:kern w:val="0"/>
                <w:lang w:val="en-US" w:eastAsia="zh-CN"/>
              </w:rPr>
            </w:pPr>
            <w:r>
              <w:rPr>
                <w:rFonts w:hint="eastAsia"/>
                <w:color w:val="000000"/>
                <w:kern w:val="0"/>
                <w:lang w:val="en-US" w:eastAsia="zh-CN"/>
              </w:rPr>
              <w:drawing>
                <wp:inline distT="0" distB="0" distL="114300" distR="114300">
                  <wp:extent cx="4946015" cy="1906270"/>
                  <wp:effectExtent l="0" t="0" r="0" b="0"/>
                  <wp:docPr id="6" name="ECB019B1-382A-4266-B25C-5B523AA43C14-1" descr="C:/Users/MyPC/AppData/Local/Temp/wps.FQxtc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MyPC/AppData/Local/Temp/wps.FQxtcFwps"/>
                          <pic:cNvPicPr>
                            <a:picLocks noChangeAspect="1"/>
                          </pic:cNvPicPr>
                        </pic:nvPicPr>
                        <pic:blipFill>
                          <a:blip r:embed="rId9"/>
                          <a:stretch>
                            <a:fillRect/>
                          </a:stretch>
                        </pic:blipFill>
                        <pic:spPr>
                          <a:xfrm>
                            <a:off x="0" y="0"/>
                            <a:ext cx="4946015" cy="1906270"/>
                          </a:xfrm>
                          <a:prstGeom prst="rect">
                            <a:avLst/>
                          </a:prstGeom>
                        </pic:spPr>
                      </pic:pic>
                    </a:graphicData>
                  </a:graphic>
                </wp:inline>
              </w:drawing>
            </w:r>
          </w:p>
          <w:p w14:paraId="36E1A8D9">
            <w:pPr>
              <w:keepNext/>
              <w:keepLines w:val="0"/>
              <w:pageBreakBefore w:val="0"/>
              <w:widowControl/>
              <w:kinsoku/>
              <w:wordWrap/>
              <w:overflowPunct/>
              <w:topLinePunct w:val="0"/>
              <w:autoSpaceDE/>
              <w:autoSpaceDN/>
              <w:bidi w:val="0"/>
              <w:jc w:val="center"/>
              <w:rPr>
                <w:rFonts w:hint="default"/>
                <w:b/>
                <w:bCs/>
                <w:color w:val="000000"/>
                <w:kern w:val="0"/>
                <w:lang w:val="en-US" w:eastAsia="zh-CN"/>
              </w:rPr>
            </w:pPr>
            <w:r>
              <w:rPr>
                <w:rFonts w:hint="eastAsia"/>
                <w:b/>
                <w:bCs/>
                <w:color w:val="000000"/>
                <w:kern w:val="0"/>
                <w:lang w:val="en-US" w:eastAsia="zh-CN"/>
              </w:rPr>
              <w:t>图2-1    水平衡图（单位：m</w:t>
            </w:r>
            <w:r>
              <w:rPr>
                <w:rFonts w:hint="eastAsia"/>
                <w:b/>
                <w:bCs/>
                <w:color w:val="000000"/>
                <w:kern w:val="0"/>
                <w:vertAlign w:val="superscript"/>
                <w:lang w:val="en-US" w:eastAsia="zh-CN"/>
              </w:rPr>
              <w:t>3</w:t>
            </w:r>
            <w:r>
              <w:rPr>
                <w:rFonts w:hint="eastAsia"/>
                <w:b/>
                <w:bCs/>
                <w:color w:val="000000"/>
                <w:kern w:val="0"/>
                <w:lang w:val="en-US" w:eastAsia="zh-CN"/>
              </w:rPr>
              <w:t>/a）</w:t>
            </w:r>
          </w:p>
          <w:p w14:paraId="0467D9A6">
            <w:pPr>
              <w:keepNext/>
              <w:keepLines w:val="0"/>
              <w:pageBreakBefore w:val="0"/>
              <w:widowControl/>
              <w:kinsoku/>
              <w:wordWrap/>
              <w:overflowPunct/>
              <w:topLinePunct w:val="0"/>
              <w:autoSpaceDE/>
              <w:autoSpaceDN/>
              <w:bidi w:val="0"/>
              <w:ind w:firstLine="480" w:firstLineChars="200"/>
              <w:jc w:val="left"/>
              <w:rPr>
                <w:rFonts w:hint="eastAsia"/>
                <w:color w:val="000000"/>
                <w:kern w:val="0"/>
                <w:lang w:val="en-US" w:eastAsia="zh-CN"/>
              </w:rPr>
            </w:pPr>
            <w:r>
              <w:rPr>
                <w:rFonts w:hint="eastAsia"/>
                <w:color w:val="000000"/>
                <w:kern w:val="0"/>
                <w:lang w:val="en-US" w:eastAsia="zh-CN"/>
              </w:rPr>
              <w:t>供电：依托现有供电设施。</w:t>
            </w:r>
          </w:p>
          <w:p w14:paraId="7AE1179E">
            <w:pPr>
              <w:keepNext/>
              <w:keepLines w:val="0"/>
              <w:pageBreakBefore w:val="0"/>
              <w:widowControl/>
              <w:kinsoku/>
              <w:wordWrap/>
              <w:overflowPunct/>
              <w:topLinePunct w:val="0"/>
              <w:autoSpaceDE/>
              <w:autoSpaceDN/>
              <w:bidi w:val="0"/>
              <w:ind w:firstLine="480" w:firstLineChars="200"/>
              <w:jc w:val="left"/>
              <w:rPr>
                <w:rFonts w:hint="default"/>
                <w:color w:val="000000"/>
                <w:kern w:val="0"/>
                <w:lang w:val="en-US" w:eastAsia="zh-CN"/>
              </w:rPr>
            </w:pPr>
            <w:r>
              <w:rPr>
                <w:rFonts w:hint="eastAsia"/>
                <w:color w:val="000000"/>
                <w:kern w:val="0"/>
                <w:lang w:val="en-US" w:eastAsia="zh-CN"/>
              </w:rPr>
              <w:t>供热：项目生产采用设备电供热，冬季生活区供暖采用电采暖。</w:t>
            </w:r>
          </w:p>
          <w:p w14:paraId="6D928D85">
            <w:pPr>
              <w:keepNext/>
              <w:keepLines w:val="0"/>
              <w:pageBreakBefore w:val="0"/>
              <w:widowControl/>
              <w:kinsoku/>
              <w:wordWrap/>
              <w:overflowPunct/>
              <w:topLinePunct w:val="0"/>
              <w:autoSpaceDE/>
              <w:autoSpaceDN/>
              <w:bidi w:val="0"/>
              <w:rPr>
                <w:b/>
                <w:bCs/>
                <w:color w:val="000000"/>
                <w:kern w:val="0"/>
              </w:rPr>
            </w:pPr>
            <w:r>
              <w:rPr>
                <w:rFonts w:hint="eastAsia"/>
                <w:b/>
                <w:bCs/>
                <w:color w:val="000000"/>
                <w:kern w:val="0"/>
              </w:rPr>
              <w:t>6</w:t>
            </w:r>
            <w:r>
              <w:rPr>
                <w:b/>
                <w:bCs/>
                <w:color w:val="000000"/>
                <w:kern w:val="0"/>
              </w:rPr>
              <w:t>劳动定员</w:t>
            </w:r>
          </w:p>
          <w:p w14:paraId="4B25C706">
            <w:pPr>
              <w:keepNext/>
              <w:keepLines w:val="0"/>
              <w:pageBreakBefore w:val="0"/>
              <w:widowControl/>
              <w:kinsoku/>
              <w:wordWrap/>
              <w:overflowPunct/>
              <w:topLinePunct w:val="0"/>
              <w:autoSpaceDE/>
              <w:autoSpaceDN/>
              <w:bidi w:val="0"/>
              <w:ind w:firstLine="480" w:firstLineChars="200"/>
              <w:jc w:val="left"/>
              <w:rPr>
                <w:rFonts w:hint="default" w:ascii="Times New Roman" w:hAnsi="Times New Roman" w:eastAsia="宋体" w:cs="Times New Roman"/>
                <w:color w:val="000000"/>
                <w:kern w:val="0"/>
                <w:lang w:val="en-US" w:eastAsia="zh-CN"/>
              </w:rPr>
            </w:pPr>
            <w:r>
              <w:rPr>
                <w:rFonts w:hint="eastAsia" w:ascii="Times New Roman" w:hAnsi="Times New Roman" w:eastAsia="宋体" w:cs="Times New Roman"/>
                <w:color w:val="000000"/>
                <w:kern w:val="0"/>
                <w:lang w:val="en-US" w:eastAsia="zh-CN"/>
              </w:rPr>
              <w:t>本项目</w:t>
            </w:r>
            <w:r>
              <w:rPr>
                <w:rFonts w:hint="eastAsia" w:cs="Times New Roman"/>
                <w:color w:val="000000"/>
                <w:kern w:val="0"/>
                <w:lang w:val="en-US" w:eastAsia="zh-CN"/>
              </w:rPr>
              <w:t>工作人员共30人，每天1班，每班8小时，年工作300d</w:t>
            </w:r>
            <w:r>
              <w:rPr>
                <w:rFonts w:hint="eastAsia" w:ascii="Times New Roman" w:hAnsi="Times New Roman" w:eastAsia="宋体" w:cs="Times New Roman"/>
                <w:color w:val="000000"/>
                <w:kern w:val="0"/>
                <w:lang w:val="en-US" w:eastAsia="zh-CN"/>
              </w:rPr>
              <w:t>。</w:t>
            </w:r>
          </w:p>
          <w:p w14:paraId="50F65025">
            <w:pPr>
              <w:keepNext/>
              <w:keepLines w:val="0"/>
              <w:pageBreakBefore w:val="0"/>
              <w:widowControl/>
              <w:kinsoku/>
              <w:wordWrap/>
              <w:overflowPunct/>
              <w:topLinePunct w:val="0"/>
              <w:autoSpaceDE/>
              <w:autoSpaceDN/>
              <w:bidi w:val="0"/>
              <w:rPr>
                <w:b/>
                <w:bCs/>
                <w:color w:val="000000"/>
                <w:kern w:val="0"/>
              </w:rPr>
            </w:pPr>
            <w:r>
              <w:rPr>
                <w:rFonts w:hint="eastAsia"/>
                <w:b/>
                <w:bCs/>
                <w:color w:val="000000"/>
                <w:kern w:val="0"/>
              </w:rPr>
              <w:t>7</w:t>
            </w:r>
            <w:r>
              <w:rPr>
                <w:b/>
                <w:bCs/>
                <w:color w:val="000000"/>
                <w:kern w:val="0"/>
              </w:rPr>
              <w:t>厂区平面布置</w:t>
            </w:r>
          </w:p>
          <w:p w14:paraId="0459D3C9">
            <w:pPr>
              <w:keepNext/>
              <w:keepLines w:val="0"/>
              <w:pageBreakBefore w:val="0"/>
              <w:widowControl/>
              <w:kinsoku/>
              <w:wordWrap/>
              <w:overflowPunct/>
              <w:topLinePunct w:val="0"/>
              <w:autoSpaceDE/>
              <w:autoSpaceDN/>
              <w:bidi w:val="0"/>
              <w:adjustRightInd w:val="0"/>
              <w:snapToGrid w:val="0"/>
              <w:ind w:firstLine="480" w:firstLineChars="200"/>
              <w:rPr>
                <w:rFonts w:hint="eastAsia"/>
                <w:color w:val="000000"/>
                <w:kern w:val="0"/>
              </w:rPr>
            </w:pPr>
            <w:r>
              <w:rPr>
                <w:color w:val="000000"/>
                <w:kern w:val="0"/>
              </w:rPr>
              <w:t>项目区</w:t>
            </w:r>
            <w:r>
              <w:rPr>
                <w:rFonts w:hint="eastAsia"/>
                <w:color w:val="000000"/>
                <w:kern w:val="0"/>
              </w:rPr>
              <w:t>主入口位于项目区</w:t>
            </w:r>
            <w:r>
              <w:rPr>
                <w:rFonts w:hint="eastAsia"/>
                <w:color w:val="000000"/>
                <w:kern w:val="0"/>
                <w:lang w:val="en-US" w:eastAsia="zh-CN"/>
              </w:rPr>
              <w:t>东</w:t>
            </w:r>
            <w:r>
              <w:rPr>
                <w:rFonts w:hint="eastAsia"/>
                <w:color w:val="000000"/>
                <w:kern w:val="0"/>
              </w:rPr>
              <w:t>侧，</w:t>
            </w:r>
            <w:r>
              <w:rPr>
                <w:rFonts w:hint="eastAsia"/>
                <w:color w:val="000000"/>
                <w:kern w:val="0"/>
                <w:lang w:val="en-US" w:eastAsia="zh-CN"/>
              </w:rPr>
              <w:t>生产车间位于项目区中间，西侧为库房，南侧为现有生产车间。</w:t>
            </w:r>
            <w:r>
              <w:rPr>
                <w:rFonts w:hint="eastAsia"/>
                <w:color w:val="000000"/>
                <w:kern w:val="0"/>
              </w:rPr>
              <w:t>项目区主导风向为东北风</w:t>
            </w:r>
            <w:r>
              <w:rPr>
                <w:rFonts w:hint="eastAsia"/>
                <w:color w:val="000000"/>
              </w:rPr>
              <w:t>，</w:t>
            </w:r>
            <w:r>
              <w:rPr>
                <w:rFonts w:hint="eastAsia"/>
                <w:color w:val="000000"/>
                <w:kern w:val="0"/>
                <w:lang w:val="en-US" w:eastAsia="zh-CN"/>
              </w:rPr>
              <w:t>生活区位于生产车间的上风向</w:t>
            </w:r>
            <w:r>
              <w:rPr>
                <w:rFonts w:hint="eastAsia"/>
                <w:color w:val="000000"/>
                <w:kern w:val="0"/>
              </w:rPr>
              <w:t>，</w:t>
            </w:r>
            <w:r>
              <w:rPr>
                <w:color w:val="000000"/>
                <w:kern w:val="0"/>
              </w:rPr>
              <w:t>从环境防护角度，项目平面布局合理，项目平面布置见</w:t>
            </w:r>
            <w:r>
              <w:rPr>
                <w:rFonts w:hint="eastAsia"/>
                <w:color w:val="000000"/>
                <w:kern w:val="0"/>
              </w:rPr>
              <w:t>：</w:t>
            </w:r>
            <w:r>
              <w:rPr>
                <w:color w:val="000000"/>
                <w:kern w:val="0"/>
              </w:rPr>
              <w:t>附图</w:t>
            </w:r>
            <w:r>
              <w:rPr>
                <w:rFonts w:hint="eastAsia"/>
                <w:color w:val="000000"/>
                <w:kern w:val="0"/>
                <w:lang w:val="en-US" w:eastAsia="zh-CN"/>
              </w:rPr>
              <w:t>4</w:t>
            </w:r>
            <w:r>
              <w:rPr>
                <w:rFonts w:hint="eastAsia"/>
                <w:color w:val="000000"/>
                <w:kern w:val="0"/>
              </w:rPr>
              <w:t>。</w:t>
            </w:r>
          </w:p>
          <w:p w14:paraId="0358EA60">
            <w:pPr>
              <w:keepNext/>
              <w:keepLines w:val="0"/>
              <w:pageBreakBefore w:val="0"/>
              <w:widowControl/>
              <w:kinsoku/>
              <w:wordWrap/>
              <w:overflowPunct/>
              <w:topLinePunct w:val="0"/>
              <w:autoSpaceDE/>
              <w:autoSpaceDN/>
              <w:bidi w:val="0"/>
              <w:adjustRightInd w:val="0"/>
              <w:snapToGrid w:val="0"/>
              <w:rPr>
                <w:b/>
                <w:color w:val="000000"/>
                <w:kern w:val="0"/>
              </w:rPr>
            </w:pPr>
            <w:r>
              <w:rPr>
                <w:rFonts w:hint="eastAsia"/>
                <w:b/>
                <w:color w:val="000000"/>
                <w:kern w:val="0"/>
              </w:rPr>
              <w:t>8、</w:t>
            </w:r>
            <w:r>
              <w:rPr>
                <w:b/>
                <w:color w:val="000000"/>
                <w:kern w:val="0"/>
              </w:rPr>
              <w:t>环保投资</w:t>
            </w:r>
          </w:p>
          <w:p w14:paraId="61C77A12">
            <w:pPr>
              <w:pStyle w:val="61"/>
              <w:keepNext/>
              <w:keepLines w:val="0"/>
              <w:pageBreakBefore w:val="0"/>
              <w:widowControl/>
              <w:kinsoku/>
              <w:wordWrap/>
              <w:overflowPunct/>
              <w:topLinePunct w:val="0"/>
              <w:autoSpaceDE/>
              <w:autoSpaceDN/>
              <w:bidi w:val="0"/>
              <w:adjustRightInd w:val="0"/>
              <w:snapToGrid w:val="0"/>
              <w:rPr>
                <w:rFonts w:cs="Times New Roman"/>
                <w:color w:val="000000"/>
              </w:rPr>
            </w:pPr>
            <w:r>
              <w:rPr>
                <w:rFonts w:cs="Times New Roman"/>
                <w:color w:val="000000"/>
              </w:rPr>
              <w:t>项目</w:t>
            </w:r>
            <w:r>
              <w:rPr>
                <w:rFonts w:hint="eastAsia" w:cs="Times New Roman"/>
                <w:color w:val="000000"/>
              </w:rPr>
              <w:t>环保</w:t>
            </w:r>
            <w:r>
              <w:rPr>
                <w:rFonts w:cs="Times New Roman"/>
                <w:color w:val="000000"/>
              </w:rPr>
              <w:t>投资</w:t>
            </w:r>
            <w:r>
              <w:rPr>
                <w:rFonts w:hint="eastAsia" w:cs="Times New Roman"/>
                <w:color w:val="000000"/>
                <w:lang w:val="en-US" w:eastAsia="zh-CN"/>
              </w:rPr>
              <w:t>18</w:t>
            </w:r>
            <w:r>
              <w:rPr>
                <w:rFonts w:cs="Times New Roman"/>
                <w:color w:val="000000"/>
              </w:rPr>
              <w:t>万元，占本项目总投资</w:t>
            </w:r>
            <w:r>
              <w:rPr>
                <w:rFonts w:hint="eastAsia" w:cs="Times New Roman"/>
                <w:color w:val="000000"/>
                <w:lang w:val="en-US" w:eastAsia="zh-CN"/>
              </w:rPr>
              <w:t>100</w:t>
            </w:r>
            <w:r>
              <w:rPr>
                <w:rFonts w:cs="Times New Roman"/>
                <w:color w:val="000000"/>
              </w:rPr>
              <w:t>万元的</w:t>
            </w:r>
            <w:r>
              <w:rPr>
                <w:rFonts w:hint="eastAsia" w:cs="Times New Roman"/>
                <w:color w:val="000000"/>
                <w:lang w:val="en-US" w:eastAsia="zh-CN"/>
              </w:rPr>
              <w:t>18</w:t>
            </w:r>
            <w:r>
              <w:rPr>
                <w:rFonts w:cs="Times New Roman"/>
                <w:color w:val="000000"/>
              </w:rPr>
              <w:t>%，本项目环保设施及投资见下表。</w:t>
            </w:r>
          </w:p>
          <w:p w14:paraId="62A484A5">
            <w:pPr>
              <w:pStyle w:val="61"/>
              <w:keepNext/>
              <w:keepLines w:val="0"/>
              <w:pageBreakBefore w:val="0"/>
              <w:widowControl/>
              <w:kinsoku/>
              <w:wordWrap/>
              <w:overflowPunct/>
              <w:topLinePunct w:val="0"/>
              <w:autoSpaceDE/>
              <w:autoSpaceDN/>
              <w:bidi w:val="0"/>
              <w:adjustRightInd w:val="0"/>
              <w:snapToGrid w:val="0"/>
              <w:spacing w:line="240" w:lineRule="auto"/>
              <w:ind w:firstLine="422"/>
              <w:rPr>
                <w:rFonts w:cs="Times New Roman"/>
                <w:b/>
                <w:bCs/>
                <w:color w:val="000000"/>
                <w:sz w:val="21"/>
                <w:szCs w:val="21"/>
              </w:rPr>
            </w:pPr>
            <w:r>
              <w:rPr>
                <w:rFonts w:cs="Times New Roman"/>
                <w:b/>
                <w:bCs/>
                <w:color w:val="000000"/>
                <w:sz w:val="21"/>
                <w:szCs w:val="21"/>
              </w:rPr>
              <w:t>表</w:t>
            </w:r>
            <w:r>
              <w:rPr>
                <w:rFonts w:hint="eastAsia" w:cs="Times New Roman"/>
                <w:b/>
                <w:bCs/>
                <w:color w:val="000000"/>
                <w:sz w:val="21"/>
                <w:szCs w:val="21"/>
                <w:lang w:val="en-US" w:eastAsia="zh-CN"/>
              </w:rPr>
              <w:t>2-5</w:t>
            </w:r>
            <w:r>
              <w:rPr>
                <w:rFonts w:cs="Times New Roman"/>
                <w:b/>
                <w:bCs/>
                <w:color w:val="000000"/>
                <w:sz w:val="21"/>
                <w:szCs w:val="21"/>
              </w:rPr>
              <w:t xml:space="preserve">    </w:t>
            </w:r>
            <w:r>
              <w:rPr>
                <w:rFonts w:hint="eastAsia" w:cs="Times New Roman"/>
                <w:b/>
                <w:bCs/>
                <w:color w:val="000000"/>
                <w:sz w:val="21"/>
                <w:szCs w:val="21"/>
              </w:rPr>
              <w:t xml:space="preserve">                环保设施及投资一览表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64"/>
              <w:gridCol w:w="988"/>
              <w:gridCol w:w="4127"/>
              <w:gridCol w:w="1311"/>
            </w:tblGrid>
            <w:tr w14:paraId="7FAF4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noWrap w:val="0"/>
                  <w:vAlign w:val="center"/>
                </w:tcPr>
                <w:p w14:paraId="0D820C82">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序号</w:t>
                  </w:r>
                </w:p>
              </w:tc>
              <w:tc>
                <w:tcPr>
                  <w:tcW w:w="486" w:type="pct"/>
                  <w:noWrap w:val="0"/>
                  <w:vAlign w:val="center"/>
                </w:tcPr>
                <w:p w14:paraId="4F67B835">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类别</w:t>
                  </w:r>
                </w:p>
              </w:tc>
              <w:tc>
                <w:tcPr>
                  <w:tcW w:w="3262" w:type="pct"/>
                  <w:gridSpan w:val="2"/>
                  <w:noWrap w:val="0"/>
                  <w:vAlign w:val="center"/>
                </w:tcPr>
                <w:p w14:paraId="72F75FD9">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内容</w:t>
                  </w:r>
                </w:p>
              </w:tc>
              <w:tc>
                <w:tcPr>
                  <w:tcW w:w="835" w:type="pct"/>
                  <w:noWrap w:val="0"/>
                  <w:vAlign w:val="center"/>
                </w:tcPr>
                <w:p w14:paraId="2B8212C1">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环保投资（万元）</w:t>
                  </w:r>
                </w:p>
              </w:tc>
            </w:tr>
            <w:tr w14:paraId="21F75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restart"/>
                  <w:noWrap w:val="0"/>
                  <w:vAlign w:val="center"/>
                </w:tcPr>
                <w:p w14:paraId="7AA17C97">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运营期</w:t>
                  </w:r>
                </w:p>
              </w:tc>
              <w:tc>
                <w:tcPr>
                  <w:tcW w:w="486" w:type="pct"/>
                  <w:noWrap w:val="0"/>
                  <w:vAlign w:val="center"/>
                </w:tcPr>
                <w:p w14:paraId="4402050D">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废气治理</w:t>
                  </w:r>
                </w:p>
              </w:tc>
              <w:tc>
                <w:tcPr>
                  <w:tcW w:w="3262" w:type="pct"/>
                  <w:gridSpan w:val="2"/>
                  <w:noWrap w:val="0"/>
                  <w:vAlign w:val="center"/>
                </w:tcPr>
                <w:p w14:paraId="0667848E">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rFonts w:hint="eastAsia"/>
                      <w:color w:val="000000"/>
                      <w:sz w:val="21"/>
                      <w:szCs w:val="21"/>
                      <w:lang w:val="en-US" w:eastAsia="zh-CN"/>
                    </w:rPr>
                    <w:t>布袋除尘器</w:t>
                  </w:r>
                  <w:r>
                    <w:rPr>
                      <w:rFonts w:hint="eastAsia"/>
                      <w:color w:val="000000"/>
                      <w:sz w:val="21"/>
                      <w:szCs w:val="21"/>
                    </w:rPr>
                    <w:t>（</w:t>
                  </w:r>
                  <w:r>
                    <w:rPr>
                      <w:rFonts w:hint="eastAsia"/>
                      <w:color w:val="000000"/>
                      <w:sz w:val="21"/>
                      <w:szCs w:val="21"/>
                      <w:lang w:val="en-US" w:eastAsia="zh-CN"/>
                    </w:rPr>
                    <w:t>1</w:t>
                  </w:r>
                  <w:r>
                    <w:rPr>
                      <w:rFonts w:hint="eastAsia"/>
                      <w:color w:val="000000"/>
                      <w:sz w:val="21"/>
                      <w:szCs w:val="21"/>
                    </w:rPr>
                    <w:t>套）、</w:t>
                  </w:r>
                  <w:r>
                    <w:rPr>
                      <w:rFonts w:hint="eastAsia"/>
                      <w:color w:val="000000"/>
                      <w:sz w:val="21"/>
                      <w:szCs w:val="21"/>
                      <w:lang w:val="en-US" w:eastAsia="zh-CN"/>
                    </w:rPr>
                    <w:t>旋风除尘器+滤芯除尘器（1套）、二级活性炭装置（1套）</w:t>
                  </w:r>
                </w:p>
              </w:tc>
              <w:tc>
                <w:tcPr>
                  <w:tcW w:w="835" w:type="pct"/>
                  <w:noWrap w:val="0"/>
                  <w:vAlign w:val="center"/>
                </w:tcPr>
                <w:p w14:paraId="44DA8EEE">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10</w:t>
                  </w:r>
                </w:p>
              </w:tc>
            </w:tr>
            <w:tr w14:paraId="1B36B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14:paraId="24DBED4B">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p>
              </w:tc>
              <w:tc>
                <w:tcPr>
                  <w:tcW w:w="486" w:type="pct"/>
                  <w:noWrap w:val="0"/>
                  <w:vAlign w:val="center"/>
                </w:tcPr>
                <w:p w14:paraId="35C9A1D5">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噪声治理</w:t>
                  </w:r>
                </w:p>
              </w:tc>
              <w:tc>
                <w:tcPr>
                  <w:tcW w:w="3262" w:type="pct"/>
                  <w:gridSpan w:val="2"/>
                  <w:noWrap w:val="0"/>
                  <w:vAlign w:val="center"/>
                </w:tcPr>
                <w:p w14:paraId="66816C45">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采取对设备基础减振、车间隔声等降噪措施</w:t>
                  </w:r>
                </w:p>
              </w:tc>
              <w:tc>
                <w:tcPr>
                  <w:tcW w:w="835" w:type="pct"/>
                  <w:noWrap w:val="0"/>
                  <w:vAlign w:val="center"/>
                </w:tcPr>
                <w:p w14:paraId="2EC7AA43">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1</w:t>
                  </w:r>
                </w:p>
              </w:tc>
            </w:tr>
            <w:tr w14:paraId="159C4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14" w:type="pct"/>
                  <w:vMerge w:val="continue"/>
                  <w:noWrap w:val="0"/>
                  <w:vAlign w:val="center"/>
                </w:tcPr>
                <w:p w14:paraId="337057B3">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p>
              </w:tc>
              <w:tc>
                <w:tcPr>
                  <w:tcW w:w="486" w:type="pct"/>
                  <w:vMerge w:val="restart"/>
                  <w:noWrap w:val="0"/>
                  <w:vAlign w:val="center"/>
                </w:tcPr>
                <w:p w14:paraId="43D78059">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废水治理</w:t>
                  </w:r>
                </w:p>
              </w:tc>
              <w:tc>
                <w:tcPr>
                  <w:tcW w:w="3262" w:type="pct"/>
                  <w:gridSpan w:val="2"/>
                  <w:noWrap w:val="0"/>
                  <w:vAlign w:val="center"/>
                </w:tcPr>
                <w:p w14:paraId="33B74418">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eastAsia="宋体"/>
                      <w:color w:val="000000"/>
                      <w:sz w:val="21"/>
                      <w:szCs w:val="21"/>
                      <w:lang w:val="en-US" w:eastAsia="zh-CN"/>
                    </w:rPr>
                  </w:pPr>
                  <w:r>
                    <w:rPr>
                      <w:rFonts w:hint="eastAsia"/>
                      <w:color w:val="000000"/>
                      <w:sz w:val="21"/>
                      <w:szCs w:val="21"/>
                    </w:rPr>
                    <w:t>循环水池（1个）</w:t>
                  </w:r>
                  <w:r>
                    <w:rPr>
                      <w:rFonts w:hint="eastAsia"/>
                      <w:color w:val="000000"/>
                      <w:sz w:val="21"/>
                      <w:szCs w:val="21"/>
                      <w:lang w:eastAsia="zh-CN"/>
                    </w:rPr>
                    <w:t>、</w:t>
                  </w:r>
                  <w:r>
                    <w:rPr>
                      <w:rFonts w:hint="eastAsia"/>
                      <w:color w:val="000000"/>
                      <w:sz w:val="21"/>
                      <w:szCs w:val="21"/>
                      <w:lang w:val="en-US" w:eastAsia="zh-CN"/>
                    </w:rPr>
                    <w:t>冷却塔（1个）</w:t>
                  </w:r>
                </w:p>
              </w:tc>
              <w:tc>
                <w:tcPr>
                  <w:tcW w:w="835" w:type="pct"/>
                  <w:noWrap w:val="0"/>
                  <w:vAlign w:val="center"/>
                </w:tcPr>
                <w:p w14:paraId="65D064CA">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1</w:t>
                  </w:r>
                </w:p>
              </w:tc>
            </w:tr>
            <w:tr w14:paraId="5A4EC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14" w:type="pct"/>
                  <w:vMerge w:val="continue"/>
                  <w:noWrap w:val="0"/>
                  <w:vAlign w:val="center"/>
                </w:tcPr>
                <w:p w14:paraId="404D652F">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p>
              </w:tc>
              <w:tc>
                <w:tcPr>
                  <w:tcW w:w="486" w:type="pct"/>
                  <w:vMerge w:val="restart"/>
                  <w:noWrap w:val="0"/>
                  <w:vAlign w:val="center"/>
                </w:tcPr>
                <w:p w14:paraId="1CB4980D">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固废治理</w:t>
                  </w:r>
                </w:p>
              </w:tc>
              <w:tc>
                <w:tcPr>
                  <w:tcW w:w="630" w:type="pct"/>
                  <w:noWrap w:val="0"/>
                  <w:vAlign w:val="center"/>
                </w:tcPr>
                <w:p w14:paraId="2347E742">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一般工业固废</w:t>
                  </w:r>
                </w:p>
              </w:tc>
              <w:tc>
                <w:tcPr>
                  <w:tcW w:w="2631" w:type="pct"/>
                  <w:noWrap w:val="0"/>
                  <w:vAlign w:val="center"/>
                </w:tcPr>
                <w:p w14:paraId="096B824E">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rFonts w:hint="eastAsia"/>
                      <w:color w:val="000000"/>
                      <w:sz w:val="21"/>
                      <w:szCs w:val="21"/>
                    </w:rPr>
                    <w:t>一般固废堆场</w:t>
                  </w:r>
                </w:p>
              </w:tc>
              <w:tc>
                <w:tcPr>
                  <w:tcW w:w="835" w:type="pct"/>
                  <w:noWrap w:val="0"/>
                  <w:vAlign w:val="center"/>
                </w:tcPr>
                <w:p w14:paraId="1B6F7E5C">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eastAsia="宋体"/>
                      <w:color w:val="000000"/>
                      <w:sz w:val="21"/>
                      <w:szCs w:val="21"/>
                      <w:lang w:eastAsia="zh-CN"/>
                    </w:rPr>
                  </w:pPr>
                  <w:r>
                    <w:rPr>
                      <w:rFonts w:hint="eastAsia"/>
                      <w:color w:val="000000"/>
                      <w:sz w:val="21"/>
                      <w:szCs w:val="21"/>
                      <w:lang w:val="en-US" w:eastAsia="zh-CN"/>
                    </w:rPr>
                    <w:t>1</w:t>
                  </w:r>
                </w:p>
              </w:tc>
            </w:tr>
            <w:tr w14:paraId="5F256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noWrap w:val="0"/>
                  <w:vAlign w:val="center"/>
                </w:tcPr>
                <w:p w14:paraId="004B0937">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p>
              </w:tc>
              <w:tc>
                <w:tcPr>
                  <w:tcW w:w="486" w:type="pct"/>
                  <w:vMerge w:val="continue"/>
                  <w:noWrap w:val="0"/>
                  <w:vAlign w:val="center"/>
                </w:tcPr>
                <w:p w14:paraId="67269D81">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p>
              </w:tc>
              <w:tc>
                <w:tcPr>
                  <w:tcW w:w="630" w:type="pct"/>
                  <w:noWrap w:val="0"/>
                  <w:vAlign w:val="center"/>
                </w:tcPr>
                <w:p w14:paraId="2898AE5B">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危险废物</w:t>
                  </w:r>
                </w:p>
              </w:tc>
              <w:tc>
                <w:tcPr>
                  <w:tcW w:w="2631" w:type="pct"/>
                  <w:noWrap w:val="0"/>
                  <w:vAlign w:val="center"/>
                </w:tcPr>
                <w:p w14:paraId="476B5D18">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危险废物暂存于危险废物暂存间贮存，委托有危险废物处置资质的单位处置</w:t>
                  </w:r>
                </w:p>
              </w:tc>
              <w:tc>
                <w:tcPr>
                  <w:tcW w:w="835" w:type="pct"/>
                  <w:noWrap w:val="0"/>
                  <w:vAlign w:val="center"/>
                </w:tcPr>
                <w:p w14:paraId="4E5E04F2">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5</w:t>
                  </w:r>
                </w:p>
              </w:tc>
            </w:tr>
            <w:tr w14:paraId="63048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1" w:type="pct"/>
                  <w:gridSpan w:val="2"/>
                  <w:noWrap w:val="0"/>
                  <w:vAlign w:val="center"/>
                </w:tcPr>
                <w:p w14:paraId="16CB7825">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000000"/>
                      <w:sz w:val="21"/>
                      <w:szCs w:val="21"/>
                    </w:rPr>
                  </w:pPr>
                  <w:r>
                    <w:rPr>
                      <w:color w:val="000000"/>
                      <w:sz w:val="21"/>
                      <w:szCs w:val="21"/>
                    </w:rPr>
                    <w:t>总计</w:t>
                  </w:r>
                </w:p>
              </w:tc>
              <w:tc>
                <w:tcPr>
                  <w:tcW w:w="4098" w:type="pct"/>
                  <w:gridSpan w:val="3"/>
                  <w:noWrap w:val="0"/>
                  <w:vAlign w:val="center"/>
                </w:tcPr>
                <w:p w14:paraId="08D9AAD8">
                  <w:pPr>
                    <w:pStyle w:val="2"/>
                    <w:keepNext/>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18</w:t>
                  </w:r>
                </w:p>
              </w:tc>
            </w:tr>
          </w:tbl>
          <w:p w14:paraId="03F27068">
            <w:pPr>
              <w:keepNext/>
              <w:keepLines w:val="0"/>
              <w:pageBreakBefore w:val="0"/>
              <w:widowControl/>
              <w:kinsoku/>
              <w:wordWrap/>
              <w:overflowPunct/>
              <w:topLinePunct w:val="0"/>
              <w:autoSpaceDE/>
              <w:autoSpaceDN/>
              <w:bidi w:val="0"/>
              <w:ind w:firstLine="480" w:firstLineChars="200"/>
              <w:rPr>
                <w:color w:val="000000"/>
                <w:kern w:val="0"/>
                <w:szCs w:val="21"/>
              </w:rPr>
            </w:pPr>
          </w:p>
        </w:tc>
      </w:tr>
      <w:tr w14:paraId="0AB99C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2" w:type="dxa"/>
            <w:tcBorders>
              <w:tl2br w:val="nil"/>
              <w:tr2bl w:val="nil"/>
            </w:tcBorders>
            <w:noWrap w:val="0"/>
            <w:vAlign w:val="center"/>
          </w:tcPr>
          <w:p w14:paraId="040385CA">
            <w:pPr>
              <w:pStyle w:val="19"/>
              <w:keepNext/>
              <w:keepLines w:val="0"/>
              <w:pageBreakBefore w:val="0"/>
              <w:widowControl/>
              <w:kinsoku/>
              <w:wordWrap/>
              <w:overflowPunct/>
              <w:topLinePunct w:val="0"/>
              <w:autoSpaceDE/>
              <w:autoSpaceDN/>
              <w:bidi w:val="0"/>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工艺流程和产排污环节</w:t>
            </w:r>
          </w:p>
        </w:tc>
        <w:tc>
          <w:tcPr>
            <w:tcW w:w="8054" w:type="dxa"/>
            <w:tcBorders>
              <w:tl2br w:val="nil"/>
              <w:tr2bl w:val="nil"/>
            </w:tcBorders>
            <w:noWrap w:val="0"/>
            <w:vAlign w:val="top"/>
          </w:tcPr>
          <w:p w14:paraId="4C102A45">
            <w:pPr>
              <w:adjustRightInd w:val="0"/>
              <w:snapToGrid w:val="0"/>
              <w:rPr>
                <w:rFonts w:ascii="Times New Roman" w:hAnsi="Times New Roman" w:eastAsia="宋体" w:cs="Times New Roman"/>
                <w:b/>
                <w:bCs/>
                <w:color w:val="000000"/>
                <w:kern w:val="0"/>
              </w:rPr>
            </w:pPr>
            <w:r>
              <w:rPr>
                <w:rFonts w:ascii="Times New Roman" w:hAnsi="Times New Roman" w:eastAsia="宋体" w:cs="Times New Roman"/>
                <w:b/>
                <w:bCs/>
                <w:color w:val="000000"/>
                <w:kern w:val="0"/>
              </w:rPr>
              <w:t>施工期工艺流程和产排污环节：</w:t>
            </w:r>
          </w:p>
          <w:p w14:paraId="68935C0B">
            <w:pPr>
              <w:adjustRightInd w:val="0"/>
              <w:snapToGrid w:val="0"/>
              <w:ind w:firstLine="480" w:firstLineChars="200"/>
              <w:rPr>
                <w:rFonts w:ascii="Times New Roman" w:hAnsi="Times New Roman" w:eastAsia="宋体" w:cs="Times New Roman"/>
                <w:color w:val="000000"/>
                <w:kern w:val="0"/>
              </w:rPr>
            </w:pPr>
            <w:bookmarkStart w:id="3" w:name="_Toc27878"/>
            <w:r>
              <w:rPr>
                <w:rFonts w:ascii="Times New Roman" w:hAnsi="Times New Roman" w:eastAsia="宋体" w:cs="Times New Roman"/>
                <w:color w:val="000000"/>
                <w:kern w:val="0"/>
              </w:rPr>
              <w:t>施工</w:t>
            </w:r>
            <w:r>
              <w:rPr>
                <w:rFonts w:hint="eastAsia" w:ascii="Times New Roman" w:hAnsi="Times New Roman" w:eastAsia="宋体" w:cs="Times New Roman"/>
                <w:color w:val="000000"/>
                <w:kern w:val="0"/>
              </w:rPr>
              <w:t>期</w:t>
            </w:r>
            <w:r>
              <w:rPr>
                <w:rFonts w:ascii="Times New Roman" w:hAnsi="Times New Roman" w:eastAsia="宋体" w:cs="Times New Roman"/>
                <w:color w:val="000000"/>
                <w:kern w:val="0"/>
              </w:rPr>
              <w:t>工艺流程及产污环节图：</w:t>
            </w:r>
            <w:bookmarkEnd w:id="3"/>
          </w:p>
          <w:p w14:paraId="0690D7F6">
            <w:pPr>
              <w:adjustRightInd w:val="0"/>
              <w:snapToGrid w:val="0"/>
              <w:jc w:val="center"/>
              <w:rPr>
                <w:rFonts w:hint="eastAsia" w:ascii="Times New Roman" w:hAnsi="Times New Roman" w:eastAsia="宋体" w:cs="Times New Roman"/>
                <w:b/>
                <w:bCs/>
                <w:color w:val="000000"/>
                <w:kern w:val="0"/>
                <w:lang w:eastAsia="zh-CN"/>
              </w:rPr>
            </w:pPr>
            <w:r>
              <w:rPr>
                <w:rFonts w:hint="eastAsia" w:ascii="Times New Roman" w:hAnsi="Times New Roman" w:eastAsia="宋体" w:cs="Times New Roman"/>
                <w:b/>
                <w:bCs/>
                <w:color w:val="000000"/>
                <w:kern w:val="0"/>
                <w:lang w:eastAsia="zh-CN"/>
              </w:rPr>
              <w:drawing>
                <wp:inline distT="0" distB="0" distL="114300" distR="114300">
                  <wp:extent cx="3863340" cy="1172210"/>
                  <wp:effectExtent l="0" t="0" r="3810" b="8890"/>
                  <wp:docPr id="8" name="图片 46" descr="QQ截图2021032916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descr="QQ截图20210329164818"/>
                          <pic:cNvPicPr>
                            <a:picLocks noChangeAspect="1"/>
                          </pic:cNvPicPr>
                        </pic:nvPicPr>
                        <pic:blipFill>
                          <a:blip r:embed="rId10"/>
                          <a:stretch>
                            <a:fillRect/>
                          </a:stretch>
                        </pic:blipFill>
                        <pic:spPr>
                          <a:xfrm>
                            <a:off x="0" y="0"/>
                            <a:ext cx="3863340" cy="1172210"/>
                          </a:xfrm>
                          <a:prstGeom prst="rect">
                            <a:avLst/>
                          </a:prstGeom>
                          <a:noFill/>
                          <a:ln>
                            <a:noFill/>
                          </a:ln>
                        </pic:spPr>
                      </pic:pic>
                    </a:graphicData>
                  </a:graphic>
                </wp:inline>
              </w:drawing>
            </w:r>
          </w:p>
          <w:p w14:paraId="3E1BD669">
            <w:pPr>
              <w:adjustRightInd w:val="0"/>
              <w:snapToGrid w:val="0"/>
              <w:jc w:val="center"/>
              <w:rPr>
                <w:rFonts w:hint="eastAsia" w:ascii="Times New Roman" w:hAnsi="Times New Roman" w:eastAsia="宋体" w:cs="Times New Roman"/>
                <w:b/>
                <w:bCs/>
                <w:color w:val="000000"/>
                <w:kern w:val="0"/>
                <w:sz w:val="21"/>
                <w:szCs w:val="21"/>
                <w:lang w:eastAsia="zh-CN"/>
              </w:rPr>
            </w:pPr>
            <w:r>
              <w:rPr>
                <w:rFonts w:hint="eastAsia" w:ascii="Times New Roman" w:hAnsi="Times New Roman" w:eastAsia="宋体" w:cs="Times New Roman"/>
                <w:b/>
                <w:bCs/>
                <w:color w:val="000000"/>
                <w:kern w:val="0"/>
                <w:sz w:val="21"/>
                <w:szCs w:val="21"/>
                <w:lang w:eastAsia="zh-CN"/>
              </w:rPr>
              <w:t>图2</w:t>
            </w:r>
            <w:r>
              <w:rPr>
                <w:rFonts w:hint="eastAsia" w:ascii="Times New Roman" w:hAnsi="Times New Roman" w:eastAsia="宋体" w:cs="Times New Roman"/>
                <w:b/>
                <w:bCs/>
                <w:color w:val="000000"/>
                <w:kern w:val="0"/>
                <w:sz w:val="21"/>
                <w:szCs w:val="21"/>
                <w:lang w:val="en-US" w:eastAsia="zh-CN"/>
              </w:rPr>
              <w:t>-2</w:t>
            </w:r>
            <w:r>
              <w:rPr>
                <w:rFonts w:hint="eastAsia" w:ascii="Times New Roman" w:hAnsi="Times New Roman" w:eastAsia="宋体" w:cs="Times New Roman"/>
                <w:b/>
                <w:bCs/>
                <w:color w:val="000000"/>
                <w:kern w:val="0"/>
                <w:sz w:val="21"/>
                <w:szCs w:val="21"/>
                <w:lang w:eastAsia="zh-CN"/>
              </w:rPr>
              <w:t xml:space="preserve">  </w:t>
            </w:r>
            <w:r>
              <w:rPr>
                <w:rFonts w:hint="eastAsia" w:ascii="Times New Roman" w:hAnsi="Times New Roman" w:eastAsia="宋体" w:cs="Times New Roman"/>
                <w:b/>
                <w:bCs/>
                <w:color w:val="000000"/>
                <w:kern w:val="0"/>
                <w:sz w:val="21"/>
                <w:szCs w:val="21"/>
                <w:lang w:val="en-US" w:eastAsia="zh-CN"/>
              </w:rPr>
              <w:t xml:space="preserve">  </w:t>
            </w:r>
            <w:r>
              <w:rPr>
                <w:rFonts w:hint="eastAsia" w:ascii="Times New Roman" w:hAnsi="Times New Roman" w:eastAsia="宋体" w:cs="Times New Roman"/>
                <w:b/>
                <w:bCs/>
                <w:color w:val="000000"/>
                <w:kern w:val="0"/>
                <w:sz w:val="21"/>
                <w:szCs w:val="21"/>
                <w:lang w:eastAsia="zh-CN"/>
              </w:rPr>
              <w:t xml:space="preserve"> 施工工艺流程及产污环节图</w:t>
            </w:r>
          </w:p>
          <w:p w14:paraId="4BF81D3B">
            <w:pPr>
              <w:keepNext/>
              <w:keepLines w:val="0"/>
              <w:pageBreakBefore w:val="0"/>
              <w:widowControl/>
              <w:kinsoku/>
              <w:wordWrap/>
              <w:overflowPunct/>
              <w:topLinePunct w:val="0"/>
              <w:autoSpaceDE/>
              <w:autoSpaceDN/>
              <w:bidi w:val="0"/>
              <w:adjustRightInd w:val="0"/>
              <w:snapToGrid w:val="0"/>
              <w:rPr>
                <w:rFonts w:hint="eastAsia"/>
                <w:b/>
                <w:bCs/>
                <w:color w:val="000000"/>
                <w:kern w:val="0"/>
              </w:rPr>
            </w:pPr>
            <w:r>
              <w:rPr>
                <w:rFonts w:hint="eastAsia"/>
                <w:b/>
                <w:bCs/>
                <w:color w:val="000000"/>
                <w:kern w:val="0"/>
              </w:rPr>
              <w:t>3PE缠绕式生产线：</w:t>
            </w:r>
          </w:p>
          <w:p w14:paraId="21061436">
            <w:pPr>
              <w:keepNext/>
              <w:keepLines w:val="0"/>
              <w:pageBreakBefore w:val="0"/>
              <w:widowControl/>
              <w:kinsoku/>
              <w:wordWrap/>
              <w:overflowPunct/>
              <w:topLinePunct w:val="0"/>
              <w:autoSpaceDE/>
              <w:autoSpaceDN/>
              <w:bidi w:val="0"/>
              <w:adjustRightInd w:val="0"/>
              <w:snapToGrid w:val="0"/>
              <w:jc w:val="center"/>
              <w:rPr>
                <w:rFonts w:hint="eastAsia" w:eastAsia="宋体"/>
                <w:color w:val="000000"/>
                <w:kern w:val="0"/>
                <w:lang w:eastAsia="zh-CN"/>
              </w:rPr>
            </w:pPr>
            <w:r>
              <w:rPr>
                <w:rFonts w:hint="eastAsia" w:eastAsia="宋体"/>
                <w:color w:val="000000"/>
                <w:kern w:val="0"/>
                <w:lang w:eastAsia="zh-CN"/>
              </w:rPr>
              <w:drawing>
                <wp:inline distT="0" distB="0" distL="114300" distR="114300">
                  <wp:extent cx="4918710" cy="3556000"/>
                  <wp:effectExtent l="0" t="0" r="0" b="6350"/>
                  <wp:docPr id="3" name="ECB019B1-382A-4266-B25C-5B523AA43C14-2" descr="C:/Users/MyPC/AppData/Local/Temp/wps.MTuCP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MyPC/AppData/Local/Temp/wps.MTuCPSwps"/>
                          <pic:cNvPicPr>
                            <a:picLocks noChangeAspect="1"/>
                          </pic:cNvPicPr>
                        </pic:nvPicPr>
                        <pic:blipFill>
                          <a:blip r:embed="rId11"/>
                          <a:srcRect t="2298" b="3323"/>
                          <a:stretch>
                            <a:fillRect/>
                          </a:stretch>
                        </pic:blipFill>
                        <pic:spPr>
                          <a:xfrm>
                            <a:off x="0" y="0"/>
                            <a:ext cx="4918710" cy="3556000"/>
                          </a:xfrm>
                          <a:prstGeom prst="rect">
                            <a:avLst/>
                          </a:prstGeom>
                          <a:noFill/>
                          <a:ln>
                            <a:noFill/>
                          </a:ln>
                        </pic:spPr>
                      </pic:pic>
                    </a:graphicData>
                  </a:graphic>
                </wp:inline>
              </w:drawing>
            </w:r>
          </w:p>
          <w:p w14:paraId="72075F3C">
            <w:pPr>
              <w:keepNext/>
              <w:keepLines w:val="0"/>
              <w:pageBreakBefore w:val="0"/>
              <w:widowControl/>
              <w:kinsoku/>
              <w:wordWrap/>
              <w:overflowPunct/>
              <w:topLinePunct w:val="0"/>
              <w:autoSpaceDE/>
              <w:autoSpaceDN/>
              <w:bidi w:val="0"/>
              <w:adjustRightInd w:val="0"/>
              <w:snapToGrid w:val="0"/>
              <w:jc w:val="center"/>
              <w:rPr>
                <w:rFonts w:hint="eastAsia"/>
                <w:color w:val="000000"/>
                <w:kern w:val="0"/>
              </w:rPr>
            </w:pPr>
            <w:r>
              <w:rPr>
                <w:rFonts w:hint="eastAsia"/>
                <w:b/>
                <w:bCs/>
                <w:color w:val="000000"/>
                <w:kern w:val="0"/>
                <w:sz w:val="21"/>
                <w:szCs w:val="21"/>
              </w:rPr>
              <w:t>图</w:t>
            </w:r>
            <w:r>
              <w:rPr>
                <w:rFonts w:hint="eastAsia"/>
                <w:b/>
                <w:bCs/>
                <w:color w:val="000000"/>
                <w:kern w:val="0"/>
                <w:sz w:val="21"/>
                <w:szCs w:val="21"/>
                <w:lang w:val="en-US" w:eastAsia="zh-CN"/>
              </w:rPr>
              <w:t>2-3</w:t>
            </w:r>
            <w:r>
              <w:rPr>
                <w:rFonts w:hint="eastAsia"/>
                <w:b/>
                <w:bCs/>
                <w:color w:val="000000"/>
                <w:kern w:val="0"/>
                <w:sz w:val="21"/>
                <w:szCs w:val="21"/>
              </w:rPr>
              <w:t xml:space="preserve">    3PE缠绕式生产线工艺流程及产污环节图</w:t>
            </w:r>
          </w:p>
          <w:p w14:paraId="122236A6">
            <w:pPr>
              <w:pStyle w:val="23"/>
              <w:keepNext/>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rPr>
                <w:color w:val="000000"/>
              </w:rPr>
            </w:pPr>
            <w:r>
              <w:rPr>
                <w:color w:val="000000"/>
              </w:rPr>
              <w:t>除锈：进场</w:t>
            </w:r>
            <w:r>
              <w:rPr>
                <w:rFonts w:hint="eastAsia"/>
                <w:color w:val="000000"/>
              </w:rPr>
              <w:t>3PE管的</w:t>
            </w:r>
            <w:r>
              <w:rPr>
                <w:color w:val="000000"/>
              </w:rPr>
              <w:t>钢管进抛丸机进行除锈，此过程产生噪声、废气、固废。</w:t>
            </w:r>
            <w:r>
              <w:rPr>
                <w:rFonts w:hint="eastAsia"/>
                <w:color w:val="000000"/>
              </w:rPr>
              <w:t>废气经收集后进入布袋除尘器处理后通过15m排气筒（DA00</w:t>
            </w:r>
            <w:r>
              <w:rPr>
                <w:rFonts w:hint="eastAsia"/>
                <w:color w:val="000000"/>
                <w:lang w:val="en-US" w:eastAsia="zh-CN"/>
              </w:rPr>
              <w:t>1</w:t>
            </w:r>
            <w:r>
              <w:rPr>
                <w:rFonts w:hint="eastAsia"/>
                <w:color w:val="000000"/>
              </w:rPr>
              <w:t>）排放</w:t>
            </w:r>
            <w:r>
              <w:rPr>
                <w:color w:val="000000"/>
              </w:rPr>
              <w:t>。</w:t>
            </w:r>
          </w:p>
          <w:p w14:paraId="5FCBF8FE">
            <w:pPr>
              <w:keepNext/>
              <w:keepLines w:val="0"/>
              <w:pageBreakBefore w:val="0"/>
              <w:widowControl/>
              <w:kinsoku/>
              <w:wordWrap/>
              <w:overflowPunct/>
              <w:topLinePunct w:val="0"/>
              <w:autoSpaceDE/>
              <w:autoSpaceDN/>
              <w:bidi w:val="0"/>
              <w:adjustRightInd w:val="0"/>
              <w:snapToGrid w:val="0"/>
              <w:ind w:firstLine="480" w:firstLineChars="200"/>
              <w:rPr>
                <w:color w:val="000000"/>
                <w:kern w:val="0"/>
              </w:rPr>
            </w:pPr>
            <w:r>
              <w:rPr>
                <w:rFonts w:hint="eastAsia"/>
                <w:color w:val="000000"/>
                <w:kern w:val="0"/>
              </w:rPr>
              <w:t>环氧粉末喷涂</w:t>
            </w:r>
            <w:r>
              <w:rPr>
                <w:color w:val="000000"/>
                <w:kern w:val="0"/>
              </w:rPr>
              <w:t>：经抛丸除锈后的钢管进入中频加热装置对钢管进行加热，加热至</w:t>
            </w:r>
            <w:r>
              <w:rPr>
                <w:color w:val="000000"/>
              </w:rPr>
              <w:t>220℃～230℃之间后，通过传动线进入静电喷粉设备，塑粉通过静电喷涂设备均匀</w:t>
            </w:r>
            <w:r>
              <w:rPr>
                <w:rFonts w:hint="eastAsia"/>
                <w:color w:val="000000"/>
                <w:lang w:val="en-US" w:eastAsia="zh-CN"/>
              </w:rPr>
              <w:t>地</w:t>
            </w:r>
            <w:r>
              <w:rPr>
                <w:color w:val="000000"/>
              </w:rPr>
              <w:t>喷至钢管表面，塑粉在钢管表面迅速的</w:t>
            </w:r>
            <w:r>
              <w:rPr>
                <w:rFonts w:hint="eastAsia"/>
                <w:lang w:val="en-US" w:eastAsia="zh-CN"/>
              </w:rPr>
              <w:t>熔</w:t>
            </w:r>
            <w:r>
              <w:rPr>
                <w:rFonts w:hint="eastAsia"/>
                <w:color w:val="000000"/>
                <w:lang w:val="en-US" w:eastAsia="zh-CN"/>
              </w:rPr>
              <w:t>化</w:t>
            </w:r>
            <w:r>
              <w:rPr>
                <w:color w:val="000000"/>
              </w:rPr>
              <w:t>、流平。此过程主要产生废气、噪声、固废。废气经收集进入</w:t>
            </w:r>
            <w:r>
              <w:rPr>
                <w:rFonts w:hint="eastAsia"/>
                <w:color w:val="000000"/>
                <w:lang w:val="en-US" w:eastAsia="zh-CN"/>
              </w:rPr>
              <w:t>旋风除尘器+滤芯除尘器进行处理</w:t>
            </w:r>
            <w:r>
              <w:rPr>
                <w:color w:val="000000"/>
              </w:rPr>
              <w:t>后通过15m排气筒（DA002）排放，</w:t>
            </w:r>
            <w:r>
              <w:rPr>
                <w:color w:val="000000"/>
                <w:kern w:val="0"/>
              </w:rPr>
              <w:t>除尘灰及</w:t>
            </w:r>
            <w:r>
              <w:rPr>
                <w:rFonts w:hint="eastAsia"/>
                <w:color w:val="000000"/>
                <w:kern w:val="0"/>
                <w:lang w:val="en-US" w:eastAsia="zh-CN"/>
              </w:rPr>
              <w:t>喷涂</w:t>
            </w:r>
            <w:r>
              <w:rPr>
                <w:color w:val="000000"/>
                <w:kern w:val="0"/>
              </w:rPr>
              <w:t>的粉尘经收集后重新回用于生产。</w:t>
            </w:r>
          </w:p>
          <w:p w14:paraId="44149A88">
            <w:pPr>
              <w:keepNext/>
              <w:keepLines w:val="0"/>
              <w:pageBreakBefore w:val="0"/>
              <w:widowControl/>
              <w:kinsoku/>
              <w:wordWrap/>
              <w:overflowPunct/>
              <w:topLinePunct w:val="0"/>
              <w:autoSpaceDE/>
              <w:autoSpaceDN/>
              <w:bidi w:val="0"/>
              <w:ind w:firstLine="480" w:firstLineChars="200"/>
              <w:rPr>
                <w:rFonts w:hint="eastAsia"/>
                <w:color w:val="000000"/>
                <w:kern w:val="0"/>
              </w:rPr>
            </w:pPr>
            <w:r>
              <w:rPr>
                <w:rFonts w:hint="eastAsia"/>
                <w:color w:val="000000"/>
                <w:kern w:val="0"/>
                <w:lang w:val="en-US" w:eastAsia="zh-CN"/>
              </w:rPr>
              <w:t>底胶</w:t>
            </w:r>
            <w:r>
              <w:rPr>
                <w:rFonts w:hint="eastAsia"/>
                <w:color w:val="000000"/>
                <w:kern w:val="0"/>
              </w:rPr>
              <w:t>缠绕：经环氧粉末喷涂后的钢管经旋转传送机传送至</w:t>
            </w:r>
            <w:r>
              <w:rPr>
                <w:rFonts w:hint="eastAsia"/>
                <w:color w:val="000000"/>
                <w:kern w:val="0"/>
                <w:lang w:val="en-US" w:eastAsia="zh-CN"/>
              </w:rPr>
              <w:t>底胶</w:t>
            </w:r>
            <w:r>
              <w:rPr>
                <w:rFonts w:hint="eastAsia"/>
                <w:color w:val="000000"/>
                <w:kern w:val="0"/>
              </w:rPr>
              <w:t>挤出机，通过挤出机将</w:t>
            </w:r>
            <w:r>
              <w:rPr>
                <w:rFonts w:hint="eastAsia"/>
                <w:color w:val="000000"/>
                <w:kern w:val="0"/>
                <w:lang w:val="en-US" w:eastAsia="zh-CN"/>
              </w:rPr>
              <w:t>底胶</w:t>
            </w:r>
            <w:r>
              <w:rPr>
                <w:rFonts w:hint="eastAsia"/>
                <w:color w:val="000000"/>
                <w:kern w:val="0"/>
              </w:rPr>
              <w:t>均匀的缠绕至钢管表面，此过程产生废气、噪声。废气经收集后进入</w:t>
            </w:r>
            <w:r>
              <w:rPr>
                <w:rFonts w:hint="eastAsia"/>
                <w:color w:val="000000"/>
                <w:kern w:val="0"/>
                <w:lang w:val="en-US" w:eastAsia="zh-CN"/>
              </w:rPr>
              <w:t>二级活性炭装置</w:t>
            </w:r>
            <w:r>
              <w:rPr>
                <w:rFonts w:hint="eastAsia"/>
                <w:color w:val="000000"/>
                <w:kern w:val="0"/>
              </w:rPr>
              <w:t>处理后通过15m排气筒（DA00</w:t>
            </w:r>
            <w:r>
              <w:rPr>
                <w:rFonts w:hint="eastAsia"/>
                <w:color w:val="000000"/>
                <w:kern w:val="0"/>
                <w:lang w:val="en-US" w:eastAsia="zh-CN"/>
              </w:rPr>
              <w:t>2</w:t>
            </w:r>
            <w:r>
              <w:rPr>
                <w:rFonts w:hint="eastAsia"/>
                <w:color w:val="000000"/>
                <w:kern w:val="0"/>
              </w:rPr>
              <w:t>）排放。</w:t>
            </w:r>
          </w:p>
          <w:p w14:paraId="3C976BDB">
            <w:pPr>
              <w:keepNext/>
              <w:keepLines w:val="0"/>
              <w:pageBreakBefore w:val="0"/>
              <w:widowControl/>
              <w:kinsoku/>
              <w:wordWrap/>
              <w:overflowPunct/>
              <w:topLinePunct w:val="0"/>
              <w:autoSpaceDE/>
              <w:autoSpaceDN/>
              <w:bidi w:val="0"/>
              <w:ind w:firstLine="480" w:firstLineChars="200"/>
              <w:rPr>
                <w:rFonts w:hint="eastAsia"/>
                <w:color w:val="000000"/>
                <w:kern w:val="0"/>
              </w:rPr>
            </w:pPr>
            <w:r>
              <w:rPr>
                <w:rFonts w:hint="eastAsia"/>
                <w:color w:val="000000"/>
                <w:kern w:val="0"/>
              </w:rPr>
              <w:t>PE防腐层缠绕：经粘胶剂缠绕的钢管经旋转传送机传送至PE料挤出机，粘胶剂挤出机距离PE料挤出机约0.5m，在粘胶剂冷却前将PE料缠绕至钢管表面。此过程产生废气、噪声。废气经收集进入</w:t>
            </w:r>
            <w:r>
              <w:rPr>
                <w:rFonts w:hint="eastAsia"/>
                <w:color w:val="000000"/>
                <w:kern w:val="0"/>
                <w:lang w:val="en-US" w:eastAsia="zh-CN"/>
              </w:rPr>
              <w:t>二级活性炭装置</w:t>
            </w:r>
            <w:r>
              <w:rPr>
                <w:rFonts w:hint="eastAsia"/>
                <w:color w:val="000000"/>
                <w:kern w:val="0"/>
              </w:rPr>
              <w:t>处理后通过15m排气筒（DA00</w:t>
            </w:r>
            <w:r>
              <w:rPr>
                <w:rFonts w:hint="eastAsia"/>
                <w:color w:val="000000"/>
                <w:kern w:val="0"/>
                <w:lang w:val="en-US" w:eastAsia="zh-CN"/>
              </w:rPr>
              <w:t>2</w:t>
            </w:r>
            <w:r>
              <w:rPr>
                <w:rFonts w:hint="eastAsia"/>
                <w:color w:val="000000"/>
                <w:kern w:val="0"/>
              </w:rPr>
              <w:t>）排放。</w:t>
            </w:r>
          </w:p>
          <w:p w14:paraId="2DB0169D">
            <w:pPr>
              <w:keepNext/>
              <w:keepLines w:val="0"/>
              <w:pageBreakBefore w:val="0"/>
              <w:widowControl/>
              <w:kinsoku/>
              <w:wordWrap/>
              <w:overflowPunct/>
              <w:topLinePunct w:val="0"/>
              <w:autoSpaceDE/>
              <w:autoSpaceDN/>
              <w:bidi w:val="0"/>
              <w:ind w:firstLine="480" w:firstLineChars="200"/>
              <w:rPr>
                <w:rFonts w:hint="eastAsia"/>
                <w:color w:val="000000"/>
                <w:kern w:val="0"/>
              </w:rPr>
            </w:pPr>
            <w:r>
              <w:rPr>
                <w:rFonts w:hint="eastAsia"/>
                <w:color w:val="000000"/>
                <w:kern w:val="0"/>
              </w:rPr>
              <w:t>冷却：经PE防腐层缠绕后的钢管表面较热，需进行水淋冷却使钢管迅速的冷却。此过程产生的废水循环使用，不外排。</w:t>
            </w:r>
          </w:p>
          <w:p w14:paraId="7DA3A062">
            <w:pPr>
              <w:keepNext/>
              <w:keepLines w:val="0"/>
              <w:pageBreakBefore w:val="0"/>
              <w:widowControl/>
              <w:kinsoku/>
              <w:wordWrap/>
              <w:overflowPunct/>
              <w:topLinePunct w:val="0"/>
              <w:autoSpaceDE/>
              <w:autoSpaceDN/>
              <w:bidi w:val="0"/>
              <w:ind w:firstLine="480" w:firstLineChars="200"/>
              <w:rPr>
                <w:color w:val="000000"/>
              </w:rPr>
            </w:pPr>
            <w:r>
              <w:rPr>
                <w:rFonts w:hint="eastAsia"/>
                <w:color w:val="000000"/>
                <w:kern w:val="0"/>
              </w:rPr>
              <w:t>坡口机打磨：冷却后的成品需使用坡口机对钢管两端进行磨光处理。此过程产生废气、噪声、固废。</w:t>
            </w:r>
          </w:p>
          <w:p w14:paraId="4BE51EE5">
            <w:pPr>
              <w:keepNext/>
              <w:keepLines w:val="0"/>
              <w:pageBreakBefore w:val="0"/>
              <w:widowControl/>
              <w:kinsoku/>
              <w:wordWrap/>
              <w:overflowPunct/>
              <w:topLinePunct w:val="0"/>
              <w:autoSpaceDE/>
              <w:autoSpaceDN/>
              <w:bidi w:val="0"/>
              <w:adjustRightInd w:val="0"/>
              <w:snapToGrid w:val="0"/>
              <w:spacing w:line="240" w:lineRule="auto"/>
              <w:ind w:firstLine="422" w:firstLineChars="200"/>
              <w:rPr>
                <w:b/>
                <w:bCs/>
                <w:color w:val="000000"/>
                <w:sz w:val="21"/>
                <w:szCs w:val="21"/>
              </w:rPr>
            </w:pPr>
            <w:r>
              <w:rPr>
                <w:rFonts w:hint="eastAsia"/>
                <w:b/>
                <w:bCs/>
                <w:color w:val="000000"/>
                <w:sz w:val="21"/>
                <w:szCs w:val="21"/>
              </w:rPr>
              <w:t>表</w:t>
            </w:r>
            <w:r>
              <w:rPr>
                <w:rFonts w:hint="eastAsia"/>
                <w:b/>
                <w:bCs/>
                <w:color w:val="000000"/>
                <w:sz w:val="21"/>
                <w:szCs w:val="21"/>
                <w:lang w:val="en-US" w:eastAsia="zh-CN"/>
              </w:rPr>
              <w:t>2-6</w:t>
            </w:r>
            <w:r>
              <w:rPr>
                <w:rFonts w:hint="eastAsia"/>
                <w:b/>
                <w:bCs/>
                <w:color w:val="000000"/>
                <w:sz w:val="21"/>
                <w:szCs w:val="21"/>
              </w:rPr>
              <w:t xml:space="preserve">                      物料平衡一览表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821"/>
              <w:gridCol w:w="1487"/>
              <w:gridCol w:w="2708"/>
              <w:gridCol w:w="1054"/>
            </w:tblGrid>
            <w:tr w14:paraId="78631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vMerge w:val="restart"/>
                  <w:noWrap w:val="0"/>
                  <w:vAlign w:val="center"/>
                </w:tcPr>
                <w:p w14:paraId="24635253">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3308" w:type="dxa"/>
                  <w:gridSpan w:val="2"/>
                  <w:noWrap w:val="0"/>
                  <w:vAlign w:val="center"/>
                </w:tcPr>
                <w:p w14:paraId="0A2FD96B">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投入</w:t>
                  </w:r>
                </w:p>
              </w:tc>
              <w:tc>
                <w:tcPr>
                  <w:tcW w:w="3762" w:type="dxa"/>
                  <w:gridSpan w:val="2"/>
                  <w:noWrap w:val="0"/>
                  <w:vAlign w:val="center"/>
                </w:tcPr>
                <w:p w14:paraId="3D2FAA81">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产出</w:t>
                  </w:r>
                </w:p>
              </w:tc>
            </w:tr>
            <w:tr w14:paraId="14AC6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vMerge w:val="continue"/>
                  <w:noWrap w:val="0"/>
                  <w:vAlign w:val="center"/>
                </w:tcPr>
                <w:p w14:paraId="1B13E73C">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p>
              </w:tc>
              <w:tc>
                <w:tcPr>
                  <w:tcW w:w="1821" w:type="dxa"/>
                  <w:noWrap w:val="0"/>
                  <w:vAlign w:val="center"/>
                </w:tcPr>
                <w:p w14:paraId="3C867474">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名称</w:t>
                  </w:r>
                </w:p>
              </w:tc>
              <w:tc>
                <w:tcPr>
                  <w:tcW w:w="1487" w:type="dxa"/>
                  <w:noWrap w:val="0"/>
                  <w:vAlign w:val="center"/>
                </w:tcPr>
                <w:p w14:paraId="2E1EAA08">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数量（t）</w:t>
                  </w:r>
                </w:p>
              </w:tc>
              <w:tc>
                <w:tcPr>
                  <w:tcW w:w="2708" w:type="dxa"/>
                  <w:noWrap w:val="0"/>
                  <w:vAlign w:val="center"/>
                </w:tcPr>
                <w:p w14:paraId="7D62257A">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名称</w:t>
                  </w:r>
                </w:p>
              </w:tc>
              <w:tc>
                <w:tcPr>
                  <w:tcW w:w="1054" w:type="dxa"/>
                  <w:noWrap w:val="0"/>
                  <w:vAlign w:val="center"/>
                </w:tcPr>
                <w:p w14:paraId="18E5469D">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数量（t）</w:t>
                  </w:r>
                </w:p>
              </w:tc>
            </w:tr>
            <w:tr w14:paraId="241B6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noWrap w:val="0"/>
                  <w:vAlign w:val="center"/>
                </w:tcPr>
                <w:p w14:paraId="0E1C96A8">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821" w:type="dxa"/>
                  <w:noWrap w:val="0"/>
                  <w:vAlign w:val="center"/>
                </w:tcPr>
                <w:p w14:paraId="2C01C73C">
                  <w:pPr>
                    <w:keepNext/>
                    <w:keepLines w:val="0"/>
                    <w:pageBreakBefore w:val="0"/>
                    <w:widowControl/>
                    <w:kinsoku/>
                    <w:wordWrap/>
                    <w:overflowPunct/>
                    <w:topLinePunct w:val="0"/>
                    <w:autoSpaceDE/>
                    <w:autoSpaceDN/>
                    <w:bidi w:val="0"/>
                    <w:adjustRightInd w:val="0"/>
                    <w:snapToGrid w:val="0"/>
                    <w:spacing w:line="240" w:lineRule="auto"/>
                    <w:jc w:val="center"/>
                    <w:rPr>
                      <w:rFonts w:hint="default"/>
                      <w:color w:val="000000"/>
                      <w:kern w:val="0"/>
                      <w:sz w:val="21"/>
                      <w:szCs w:val="21"/>
                      <w:lang w:val="en-US" w:eastAsia="zh-CN" w:bidi="ar-SA"/>
                    </w:rPr>
                  </w:pPr>
                  <w:r>
                    <w:rPr>
                      <w:rFonts w:hint="eastAsia"/>
                      <w:color w:val="000000"/>
                      <w:kern w:val="0"/>
                      <w:sz w:val="21"/>
                      <w:szCs w:val="21"/>
                      <w:lang w:val="en-US" w:eastAsia="zh-CN"/>
                    </w:rPr>
                    <w:t>钢管</w:t>
                  </w:r>
                </w:p>
              </w:tc>
              <w:tc>
                <w:tcPr>
                  <w:tcW w:w="1487" w:type="dxa"/>
                  <w:shd w:val="clear" w:color="auto" w:fill="auto"/>
                  <w:noWrap w:val="0"/>
                  <w:vAlign w:val="center"/>
                </w:tcPr>
                <w:p w14:paraId="1D747352">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1350</w:t>
                  </w:r>
                </w:p>
              </w:tc>
              <w:tc>
                <w:tcPr>
                  <w:tcW w:w="2708" w:type="dxa"/>
                  <w:noWrap w:val="0"/>
                  <w:vAlign w:val="center"/>
                </w:tcPr>
                <w:p w14:paraId="32945C17">
                  <w:pPr>
                    <w:pStyle w:val="8"/>
                    <w:keepNext/>
                    <w:keepLines w:val="0"/>
                    <w:pageBreakBefore w:val="0"/>
                    <w:widowControl/>
                    <w:kinsoku/>
                    <w:wordWrap/>
                    <w:overflowPunct/>
                    <w:topLinePunct w:val="0"/>
                    <w:autoSpaceDE/>
                    <w:autoSpaceDN/>
                    <w:bidi w:val="0"/>
                    <w:adjustRightInd w:val="0"/>
                    <w:snapToGrid w:val="0"/>
                    <w:spacing w:before="0" w:after="0" w:line="240" w:lineRule="auto"/>
                    <w:ind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rPr>
                    <w:t>3PE管</w:t>
                  </w:r>
                </w:p>
              </w:tc>
              <w:tc>
                <w:tcPr>
                  <w:tcW w:w="1054" w:type="dxa"/>
                  <w:shd w:val="clear" w:color="auto" w:fill="auto"/>
                  <w:noWrap w:val="0"/>
                  <w:vAlign w:val="center"/>
                </w:tcPr>
                <w:p w14:paraId="5F6CD40D">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1503.526</w:t>
                  </w:r>
                </w:p>
              </w:tc>
            </w:tr>
            <w:tr w14:paraId="272A2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noWrap w:val="0"/>
                  <w:vAlign w:val="center"/>
                </w:tcPr>
                <w:p w14:paraId="706DD606">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1821" w:type="dxa"/>
                  <w:noWrap w:val="0"/>
                  <w:vAlign w:val="center"/>
                </w:tcPr>
                <w:p w14:paraId="4714E110">
                  <w:pPr>
                    <w:keepNext/>
                    <w:keepLines w:val="0"/>
                    <w:pageBreakBefore w:val="0"/>
                    <w:widowControl/>
                    <w:kinsoku/>
                    <w:wordWrap/>
                    <w:overflowPunct/>
                    <w:topLinePunct w:val="0"/>
                    <w:autoSpaceDE/>
                    <w:autoSpaceDN/>
                    <w:bidi w:val="0"/>
                    <w:adjustRightInd w:val="0"/>
                    <w:snapToGrid w:val="0"/>
                    <w:spacing w:line="240" w:lineRule="auto"/>
                    <w:jc w:val="center"/>
                    <w:rPr>
                      <w:rFonts w:hint="default" w:eastAsia="宋体"/>
                      <w:color w:val="000000"/>
                      <w:kern w:val="0"/>
                      <w:sz w:val="21"/>
                      <w:szCs w:val="21"/>
                      <w:lang w:val="en-US" w:eastAsia="zh-CN" w:bidi="ar-SA"/>
                    </w:rPr>
                  </w:pPr>
                  <w:r>
                    <w:rPr>
                      <w:rFonts w:hint="eastAsia"/>
                      <w:color w:val="000000"/>
                      <w:kern w:val="0"/>
                      <w:sz w:val="21"/>
                      <w:szCs w:val="21"/>
                      <w:lang w:val="en-US" w:eastAsia="zh-CN"/>
                    </w:rPr>
                    <w:t>聚乙烯防腐树脂</w:t>
                  </w:r>
                </w:p>
              </w:tc>
              <w:tc>
                <w:tcPr>
                  <w:tcW w:w="1487" w:type="dxa"/>
                  <w:shd w:val="clear" w:color="auto" w:fill="auto"/>
                  <w:noWrap w:val="0"/>
                  <w:vAlign w:val="center"/>
                </w:tcPr>
                <w:p w14:paraId="0C54C263">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00</w:t>
                  </w:r>
                </w:p>
              </w:tc>
              <w:tc>
                <w:tcPr>
                  <w:tcW w:w="2708" w:type="dxa"/>
                  <w:noWrap w:val="0"/>
                  <w:vAlign w:val="center"/>
                </w:tcPr>
                <w:p w14:paraId="31A74378">
                  <w:pPr>
                    <w:pStyle w:val="8"/>
                    <w:keepNext/>
                    <w:keepLines w:val="0"/>
                    <w:pageBreakBefore w:val="0"/>
                    <w:widowControl/>
                    <w:kinsoku/>
                    <w:wordWrap/>
                    <w:overflowPunct/>
                    <w:topLinePunct w:val="0"/>
                    <w:autoSpaceDE/>
                    <w:autoSpaceDN/>
                    <w:bidi w:val="0"/>
                    <w:adjustRightInd w:val="0"/>
                    <w:snapToGrid w:val="0"/>
                    <w:spacing w:before="0" w:after="0" w:line="240" w:lineRule="auto"/>
                    <w:ind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lang w:val="en-US" w:eastAsia="zh-CN"/>
                    </w:rPr>
                    <w:t>除锈粉尘（</w:t>
                  </w:r>
                  <w:r>
                    <w:rPr>
                      <w:rFonts w:hint="eastAsia" w:cs="Times New Roman"/>
                      <w:color w:val="000000"/>
                      <w:sz w:val="21"/>
                      <w:szCs w:val="21"/>
                      <w:lang w:val="en-US" w:eastAsia="zh-CN"/>
                    </w:rPr>
                    <w:t>产生</w:t>
                  </w:r>
                  <w:r>
                    <w:rPr>
                      <w:rFonts w:hint="default" w:ascii="Times New Roman" w:hAnsi="Times New Roman" w:eastAsia="宋体" w:cs="Times New Roman"/>
                      <w:color w:val="000000"/>
                      <w:sz w:val="21"/>
                      <w:szCs w:val="21"/>
                      <w:lang w:val="en-US" w:eastAsia="zh-CN"/>
                    </w:rPr>
                    <w:t>）</w:t>
                  </w:r>
                </w:p>
              </w:tc>
              <w:tc>
                <w:tcPr>
                  <w:tcW w:w="1054" w:type="dxa"/>
                  <w:shd w:val="clear" w:color="auto" w:fill="auto"/>
                  <w:noWrap w:val="0"/>
                  <w:vAlign w:val="center"/>
                </w:tcPr>
                <w:p w14:paraId="46D1B99D">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2.956</w:t>
                  </w:r>
                </w:p>
              </w:tc>
            </w:tr>
            <w:tr w14:paraId="00C90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noWrap w:val="0"/>
                  <w:vAlign w:val="center"/>
                </w:tcPr>
                <w:p w14:paraId="2E8564EC">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3</w:t>
                  </w:r>
                </w:p>
              </w:tc>
              <w:tc>
                <w:tcPr>
                  <w:tcW w:w="1821" w:type="dxa"/>
                  <w:noWrap w:val="0"/>
                  <w:vAlign w:val="center"/>
                </w:tcPr>
                <w:p w14:paraId="1AADE49D">
                  <w:pPr>
                    <w:keepNext/>
                    <w:keepLines w:val="0"/>
                    <w:pageBreakBefore w:val="0"/>
                    <w:widowControl/>
                    <w:kinsoku/>
                    <w:wordWrap/>
                    <w:overflowPunct/>
                    <w:topLinePunct w:val="0"/>
                    <w:autoSpaceDE/>
                    <w:autoSpaceDN/>
                    <w:bidi w:val="0"/>
                    <w:adjustRightInd w:val="0"/>
                    <w:snapToGrid w:val="0"/>
                    <w:spacing w:line="240" w:lineRule="auto"/>
                    <w:jc w:val="center"/>
                    <w:textAlignment w:val="top"/>
                    <w:rPr>
                      <w:rFonts w:hint="default"/>
                      <w:color w:val="000000"/>
                      <w:kern w:val="0"/>
                      <w:sz w:val="21"/>
                      <w:szCs w:val="21"/>
                      <w:lang w:val="en-US" w:eastAsia="zh-CN" w:bidi="ar-SA"/>
                    </w:rPr>
                  </w:pPr>
                  <w:r>
                    <w:rPr>
                      <w:color w:val="000000"/>
                      <w:kern w:val="0"/>
                      <w:sz w:val="21"/>
                      <w:szCs w:val="21"/>
                      <w:lang w:bidi="ar"/>
                    </w:rPr>
                    <w:t>环氧粉末</w:t>
                  </w:r>
                </w:p>
              </w:tc>
              <w:tc>
                <w:tcPr>
                  <w:tcW w:w="1487" w:type="dxa"/>
                  <w:shd w:val="clear" w:color="auto" w:fill="auto"/>
                  <w:noWrap w:val="0"/>
                  <w:vAlign w:val="center"/>
                </w:tcPr>
                <w:p w14:paraId="5C70587A">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08" w:type="dxa"/>
                  <w:noWrap w:val="0"/>
                  <w:vAlign w:val="center"/>
                </w:tcPr>
                <w:p w14:paraId="07FDD650">
                  <w:pPr>
                    <w:pStyle w:val="8"/>
                    <w:keepNext/>
                    <w:keepLines w:val="0"/>
                    <w:pageBreakBefore w:val="0"/>
                    <w:widowControl/>
                    <w:kinsoku/>
                    <w:wordWrap/>
                    <w:overflowPunct/>
                    <w:topLinePunct w:val="0"/>
                    <w:autoSpaceDE/>
                    <w:autoSpaceDN/>
                    <w:bidi w:val="0"/>
                    <w:adjustRightInd w:val="0"/>
                    <w:snapToGrid w:val="0"/>
                    <w:spacing w:before="0" w:after="0" w:line="240" w:lineRule="auto"/>
                    <w:ind w:right="0" w:right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sz w:val="21"/>
                      <w:szCs w:val="21"/>
                      <w:lang w:val="en-US" w:eastAsia="zh-CN"/>
                    </w:rPr>
                    <w:t>环氧粉末</w:t>
                  </w:r>
                  <w:r>
                    <w:rPr>
                      <w:rFonts w:hint="default" w:ascii="Times New Roman" w:hAnsi="Times New Roman" w:eastAsia="宋体" w:cs="Times New Roman"/>
                      <w:color w:val="000000"/>
                      <w:sz w:val="21"/>
                      <w:szCs w:val="21"/>
                      <w:lang w:val="en-US" w:eastAsia="zh-CN"/>
                    </w:rPr>
                    <w:t>粉尘（包括排放和沉降粉尘）</w:t>
                  </w:r>
                </w:p>
              </w:tc>
              <w:tc>
                <w:tcPr>
                  <w:tcW w:w="1054" w:type="dxa"/>
                  <w:shd w:val="clear" w:color="auto" w:fill="auto"/>
                  <w:noWrap w:val="0"/>
                  <w:vAlign w:val="center"/>
                </w:tcPr>
                <w:p w14:paraId="1F4B430B">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1.062</w:t>
                  </w:r>
                </w:p>
              </w:tc>
            </w:tr>
            <w:tr w14:paraId="02D1E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noWrap w:val="0"/>
                  <w:vAlign w:val="center"/>
                </w:tcPr>
                <w:p w14:paraId="34C70FB7">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4</w:t>
                  </w:r>
                </w:p>
              </w:tc>
              <w:tc>
                <w:tcPr>
                  <w:tcW w:w="1821" w:type="dxa"/>
                  <w:noWrap w:val="0"/>
                  <w:vAlign w:val="center"/>
                </w:tcPr>
                <w:p w14:paraId="7F8C44E1">
                  <w:pPr>
                    <w:keepNext/>
                    <w:keepLines w:val="0"/>
                    <w:pageBreakBefore w:val="0"/>
                    <w:widowControl/>
                    <w:kinsoku/>
                    <w:wordWrap/>
                    <w:overflowPunct/>
                    <w:topLinePunct w:val="0"/>
                    <w:autoSpaceDE/>
                    <w:autoSpaceDN/>
                    <w:bidi w:val="0"/>
                    <w:adjustRightInd w:val="0"/>
                    <w:snapToGrid w:val="0"/>
                    <w:spacing w:line="240" w:lineRule="auto"/>
                    <w:jc w:val="center"/>
                    <w:textAlignment w:val="top"/>
                    <w:rPr>
                      <w:rFonts w:hint="default"/>
                      <w:color w:val="000000"/>
                      <w:kern w:val="0"/>
                      <w:sz w:val="21"/>
                      <w:szCs w:val="21"/>
                      <w:lang w:val="en-US" w:eastAsia="zh-CN" w:bidi="ar-SA"/>
                    </w:rPr>
                  </w:pPr>
                  <w:r>
                    <w:rPr>
                      <w:rFonts w:hint="eastAsia"/>
                      <w:color w:val="000000"/>
                      <w:kern w:val="0"/>
                      <w:sz w:val="21"/>
                      <w:szCs w:val="21"/>
                      <w:lang w:val="en-US" w:eastAsia="zh-CN" w:bidi="ar"/>
                    </w:rPr>
                    <w:t>共聚聚烯烃底胶</w:t>
                  </w:r>
                </w:p>
              </w:tc>
              <w:tc>
                <w:tcPr>
                  <w:tcW w:w="1487" w:type="dxa"/>
                  <w:shd w:val="clear" w:color="auto" w:fill="auto"/>
                  <w:noWrap w:val="0"/>
                  <w:vAlign w:val="center"/>
                </w:tcPr>
                <w:p w14:paraId="7CD10919">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2708" w:type="dxa"/>
                  <w:noWrap w:val="0"/>
                  <w:vAlign w:val="center"/>
                </w:tcPr>
                <w:p w14:paraId="71FB8698">
                  <w:pPr>
                    <w:pStyle w:val="8"/>
                    <w:keepNext/>
                    <w:keepLines w:val="0"/>
                    <w:pageBreakBefore w:val="0"/>
                    <w:widowControl/>
                    <w:kinsoku/>
                    <w:wordWrap/>
                    <w:overflowPunct/>
                    <w:topLinePunct w:val="0"/>
                    <w:autoSpaceDE/>
                    <w:autoSpaceDN/>
                    <w:bidi w:val="0"/>
                    <w:adjustRightInd w:val="0"/>
                    <w:snapToGrid w:val="0"/>
                    <w:spacing w:before="0" w:after="0" w:line="240" w:lineRule="auto"/>
                    <w:ind w:right="0" w:rightChars="0"/>
                    <w:jc w:val="center"/>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sz w:val="21"/>
                      <w:szCs w:val="21"/>
                    </w:rPr>
                    <w:t>非甲烷总烃</w:t>
                  </w:r>
                  <w:r>
                    <w:rPr>
                      <w:rFonts w:hint="eastAsia" w:cs="Times New Roman"/>
                      <w:color w:val="000000"/>
                      <w:sz w:val="21"/>
                      <w:szCs w:val="21"/>
                      <w:lang w:eastAsia="zh-CN"/>
                    </w:rPr>
                    <w:t>（</w:t>
                  </w:r>
                  <w:r>
                    <w:rPr>
                      <w:rFonts w:hint="eastAsia" w:cs="Times New Roman"/>
                      <w:color w:val="000000"/>
                      <w:sz w:val="21"/>
                      <w:szCs w:val="21"/>
                      <w:lang w:val="en-US" w:eastAsia="zh-CN"/>
                    </w:rPr>
                    <w:t>产生</w:t>
                  </w:r>
                  <w:r>
                    <w:rPr>
                      <w:rFonts w:hint="eastAsia" w:cs="Times New Roman"/>
                      <w:color w:val="000000"/>
                      <w:sz w:val="21"/>
                      <w:szCs w:val="21"/>
                      <w:lang w:eastAsia="zh-CN"/>
                    </w:rPr>
                    <w:t>）</w:t>
                  </w:r>
                </w:p>
              </w:tc>
              <w:tc>
                <w:tcPr>
                  <w:tcW w:w="1054" w:type="dxa"/>
                  <w:noWrap w:val="0"/>
                  <w:vAlign w:val="center"/>
                </w:tcPr>
                <w:p w14:paraId="679D04DA">
                  <w:pPr>
                    <w:keepNext/>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1.956</w:t>
                  </w:r>
                </w:p>
              </w:tc>
            </w:tr>
            <w:tr w14:paraId="1BD7E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noWrap w:val="0"/>
                  <w:vAlign w:val="center"/>
                </w:tcPr>
                <w:p w14:paraId="377F09B5">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w:t>
                  </w:r>
                </w:p>
              </w:tc>
              <w:tc>
                <w:tcPr>
                  <w:tcW w:w="1821" w:type="dxa"/>
                  <w:noWrap w:val="0"/>
                  <w:vAlign w:val="center"/>
                </w:tcPr>
                <w:p w14:paraId="17B4DEDA">
                  <w:pPr>
                    <w:keepNext/>
                    <w:keepLines w:val="0"/>
                    <w:pageBreakBefore w:val="0"/>
                    <w:widowControl/>
                    <w:kinsoku/>
                    <w:wordWrap/>
                    <w:overflowPunct/>
                    <w:topLinePunct w:val="0"/>
                    <w:autoSpaceDE/>
                    <w:autoSpaceDN/>
                    <w:bidi w:val="0"/>
                    <w:adjustRightInd w:val="0"/>
                    <w:snapToGrid w:val="0"/>
                    <w:spacing w:line="240" w:lineRule="auto"/>
                    <w:jc w:val="center"/>
                    <w:rPr>
                      <w:rFonts w:hint="default"/>
                      <w:color w:val="000000"/>
                      <w:kern w:val="0"/>
                      <w:sz w:val="21"/>
                      <w:szCs w:val="21"/>
                      <w:lang w:val="en-US" w:eastAsia="zh-CN" w:bidi="ar-SA"/>
                    </w:rPr>
                  </w:pPr>
                </w:p>
              </w:tc>
              <w:tc>
                <w:tcPr>
                  <w:tcW w:w="1487" w:type="dxa"/>
                  <w:noWrap w:val="0"/>
                  <w:vAlign w:val="center"/>
                </w:tcPr>
                <w:p w14:paraId="3B376820">
                  <w:pPr>
                    <w:keepNext/>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color w:val="000000"/>
                      <w:kern w:val="0"/>
                      <w:sz w:val="21"/>
                      <w:szCs w:val="21"/>
                    </w:rPr>
                  </w:pPr>
                </w:p>
              </w:tc>
              <w:tc>
                <w:tcPr>
                  <w:tcW w:w="2708" w:type="dxa"/>
                  <w:noWrap w:val="0"/>
                  <w:vAlign w:val="center"/>
                </w:tcPr>
                <w:p w14:paraId="6803322C">
                  <w:pPr>
                    <w:pStyle w:val="8"/>
                    <w:keepNext/>
                    <w:keepLines w:val="0"/>
                    <w:pageBreakBefore w:val="0"/>
                    <w:widowControl/>
                    <w:kinsoku/>
                    <w:wordWrap/>
                    <w:overflowPunct/>
                    <w:topLinePunct w:val="0"/>
                    <w:autoSpaceDE/>
                    <w:autoSpaceDN/>
                    <w:bidi w:val="0"/>
                    <w:adjustRightInd w:val="0"/>
                    <w:snapToGrid w:val="0"/>
                    <w:spacing w:before="0" w:after="0" w:line="240" w:lineRule="auto"/>
                    <w:ind w:right="0" w:right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边角料</w:t>
                  </w:r>
                </w:p>
              </w:tc>
              <w:tc>
                <w:tcPr>
                  <w:tcW w:w="1054" w:type="dxa"/>
                  <w:noWrap w:val="0"/>
                  <w:vAlign w:val="center"/>
                </w:tcPr>
                <w:p w14:paraId="6C54A2EE">
                  <w:pPr>
                    <w:keepNext/>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0.5</w:t>
                  </w:r>
                </w:p>
              </w:tc>
            </w:tr>
            <w:tr w14:paraId="71C34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8" w:type="dxa"/>
                  <w:noWrap w:val="0"/>
                  <w:vAlign w:val="center"/>
                </w:tcPr>
                <w:p w14:paraId="019CCCC3">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1821" w:type="dxa"/>
                  <w:noWrap w:val="0"/>
                  <w:vAlign w:val="center"/>
                </w:tcPr>
                <w:p w14:paraId="76BF5BAE">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p>
              </w:tc>
              <w:tc>
                <w:tcPr>
                  <w:tcW w:w="1487" w:type="dxa"/>
                  <w:noWrap w:val="0"/>
                  <w:vAlign w:val="center"/>
                </w:tcPr>
                <w:p w14:paraId="7C9A1DBC">
                  <w:pPr>
                    <w:keepNext/>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2"/>
                      <w:sz w:val="21"/>
                      <w:szCs w:val="21"/>
                      <w:u w:val="none"/>
                      <w:lang w:val="en-US" w:eastAsia="zh-CN" w:bidi="ar-SA"/>
                    </w:rPr>
                    <w:t>1510</w:t>
                  </w:r>
                </w:p>
              </w:tc>
              <w:tc>
                <w:tcPr>
                  <w:tcW w:w="2708" w:type="dxa"/>
                  <w:noWrap w:val="0"/>
                  <w:vAlign w:val="center"/>
                </w:tcPr>
                <w:p w14:paraId="289D6598">
                  <w:pPr>
                    <w:pStyle w:val="8"/>
                    <w:keepNext/>
                    <w:keepLines w:val="0"/>
                    <w:pageBreakBefore w:val="0"/>
                    <w:widowControl/>
                    <w:kinsoku/>
                    <w:wordWrap/>
                    <w:overflowPunct/>
                    <w:topLinePunct w:val="0"/>
                    <w:autoSpaceDE/>
                    <w:autoSpaceDN/>
                    <w:bidi w:val="0"/>
                    <w:adjustRightInd w:val="0"/>
                    <w:snapToGrid w:val="0"/>
                    <w:spacing w:before="0" w:after="0" w:line="240" w:lineRule="auto"/>
                    <w:ind w:right="0"/>
                    <w:jc w:val="center"/>
                    <w:rPr>
                      <w:rFonts w:hint="default" w:ascii="Times New Roman" w:hAnsi="Times New Roman" w:eastAsia="宋体" w:cs="Times New Roman"/>
                      <w:color w:val="000000"/>
                      <w:sz w:val="21"/>
                      <w:szCs w:val="21"/>
                    </w:rPr>
                  </w:pPr>
                </w:p>
              </w:tc>
              <w:tc>
                <w:tcPr>
                  <w:tcW w:w="1054" w:type="dxa"/>
                  <w:shd w:val="clear" w:color="auto" w:fill="auto"/>
                  <w:noWrap w:val="0"/>
                  <w:vAlign w:val="center"/>
                </w:tcPr>
                <w:p w14:paraId="79505EF3">
                  <w:pPr>
                    <w:keepNext w:val="0"/>
                    <w:keepLines w:val="0"/>
                    <w:widowControl/>
                    <w:suppressLineNumbers w:val="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1510</w:t>
                  </w:r>
                </w:p>
              </w:tc>
            </w:tr>
          </w:tbl>
          <w:p w14:paraId="35878C83">
            <w:pPr>
              <w:pStyle w:val="10"/>
              <w:keepNext/>
              <w:keepLines w:val="0"/>
              <w:pageBreakBefore w:val="0"/>
              <w:widowControl/>
              <w:numPr>
                <w:ilvl w:val="0"/>
                <w:numId w:val="0"/>
              </w:numPr>
              <w:kinsoku/>
              <w:wordWrap/>
              <w:overflowPunct/>
              <w:topLinePunct w:val="0"/>
              <w:autoSpaceDE/>
              <w:autoSpaceDN/>
              <w:bidi w:val="0"/>
              <w:adjustRightInd w:val="0"/>
              <w:snapToGrid w:val="0"/>
              <w:rPr>
                <w:b/>
                <w:bCs/>
                <w:color w:val="000000"/>
                <w:kern w:val="0"/>
                <w:sz w:val="21"/>
                <w:szCs w:val="21"/>
              </w:rPr>
            </w:pPr>
          </w:p>
        </w:tc>
      </w:tr>
      <w:tr w14:paraId="3233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2" w:type="dxa"/>
            <w:tcBorders>
              <w:tl2br w:val="nil"/>
              <w:tr2bl w:val="nil"/>
            </w:tcBorders>
            <w:noWrap w:val="0"/>
            <w:vAlign w:val="center"/>
          </w:tcPr>
          <w:p w14:paraId="4D3AB55A">
            <w:pPr>
              <w:keepNext/>
              <w:keepLines w:val="0"/>
              <w:pageBreakBefore w:val="0"/>
              <w:widowControl/>
              <w:kinsoku/>
              <w:wordWrap/>
              <w:overflowPunct/>
              <w:topLinePunct w:val="0"/>
              <w:autoSpaceDE/>
              <w:autoSpaceDN/>
              <w:bidi w:val="0"/>
              <w:adjustRightInd w:val="0"/>
              <w:snapToGrid w:val="0"/>
              <w:spacing w:line="240" w:lineRule="auto"/>
              <w:rPr>
                <w:color w:val="000000"/>
                <w:kern w:val="0"/>
              </w:rPr>
            </w:pPr>
            <w:r>
              <w:rPr>
                <w:color w:val="000000"/>
                <w:kern w:val="0"/>
              </w:rPr>
              <w:t>与项目有关的原有环境污染问题</w:t>
            </w:r>
          </w:p>
        </w:tc>
        <w:tc>
          <w:tcPr>
            <w:tcW w:w="8054" w:type="dxa"/>
            <w:tcBorders>
              <w:tl2br w:val="nil"/>
              <w:tr2bl w:val="nil"/>
            </w:tcBorders>
            <w:noWrap w:val="0"/>
            <w:vAlign w:val="top"/>
          </w:tcPr>
          <w:p w14:paraId="74FC6B0B">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r>
              <w:rPr>
                <w:rFonts w:hint="eastAsia"/>
                <w:color w:val="000000"/>
                <w:kern w:val="0"/>
                <w:lang w:val="en-US" w:eastAsia="zh-CN"/>
              </w:rPr>
              <w:t>河南省特种防腐有限公司2011年委托编制了《河南省特种防腐有限公司新建基地和防腐厂建设项目环境影响报告表》于2011年12月19日在原巴州环境保护局取得批复，批复文号：巴环控函〔2011]819号。该项目于2012年建设完成，由于原生产的产品防腐管（黄夹克）基本被市场淘汰，自2021年至今均未生产。</w:t>
            </w:r>
          </w:p>
          <w:p w14:paraId="37F050B3">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r>
              <w:rPr>
                <w:rFonts w:hint="eastAsia"/>
                <w:color w:val="000000"/>
                <w:kern w:val="0"/>
                <w:lang w:val="en-US" w:eastAsia="zh-CN"/>
              </w:rPr>
              <w:t>建设单位承诺对现有工程设备进行断电停运，不再运行。因此现有工程已不具备环保验收条件。</w:t>
            </w:r>
          </w:p>
          <w:p w14:paraId="24E4BA65">
            <w:pPr>
              <w:keepNext/>
              <w:keepLines w:val="0"/>
              <w:pageBreakBefore w:val="0"/>
              <w:widowControl/>
              <w:kinsoku/>
              <w:wordWrap/>
              <w:overflowPunct/>
              <w:topLinePunct w:val="0"/>
              <w:autoSpaceDE/>
              <w:autoSpaceDN/>
              <w:bidi w:val="0"/>
              <w:ind w:firstLine="480" w:firstLineChars="200"/>
              <w:rPr>
                <w:rFonts w:hint="eastAsia"/>
                <w:color w:val="000000"/>
                <w:kern w:val="0"/>
              </w:rPr>
            </w:pPr>
            <w:r>
              <w:rPr>
                <w:rFonts w:hint="eastAsia"/>
                <w:color w:val="000000"/>
                <w:kern w:val="0"/>
                <w:lang w:val="en-US" w:eastAsia="zh-CN"/>
              </w:rPr>
              <w:t>故</w:t>
            </w:r>
            <w:r>
              <w:rPr>
                <w:rFonts w:hint="eastAsia"/>
                <w:color w:val="000000"/>
                <w:kern w:val="0"/>
              </w:rPr>
              <w:t>本项目</w:t>
            </w:r>
            <w:r>
              <w:rPr>
                <w:rFonts w:hint="eastAsia"/>
                <w:color w:val="000000"/>
                <w:kern w:val="0"/>
                <w:lang w:val="en-US" w:eastAsia="zh-CN"/>
              </w:rPr>
              <w:t>暂</w:t>
            </w:r>
            <w:r>
              <w:rPr>
                <w:rFonts w:hint="eastAsia"/>
                <w:color w:val="000000"/>
                <w:kern w:val="0"/>
              </w:rPr>
              <w:t>无与本项目有关的原有环境污染问题。</w:t>
            </w:r>
          </w:p>
          <w:p w14:paraId="75A2A23C">
            <w:pPr>
              <w:keepNext/>
              <w:keepLines w:val="0"/>
              <w:pageBreakBefore w:val="0"/>
              <w:widowControl/>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本项目已建成，根据现场勘察发现存在以下问题：</w:t>
            </w:r>
          </w:p>
          <w:p w14:paraId="5A5BF9C4">
            <w:pPr>
              <w:keepNext/>
              <w:keepLines w:val="0"/>
              <w:pageBreakBefore w:val="0"/>
              <w:widowControl/>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①本项目抛丸设备已安装布袋除尘器、环氧粉末喷涂已安装旋风除尘器+滤芯除尘器，但现场未安装VOCs治理设备。</w:t>
            </w:r>
          </w:p>
          <w:p w14:paraId="207DC666">
            <w:pPr>
              <w:keepNext/>
              <w:keepLines w:val="0"/>
              <w:pageBreakBefore w:val="0"/>
              <w:widowControl/>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②本项目产生的废润滑油未按要求进行收集、贮存、处置。</w:t>
            </w:r>
          </w:p>
          <w:p w14:paraId="718160D4">
            <w:pPr>
              <w:keepNext/>
              <w:keepLines w:val="0"/>
              <w:pageBreakBefore w:val="0"/>
              <w:widowControl/>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③生活污水未经收集处理直接用于项目区周边绿化。</w:t>
            </w:r>
          </w:p>
          <w:p w14:paraId="45855461">
            <w:pPr>
              <w:keepNext/>
              <w:keepLines w:val="0"/>
              <w:pageBreakBefore w:val="0"/>
              <w:widowControl/>
              <w:kinsoku/>
              <w:wordWrap/>
              <w:overflowPunct/>
              <w:topLinePunct w:val="0"/>
              <w:autoSpaceDE/>
              <w:autoSpaceDN/>
              <w:bidi w:val="0"/>
              <w:spacing w:line="360" w:lineRule="auto"/>
              <w:ind w:firstLine="480" w:firstLineChars="200"/>
              <w:rPr>
                <w:rFonts w:hint="default" w:ascii="Times New Roman" w:hAnsi="Times New Roman" w:eastAsia="宋体" w:cs="Times New Roman"/>
                <w:color w:val="000000"/>
                <w:kern w:val="0"/>
                <w:sz w:val="24"/>
                <w:lang w:val="en-US" w:eastAsia="zh-CN"/>
              </w:rPr>
            </w:pPr>
            <w:r>
              <w:rPr>
                <w:rFonts w:hint="eastAsia" w:cs="Times New Roman"/>
                <w:color w:val="000000"/>
                <w:kern w:val="0"/>
                <w:sz w:val="24"/>
                <w:lang w:val="en-US" w:eastAsia="zh-CN"/>
              </w:rPr>
              <w:t>④本项目已运行，但未进行排污许可相关工作。</w:t>
            </w:r>
          </w:p>
          <w:p w14:paraId="4CC80D24">
            <w:pPr>
              <w:keepNext/>
              <w:keepLines w:val="0"/>
              <w:pageBreakBefore w:val="0"/>
              <w:widowControl/>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根据现场勘察发现的问题提出的相关整改措施：</w:t>
            </w:r>
          </w:p>
          <w:p w14:paraId="12555764">
            <w:pPr>
              <w:keepNext/>
              <w:keepLines w:val="0"/>
              <w:pageBreakBefore w:val="0"/>
              <w:widowControl/>
              <w:kinsoku/>
              <w:wordWrap/>
              <w:overflowPunct/>
              <w:topLinePunct w:val="0"/>
              <w:autoSpaceDE/>
              <w:autoSpaceDN/>
              <w:bidi w:val="0"/>
              <w:spacing w:line="360" w:lineRule="auto"/>
              <w:ind w:firstLine="480" w:firstLineChars="200"/>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①建议环氧粉末喷涂废气经旋风除尘器+滤芯除尘后与PE防腐层缠绕挤出废气一同进入二级活性炭装置处理，处理后的废气经15m排气筒排放。</w:t>
            </w:r>
          </w:p>
          <w:p w14:paraId="77FE9BE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②建议在厂区内建设危险废物暂存见1间，按照</w:t>
            </w:r>
            <w:r>
              <w:rPr>
                <w:rFonts w:ascii="Times New Roman" w:hAnsi="Times New Roman" w:eastAsia="宋体" w:cs="Times New Roman"/>
                <w:color w:val="000000"/>
                <w:sz w:val="24"/>
                <w:szCs w:val="21"/>
              </w:rPr>
              <w:t>《危险废物贮存污染控制标准》（GB18597-20</w:t>
            </w:r>
            <w:r>
              <w:rPr>
                <w:rFonts w:hint="eastAsia" w:ascii="Times New Roman" w:hAnsi="Times New Roman" w:eastAsia="宋体" w:cs="Times New Roman"/>
                <w:color w:val="000000"/>
                <w:sz w:val="24"/>
                <w:szCs w:val="21"/>
              </w:rPr>
              <w:t>23</w:t>
            </w:r>
            <w:r>
              <w:rPr>
                <w:rFonts w:ascii="Times New Roman" w:hAnsi="Times New Roman" w:eastAsia="宋体" w:cs="Times New Roman"/>
                <w:color w:val="000000"/>
                <w:sz w:val="24"/>
                <w:szCs w:val="21"/>
              </w:rPr>
              <w:t>）</w:t>
            </w:r>
            <w:r>
              <w:rPr>
                <w:rFonts w:hint="eastAsia" w:ascii="Times New Roman" w:hAnsi="Times New Roman" w:eastAsia="宋体" w:cs="Times New Roman"/>
                <w:color w:val="000000"/>
                <w:kern w:val="0"/>
                <w:sz w:val="24"/>
                <w:lang w:val="en-US" w:eastAsia="zh-CN"/>
              </w:rPr>
              <w:t>对厂区内产生的危险废物进行收集、贮存、处置。</w:t>
            </w:r>
          </w:p>
          <w:p w14:paraId="599026D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kern w:val="24"/>
                <w:sz w:val="24"/>
                <w:szCs w:val="24"/>
                <w:lang w:val="en-US" w:eastAsia="zh-CN" w:bidi="ar-SA"/>
              </w:rPr>
            </w:pPr>
            <w:r>
              <w:rPr>
                <w:rFonts w:hint="eastAsia" w:ascii="Times New Roman" w:hAnsi="Times New Roman" w:eastAsia="宋体" w:cs="Times New Roman"/>
                <w:color w:val="000000"/>
                <w:kern w:val="0"/>
                <w:sz w:val="24"/>
                <w:lang w:val="en-US" w:eastAsia="zh-CN"/>
              </w:rPr>
              <w:t>③建议生活污水集中收集至化粪池内，定期清运至</w:t>
            </w:r>
            <w:r>
              <w:rPr>
                <w:rFonts w:hint="default" w:ascii="Times New Roman" w:hAnsi="Times New Roman" w:eastAsia="宋体" w:cs="Times New Roman"/>
                <w:bCs/>
                <w:color w:val="000000"/>
                <w:kern w:val="24"/>
                <w:sz w:val="24"/>
                <w:szCs w:val="24"/>
                <w:lang w:val="en-US" w:eastAsia="zh-CN" w:bidi="ar-SA"/>
              </w:rPr>
              <w:t>轮台县新城区污水处理厂</w:t>
            </w:r>
            <w:r>
              <w:rPr>
                <w:rFonts w:hint="eastAsia" w:ascii="Times New Roman" w:hAnsi="Times New Roman" w:eastAsia="宋体" w:cs="Times New Roman"/>
                <w:bCs/>
                <w:color w:val="000000"/>
                <w:kern w:val="24"/>
                <w:sz w:val="24"/>
                <w:szCs w:val="24"/>
                <w:lang w:val="en-US" w:eastAsia="zh-CN" w:bidi="ar-SA"/>
              </w:rPr>
              <w:t>进行处理。</w:t>
            </w:r>
          </w:p>
          <w:p w14:paraId="54C55AE8">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r>
              <w:rPr>
                <w:rFonts w:hint="eastAsia"/>
                <w:color w:val="000000"/>
                <w:kern w:val="0"/>
                <w:lang w:val="en-US" w:eastAsia="zh-CN"/>
              </w:rPr>
              <w:t>④建议尽快完成排污登记，严禁非法排污。</w:t>
            </w:r>
          </w:p>
          <w:p w14:paraId="3AB33EA1">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1ACCFB93">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6A8274C1">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141F5DFD">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532B00A5">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1AD9FED6">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6142362B">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75910EBB">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3EAE777B">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78A72970">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759F7326">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6F00D8E4">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54525925">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7908637F">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7F2D518A">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11EB2398">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4D81CA8E">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3265A7C4">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3327319E">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5E320AB5">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2749ECD5">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6D3E5F29">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788F79EF">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06798DAD">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3AB36811">
            <w:pPr>
              <w:keepNext/>
              <w:keepLines w:val="0"/>
              <w:pageBreakBefore w:val="0"/>
              <w:widowControl/>
              <w:kinsoku/>
              <w:wordWrap/>
              <w:overflowPunct/>
              <w:topLinePunct w:val="0"/>
              <w:autoSpaceDE/>
              <w:autoSpaceDN/>
              <w:bidi w:val="0"/>
              <w:ind w:firstLine="480" w:firstLineChars="200"/>
              <w:rPr>
                <w:rFonts w:hint="eastAsia"/>
                <w:color w:val="000000"/>
                <w:kern w:val="0"/>
                <w:lang w:val="en-US" w:eastAsia="zh-CN"/>
              </w:rPr>
            </w:pPr>
          </w:p>
          <w:p w14:paraId="1473BD25">
            <w:pPr>
              <w:keepNext/>
              <w:keepLines w:val="0"/>
              <w:pageBreakBefore w:val="0"/>
              <w:widowControl/>
              <w:kinsoku/>
              <w:wordWrap/>
              <w:overflowPunct/>
              <w:topLinePunct w:val="0"/>
              <w:autoSpaceDE/>
              <w:autoSpaceDN/>
              <w:bidi w:val="0"/>
              <w:ind w:firstLine="480" w:firstLineChars="200"/>
              <w:rPr>
                <w:rFonts w:hint="default"/>
                <w:color w:val="000000"/>
                <w:kern w:val="0"/>
                <w:lang w:val="en-US" w:eastAsia="zh-CN"/>
              </w:rPr>
            </w:pPr>
          </w:p>
        </w:tc>
      </w:tr>
    </w:tbl>
    <w:p w14:paraId="2EA30A56">
      <w:pPr>
        <w:pStyle w:val="19"/>
        <w:jc w:val="center"/>
        <w:rPr>
          <w:rFonts w:ascii="Times New Roman" w:hAnsi="Times New Roman" w:eastAsia="黑体"/>
          <w:snapToGrid w:val="0"/>
          <w:sz w:val="36"/>
          <w:szCs w:val="36"/>
        </w:rPr>
        <w:sectPr>
          <w:pgSz w:w="11906" w:h="16838"/>
          <w:pgMar w:top="1440" w:right="1803" w:bottom="1440" w:left="1803" w:header="851" w:footer="851" w:gutter="0"/>
          <w:pgBorders>
            <w:top w:val="none" w:sz="0" w:space="0"/>
            <w:left w:val="none" w:sz="0" w:space="0"/>
            <w:bottom w:val="none" w:sz="0" w:space="0"/>
            <w:right w:val="none" w:sz="0" w:space="0"/>
          </w:pgBorders>
          <w:cols w:space="720" w:num="1"/>
          <w:docGrid w:linePitch="312" w:charSpace="0"/>
        </w:sectPr>
      </w:pPr>
    </w:p>
    <w:p w14:paraId="2C2753A3">
      <w:pPr>
        <w:pStyle w:val="3"/>
        <w:rPr>
          <w:color w:val="auto"/>
        </w:rPr>
      </w:pPr>
      <w:bookmarkStart w:id="4" w:name="_Toc30740"/>
      <w:r>
        <w:rPr>
          <w:color w:val="auto"/>
        </w:rPr>
        <w:t>三、区域环境质量现状、环境保护目标及评价标准</w:t>
      </w:r>
      <w:bookmarkEnd w:id="4"/>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60"/>
        <w:gridCol w:w="8601"/>
      </w:tblGrid>
      <w:tr w14:paraId="370455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dxa"/>
            <w:tcBorders>
              <w:tl2br w:val="nil"/>
              <w:tr2bl w:val="nil"/>
            </w:tcBorders>
            <w:noWrap w:val="0"/>
            <w:vAlign w:val="center"/>
          </w:tcPr>
          <w:p w14:paraId="32689605">
            <w:pPr>
              <w:adjustRightInd w:val="0"/>
              <w:snapToGrid w:val="0"/>
              <w:jc w:val="center"/>
              <w:rPr>
                <w:color w:val="000000"/>
                <w:kern w:val="0"/>
                <w:szCs w:val="21"/>
              </w:rPr>
            </w:pPr>
            <w:r>
              <w:rPr>
                <w:color w:val="000000"/>
                <w:kern w:val="0"/>
                <w:szCs w:val="21"/>
              </w:rPr>
              <w:t>区域</w:t>
            </w:r>
          </w:p>
          <w:p w14:paraId="035236E6">
            <w:pPr>
              <w:adjustRightInd w:val="0"/>
              <w:snapToGrid w:val="0"/>
              <w:jc w:val="center"/>
              <w:rPr>
                <w:color w:val="000000"/>
                <w:kern w:val="0"/>
                <w:szCs w:val="21"/>
              </w:rPr>
            </w:pPr>
            <w:r>
              <w:rPr>
                <w:color w:val="000000"/>
                <w:kern w:val="0"/>
                <w:szCs w:val="21"/>
              </w:rPr>
              <w:t>环境</w:t>
            </w:r>
          </w:p>
          <w:p w14:paraId="4DB0B0C7">
            <w:pPr>
              <w:adjustRightInd w:val="0"/>
              <w:snapToGrid w:val="0"/>
              <w:jc w:val="center"/>
              <w:rPr>
                <w:color w:val="000000"/>
                <w:kern w:val="0"/>
                <w:szCs w:val="21"/>
              </w:rPr>
            </w:pPr>
            <w:r>
              <w:rPr>
                <w:color w:val="000000"/>
                <w:kern w:val="0"/>
                <w:szCs w:val="21"/>
              </w:rPr>
              <w:t>质量</w:t>
            </w:r>
          </w:p>
          <w:p w14:paraId="4E47DC8A">
            <w:pPr>
              <w:adjustRightInd w:val="0"/>
              <w:snapToGrid w:val="0"/>
              <w:jc w:val="center"/>
              <w:rPr>
                <w:color w:val="000000"/>
                <w:kern w:val="0"/>
                <w:szCs w:val="21"/>
              </w:rPr>
            </w:pPr>
            <w:r>
              <w:rPr>
                <w:color w:val="000000"/>
                <w:kern w:val="0"/>
                <w:szCs w:val="21"/>
              </w:rPr>
              <w:t>现状</w:t>
            </w:r>
          </w:p>
        </w:tc>
        <w:tc>
          <w:tcPr>
            <w:tcW w:w="8601" w:type="dxa"/>
            <w:tcBorders>
              <w:tl2br w:val="nil"/>
              <w:tr2bl w:val="nil"/>
            </w:tcBorders>
            <w:noWrap w:val="0"/>
            <w:vAlign w:val="center"/>
          </w:tcPr>
          <w:p w14:paraId="208CFF7F">
            <w:pPr>
              <w:adjustRightInd w:val="0"/>
              <w:snapToGrid w:val="0"/>
              <w:rPr>
                <w:b/>
                <w:bCs/>
                <w:color w:val="000000"/>
              </w:rPr>
            </w:pPr>
            <w:r>
              <w:rPr>
                <w:b/>
                <w:bCs/>
                <w:color w:val="000000"/>
              </w:rPr>
              <w:t>1环境空气</w:t>
            </w:r>
          </w:p>
          <w:p w14:paraId="0A4B5C98">
            <w:pPr>
              <w:ind w:firstLine="482" w:firstLineChars="200"/>
              <w:rPr>
                <w:rFonts w:hint="eastAsia"/>
                <w:b/>
                <w:bCs/>
                <w:color w:val="000000"/>
              </w:rPr>
            </w:pPr>
            <w:r>
              <w:rPr>
                <w:rFonts w:hint="eastAsia"/>
                <w:b/>
                <w:bCs/>
                <w:color w:val="000000"/>
              </w:rPr>
              <w:t>1.1达标区判定</w:t>
            </w:r>
          </w:p>
          <w:p w14:paraId="589454EC">
            <w:pPr>
              <w:keepNext/>
              <w:keepLines w:val="0"/>
              <w:pageBreakBefore w:val="0"/>
              <w:widowControl/>
              <w:suppressLineNumbers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rPr>
                <w:rFonts w:hint="default" w:ascii="Times New Roman" w:hAnsi="Times New Roman" w:eastAsia="宋体" w:cs="Times New Roman"/>
                <w:color w:val="000000"/>
                <w:spacing w:val="0"/>
                <w:kern w:val="0"/>
                <w:position w:val="0"/>
                <w:lang w:val="en-US" w:eastAsia="zh-CN" w:bidi="zh-CN"/>
              </w:rPr>
            </w:pPr>
            <w:r>
              <w:rPr>
                <w:rFonts w:hint="default" w:ascii="Times New Roman" w:hAnsi="Times New Roman" w:eastAsia="宋体" w:cs="Times New Roman"/>
                <w:color w:val="000000"/>
                <w:spacing w:val="0"/>
                <w:kern w:val="0"/>
                <w:position w:val="0"/>
                <w:lang w:val="en-US" w:eastAsia="zh-CN" w:bidi="zh-CN"/>
              </w:rPr>
              <w:t>本次环境空气质量现状采用2023年巴音郭楞蒙古自治州</w:t>
            </w:r>
            <w:r>
              <w:rPr>
                <w:rFonts w:hint="eastAsia" w:ascii="Times New Roman" w:hAnsi="Times New Roman" w:eastAsia="宋体" w:cs="Times New Roman"/>
                <w:color w:val="000000"/>
                <w:spacing w:val="0"/>
                <w:kern w:val="0"/>
                <w:position w:val="0"/>
                <w:lang w:val="en-US" w:eastAsia="zh-CN" w:bidi="zh-CN"/>
              </w:rPr>
              <w:t>轮台县</w:t>
            </w:r>
            <w:r>
              <w:rPr>
                <w:rFonts w:hint="default" w:ascii="Times New Roman" w:hAnsi="Times New Roman" w:eastAsia="宋体" w:cs="Times New Roman"/>
                <w:color w:val="000000"/>
                <w:spacing w:val="0"/>
                <w:kern w:val="0"/>
                <w:position w:val="0"/>
                <w:lang w:val="en-US" w:eastAsia="zh-CN" w:bidi="zh-CN"/>
              </w:rPr>
              <w:t>环境空气质量监测站中公布的</w:t>
            </w:r>
            <w:r>
              <w:rPr>
                <w:rFonts w:hint="eastAsia" w:ascii="Times New Roman" w:hAnsi="Times New Roman" w:eastAsia="宋体" w:cs="Times New Roman"/>
                <w:color w:val="000000"/>
                <w:spacing w:val="0"/>
                <w:kern w:val="0"/>
                <w:position w:val="0"/>
                <w:lang w:val="en-US" w:eastAsia="zh-CN" w:bidi="zh-CN"/>
              </w:rPr>
              <w:t>轮台县</w:t>
            </w:r>
            <w:r>
              <w:rPr>
                <w:rFonts w:hint="default" w:ascii="Times New Roman" w:hAnsi="Times New Roman" w:eastAsia="宋体" w:cs="Times New Roman"/>
                <w:color w:val="000000"/>
                <w:spacing w:val="0"/>
                <w:kern w:val="0"/>
                <w:position w:val="0"/>
                <w:lang w:val="en-US" w:eastAsia="zh-CN" w:bidi="zh-CN"/>
              </w:rPr>
              <w:t>2023年SO</w:t>
            </w:r>
            <w:r>
              <w:rPr>
                <w:rFonts w:hint="default" w:ascii="Times New Roman" w:hAnsi="Times New Roman" w:eastAsia="宋体" w:cs="Times New Roman"/>
                <w:color w:val="000000"/>
                <w:spacing w:val="0"/>
                <w:kern w:val="0"/>
                <w:position w:val="0"/>
                <w:vertAlign w:val="subscript"/>
                <w:lang w:val="en-US" w:eastAsia="zh-CN" w:bidi="zh-CN"/>
              </w:rPr>
              <w:t>2</w:t>
            </w:r>
            <w:r>
              <w:rPr>
                <w:rFonts w:hint="default" w:ascii="Times New Roman" w:hAnsi="Times New Roman" w:eastAsia="宋体" w:cs="Times New Roman"/>
                <w:color w:val="000000"/>
                <w:spacing w:val="0"/>
                <w:kern w:val="0"/>
                <w:position w:val="0"/>
                <w:lang w:val="en-US" w:eastAsia="zh-CN" w:bidi="zh-CN"/>
              </w:rPr>
              <w:t>、NO</w:t>
            </w:r>
            <w:r>
              <w:rPr>
                <w:rFonts w:hint="default" w:ascii="Times New Roman" w:hAnsi="Times New Roman" w:eastAsia="宋体" w:cs="Times New Roman"/>
                <w:color w:val="000000"/>
                <w:spacing w:val="0"/>
                <w:kern w:val="0"/>
                <w:position w:val="0"/>
                <w:vertAlign w:val="subscript"/>
                <w:lang w:val="en-US" w:eastAsia="zh-CN" w:bidi="zh-CN"/>
              </w:rPr>
              <w:t>2</w:t>
            </w:r>
            <w:r>
              <w:rPr>
                <w:rFonts w:hint="default" w:ascii="Times New Roman" w:hAnsi="Times New Roman" w:eastAsia="宋体" w:cs="Times New Roman"/>
                <w:color w:val="000000"/>
                <w:spacing w:val="0"/>
                <w:kern w:val="0"/>
                <w:position w:val="0"/>
                <w:lang w:val="en-US" w:eastAsia="zh-CN" w:bidi="zh-CN"/>
              </w:rPr>
              <w:t>、CO、O</w:t>
            </w:r>
            <w:r>
              <w:rPr>
                <w:rFonts w:hint="default" w:ascii="Times New Roman" w:hAnsi="Times New Roman" w:eastAsia="宋体" w:cs="Times New Roman"/>
                <w:color w:val="000000"/>
                <w:spacing w:val="0"/>
                <w:kern w:val="0"/>
                <w:position w:val="0"/>
                <w:vertAlign w:val="subscript"/>
                <w:lang w:val="en-US" w:eastAsia="zh-CN" w:bidi="zh-CN"/>
              </w:rPr>
              <w:t>3</w:t>
            </w:r>
            <w:r>
              <w:rPr>
                <w:rFonts w:hint="default" w:ascii="Times New Roman" w:hAnsi="Times New Roman" w:eastAsia="宋体" w:cs="Times New Roman"/>
                <w:color w:val="000000"/>
                <w:spacing w:val="0"/>
                <w:kern w:val="0"/>
                <w:position w:val="0"/>
                <w:lang w:val="en-US" w:eastAsia="zh-CN" w:bidi="zh-CN"/>
              </w:rPr>
              <w:t>、PM</w:t>
            </w:r>
            <w:r>
              <w:rPr>
                <w:rFonts w:hint="default" w:ascii="Times New Roman" w:hAnsi="Times New Roman" w:eastAsia="宋体" w:cs="Times New Roman"/>
                <w:color w:val="000000"/>
                <w:spacing w:val="0"/>
                <w:kern w:val="0"/>
                <w:position w:val="0"/>
                <w:vertAlign w:val="subscript"/>
                <w:lang w:val="en-US" w:eastAsia="zh-CN" w:bidi="zh-CN"/>
              </w:rPr>
              <w:t>10</w:t>
            </w:r>
            <w:r>
              <w:rPr>
                <w:rFonts w:hint="default" w:ascii="Times New Roman" w:hAnsi="Times New Roman" w:eastAsia="宋体" w:cs="Times New Roman"/>
                <w:color w:val="000000"/>
                <w:spacing w:val="0"/>
                <w:kern w:val="0"/>
                <w:position w:val="0"/>
                <w:lang w:val="en-US" w:eastAsia="zh-CN" w:bidi="zh-CN"/>
              </w:rPr>
              <w:t>、PM</w:t>
            </w:r>
            <w:r>
              <w:rPr>
                <w:rFonts w:hint="default" w:ascii="Times New Roman" w:hAnsi="Times New Roman" w:eastAsia="宋体" w:cs="Times New Roman"/>
                <w:color w:val="000000"/>
                <w:spacing w:val="0"/>
                <w:kern w:val="0"/>
                <w:position w:val="0"/>
                <w:vertAlign w:val="subscript"/>
                <w:lang w:val="en-US" w:eastAsia="zh-CN" w:bidi="zh-CN"/>
              </w:rPr>
              <w:t>2.5</w:t>
            </w:r>
            <w:r>
              <w:rPr>
                <w:rFonts w:hint="default" w:ascii="Times New Roman" w:hAnsi="Times New Roman" w:eastAsia="宋体" w:cs="Times New Roman"/>
                <w:color w:val="000000"/>
                <w:spacing w:val="0"/>
                <w:kern w:val="0"/>
                <w:position w:val="0"/>
                <w:lang w:val="en-US" w:eastAsia="zh-CN" w:bidi="zh-CN"/>
              </w:rPr>
              <w:t>等六项基本污染物环境空气质量现状数据。</w:t>
            </w:r>
          </w:p>
          <w:p w14:paraId="677EDBE3">
            <w:pPr>
              <w:keepNext/>
              <w:keepLines w:val="0"/>
              <w:pageBreakBefore w:val="0"/>
              <w:widowControl/>
              <w:kinsoku/>
              <w:wordWrap/>
              <w:overflowPunct/>
              <w:topLinePunct w:val="0"/>
              <w:autoSpaceDE w:val="0"/>
              <w:autoSpaceDN w:val="0"/>
              <w:bidi w:val="0"/>
              <w:adjustRightInd w:val="0"/>
              <w:snapToGrid w:val="0"/>
              <w:spacing w:line="240" w:lineRule="auto"/>
              <w:ind w:left="0" w:leftChars="0" w:right="0" w:firstLine="482" w:firstLineChars="200"/>
              <w:jc w:val="both"/>
              <w:textAlignment w:val="auto"/>
              <w:rPr>
                <w:rFonts w:hint="default" w:ascii="Times New Roman" w:hAnsi="Times New Roman" w:eastAsia="宋体" w:cs="Times New Roman"/>
                <w:b/>
                <w:bCs/>
                <w:color w:val="000000"/>
                <w:spacing w:val="0"/>
                <w:kern w:val="0"/>
                <w:position w:val="0"/>
                <w:sz w:val="24"/>
                <w:szCs w:val="24"/>
                <w:highlight w:val="none"/>
                <w:lang w:val="en-US" w:eastAsia="zh-CN" w:bidi="ar"/>
              </w:rPr>
            </w:pPr>
            <w:r>
              <w:rPr>
                <w:rFonts w:hint="default" w:ascii="Times New Roman" w:hAnsi="Times New Roman" w:eastAsia="宋体" w:cs="Times New Roman"/>
                <w:b/>
                <w:bCs/>
                <w:color w:val="000000"/>
                <w:spacing w:val="0"/>
                <w:kern w:val="0"/>
                <w:position w:val="0"/>
                <w:sz w:val="24"/>
                <w:szCs w:val="24"/>
                <w:highlight w:val="none"/>
                <w:lang w:val="en-US" w:eastAsia="zh-CN" w:bidi="ar"/>
              </w:rPr>
              <w:t>表</w:t>
            </w:r>
            <w:r>
              <w:rPr>
                <w:rFonts w:hint="eastAsia" w:ascii="Times New Roman" w:hAnsi="Times New Roman" w:eastAsia="宋体" w:cs="Times New Roman"/>
                <w:b/>
                <w:bCs/>
                <w:color w:val="000000"/>
                <w:spacing w:val="0"/>
                <w:kern w:val="0"/>
                <w:position w:val="0"/>
                <w:sz w:val="24"/>
                <w:szCs w:val="24"/>
                <w:highlight w:val="none"/>
                <w:lang w:val="en-US" w:eastAsia="zh-CN" w:bidi="ar"/>
              </w:rPr>
              <w:t>3-1</w:t>
            </w:r>
            <w:r>
              <w:rPr>
                <w:rFonts w:hint="default" w:ascii="Times New Roman" w:hAnsi="Times New Roman" w:eastAsia="宋体" w:cs="Times New Roman"/>
                <w:b/>
                <w:bCs/>
                <w:color w:val="000000"/>
                <w:spacing w:val="0"/>
                <w:kern w:val="0"/>
                <w:position w:val="0"/>
                <w:sz w:val="24"/>
                <w:szCs w:val="24"/>
                <w:highlight w:val="none"/>
                <w:lang w:val="en-US" w:eastAsia="zh-CN" w:bidi="ar"/>
              </w:rPr>
              <w:t xml:space="preserve">  </w:t>
            </w:r>
            <w:r>
              <w:rPr>
                <w:rFonts w:hint="eastAsia" w:ascii="Times New Roman" w:hAnsi="Times New Roman" w:eastAsia="宋体" w:cs="Times New Roman"/>
                <w:b/>
                <w:bCs/>
                <w:color w:val="000000"/>
                <w:spacing w:val="0"/>
                <w:kern w:val="0"/>
                <w:position w:val="0"/>
                <w:sz w:val="24"/>
                <w:szCs w:val="24"/>
                <w:highlight w:val="none"/>
                <w:lang w:val="en-US" w:eastAsia="zh-CN" w:bidi="ar"/>
              </w:rPr>
              <w:t xml:space="preserve">   </w:t>
            </w:r>
            <w:r>
              <w:rPr>
                <w:rFonts w:hint="default" w:ascii="Times New Roman" w:hAnsi="Times New Roman" w:eastAsia="宋体" w:cs="Times New Roman"/>
                <w:b/>
                <w:bCs/>
                <w:color w:val="000000"/>
                <w:spacing w:val="0"/>
                <w:kern w:val="0"/>
                <w:position w:val="0"/>
                <w:sz w:val="24"/>
                <w:szCs w:val="24"/>
                <w:highlight w:val="none"/>
                <w:lang w:val="en-US" w:eastAsia="zh-CN" w:bidi="ar"/>
              </w:rPr>
              <w:t xml:space="preserve">  </w:t>
            </w:r>
            <w:r>
              <w:rPr>
                <w:rFonts w:hint="eastAsia" w:ascii="Times New Roman" w:hAnsi="Times New Roman" w:eastAsia="宋体" w:cs="Times New Roman"/>
                <w:b/>
                <w:bCs/>
                <w:color w:val="000000"/>
                <w:spacing w:val="0"/>
                <w:kern w:val="0"/>
                <w:position w:val="0"/>
                <w:sz w:val="24"/>
                <w:szCs w:val="24"/>
                <w:highlight w:val="none"/>
                <w:lang w:val="en-US" w:eastAsia="zh-CN" w:bidi="ar"/>
              </w:rPr>
              <w:t>轮台县2023</w:t>
            </w:r>
            <w:r>
              <w:rPr>
                <w:rFonts w:hint="default" w:ascii="Times New Roman" w:hAnsi="Times New Roman" w:eastAsia="宋体" w:cs="Times New Roman"/>
                <w:b/>
                <w:bCs/>
                <w:color w:val="000000"/>
                <w:spacing w:val="0"/>
                <w:kern w:val="0"/>
                <w:position w:val="0"/>
                <w:sz w:val="24"/>
                <w:szCs w:val="24"/>
                <w:highlight w:val="none"/>
                <w:lang w:val="en-US" w:eastAsia="zh-CN" w:bidi="ar"/>
              </w:rPr>
              <w:t>年环境空气质量数据</w:t>
            </w:r>
          </w:p>
          <w:tbl>
            <w:tblPr>
              <w:tblStyle w:val="25"/>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2471"/>
              <w:gridCol w:w="1288"/>
              <w:gridCol w:w="1785"/>
              <w:gridCol w:w="735"/>
              <w:gridCol w:w="848"/>
            </w:tblGrid>
            <w:tr w14:paraId="56AE1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tcBorders>
                    <w:tl2br w:val="nil"/>
                    <w:tr2bl w:val="nil"/>
                  </w:tcBorders>
                  <w:noWrap w:val="0"/>
                  <w:vAlign w:val="center"/>
                </w:tcPr>
                <w:p w14:paraId="0FAA76D3">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污染物</w:t>
                  </w:r>
                </w:p>
              </w:tc>
              <w:tc>
                <w:tcPr>
                  <w:tcW w:w="1473" w:type="pct"/>
                  <w:tcBorders>
                    <w:tl2br w:val="nil"/>
                    <w:tr2bl w:val="nil"/>
                  </w:tcBorders>
                  <w:noWrap w:val="0"/>
                  <w:vAlign w:val="center"/>
                </w:tcPr>
                <w:p w14:paraId="2E781AEA">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评价项目</w:t>
                  </w:r>
                </w:p>
              </w:tc>
              <w:tc>
                <w:tcPr>
                  <w:tcW w:w="768" w:type="pct"/>
                  <w:tcBorders>
                    <w:tl2br w:val="nil"/>
                    <w:tr2bl w:val="nil"/>
                  </w:tcBorders>
                  <w:noWrap w:val="0"/>
                  <w:vAlign w:val="center"/>
                </w:tcPr>
                <w:p w14:paraId="4CBC7307">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default" w:ascii="Times New Roman" w:hAnsi="Times New Roman" w:eastAsia="宋体" w:cs="Times New Roman"/>
                      <w:b w:val="0"/>
                      <w:bCs w:val="0"/>
                      <w:spacing w:val="0"/>
                      <w:kern w:val="2"/>
                      <w:position w:val="0"/>
                      <w:sz w:val="21"/>
                      <w:szCs w:val="21"/>
                      <w:lang w:val="en-US" w:bidi="ar-SA"/>
                    </w:rPr>
                    <w:t>浓度（μ</w:t>
                  </w:r>
                  <w:r>
                    <w:rPr>
                      <w:rFonts w:hint="eastAsia" w:ascii="Times New Roman" w:hAnsi="Times New Roman" w:eastAsia="宋体" w:cs="Times New Roman"/>
                      <w:b w:val="0"/>
                      <w:bCs w:val="0"/>
                      <w:spacing w:val="0"/>
                      <w:kern w:val="2"/>
                      <w:position w:val="0"/>
                      <w:sz w:val="21"/>
                      <w:szCs w:val="21"/>
                      <w:lang w:val="en-US" w:eastAsia="zh-CN" w:bidi="ar-SA"/>
                    </w:rPr>
                    <w:t>g</w:t>
                  </w:r>
                  <w:r>
                    <w:rPr>
                      <w:rFonts w:hint="default" w:ascii="Times New Roman" w:hAnsi="Times New Roman" w:eastAsia="宋体" w:cs="Times New Roman"/>
                      <w:b w:val="0"/>
                      <w:bCs w:val="0"/>
                      <w:spacing w:val="0"/>
                      <w:kern w:val="2"/>
                      <w:position w:val="0"/>
                      <w:sz w:val="21"/>
                      <w:szCs w:val="21"/>
                      <w:lang w:val="en-US" w:bidi="ar-SA"/>
                    </w:rPr>
                    <w:t>/m</w:t>
                  </w:r>
                  <w:r>
                    <w:rPr>
                      <w:rFonts w:hint="default" w:ascii="Times New Roman" w:hAnsi="Times New Roman" w:eastAsia="宋体" w:cs="Times New Roman"/>
                      <w:b w:val="0"/>
                      <w:bCs w:val="0"/>
                      <w:spacing w:val="0"/>
                      <w:kern w:val="2"/>
                      <w:position w:val="0"/>
                      <w:sz w:val="21"/>
                      <w:szCs w:val="21"/>
                      <w:vertAlign w:val="superscript"/>
                      <w:lang w:val="en-US" w:bidi="ar-SA"/>
                    </w:rPr>
                    <w:t>3</w:t>
                  </w:r>
                  <w:r>
                    <w:rPr>
                      <w:rFonts w:hint="default" w:ascii="Times New Roman" w:hAnsi="Times New Roman" w:eastAsia="宋体" w:cs="Times New Roman"/>
                      <w:b w:val="0"/>
                      <w:bCs w:val="0"/>
                      <w:spacing w:val="0"/>
                      <w:kern w:val="2"/>
                      <w:position w:val="0"/>
                      <w:sz w:val="21"/>
                      <w:szCs w:val="21"/>
                      <w:lang w:val="en-US" w:bidi="ar-SA"/>
                    </w:rPr>
                    <w:t>）</w:t>
                  </w:r>
                </w:p>
              </w:tc>
              <w:tc>
                <w:tcPr>
                  <w:tcW w:w="1064" w:type="pct"/>
                  <w:tcBorders>
                    <w:tl2br w:val="nil"/>
                    <w:tr2bl w:val="nil"/>
                  </w:tcBorders>
                  <w:noWrap w:val="0"/>
                  <w:vAlign w:val="center"/>
                </w:tcPr>
                <w:p w14:paraId="5567CD73">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标准（二级）</w:t>
                  </w:r>
                  <w:r>
                    <w:rPr>
                      <w:rFonts w:hint="default" w:ascii="Times New Roman" w:hAnsi="Times New Roman" w:eastAsia="宋体" w:cs="Times New Roman"/>
                      <w:b w:val="0"/>
                      <w:bCs w:val="0"/>
                      <w:spacing w:val="0"/>
                      <w:kern w:val="2"/>
                      <w:position w:val="0"/>
                      <w:sz w:val="21"/>
                      <w:szCs w:val="21"/>
                      <w:lang w:val="en-US" w:bidi="ar-SA"/>
                    </w:rPr>
                    <w:t>（μ</w:t>
                  </w:r>
                  <w:r>
                    <w:rPr>
                      <w:rFonts w:hint="eastAsia" w:ascii="Times New Roman" w:hAnsi="Times New Roman" w:eastAsia="宋体" w:cs="Times New Roman"/>
                      <w:b w:val="0"/>
                      <w:bCs w:val="0"/>
                      <w:spacing w:val="0"/>
                      <w:kern w:val="2"/>
                      <w:position w:val="0"/>
                      <w:sz w:val="21"/>
                      <w:szCs w:val="21"/>
                      <w:lang w:val="en-US" w:eastAsia="zh-CN" w:bidi="ar-SA"/>
                    </w:rPr>
                    <w:t>g</w:t>
                  </w:r>
                  <w:r>
                    <w:rPr>
                      <w:rFonts w:hint="default" w:ascii="Times New Roman" w:hAnsi="Times New Roman" w:eastAsia="宋体" w:cs="Times New Roman"/>
                      <w:b w:val="0"/>
                      <w:bCs w:val="0"/>
                      <w:spacing w:val="0"/>
                      <w:kern w:val="2"/>
                      <w:position w:val="0"/>
                      <w:sz w:val="21"/>
                      <w:szCs w:val="21"/>
                      <w:lang w:val="en-US" w:bidi="ar-SA"/>
                    </w:rPr>
                    <w:t>/m</w:t>
                  </w:r>
                  <w:r>
                    <w:rPr>
                      <w:rFonts w:hint="default" w:ascii="Times New Roman" w:hAnsi="Times New Roman" w:eastAsia="宋体" w:cs="Times New Roman"/>
                      <w:b w:val="0"/>
                      <w:bCs w:val="0"/>
                      <w:spacing w:val="0"/>
                      <w:kern w:val="2"/>
                      <w:position w:val="0"/>
                      <w:sz w:val="21"/>
                      <w:szCs w:val="21"/>
                      <w:vertAlign w:val="superscript"/>
                      <w:lang w:val="en-US" w:bidi="ar-SA"/>
                    </w:rPr>
                    <w:t>3</w:t>
                  </w:r>
                  <w:r>
                    <w:rPr>
                      <w:rFonts w:hint="default" w:ascii="Times New Roman" w:hAnsi="Times New Roman" w:eastAsia="宋体" w:cs="Times New Roman"/>
                      <w:b w:val="0"/>
                      <w:bCs w:val="0"/>
                      <w:spacing w:val="0"/>
                      <w:kern w:val="2"/>
                      <w:position w:val="0"/>
                      <w:sz w:val="21"/>
                      <w:szCs w:val="21"/>
                      <w:lang w:val="en-US" w:bidi="ar-SA"/>
                    </w:rPr>
                    <w:t>）</w:t>
                  </w:r>
                </w:p>
              </w:tc>
              <w:tc>
                <w:tcPr>
                  <w:tcW w:w="438" w:type="pct"/>
                  <w:tcBorders>
                    <w:tl2br w:val="nil"/>
                    <w:tr2bl w:val="nil"/>
                  </w:tcBorders>
                  <w:noWrap w:val="0"/>
                  <w:vAlign w:val="center"/>
                </w:tcPr>
                <w:p w14:paraId="297A3EDF">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占标率%</w:t>
                  </w:r>
                </w:p>
              </w:tc>
              <w:tc>
                <w:tcPr>
                  <w:tcW w:w="505" w:type="pct"/>
                  <w:tcBorders>
                    <w:tl2br w:val="nil"/>
                    <w:tr2bl w:val="nil"/>
                  </w:tcBorders>
                  <w:noWrap w:val="0"/>
                  <w:vAlign w:val="center"/>
                </w:tcPr>
                <w:p w14:paraId="0071404E">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达标情况</w:t>
                  </w:r>
                </w:p>
              </w:tc>
            </w:tr>
            <w:tr w14:paraId="56745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vMerge w:val="restart"/>
                  <w:tcBorders>
                    <w:tl2br w:val="nil"/>
                    <w:tr2bl w:val="nil"/>
                  </w:tcBorders>
                  <w:noWrap w:val="0"/>
                  <w:vAlign w:val="center"/>
                </w:tcPr>
                <w:p w14:paraId="1DD164DD">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SO</w:t>
                  </w:r>
                  <w:r>
                    <w:rPr>
                      <w:rFonts w:hint="eastAsia" w:ascii="Times New Roman" w:hAnsi="Times New Roman" w:eastAsia="宋体" w:cs="Times New Roman"/>
                      <w:b w:val="0"/>
                      <w:bCs w:val="0"/>
                      <w:spacing w:val="0"/>
                      <w:kern w:val="2"/>
                      <w:position w:val="0"/>
                      <w:sz w:val="21"/>
                      <w:szCs w:val="21"/>
                      <w:vertAlign w:val="subscript"/>
                      <w:lang w:val="en-US" w:bidi="ar-SA"/>
                    </w:rPr>
                    <w:t>2</w:t>
                  </w:r>
                </w:p>
              </w:tc>
              <w:tc>
                <w:tcPr>
                  <w:tcW w:w="1473" w:type="pct"/>
                  <w:tcBorders>
                    <w:tl2br w:val="nil"/>
                    <w:tr2bl w:val="nil"/>
                  </w:tcBorders>
                  <w:noWrap w:val="0"/>
                  <w:vAlign w:val="center"/>
                </w:tcPr>
                <w:p w14:paraId="2354782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年平均</w:t>
                  </w:r>
                </w:p>
              </w:tc>
              <w:tc>
                <w:tcPr>
                  <w:tcW w:w="768" w:type="pct"/>
                  <w:tcBorders>
                    <w:tl2br w:val="nil"/>
                    <w:tr2bl w:val="nil"/>
                  </w:tcBorders>
                  <w:noWrap w:val="0"/>
                  <w:vAlign w:val="center"/>
                </w:tcPr>
                <w:p w14:paraId="6A399914">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4</w:t>
                  </w:r>
                </w:p>
              </w:tc>
              <w:tc>
                <w:tcPr>
                  <w:tcW w:w="1064" w:type="pct"/>
                  <w:tcBorders>
                    <w:tl2br w:val="nil"/>
                    <w:tr2bl w:val="nil"/>
                  </w:tcBorders>
                  <w:noWrap w:val="0"/>
                  <w:vAlign w:val="center"/>
                </w:tcPr>
                <w:p w14:paraId="4DB64B04">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60</w:t>
                  </w:r>
                </w:p>
              </w:tc>
              <w:tc>
                <w:tcPr>
                  <w:tcW w:w="438" w:type="pct"/>
                  <w:tcBorders>
                    <w:tl2br w:val="nil"/>
                    <w:tr2bl w:val="nil"/>
                  </w:tcBorders>
                  <w:noWrap w:val="0"/>
                  <w:vAlign w:val="center"/>
                </w:tcPr>
                <w:p w14:paraId="15224DA7">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6.7</w:t>
                  </w:r>
                </w:p>
              </w:tc>
              <w:tc>
                <w:tcPr>
                  <w:tcW w:w="505" w:type="pct"/>
                  <w:tcBorders>
                    <w:tl2br w:val="nil"/>
                    <w:tr2bl w:val="nil"/>
                  </w:tcBorders>
                  <w:noWrap w:val="0"/>
                  <w:vAlign w:val="center"/>
                </w:tcPr>
                <w:p w14:paraId="2EEA53DD">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达标</w:t>
                  </w:r>
                </w:p>
              </w:tc>
            </w:tr>
            <w:tr w14:paraId="51971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tl2br w:val="nil"/>
                    <w:tr2bl w:val="nil"/>
                  </w:tcBorders>
                  <w:noWrap w:val="0"/>
                  <w:vAlign w:val="center"/>
                </w:tcPr>
                <w:p w14:paraId="50546FB7">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p>
              </w:tc>
              <w:tc>
                <w:tcPr>
                  <w:tcW w:w="1473" w:type="pct"/>
                  <w:tcBorders>
                    <w:tl2br w:val="nil"/>
                    <w:tr2bl w:val="nil"/>
                  </w:tcBorders>
                  <w:noWrap w:val="0"/>
                  <w:vAlign w:val="center"/>
                </w:tcPr>
                <w:p w14:paraId="1737ED74">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24h平均第98百分位数</w:t>
                  </w:r>
                </w:p>
              </w:tc>
              <w:tc>
                <w:tcPr>
                  <w:tcW w:w="768" w:type="pct"/>
                  <w:tcBorders>
                    <w:tl2br w:val="nil"/>
                    <w:tr2bl w:val="nil"/>
                  </w:tcBorders>
                  <w:noWrap w:val="0"/>
                  <w:vAlign w:val="center"/>
                </w:tcPr>
                <w:p w14:paraId="098E18A2">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11</w:t>
                  </w:r>
                </w:p>
              </w:tc>
              <w:tc>
                <w:tcPr>
                  <w:tcW w:w="1064" w:type="pct"/>
                  <w:tcBorders>
                    <w:tl2br w:val="nil"/>
                    <w:tr2bl w:val="nil"/>
                  </w:tcBorders>
                  <w:noWrap w:val="0"/>
                  <w:vAlign w:val="center"/>
                </w:tcPr>
                <w:p w14:paraId="2C97A4D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150</w:t>
                  </w:r>
                </w:p>
              </w:tc>
              <w:tc>
                <w:tcPr>
                  <w:tcW w:w="438" w:type="pct"/>
                  <w:tcBorders>
                    <w:tl2br w:val="nil"/>
                    <w:tr2bl w:val="nil"/>
                  </w:tcBorders>
                  <w:noWrap w:val="0"/>
                  <w:vAlign w:val="center"/>
                </w:tcPr>
                <w:p w14:paraId="6A21C6BD">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7.3</w:t>
                  </w:r>
                </w:p>
              </w:tc>
              <w:tc>
                <w:tcPr>
                  <w:tcW w:w="505" w:type="pct"/>
                  <w:tcBorders>
                    <w:tl2br w:val="nil"/>
                    <w:tr2bl w:val="nil"/>
                  </w:tcBorders>
                  <w:noWrap w:val="0"/>
                  <w:vAlign w:val="center"/>
                </w:tcPr>
                <w:p w14:paraId="17DB9C69">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达标</w:t>
                  </w:r>
                </w:p>
              </w:tc>
            </w:tr>
            <w:tr w14:paraId="3DD25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vMerge w:val="restart"/>
                  <w:tcBorders>
                    <w:tl2br w:val="nil"/>
                    <w:tr2bl w:val="nil"/>
                  </w:tcBorders>
                  <w:noWrap w:val="0"/>
                  <w:vAlign w:val="center"/>
                </w:tcPr>
                <w:p w14:paraId="04C00274">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NO</w:t>
                  </w:r>
                  <w:r>
                    <w:rPr>
                      <w:rFonts w:hint="eastAsia" w:ascii="Times New Roman" w:hAnsi="Times New Roman" w:eastAsia="宋体" w:cs="Times New Roman"/>
                      <w:b w:val="0"/>
                      <w:bCs w:val="0"/>
                      <w:spacing w:val="0"/>
                      <w:kern w:val="2"/>
                      <w:position w:val="0"/>
                      <w:sz w:val="21"/>
                      <w:szCs w:val="21"/>
                      <w:vertAlign w:val="subscript"/>
                      <w:lang w:val="en-US" w:bidi="ar-SA"/>
                    </w:rPr>
                    <w:t>2</w:t>
                  </w:r>
                </w:p>
              </w:tc>
              <w:tc>
                <w:tcPr>
                  <w:tcW w:w="1473" w:type="pct"/>
                  <w:tcBorders>
                    <w:tl2br w:val="nil"/>
                    <w:tr2bl w:val="nil"/>
                  </w:tcBorders>
                  <w:noWrap w:val="0"/>
                  <w:vAlign w:val="center"/>
                </w:tcPr>
                <w:p w14:paraId="5B23CA5D">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年平均</w:t>
                  </w:r>
                </w:p>
              </w:tc>
              <w:tc>
                <w:tcPr>
                  <w:tcW w:w="768" w:type="pct"/>
                  <w:tcBorders>
                    <w:tl2br w:val="nil"/>
                    <w:tr2bl w:val="nil"/>
                  </w:tcBorders>
                  <w:noWrap w:val="0"/>
                  <w:vAlign w:val="center"/>
                </w:tcPr>
                <w:p w14:paraId="76987F52">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18</w:t>
                  </w:r>
                </w:p>
              </w:tc>
              <w:tc>
                <w:tcPr>
                  <w:tcW w:w="1064" w:type="pct"/>
                  <w:tcBorders>
                    <w:tl2br w:val="nil"/>
                    <w:tr2bl w:val="nil"/>
                  </w:tcBorders>
                  <w:noWrap w:val="0"/>
                  <w:vAlign w:val="center"/>
                </w:tcPr>
                <w:p w14:paraId="1FE8B18A">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40</w:t>
                  </w:r>
                </w:p>
              </w:tc>
              <w:tc>
                <w:tcPr>
                  <w:tcW w:w="438" w:type="pct"/>
                  <w:tcBorders>
                    <w:tl2br w:val="nil"/>
                    <w:tr2bl w:val="nil"/>
                  </w:tcBorders>
                  <w:noWrap w:val="0"/>
                  <w:vAlign w:val="center"/>
                </w:tcPr>
                <w:p w14:paraId="2F025E04">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45</w:t>
                  </w:r>
                </w:p>
              </w:tc>
              <w:tc>
                <w:tcPr>
                  <w:tcW w:w="505" w:type="pct"/>
                  <w:tcBorders>
                    <w:tl2br w:val="nil"/>
                    <w:tr2bl w:val="nil"/>
                  </w:tcBorders>
                  <w:noWrap w:val="0"/>
                  <w:vAlign w:val="center"/>
                </w:tcPr>
                <w:p w14:paraId="5E31680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达标</w:t>
                  </w:r>
                </w:p>
              </w:tc>
            </w:tr>
            <w:tr w14:paraId="13848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tl2br w:val="nil"/>
                    <w:tr2bl w:val="nil"/>
                  </w:tcBorders>
                  <w:noWrap w:val="0"/>
                  <w:vAlign w:val="center"/>
                </w:tcPr>
                <w:p w14:paraId="6261B9A9">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p>
              </w:tc>
              <w:tc>
                <w:tcPr>
                  <w:tcW w:w="1473" w:type="pct"/>
                  <w:tcBorders>
                    <w:tl2br w:val="nil"/>
                    <w:tr2bl w:val="nil"/>
                  </w:tcBorders>
                  <w:noWrap w:val="0"/>
                  <w:vAlign w:val="center"/>
                </w:tcPr>
                <w:p w14:paraId="6622DB93">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24h平均第98百分位数</w:t>
                  </w:r>
                </w:p>
              </w:tc>
              <w:tc>
                <w:tcPr>
                  <w:tcW w:w="768" w:type="pct"/>
                  <w:tcBorders>
                    <w:tl2br w:val="nil"/>
                    <w:tr2bl w:val="nil"/>
                  </w:tcBorders>
                  <w:noWrap w:val="0"/>
                  <w:vAlign w:val="center"/>
                </w:tcPr>
                <w:p w14:paraId="5B070102">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49</w:t>
                  </w:r>
                </w:p>
              </w:tc>
              <w:tc>
                <w:tcPr>
                  <w:tcW w:w="1064" w:type="pct"/>
                  <w:tcBorders>
                    <w:tl2br w:val="nil"/>
                    <w:tr2bl w:val="nil"/>
                  </w:tcBorders>
                  <w:noWrap w:val="0"/>
                  <w:vAlign w:val="center"/>
                </w:tcPr>
                <w:p w14:paraId="31852CF2">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80</w:t>
                  </w:r>
                </w:p>
              </w:tc>
              <w:tc>
                <w:tcPr>
                  <w:tcW w:w="438" w:type="pct"/>
                  <w:tcBorders>
                    <w:tl2br w:val="nil"/>
                    <w:tr2bl w:val="nil"/>
                  </w:tcBorders>
                  <w:noWrap w:val="0"/>
                  <w:vAlign w:val="center"/>
                </w:tcPr>
                <w:p w14:paraId="3525235B">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61.3</w:t>
                  </w:r>
                </w:p>
              </w:tc>
              <w:tc>
                <w:tcPr>
                  <w:tcW w:w="505" w:type="pct"/>
                  <w:tcBorders>
                    <w:tl2br w:val="nil"/>
                    <w:tr2bl w:val="nil"/>
                  </w:tcBorders>
                  <w:noWrap w:val="0"/>
                  <w:vAlign w:val="center"/>
                </w:tcPr>
                <w:p w14:paraId="7BEE9FD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达标</w:t>
                  </w:r>
                </w:p>
              </w:tc>
            </w:tr>
            <w:tr w14:paraId="33A29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tcBorders>
                    <w:tl2br w:val="nil"/>
                    <w:tr2bl w:val="nil"/>
                  </w:tcBorders>
                  <w:noWrap w:val="0"/>
                  <w:vAlign w:val="center"/>
                </w:tcPr>
                <w:p w14:paraId="16EF4F46">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CO（mg/m</w:t>
                  </w:r>
                  <w:r>
                    <w:rPr>
                      <w:rFonts w:hint="eastAsia" w:ascii="Times New Roman" w:hAnsi="Times New Roman" w:eastAsia="宋体" w:cs="Times New Roman"/>
                      <w:b w:val="0"/>
                      <w:bCs w:val="0"/>
                      <w:spacing w:val="0"/>
                      <w:kern w:val="2"/>
                      <w:position w:val="0"/>
                      <w:sz w:val="21"/>
                      <w:szCs w:val="21"/>
                      <w:vertAlign w:val="superscript"/>
                      <w:lang w:val="en-US" w:bidi="ar-SA"/>
                    </w:rPr>
                    <w:t>3</w:t>
                  </w:r>
                  <w:r>
                    <w:rPr>
                      <w:rFonts w:hint="eastAsia" w:ascii="Times New Roman" w:hAnsi="Times New Roman" w:eastAsia="宋体" w:cs="Times New Roman"/>
                      <w:b w:val="0"/>
                      <w:bCs w:val="0"/>
                      <w:spacing w:val="0"/>
                      <w:kern w:val="2"/>
                      <w:position w:val="0"/>
                      <w:sz w:val="21"/>
                      <w:szCs w:val="21"/>
                      <w:lang w:val="en-US" w:bidi="ar-SA"/>
                    </w:rPr>
                    <w:t>）</w:t>
                  </w:r>
                </w:p>
              </w:tc>
              <w:tc>
                <w:tcPr>
                  <w:tcW w:w="1473" w:type="pct"/>
                  <w:tcBorders>
                    <w:tl2br w:val="nil"/>
                    <w:tr2bl w:val="nil"/>
                  </w:tcBorders>
                  <w:noWrap w:val="0"/>
                  <w:vAlign w:val="center"/>
                </w:tcPr>
                <w:p w14:paraId="45F795A6">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24h平均第95百分位数</w:t>
                  </w:r>
                </w:p>
              </w:tc>
              <w:tc>
                <w:tcPr>
                  <w:tcW w:w="768" w:type="pct"/>
                  <w:tcBorders>
                    <w:tl2br w:val="nil"/>
                    <w:tr2bl w:val="nil"/>
                  </w:tcBorders>
                  <w:noWrap w:val="0"/>
                  <w:vAlign w:val="center"/>
                </w:tcPr>
                <w:p w14:paraId="7AC42133">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2.18</w:t>
                  </w:r>
                </w:p>
              </w:tc>
              <w:tc>
                <w:tcPr>
                  <w:tcW w:w="1064" w:type="pct"/>
                  <w:tcBorders>
                    <w:tl2br w:val="nil"/>
                    <w:tr2bl w:val="nil"/>
                  </w:tcBorders>
                  <w:noWrap w:val="0"/>
                  <w:vAlign w:val="center"/>
                </w:tcPr>
                <w:p w14:paraId="6B00B3A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4</w:t>
                  </w:r>
                </w:p>
              </w:tc>
              <w:tc>
                <w:tcPr>
                  <w:tcW w:w="438" w:type="pct"/>
                  <w:tcBorders>
                    <w:tl2br w:val="nil"/>
                    <w:tr2bl w:val="nil"/>
                  </w:tcBorders>
                  <w:noWrap w:val="0"/>
                  <w:vAlign w:val="center"/>
                </w:tcPr>
                <w:p w14:paraId="5284D0A8">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54.5</w:t>
                  </w:r>
                </w:p>
              </w:tc>
              <w:tc>
                <w:tcPr>
                  <w:tcW w:w="505" w:type="pct"/>
                  <w:tcBorders>
                    <w:tl2br w:val="nil"/>
                    <w:tr2bl w:val="nil"/>
                  </w:tcBorders>
                  <w:noWrap w:val="0"/>
                  <w:vAlign w:val="center"/>
                </w:tcPr>
                <w:p w14:paraId="3950ECC1">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达标</w:t>
                  </w:r>
                </w:p>
              </w:tc>
            </w:tr>
            <w:tr w14:paraId="169E8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tcBorders>
                    <w:tl2br w:val="nil"/>
                    <w:tr2bl w:val="nil"/>
                  </w:tcBorders>
                  <w:noWrap w:val="0"/>
                  <w:vAlign w:val="center"/>
                </w:tcPr>
                <w:p w14:paraId="5C20A5B2">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O</w:t>
                  </w:r>
                  <w:r>
                    <w:rPr>
                      <w:rFonts w:hint="eastAsia" w:ascii="Times New Roman" w:hAnsi="Times New Roman" w:eastAsia="宋体" w:cs="Times New Roman"/>
                      <w:b w:val="0"/>
                      <w:bCs w:val="0"/>
                      <w:spacing w:val="0"/>
                      <w:kern w:val="2"/>
                      <w:position w:val="0"/>
                      <w:sz w:val="21"/>
                      <w:szCs w:val="21"/>
                      <w:vertAlign w:val="subscript"/>
                      <w:lang w:val="en-US" w:bidi="ar-SA"/>
                    </w:rPr>
                    <w:t>3</w:t>
                  </w:r>
                </w:p>
              </w:tc>
              <w:tc>
                <w:tcPr>
                  <w:tcW w:w="1473" w:type="pct"/>
                  <w:tcBorders>
                    <w:tl2br w:val="nil"/>
                    <w:tr2bl w:val="nil"/>
                  </w:tcBorders>
                  <w:noWrap w:val="0"/>
                  <w:vAlign w:val="center"/>
                </w:tcPr>
                <w:p w14:paraId="46CDFBD2">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default" w:ascii="Times New Roman" w:hAnsi="Times New Roman" w:eastAsia="宋体" w:cs="Times New Roman"/>
                      <w:b w:val="0"/>
                      <w:bCs w:val="0"/>
                      <w:spacing w:val="0"/>
                      <w:kern w:val="2"/>
                      <w:position w:val="0"/>
                      <w:sz w:val="21"/>
                      <w:szCs w:val="21"/>
                      <w:lang w:val="en-US" w:eastAsia="zh-CN" w:bidi="ar-SA"/>
                    </w:rPr>
                    <w:t>最大8小时滑动平均值的第90百分位数</w:t>
                  </w:r>
                </w:p>
              </w:tc>
              <w:tc>
                <w:tcPr>
                  <w:tcW w:w="768" w:type="pct"/>
                  <w:tcBorders>
                    <w:tl2br w:val="nil"/>
                    <w:tr2bl w:val="nil"/>
                  </w:tcBorders>
                  <w:noWrap w:val="0"/>
                  <w:vAlign w:val="center"/>
                </w:tcPr>
                <w:p w14:paraId="69436E51">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85</w:t>
                  </w:r>
                </w:p>
              </w:tc>
              <w:tc>
                <w:tcPr>
                  <w:tcW w:w="1064" w:type="pct"/>
                  <w:tcBorders>
                    <w:tl2br w:val="nil"/>
                    <w:tr2bl w:val="nil"/>
                  </w:tcBorders>
                  <w:noWrap w:val="0"/>
                  <w:vAlign w:val="center"/>
                </w:tcPr>
                <w:p w14:paraId="5A662B4A">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160</w:t>
                  </w:r>
                </w:p>
              </w:tc>
              <w:tc>
                <w:tcPr>
                  <w:tcW w:w="438" w:type="pct"/>
                  <w:tcBorders>
                    <w:tl2br w:val="nil"/>
                    <w:tr2bl w:val="nil"/>
                  </w:tcBorders>
                  <w:noWrap w:val="0"/>
                  <w:vAlign w:val="center"/>
                </w:tcPr>
                <w:p w14:paraId="40DAE89A">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53.1</w:t>
                  </w:r>
                </w:p>
              </w:tc>
              <w:tc>
                <w:tcPr>
                  <w:tcW w:w="505" w:type="pct"/>
                  <w:tcBorders>
                    <w:tl2br w:val="nil"/>
                    <w:tr2bl w:val="nil"/>
                  </w:tcBorders>
                  <w:noWrap w:val="0"/>
                  <w:vAlign w:val="center"/>
                </w:tcPr>
                <w:p w14:paraId="1A296D62">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达标</w:t>
                  </w:r>
                </w:p>
              </w:tc>
            </w:tr>
            <w:tr w14:paraId="62250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50" w:type="pct"/>
                  <w:vMerge w:val="restart"/>
                  <w:tcBorders>
                    <w:tl2br w:val="nil"/>
                    <w:tr2bl w:val="nil"/>
                  </w:tcBorders>
                  <w:noWrap w:val="0"/>
                  <w:vAlign w:val="center"/>
                </w:tcPr>
                <w:p w14:paraId="04A7887F">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PM</w:t>
                  </w:r>
                  <w:r>
                    <w:rPr>
                      <w:rFonts w:hint="eastAsia" w:ascii="Times New Roman" w:hAnsi="Times New Roman" w:eastAsia="宋体" w:cs="Times New Roman"/>
                      <w:b w:val="0"/>
                      <w:bCs w:val="0"/>
                      <w:spacing w:val="0"/>
                      <w:kern w:val="2"/>
                      <w:position w:val="0"/>
                      <w:sz w:val="21"/>
                      <w:szCs w:val="21"/>
                      <w:vertAlign w:val="subscript"/>
                      <w:lang w:val="en-US" w:bidi="ar-SA"/>
                    </w:rPr>
                    <w:t>10</w:t>
                  </w:r>
                </w:p>
              </w:tc>
              <w:tc>
                <w:tcPr>
                  <w:tcW w:w="1473" w:type="pct"/>
                  <w:tcBorders>
                    <w:tl2br w:val="nil"/>
                    <w:tr2bl w:val="nil"/>
                  </w:tcBorders>
                  <w:noWrap w:val="0"/>
                  <w:vAlign w:val="center"/>
                </w:tcPr>
                <w:p w14:paraId="74EA6DE9">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年平均</w:t>
                  </w:r>
                </w:p>
              </w:tc>
              <w:tc>
                <w:tcPr>
                  <w:tcW w:w="768" w:type="pct"/>
                  <w:tcBorders>
                    <w:tl2br w:val="nil"/>
                    <w:tr2bl w:val="nil"/>
                  </w:tcBorders>
                  <w:noWrap w:val="0"/>
                  <w:vAlign w:val="center"/>
                </w:tcPr>
                <w:p w14:paraId="4B576BD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95</w:t>
                  </w:r>
                </w:p>
              </w:tc>
              <w:tc>
                <w:tcPr>
                  <w:tcW w:w="1064" w:type="pct"/>
                  <w:tcBorders>
                    <w:tl2br w:val="nil"/>
                    <w:tr2bl w:val="nil"/>
                  </w:tcBorders>
                  <w:noWrap w:val="0"/>
                  <w:vAlign w:val="center"/>
                </w:tcPr>
                <w:p w14:paraId="1440F884">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70</w:t>
                  </w:r>
                </w:p>
              </w:tc>
              <w:tc>
                <w:tcPr>
                  <w:tcW w:w="438" w:type="pct"/>
                  <w:tcBorders>
                    <w:tl2br w:val="nil"/>
                    <w:tr2bl w:val="nil"/>
                  </w:tcBorders>
                  <w:noWrap w:val="0"/>
                  <w:vAlign w:val="center"/>
                </w:tcPr>
                <w:p w14:paraId="77E5CF53">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135.7</w:t>
                  </w:r>
                </w:p>
              </w:tc>
              <w:tc>
                <w:tcPr>
                  <w:tcW w:w="505" w:type="pct"/>
                  <w:tcBorders>
                    <w:tl2br w:val="nil"/>
                    <w:tr2bl w:val="nil"/>
                  </w:tcBorders>
                  <w:noWrap w:val="0"/>
                  <w:vAlign w:val="center"/>
                </w:tcPr>
                <w:p w14:paraId="3858580A">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不达标</w:t>
                  </w:r>
                </w:p>
              </w:tc>
            </w:tr>
            <w:tr w14:paraId="48B0F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tl2br w:val="nil"/>
                    <w:tr2bl w:val="nil"/>
                  </w:tcBorders>
                  <w:noWrap w:val="0"/>
                  <w:vAlign w:val="center"/>
                </w:tcPr>
                <w:p w14:paraId="2CE01637">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p>
              </w:tc>
              <w:tc>
                <w:tcPr>
                  <w:tcW w:w="1473" w:type="pct"/>
                  <w:tcBorders>
                    <w:tl2br w:val="nil"/>
                    <w:tr2bl w:val="nil"/>
                  </w:tcBorders>
                  <w:noWrap w:val="0"/>
                  <w:vAlign w:val="center"/>
                </w:tcPr>
                <w:p w14:paraId="5D825958">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24h平均第95百分位数</w:t>
                  </w:r>
                </w:p>
              </w:tc>
              <w:tc>
                <w:tcPr>
                  <w:tcW w:w="768" w:type="pct"/>
                  <w:tcBorders>
                    <w:tl2br w:val="nil"/>
                    <w:tr2bl w:val="nil"/>
                  </w:tcBorders>
                  <w:noWrap w:val="0"/>
                  <w:vAlign w:val="center"/>
                </w:tcPr>
                <w:p w14:paraId="5CCA8376">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378</w:t>
                  </w:r>
                </w:p>
              </w:tc>
              <w:tc>
                <w:tcPr>
                  <w:tcW w:w="1064" w:type="pct"/>
                  <w:tcBorders>
                    <w:tl2br w:val="nil"/>
                    <w:tr2bl w:val="nil"/>
                  </w:tcBorders>
                  <w:noWrap w:val="0"/>
                  <w:vAlign w:val="center"/>
                </w:tcPr>
                <w:p w14:paraId="7731DABB">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150</w:t>
                  </w:r>
                </w:p>
              </w:tc>
              <w:tc>
                <w:tcPr>
                  <w:tcW w:w="438" w:type="pct"/>
                  <w:tcBorders>
                    <w:tl2br w:val="nil"/>
                    <w:tr2bl w:val="nil"/>
                  </w:tcBorders>
                  <w:noWrap w:val="0"/>
                  <w:vAlign w:val="center"/>
                </w:tcPr>
                <w:p w14:paraId="760C9BBA">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252</w:t>
                  </w:r>
                </w:p>
              </w:tc>
              <w:tc>
                <w:tcPr>
                  <w:tcW w:w="505" w:type="pct"/>
                  <w:tcBorders>
                    <w:tl2br w:val="nil"/>
                    <w:tr2bl w:val="nil"/>
                  </w:tcBorders>
                  <w:noWrap w:val="0"/>
                  <w:vAlign w:val="center"/>
                </w:tcPr>
                <w:p w14:paraId="695117C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不达标</w:t>
                  </w:r>
                </w:p>
              </w:tc>
            </w:tr>
            <w:tr w14:paraId="2B320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vMerge w:val="restart"/>
                  <w:tcBorders>
                    <w:tl2br w:val="nil"/>
                    <w:tr2bl w:val="nil"/>
                  </w:tcBorders>
                  <w:noWrap w:val="0"/>
                  <w:vAlign w:val="center"/>
                </w:tcPr>
                <w:p w14:paraId="7844B5A0">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PM</w:t>
                  </w:r>
                  <w:r>
                    <w:rPr>
                      <w:rFonts w:hint="eastAsia" w:ascii="Times New Roman" w:hAnsi="Times New Roman" w:eastAsia="宋体" w:cs="Times New Roman"/>
                      <w:b w:val="0"/>
                      <w:bCs w:val="0"/>
                      <w:spacing w:val="0"/>
                      <w:kern w:val="2"/>
                      <w:position w:val="0"/>
                      <w:sz w:val="21"/>
                      <w:szCs w:val="21"/>
                      <w:vertAlign w:val="subscript"/>
                      <w:lang w:val="en-US" w:bidi="ar-SA"/>
                    </w:rPr>
                    <w:t>2.5</w:t>
                  </w:r>
                </w:p>
              </w:tc>
              <w:tc>
                <w:tcPr>
                  <w:tcW w:w="1473" w:type="pct"/>
                  <w:tcBorders>
                    <w:tl2br w:val="nil"/>
                    <w:tr2bl w:val="nil"/>
                  </w:tcBorders>
                  <w:noWrap w:val="0"/>
                  <w:vAlign w:val="center"/>
                </w:tcPr>
                <w:p w14:paraId="7903110D">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年平均</w:t>
                  </w:r>
                </w:p>
              </w:tc>
              <w:tc>
                <w:tcPr>
                  <w:tcW w:w="768" w:type="pct"/>
                  <w:tcBorders>
                    <w:tl2br w:val="nil"/>
                    <w:tr2bl w:val="nil"/>
                  </w:tcBorders>
                  <w:noWrap w:val="0"/>
                  <w:vAlign w:val="center"/>
                </w:tcPr>
                <w:p w14:paraId="27A5326E">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43</w:t>
                  </w:r>
                </w:p>
              </w:tc>
              <w:tc>
                <w:tcPr>
                  <w:tcW w:w="1064" w:type="pct"/>
                  <w:tcBorders>
                    <w:tl2br w:val="nil"/>
                    <w:tr2bl w:val="nil"/>
                  </w:tcBorders>
                  <w:noWrap w:val="0"/>
                  <w:vAlign w:val="center"/>
                </w:tcPr>
                <w:p w14:paraId="5A9E33FC">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35</w:t>
                  </w:r>
                </w:p>
              </w:tc>
              <w:tc>
                <w:tcPr>
                  <w:tcW w:w="438" w:type="pct"/>
                  <w:tcBorders>
                    <w:tl2br w:val="nil"/>
                    <w:tr2bl w:val="nil"/>
                  </w:tcBorders>
                  <w:noWrap w:val="0"/>
                  <w:vAlign w:val="center"/>
                </w:tcPr>
                <w:p w14:paraId="69F5F6C7">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122.9</w:t>
                  </w:r>
                </w:p>
              </w:tc>
              <w:tc>
                <w:tcPr>
                  <w:tcW w:w="505" w:type="pct"/>
                  <w:tcBorders>
                    <w:tl2br w:val="nil"/>
                    <w:tr2bl w:val="nil"/>
                  </w:tcBorders>
                  <w:noWrap w:val="0"/>
                  <w:vAlign w:val="center"/>
                </w:tcPr>
                <w:p w14:paraId="748BA717">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不达标</w:t>
                  </w:r>
                </w:p>
              </w:tc>
            </w:tr>
            <w:tr w14:paraId="5CDD4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tl2br w:val="nil"/>
                    <w:tr2bl w:val="nil"/>
                  </w:tcBorders>
                  <w:noWrap w:val="0"/>
                  <w:vAlign w:val="center"/>
                </w:tcPr>
                <w:p w14:paraId="08552AC9">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p>
              </w:tc>
              <w:tc>
                <w:tcPr>
                  <w:tcW w:w="1473" w:type="pct"/>
                  <w:tcBorders>
                    <w:tl2br w:val="nil"/>
                    <w:tr2bl w:val="nil"/>
                  </w:tcBorders>
                  <w:noWrap w:val="0"/>
                  <w:vAlign w:val="center"/>
                </w:tcPr>
                <w:p w14:paraId="1750643F">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24h平均第95百分位数</w:t>
                  </w:r>
                </w:p>
              </w:tc>
              <w:tc>
                <w:tcPr>
                  <w:tcW w:w="768" w:type="pct"/>
                  <w:tcBorders>
                    <w:tl2br w:val="nil"/>
                    <w:tr2bl w:val="nil"/>
                  </w:tcBorders>
                  <w:noWrap w:val="0"/>
                  <w:vAlign w:val="center"/>
                </w:tcPr>
                <w:p w14:paraId="73F2576C">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118</w:t>
                  </w:r>
                </w:p>
              </w:tc>
              <w:tc>
                <w:tcPr>
                  <w:tcW w:w="1064" w:type="pct"/>
                  <w:tcBorders>
                    <w:tl2br w:val="nil"/>
                    <w:tr2bl w:val="nil"/>
                  </w:tcBorders>
                  <w:noWrap w:val="0"/>
                  <w:vAlign w:val="center"/>
                </w:tcPr>
                <w:p w14:paraId="7A8E7E85">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bidi="ar-SA"/>
                    </w:rPr>
                    <w:t>75</w:t>
                  </w:r>
                </w:p>
              </w:tc>
              <w:tc>
                <w:tcPr>
                  <w:tcW w:w="438" w:type="pct"/>
                  <w:tcBorders>
                    <w:tl2br w:val="nil"/>
                    <w:tr2bl w:val="nil"/>
                  </w:tcBorders>
                  <w:noWrap w:val="0"/>
                  <w:vAlign w:val="center"/>
                </w:tcPr>
                <w:p w14:paraId="5EAA03E8">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spacing w:val="0"/>
                      <w:kern w:val="2"/>
                      <w:position w:val="0"/>
                      <w:sz w:val="21"/>
                      <w:szCs w:val="21"/>
                      <w:lang w:val="en-US" w:eastAsia="zh-CN" w:bidi="ar-SA"/>
                    </w:rPr>
                  </w:pPr>
                  <w:r>
                    <w:rPr>
                      <w:rFonts w:hint="eastAsia" w:ascii="Times New Roman" w:hAnsi="Times New Roman" w:eastAsia="宋体" w:cs="Times New Roman"/>
                      <w:b w:val="0"/>
                      <w:bCs w:val="0"/>
                      <w:spacing w:val="0"/>
                      <w:kern w:val="2"/>
                      <w:position w:val="0"/>
                      <w:sz w:val="21"/>
                      <w:szCs w:val="21"/>
                      <w:lang w:val="en-US" w:eastAsia="zh-CN" w:bidi="ar-SA"/>
                    </w:rPr>
                    <w:t>157.3</w:t>
                  </w:r>
                </w:p>
              </w:tc>
              <w:tc>
                <w:tcPr>
                  <w:tcW w:w="505" w:type="pct"/>
                  <w:tcBorders>
                    <w:tl2br w:val="nil"/>
                    <w:tr2bl w:val="nil"/>
                  </w:tcBorders>
                  <w:noWrap w:val="0"/>
                  <w:vAlign w:val="center"/>
                </w:tcPr>
                <w:p w14:paraId="0291A385">
                  <w:pPr>
                    <w:keepNext/>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center"/>
                    <w:textAlignment w:val="auto"/>
                    <w:outlineLvl w:val="9"/>
                    <w:rPr>
                      <w:rFonts w:hint="eastAsia" w:ascii="Times New Roman" w:hAnsi="Times New Roman" w:eastAsia="宋体" w:cs="Times New Roman"/>
                      <w:b w:val="0"/>
                      <w:bCs w:val="0"/>
                      <w:spacing w:val="0"/>
                      <w:kern w:val="2"/>
                      <w:position w:val="0"/>
                      <w:sz w:val="21"/>
                      <w:szCs w:val="21"/>
                      <w:lang w:val="en-US" w:bidi="ar-SA"/>
                    </w:rPr>
                  </w:pPr>
                  <w:r>
                    <w:rPr>
                      <w:rFonts w:hint="eastAsia" w:ascii="Times New Roman" w:hAnsi="Times New Roman" w:eastAsia="宋体" w:cs="Times New Roman"/>
                      <w:b w:val="0"/>
                      <w:bCs w:val="0"/>
                      <w:spacing w:val="0"/>
                      <w:kern w:val="2"/>
                      <w:position w:val="0"/>
                      <w:sz w:val="21"/>
                      <w:szCs w:val="21"/>
                      <w:lang w:val="en-US" w:eastAsia="zh-CN" w:bidi="ar-SA"/>
                    </w:rPr>
                    <w:t>不达标</w:t>
                  </w:r>
                </w:p>
              </w:tc>
            </w:tr>
          </w:tbl>
          <w:p w14:paraId="5F605AF9">
            <w:pPr>
              <w:adjustRightInd w:val="0"/>
              <w:snapToGrid w:val="0"/>
              <w:ind w:firstLine="480" w:firstLineChars="200"/>
              <w:rPr>
                <w:color w:val="000000"/>
              </w:rPr>
            </w:pPr>
            <w:r>
              <w:rPr>
                <w:rFonts w:hint="default" w:ascii="Times New Roman" w:hAnsi="Times New Roman" w:eastAsia="宋体" w:cs="Times New Roman"/>
                <w:color w:val="000000"/>
                <w:spacing w:val="0"/>
                <w:kern w:val="0"/>
                <w:position w:val="0"/>
                <w:sz w:val="24"/>
                <w:szCs w:val="24"/>
                <w:lang w:val="en-US" w:eastAsia="zh-CN" w:bidi="ar-SA"/>
              </w:rPr>
              <w:t>2023年，轮台县空气质量监测总天数为365天，原因受沙尘天气影响，PM</w:t>
            </w:r>
            <w:r>
              <w:rPr>
                <w:rFonts w:hint="default" w:ascii="Times New Roman" w:hAnsi="Times New Roman" w:eastAsia="宋体" w:cs="Times New Roman"/>
                <w:color w:val="000000"/>
                <w:spacing w:val="0"/>
                <w:kern w:val="0"/>
                <w:position w:val="0"/>
                <w:sz w:val="24"/>
                <w:szCs w:val="24"/>
                <w:vertAlign w:val="subscript"/>
                <w:lang w:val="en-US" w:eastAsia="zh-CN" w:bidi="ar-SA"/>
              </w:rPr>
              <w:t>10</w:t>
            </w:r>
            <w:r>
              <w:rPr>
                <w:rFonts w:hint="default" w:ascii="Times New Roman" w:hAnsi="Times New Roman" w:eastAsia="宋体" w:cs="Times New Roman"/>
                <w:color w:val="000000"/>
                <w:spacing w:val="0"/>
                <w:kern w:val="0"/>
                <w:position w:val="0"/>
                <w:sz w:val="24"/>
                <w:szCs w:val="24"/>
                <w:lang w:val="en-US" w:eastAsia="zh-CN" w:bidi="ar-SA"/>
              </w:rPr>
              <w:t>、PM</w:t>
            </w:r>
            <w:r>
              <w:rPr>
                <w:rFonts w:hint="default" w:ascii="Times New Roman" w:hAnsi="Times New Roman" w:eastAsia="宋体" w:cs="Times New Roman"/>
                <w:color w:val="000000"/>
                <w:spacing w:val="0"/>
                <w:kern w:val="0"/>
                <w:position w:val="0"/>
                <w:sz w:val="24"/>
                <w:szCs w:val="24"/>
                <w:vertAlign w:val="subscript"/>
                <w:lang w:val="en-US" w:eastAsia="zh-CN" w:bidi="ar-SA"/>
              </w:rPr>
              <w:t>2.5</w:t>
            </w:r>
            <w:r>
              <w:rPr>
                <w:rFonts w:hint="default" w:ascii="Times New Roman" w:hAnsi="Times New Roman" w:eastAsia="宋体" w:cs="Times New Roman"/>
                <w:color w:val="000000"/>
                <w:spacing w:val="0"/>
                <w:kern w:val="0"/>
                <w:position w:val="0"/>
                <w:sz w:val="24"/>
                <w:szCs w:val="24"/>
                <w:lang w:val="en-US" w:eastAsia="zh-CN" w:bidi="ar-SA"/>
              </w:rPr>
              <w:t>年平均及24h平均第95百分位数浓度超过《环境空气质量标准》（GB3095-2012）二级标准，SO</w:t>
            </w:r>
            <w:r>
              <w:rPr>
                <w:rFonts w:hint="default" w:ascii="Times New Roman" w:hAnsi="Times New Roman" w:eastAsia="宋体" w:cs="Times New Roman"/>
                <w:color w:val="000000"/>
                <w:spacing w:val="0"/>
                <w:kern w:val="0"/>
                <w:position w:val="0"/>
                <w:sz w:val="24"/>
                <w:szCs w:val="24"/>
                <w:vertAlign w:val="subscript"/>
                <w:lang w:val="en-US" w:eastAsia="zh-CN" w:bidi="ar-SA"/>
              </w:rPr>
              <w:t>2</w:t>
            </w:r>
            <w:r>
              <w:rPr>
                <w:rFonts w:hint="default" w:ascii="Times New Roman" w:hAnsi="Times New Roman" w:eastAsia="宋体" w:cs="Times New Roman"/>
                <w:color w:val="000000"/>
                <w:spacing w:val="0"/>
                <w:kern w:val="0"/>
                <w:position w:val="0"/>
                <w:sz w:val="24"/>
                <w:szCs w:val="24"/>
                <w:lang w:val="en-US" w:eastAsia="zh-CN" w:bidi="ar-SA"/>
              </w:rPr>
              <w:t>、NO</w:t>
            </w:r>
            <w:r>
              <w:rPr>
                <w:rFonts w:hint="default" w:ascii="Times New Roman" w:hAnsi="Times New Roman" w:eastAsia="宋体" w:cs="Times New Roman"/>
                <w:color w:val="000000"/>
                <w:spacing w:val="0"/>
                <w:kern w:val="0"/>
                <w:position w:val="0"/>
                <w:sz w:val="24"/>
                <w:szCs w:val="24"/>
                <w:vertAlign w:val="subscript"/>
                <w:lang w:val="en-US" w:eastAsia="zh-CN" w:bidi="ar-SA"/>
              </w:rPr>
              <w:t>2</w:t>
            </w:r>
            <w:r>
              <w:rPr>
                <w:rFonts w:hint="default" w:ascii="Times New Roman" w:hAnsi="Times New Roman" w:eastAsia="宋体" w:cs="Times New Roman"/>
                <w:color w:val="000000"/>
                <w:spacing w:val="0"/>
                <w:kern w:val="0"/>
                <w:position w:val="0"/>
                <w:sz w:val="24"/>
                <w:szCs w:val="24"/>
                <w:lang w:val="en-US" w:eastAsia="zh-CN" w:bidi="ar-SA"/>
              </w:rPr>
              <w:t>、CO、O</w:t>
            </w:r>
            <w:r>
              <w:rPr>
                <w:rFonts w:hint="default" w:ascii="Times New Roman" w:hAnsi="Times New Roman" w:eastAsia="宋体" w:cs="Times New Roman"/>
                <w:color w:val="000000"/>
                <w:spacing w:val="0"/>
                <w:kern w:val="0"/>
                <w:position w:val="0"/>
                <w:sz w:val="24"/>
                <w:szCs w:val="24"/>
                <w:vertAlign w:val="subscript"/>
                <w:lang w:val="en-US" w:eastAsia="zh-CN" w:bidi="ar-SA"/>
              </w:rPr>
              <w:t>3</w:t>
            </w:r>
            <w:r>
              <w:rPr>
                <w:rFonts w:hint="default" w:ascii="Times New Roman" w:hAnsi="Times New Roman" w:eastAsia="宋体" w:cs="Times New Roman"/>
                <w:color w:val="000000"/>
                <w:spacing w:val="0"/>
                <w:kern w:val="0"/>
                <w:position w:val="0"/>
                <w:sz w:val="24"/>
                <w:szCs w:val="24"/>
                <w:lang w:val="en-US" w:eastAsia="zh-CN" w:bidi="ar-SA"/>
              </w:rPr>
              <w:t>等其他监测指标均满足二级标准，因此判断本项目所在区域为不达标区</w:t>
            </w:r>
            <w:r>
              <w:rPr>
                <w:color w:val="000000"/>
              </w:rPr>
              <w:t>。</w:t>
            </w:r>
          </w:p>
          <w:p w14:paraId="5745549E">
            <w:pPr>
              <w:pStyle w:val="4"/>
              <w:adjustRightInd w:val="0"/>
              <w:snapToGrid w:val="0"/>
              <w:ind w:firstLine="482" w:firstLineChars="200"/>
              <w:rPr>
                <w:rFonts w:ascii="Times New Roman" w:hAnsi="Times New Roman" w:eastAsia="宋体" w:cs="Times New Roman"/>
                <w:color w:val="000000" w:themeColor="text1"/>
                <w:spacing w:val="0"/>
                <w14:textFill>
                  <w14:solidFill>
                    <w14:schemeClr w14:val="tx1"/>
                  </w14:solidFill>
                </w14:textFill>
              </w:rPr>
            </w:pPr>
            <w:r>
              <w:rPr>
                <w:rFonts w:hint="eastAsia" w:ascii="Times New Roman" w:hAnsi="Times New Roman" w:eastAsia="宋体" w:cs="Times New Roman"/>
                <w:color w:val="000000" w:themeColor="text1"/>
                <w:spacing w:val="0"/>
                <w14:textFill>
                  <w14:solidFill>
                    <w14:schemeClr w14:val="tx1"/>
                  </w14:solidFill>
                </w14:textFill>
              </w:rPr>
              <w:t>1.2</w:t>
            </w:r>
            <w:r>
              <w:rPr>
                <w:rFonts w:ascii="Times New Roman" w:hAnsi="Times New Roman" w:eastAsia="宋体" w:cs="Times New Roman"/>
                <w:color w:val="000000" w:themeColor="text1"/>
                <w:spacing w:val="0"/>
                <w14:textFill>
                  <w14:solidFill>
                    <w14:schemeClr w14:val="tx1"/>
                  </w14:solidFill>
                </w14:textFill>
              </w:rPr>
              <w:t>其他污染物质量现状</w:t>
            </w:r>
          </w:p>
          <w:p w14:paraId="7F81BB0A">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根据</w:t>
            </w:r>
            <w:r>
              <w:rPr>
                <w:rFonts w:hint="eastAsia" w:ascii="Times New Roman" w:hAnsi="Times New Roman" w:eastAsia="宋体" w:cs="Times New Roman"/>
                <w:color w:val="000000" w:themeColor="text1"/>
                <w:spacing w:val="0"/>
                <w14:textFill>
                  <w14:solidFill>
                    <w14:schemeClr w14:val="tx1"/>
                  </w14:solidFill>
                </w14:textFill>
              </w:rPr>
              <w:t>《建设项目环境影响报告表编制技术指南（污染影响类）（试行）》</w:t>
            </w:r>
            <w:r>
              <w:rPr>
                <w:rFonts w:ascii="Times New Roman" w:hAnsi="Times New Roman" w:eastAsia="宋体" w:cs="Times New Roman"/>
                <w:color w:val="000000" w:themeColor="text1"/>
                <w:spacing w:val="0"/>
                <w14:textFill>
                  <w14:solidFill>
                    <w14:schemeClr w14:val="tx1"/>
                  </w14:solidFill>
                </w14:textFill>
              </w:rPr>
              <w:t>要求，</w:t>
            </w:r>
            <w:r>
              <w:rPr>
                <w:rFonts w:hint="default" w:ascii="Times New Roman" w:hAnsi="Times New Roman" w:eastAsia="宋体" w:cs="Times New Roman"/>
                <w:color w:val="000000" w:themeColor="text1"/>
                <w:spacing w:val="0"/>
                <w:lang w:val="en-US" w:eastAsia="zh-CN"/>
                <w14:textFill>
                  <w14:solidFill>
                    <w14:schemeClr w14:val="tx1"/>
                  </w14:solidFill>
                </w14:textFill>
              </w:rPr>
              <w:t>本次大气环境质量现状评价监测数据</w:t>
            </w:r>
            <w:r>
              <w:rPr>
                <w:rFonts w:hint="eastAsia" w:ascii="Times New Roman" w:hAnsi="Times New Roman" w:eastAsia="宋体" w:cs="Times New Roman"/>
                <w:color w:val="000000" w:themeColor="text1"/>
                <w:spacing w:val="0"/>
                <w:lang w:val="en-US" w:eastAsia="zh-CN"/>
                <w14:textFill>
                  <w14:solidFill>
                    <w14:schemeClr w14:val="tx1"/>
                  </w14:solidFill>
                </w14:textFill>
              </w:rPr>
              <w:t>委托新疆广宇众联环境监测有限公司进行监测。</w:t>
            </w:r>
          </w:p>
          <w:p w14:paraId="646F9C38">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（1）监测地点、监测因子</w:t>
            </w:r>
          </w:p>
          <w:p w14:paraId="79DF0E6E">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监测点位坐标东经</w:t>
            </w:r>
            <w:r>
              <w:rPr>
                <w:rFonts w:hint="eastAsia" w:ascii="Times New Roman" w:hAnsi="Times New Roman" w:eastAsia="宋体" w:cs="Times New Roman"/>
                <w:color w:val="000000" w:themeColor="text1"/>
                <w:spacing w:val="0"/>
                <w14:textFill>
                  <w14:solidFill>
                    <w14:schemeClr w14:val="tx1"/>
                  </w14:solidFill>
                </w14:textFill>
              </w:rPr>
              <w:t>84°2′37.431″,</w:t>
            </w:r>
            <w:r>
              <w:rPr>
                <w:rFonts w:ascii="Times New Roman" w:hAnsi="Times New Roman" w:eastAsia="宋体" w:cs="Times New Roman"/>
                <w:color w:val="000000" w:themeColor="text1"/>
                <w:spacing w:val="0"/>
                <w14:textFill>
                  <w14:solidFill>
                    <w14:schemeClr w14:val="tx1"/>
                  </w14:solidFill>
                </w14:textFill>
              </w:rPr>
              <w:t>，北纬</w:t>
            </w:r>
            <w:r>
              <w:rPr>
                <w:rFonts w:hint="eastAsia" w:ascii="Times New Roman" w:hAnsi="Times New Roman" w:eastAsia="宋体" w:cs="Times New Roman"/>
                <w:color w:val="000000" w:themeColor="text1"/>
                <w:spacing w:val="0"/>
                <w14:textFill>
                  <w14:solidFill>
                    <w14:schemeClr w14:val="tx1"/>
                  </w14:solidFill>
                </w14:textFill>
              </w:rPr>
              <w:t>41°20′46.482″</w:t>
            </w:r>
            <w:r>
              <w:rPr>
                <w:rFonts w:ascii="Times New Roman" w:hAnsi="Times New Roman" w:eastAsia="宋体" w:cs="Times New Roman"/>
                <w:color w:val="000000" w:themeColor="text1"/>
                <w:spacing w:val="0"/>
                <w14:textFill>
                  <w14:solidFill>
                    <w14:schemeClr w14:val="tx1"/>
                  </w14:solidFill>
                </w14:textFill>
              </w:rPr>
              <w:t>，位于本项目</w:t>
            </w:r>
            <w:r>
              <w:rPr>
                <w:rFonts w:hint="eastAsia" w:ascii="Times New Roman" w:hAnsi="Times New Roman" w:eastAsia="宋体" w:cs="Times New Roman"/>
                <w:color w:val="000000" w:themeColor="text1"/>
                <w:spacing w:val="0"/>
                <w14:textFill>
                  <w14:solidFill>
                    <w14:schemeClr w14:val="tx1"/>
                  </w14:solidFill>
                </w14:textFill>
              </w:rPr>
              <w:t>西侧</w:t>
            </w:r>
            <w:r>
              <w:rPr>
                <w:rFonts w:hint="eastAsia" w:ascii="Times New Roman" w:hAnsi="Times New Roman" w:eastAsia="宋体" w:cs="Times New Roman"/>
                <w:color w:val="000000" w:themeColor="text1"/>
                <w:spacing w:val="0"/>
                <w:lang w:val="en-US" w:eastAsia="zh-CN"/>
                <w14:textFill>
                  <w14:solidFill>
                    <w14:schemeClr w14:val="tx1"/>
                  </w14:solidFill>
                </w14:textFill>
              </w:rPr>
              <w:t>20</w:t>
            </w:r>
            <w:r>
              <w:rPr>
                <w:rFonts w:hint="eastAsia" w:ascii="Times New Roman" w:hAnsi="Times New Roman" w:eastAsia="宋体" w:cs="Times New Roman"/>
                <w:color w:val="000000" w:themeColor="text1"/>
                <w:spacing w:val="0"/>
                <w14:textFill>
                  <w14:solidFill>
                    <w14:schemeClr w14:val="tx1"/>
                  </w14:solidFill>
                </w14:textFill>
              </w:rPr>
              <w:t>m</w:t>
            </w:r>
            <w:r>
              <w:rPr>
                <w:rFonts w:ascii="Times New Roman" w:hAnsi="Times New Roman" w:eastAsia="宋体" w:cs="Times New Roman"/>
                <w:color w:val="000000" w:themeColor="text1"/>
                <w:spacing w:val="0"/>
                <w14:textFill>
                  <w14:solidFill>
                    <w14:schemeClr w14:val="tx1"/>
                  </w14:solidFill>
                </w14:textFill>
              </w:rPr>
              <w:t>。监测点位详见附图</w:t>
            </w:r>
            <w:r>
              <w:rPr>
                <w:rFonts w:hint="eastAsia" w:cs="Times New Roman"/>
                <w:color w:val="000000" w:themeColor="text1"/>
                <w:spacing w:val="0"/>
                <w:lang w:val="en-US" w:eastAsia="zh-CN"/>
                <w14:textFill>
                  <w14:solidFill>
                    <w14:schemeClr w14:val="tx1"/>
                  </w14:solidFill>
                </w14:textFill>
              </w:rPr>
              <w:t>5</w:t>
            </w:r>
            <w:r>
              <w:rPr>
                <w:rFonts w:ascii="Times New Roman" w:hAnsi="Times New Roman" w:eastAsia="宋体" w:cs="Times New Roman"/>
                <w:color w:val="000000" w:themeColor="text1"/>
                <w:spacing w:val="0"/>
                <w14:textFill>
                  <w14:solidFill>
                    <w14:schemeClr w14:val="tx1"/>
                  </w14:solidFill>
                </w14:textFill>
              </w:rPr>
              <w:t>。</w:t>
            </w:r>
          </w:p>
          <w:p w14:paraId="698856B3">
            <w:pPr>
              <w:widowControl/>
              <w:adjustRightInd w:val="0"/>
              <w:snapToGrid w:val="0"/>
              <w:spacing w:line="360" w:lineRule="auto"/>
              <w:ind w:firstLine="480" w:firstLineChars="200"/>
              <w:jc w:val="both"/>
              <w:textAlignment w:val="baseline"/>
              <w:rPr>
                <w:rFonts w:hint="eastAsia"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pPr>
            <w:r>
              <w:rPr>
                <w:rFonts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t>其他污染因子：</w:t>
            </w:r>
            <w:r>
              <w:rPr>
                <w:rFonts w:hint="eastAsia"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t>总悬浮颗粒物（TSP）</w:t>
            </w:r>
          </w:p>
          <w:p w14:paraId="1C68E225">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（2）采样及分析方法</w:t>
            </w:r>
          </w:p>
          <w:p w14:paraId="6A7B6781">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采样方法和分析方法《环境空气总悬浮颗粒物的测定重量法》（GB/T15432-1995）。</w:t>
            </w:r>
          </w:p>
          <w:p w14:paraId="2CBD5B99">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（3）监测时间及频率</w:t>
            </w:r>
          </w:p>
          <w:p w14:paraId="69496C66">
            <w:pPr>
              <w:widowControl/>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pPr>
            <w:r>
              <w:rPr>
                <w:rFonts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t>监测频率：</w:t>
            </w:r>
            <w:r>
              <w:rPr>
                <w:rFonts w:hint="eastAsia"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t>TSP</w:t>
            </w:r>
            <w:r>
              <w:rPr>
                <w:rFonts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t>连续检测</w:t>
            </w:r>
            <w:r>
              <w:rPr>
                <w:rFonts w:hint="eastAsia"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t>3</w:t>
            </w:r>
            <w:r>
              <w:rPr>
                <w:rFonts w:ascii="Times New Roman" w:hAnsi="Times New Roman" w:eastAsia="宋体" w:cs="Times New Roman"/>
                <w:color w:val="000000" w:themeColor="text1"/>
                <w:spacing w:val="0"/>
                <w:kern w:val="0"/>
                <w:sz w:val="24"/>
                <w:szCs w:val="24"/>
                <w:u w:val="none" w:color="000000"/>
                <w:lang w:val="en-US" w:eastAsia="zh-CN" w:bidi="ar-SA"/>
                <w14:textFill>
                  <w14:solidFill>
                    <w14:schemeClr w14:val="tx1"/>
                  </w14:solidFill>
                </w14:textFill>
              </w:rPr>
              <w:t>天。</w:t>
            </w:r>
          </w:p>
          <w:p w14:paraId="7144D1E5">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lang w:val="de-DE"/>
                <w14:textFill>
                  <w14:solidFill>
                    <w14:schemeClr w14:val="tx1"/>
                  </w14:solidFill>
                </w14:textFill>
              </w:rPr>
              <w:t>监测时间：</w:t>
            </w:r>
            <w:r>
              <w:rPr>
                <w:rFonts w:hint="eastAsia" w:ascii="Times New Roman" w:hAnsi="Times New Roman" w:eastAsia="宋体" w:cs="Times New Roman"/>
                <w:color w:val="000000" w:themeColor="text1"/>
                <w:spacing w:val="0"/>
                <w14:textFill>
                  <w14:solidFill>
                    <w14:schemeClr w14:val="tx1"/>
                  </w14:solidFill>
                </w14:textFill>
              </w:rPr>
              <w:t>202</w:t>
            </w:r>
            <w:r>
              <w:rPr>
                <w:rFonts w:hint="eastAsia" w:ascii="Times New Roman" w:hAnsi="Times New Roman" w:eastAsia="宋体" w:cs="Times New Roman"/>
                <w:color w:val="000000" w:themeColor="text1"/>
                <w:spacing w:val="0"/>
                <w:lang w:val="en-US" w:eastAsia="zh-CN"/>
                <w14:textFill>
                  <w14:solidFill>
                    <w14:schemeClr w14:val="tx1"/>
                  </w14:solidFill>
                </w14:textFill>
              </w:rPr>
              <w:t>5</w:t>
            </w:r>
            <w:r>
              <w:rPr>
                <w:rFonts w:hint="eastAsia" w:ascii="Times New Roman" w:hAnsi="Times New Roman" w:eastAsia="宋体" w:cs="Times New Roman"/>
                <w:color w:val="000000" w:themeColor="text1"/>
                <w:spacing w:val="0"/>
                <w14:textFill>
                  <w14:solidFill>
                    <w14:schemeClr w14:val="tx1"/>
                  </w14:solidFill>
                </w14:textFill>
              </w:rPr>
              <w:t>年4月</w:t>
            </w:r>
            <w:r>
              <w:rPr>
                <w:rFonts w:hint="eastAsia" w:ascii="Times New Roman" w:hAnsi="Times New Roman" w:eastAsia="宋体" w:cs="Times New Roman"/>
                <w:color w:val="000000" w:themeColor="text1"/>
                <w:spacing w:val="0"/>
                <w:lang w:val="en-US" w:eastAsia="zh-CN"/>
                <w14:textFill>
                  <w14:solidFill>
                    <w14:schemeClr w14:val="tx1"/>
                  </w14:solidFill>
                </w14:textFill>
              </w:rPr>
              <w:t>8</w:t>
            </w:r>
            <w:r>
              <w:rPr>
                <w:rFonts w:hint="eastAsia" w:ascii="Times New Roman" w:hAnsi="Times New Roman" w:eastAsia="宋体" w:cs="Times New Roman"/>
                <w:color w:val="000000" w:themeColor="text1"/>
                <w:spacing w:val="0"/>
                <w14:textFill>
                  <w14:solidFill>
                    <w14:schemeClr w14:val="tx1"/>
                  </w14:solidFill>
                </w14:textFill>
              </w:rPr>
              <w:t>日~202</w:t>
            </w:r>
            <w:r>
              <w:rPr>
                <w:rFonts w:hint="eastAsia" w:ascii="Times New Roman" w:hAnsi="Times New Roman" w:eastAsia="宋体" w:cs="Times New Roman"/>
                <w:color w:val="000000" w:themeColor="text1"/>
                <w:spacing w:val="0"/>
                <w:lang w:val="en-US" w:eastAsia="zh-CN"/>
                <w14:textFill>
                  <w14:solidFill>
                    <w14:schemeClr w14:val="tx1"/>
                  </w14:solidFill>
                </w14:textFill>
              </w:rPr>
              <w:t>5</w:t>
            </w:r>
            <w:r>
              <w:rPr>
                <w:rFonts w:hint="eastAsia" w:ascii="Times New Roman" w:hAnsi="Times New Roman" w:eastAsia="宋体" w:cs="Times New Roman"/>
                <w:color w:val="000000" w:themeColor="text1"/>
                <w:spacing w:val="0"/>
                <w14:textFill>
                  <w14:solidFill>
                    <w14:schemeClr w14:val="tx1"/>
                  </w14:solidFill>
                </w14:textFill>
              </w:rPr>
              <w:t>年4月</w:t>
            </w:r>
            <w:r>
              <w:rPr>
                <w:rFonts w:hint="eastAsia" w:ascii="Times New Roman" w:hAnsi="Times New Roman" w:eastAsia="宋体" w:cs="Times New Roman"/>
                <w:color w:val="000000" w:themeColor="text1"/>
                <w:spacing w:val="0"/>
                <w:lang w:val="en-US" w:eastAsia="zh-CN"/>
                <w14:textFill>
                  <w14:solidFill>
                    <w14:schemeClr w14:val="tx1"/>
                  </w14:solidFill>
                </w14:textFill>
              </w:rPr>
              <w:t>10</w:t>
            </w:r>
            <w:r>
              <w:rPr>
                <w:rFonts w:hint="eastAsia" w:ascii="Times New Roman" w:hAnsi="Times New Roman" w:eastAsia="宋体" w:cs="Times New Roman"/>
                <w:color w:val="000000" w:themeColor="text1"/>
                <w:spacing w:val="0"/>
                <w14:textFill>
                  <w14:solidFill>
                    <w14:schemeClr w14:val="tx1"/>
                  </w14:solidFill>
                </w14:textFill>
              </w:rPr>
              <w:t>日</w:t>
            </w:r>
            <w:r>
              <w:rPr>
                <w:rFonts w:ascii="Times New Roman" w:hAnsi="Times New Roman" w:eastAsia="宋体" w:cs="Times New Roman"/>
                <w:color w:val="000000" w:themeColor="text1"/>
                <w:spacing w:val="0"/>
                <w:lang w:val="de-DE"/>
                <w14:textFill>
                  <w14:solidFill>
                    <w14:schemeClr w14:val="tx1"/>
                  </w14:solidFill>
                </w14:textFill>
              </w:rPr>
              <w:t>。</w:t>
            </w:r>
          </w:p>
          <w:p w14:paraId="24709EE7">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bookmarkStart w:id="5" w:name="_Toc28617"/>
            <w:r>
              <w:rPr>
                <w:rFonts w:ascii="Times New Roman" w:hAnsi="Times New Roman" w:eastAsia="宋体" w:cs="Times New Roman"/>
                <w:color w:val="000000" w:themeColor="text1"/>
                <w:spacing w:val="0"/>
                <w14:textFill>
                  <w14:solidFill>
                    <w14:schemeClr w14:val="tx1"/>
                  </w14:solidFill>
                </w14:textFill>
              </w:rPr>
              <w:t>（4）评价标准</w:t>
            </w:r>
            <w:bookmarkEnd w:id="5"/>
          </w:p>
          <w:p w14:paraId="7791AD54">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hint="eastAsia" w:ascii="Times New Roman" w:hAnsi="Times New Roman" w:eastAsia="宋体" w:cs="Times New Roman"/>
                <w:color w:val="000000" w:themeColor="text1"/>
                <w:spacing w:val="0"/>
                <w14:textFill>
                  <w14:solidFill>
                    <w14:schemeClr w14:val="tx1"/>
                  </w14:solidFill>
                </w14:textFill>
              </w:rPr>
              <w:t>TSP</w:t>
            </w:r>
            <w:r>
              <w:rPr>
                <w:rFonts w:ascii="Times New Roman" w:hAnsi="Times New Roman" w:eastAsia="宋体" w:cs="Times New Roman"/>
                <w:color w:val="000000" w:themeColor="text1"/>
                <w:spacing w:val="0"/>
                <w14:textFill>
                  <w14:solidFill>
                    <w14:schemeClr w14:val="tx1"/>
                  </w14:solidFill>
                </w14:textFill>
              </w:rPr>
              <w:t>执行《环境空气质量标准》（GB3095-2012）二级标准限值。</w:t>
            </w:r>
          </w:p>
          <w:p w14:paraId="30F81792">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bookmarkStart w:id="6" w:name="_Toc12004"/>
            <w:r>
              <w:rPr>
                <w:rFonts w:ascii="Times New Roman" w:hAnsi="Times New Roman" w:eastAsia="宋体" w:cs="Times New Roman"/>
                <w:color w:val="000000" w:themeColor="text1"/>
                <w:spacing w:val="0"/>
                <w14:textFill>
                  <w14:solidFill>
                    <w14:schemeClr w14:val="tx1"/>
                  </w14:solidFill>
                </w14:textFill>
              </w:rPr>
              <w:t>（5）评价方法</w:t>
            </w:r>
            <w:bookmarkEnd w:id="6"/>
          </w:p>
          <w:p w14:paraId="12156664">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本评价采用单因子评价指数法，单因子评价指数用以下公式计算而得：</w:t>
            </w:r>
          </w:p>
          <w:p w14:paraId="314137D7">
            <w:pPr>
              <w:adjustRightInd w:val="0"/>
              <w:snapToGrid w:val="0"/>
              <w:ind w:firstLine="480" w:firstLineChars="200"/>
              <w:jc w:val="center"/>
              <w:rPr>
                <w:rFonts w:ascii="Times New Roman" w:hAnsi="Times New Roman" w:eastAsia="宋体" w:cs="Times New Roman"/>
                <w:color w:val="000000" w:themeColor="text1"/>
                <w:spacing w:val="0"/>
                <w14:textFill>
                  <w14:solidFill>
                    <w14:schemeClr w14:val="tx1"/>
                  </w14:solidFill>
                </w14:textFill>
              </w:rPr>
            </w:pPr>
            <w:bookmarkStart w:id="7" w:name="_Toc9636_WPSOffice_Level1"/>
            <w:r>
              <w:rPr>
                <w:rFonts w:ascii="Times New Roman" w:hAnsi="Times New Roman" w:eastAsia="宋体" w:cs="Times New Roman"/>
                <w:color w:val="000000" w:themeColor="text1"/>
                <w:spacing w:val="0"/>
                <w14:textFill>
                  <w14:solidFill>
                    <w14:schemeClr w14:val="tx1"/>
                  </w14:solidFill>
                </w14:textFill>
              </w:rPr>
              <w:t>I</w:t>
            </w:r>
            <w:r>
              <w:rPr>
                <w:rFonts w:ascii="Times New Roman" w:hAnsi="Times New Roman" w:eastAsia="宋体" w:cs="Times New Roman"/>
                <w:color w:val="000000" w:themeColor="text1"/>
                <w:spacing w:val="0"/>
                <w:vertAlign w:val="subscript"/>
                <w14:textFill>
                  <w14:solidFill>
                    <w14:schemeClr w14:val="tx1"/>
                  </w14:solidFill>
                </w14:textFill>
              </w:rPr>
              <w:t>i</w:t>
            </w:r>
            <w:r>
              <w:rPr>
                <w:rFonts w:ascii="Times New Roman" w:hAnsi="Times New Roman" w:eastAsia="宋体" w:cs="Times New Roman"/>
                <w:color w:val="000000" w:themeColor="text1"/>
                <w:spacing w:val="0"/>
                <w14:textFill>
                  <w14:solidFill>
                    <w14:schemeClr w14:val="tx1"/>
                  </w14:solidFill>
                </w14:textFill>
              </w:rPr>
              <w:t>=C</w:t>
            </w:r>
            <w:r>
              <w:rPr>
                <w:rFonts w:ascii="Times New Roman" w:hAnsi="Times New Roman" w:eastAsia="宋体" w:cs="Times New Roman"/>
                <w:color w:val="000000" w:themeColor="text1"/>
                <w:spacing w:val="0"/>
                <w:vertAlign w:val="subscript"/>
                <w14:textFill>
                  <w14:solidFill>
                    <w14:schemeClr w14:val="tx1"/>
                  </w14:solidFill>
                </w14:textFill>
              </w:rPr>
              <w:t>i</w:t>
            </w:r>
            <w:r>
              <w:rPr>
                <w:rFonts w:ascii="Times New Roman" w:hAnsi="Times New Roman" w:eastAsia="宋体" w:cs="Times New Roman"/>
                <w:color w:val="000000" w:themeColor="text1"/>
                <w:spacing w:val="0"/>
                <w14:textFill>
                  <w14:solidFill>
                    <w14:schemeClr w14:val="tx1"/>
                  </w14:solidFill>
                </w14:textFill>
              </w:rPr>
              <w:t>/C</w:t>
            </w:r>
            <w:r>
              <w:rPr>
                <w:rFonts w:ascii="Times New Roman" w:hAnsi="Times New Roman" w:eastAsia="宋体" w:cs="Times New Roman"/>
                <w:color w:val="000000" w:themeColor="text1"/>
                <w:spacing w:val="0"/>
                <w:vertAlign w:val="subscript"/>
                <w14:textFill>
                  <w14:solidFill>
                    <w14:schemeClr w14:val="tx1"/>
                  </w14:solidFill>
                </w14:textFill>
              </w:rPr>
              <w:t>o</w:t>
            </w:r>
            <w:bookmarkEnd w:id="7"/>
          </w:p>
          <w:p w14:paraId="40980A97">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式中：I</w:t>
            </w:r>
            <w:r>
              <w:rPr>
                <w:rFonts w:ascii="Times New Roman" w:hAnsi="Times New Roman" w:eastAsia="宋体" w:cs="Times New Roman"/>
                <w:color w:val="000000" w:themeColor="text1"/>
                <w:spacing w:val="0"/>
                <w:vertAlign w:val="subscript"/>
                <w14:textFill>
                  <w14:solidFill>
                    <w14:schemeClr w14:val="tx1"/>
                  </w14:solidFill>
                </w14:textFill>
              </w:rPr>
              <w:t>i</w:t>
            </w:r>
            <w:r>
              <w:rPr>
                <w:rFonts w:ascii="Times New Roman" w:hAnsi="Times New Roman" w:eastAsia="宋体" w:cs="Times New Roman"/>
                <w:color w:val="000000" w:themeColor="text1"/>
                <w:spacing w:val="0"/>
                <w14:textFill>
                  <w14:solidFill>
                    <w14:schemeClr w14:val="tx1"/>
                  </w14:solidFill>
                </w14:textFill>
              </w:rPr>
              <w:t>——污染物i的单因子评价指数，无量纲；</w:t>
            </w:r>
          </w:p>
          <w:p w14:paraId="2D215BF8">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C</w:t>
            </w:r>
            <w:r>
              <w:rPr>
                <w:rFonts w:ascii="Times New Roman" w:hAnsi="Times New Roman" w:eastAsia="宋体" w:cs="Times New Roman"/>
                <w:color w:val="000000" w:themeColor="text1"/>
                <w:spacing w:val="0"/>
                <w:vertAlign w:val="subscript"/>
                <w14:textFill>
                  <w14:solidFill>
                    <w14:schemeClr w14:val="tx1"/>
                  </w14:solidFill>
                </w14:textFill>
              </w:rPr>
              <w:t>i</w:t>
            </w:r>
            <w:r>
              <w:rPr>
                <w:rFonts w:ascii="Times New Roman" w:hAnsi="Times New Roman" w:eastAsia="宋体" w:cs="Times New Roman"/>
                <w:color w:val="000000" w:themeColor="text1"/>
                <w:spacing w:val="0"/>
                <w14:textFill>
                  <w14:solidFill>
                    <w14:schemeClr w14:val="tx1"/>
                  </w14:solidFill>
                </w14:textFill>
              </w:rPr>
              <w:t>——污染物i的实测浓度，</w:t>
            </w:r>
            <w:r>
              <w:rPr>
                <w:rFonts w:hint="eastAsia" w:ascii="Times New Roman" w:hAnsi="Times New Roman" w:eastAsia="宋体" w:cs="Times New Roman"/>
                <w:color w:val="000000" w:themeColor="text1"/>
                <w:spacing w:val="0"/>
                <w14:textFill>
                  <w14:solidFill>
                    <w14:schemeClr w14:val="tx1"/>
                  </w14:solidFill>
                </w14:textFill>
              </w:rPr>
              <w:t>u</w:t>
            </w:r>
            <w:r>
              <w:rPr>
                <w:rFonts w:ascii="Times New Roman" w:hAnsi="Times New Roman" w:eastAsia="宋体" w:cs="Times New Roman"/>
                <w:color w:val="000000" w:themeColor="text1"/>
                <w:spacing w:val="0"/>
                <w14:textFill>
                  <w14:solidFill>
                    <w14:schemeClr w14:val="tx1"/>
                  </w14:solidFill>
                </w14:textFill>
              </w:rPr>
              <w:t>g/m</w:t>
            </w:r>
            <w:r>
              <w:rPr>
                <w:rFonts w:ascii="Times New Roman" w:hAnsi="Times New Roman" w:eastAsia="宋体" w:cs="Times New Roman"/>
                <w:color w:val="000000" w:themeColor="text1"/>
                <w:spacing w:val="0"/>
                <w:vertAlign w:val="superscript"/>
                <w14:textFill>
                  <w14:solidFill>
                    <w14:schemeClr w14:val="tx1"/>
                  </w14:solidFill>
                </w14:textFill>
              </w:rPr>
              <w:t>3</w:t>
            </w:r>
            <w:r>
              <w:rPr>
                <w:rFonts w:ascii="Times New Roman" w:hAnsi="Times New Roman" w:eastAsia="宋体" w:cs="Times New Roman"/>
                <w:color w:val="000000" w:themeColor="text1"/>
                <w:spacing w:val="0"/>
                <w14:textFill>
                  <w14:solidFill>
                    <w14:schemeClr w14:val="tx1"/>
                  </w14:solidFill>
                </w14:textFill>
              </w:rPr>
              <w:t>；</w:t>
            </w:r>
          </w:p>
          <w:p w14:paraId="127AE203">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C</w:t>
            </w:r>
            <w:r>
              <w:rPr>
                <w:rFonts w:ascii="Times New Roman" w:hAnsi="Times New Roman" w:eastAsia="宋体" w:cs="Times New Roman"/>
                <w:color w:val="000000" w:themeColor="text1"/>
                <w:spacing w:val="0"/>
                <w:vertAlign w:val="subscript"/>
                <w14:textFill>
                  <w14:solidFill>
                    <w14:schemeClr w14:val="tx1"/>
                  </w14:solidFill>
                </w14:textFill>
              </w:rPr>
              <w:t>o</w:t>
            </w:r>
            <w:r>
              <w:rPr>
                <w:rFonts w:ascii="Times New Roman" w:hAnsi="Times New Roman" w:eastAsia="宋体" w:cs="Times New Roman"/>
                <w:color w:val="000000" w:themeColor="text1"/>
                <w:spacing w:val="0"/>
                <w14:textFill>
                  <w14:solidFill>
                    <w14:schemeClr w14:val="tx1"/>
                  </w14:solidFill>
                </w14:textFill>
              </w:rPr>
              <w:t>——污染物i的评价标准，</w:t>
            </w:r>
            <w:r>
              <w:rPr>
                <w:rFonts w:hint="eastAsia" w:ascii="Times New Roman" w:hAnsi="Times New Roman" w:eastAsia="宋体" w:cs="Times New Roman"/>
                <w:color w:val="000000" w:themeColor="text1"/>
                <w:spacing w:val="0"/>
                <w14:textFill>
                  <w14:solidFill>
                    <w14:schemeClr w14:val="tx1"/>
                  </w14:solidFill>
                </w14:textFill>
              </w:rPr>
              <w:t>u</w:t>
            </w:r>
            <w:r>
              <w:rPr>
                <w:rFonts w:ascii="Times New Roman" w:hAnsi="Times New Roman" w:eastAsia="宋体" w:cs="Times New Roman"/>
                <w:color w:val="000000" w:themeColor="text1"/>
                <w:spacing w:val="0"/>
                <w14:textFill>
                  <w14:solidFill>
                    <w14:schemeClr w14:val="tx1"/>
                  </w14:solidFill>
                </w14:textFill>
              </w:rPr>
              <w:t>g/m</w:t>
            </w:r>
            <w:r>
              <w:rPr>
                <w:rFonts w:ascii="Times New Roman" w:hAnsi="Times New Roman" w:eastAsia="宋体" w:cs="Times New Roman"/>
                <w:color w:val="000000" w:themeColor="text1"/>
                <w:spacing w:val="0"/>
                <w:vertAlign w:val="superscript"/>
                <w14:textFill>
                  <w14:solidFill>
                    <w14:schemeClr w14:val="tx1"/>
                  </w14:solidFill>
                </w14:textFill>
              </w:rPr>
              <w:t>3</w:t>
            </w:r>
            <w:r>
              <w:rPr>
                <w:rFonts w:ascii="Times New Roman" w:hAnsi="Times New Roman" w:eastAsia="宋体" w:cs="Times New Roman"/>
                <w:color w:val="000000" w:themeColor="text1"/>
                <w:spacing w:val="0"/>
                <w14:textFill>
                  <w14:solidFill>
                    <w14:schemeClr w14:val="tx1"/>
                  </w14:solidFill>
                </w14:textFill>
              </w:rPr>
              <w:t>；</w:t>
            </w:r>
          </w:p>
          <w:p w14:paraId="2EA07B14">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根据结果，当I</w:t>
            </w:r>
            <w:r>
              <w:rPr>
                <w:rFonts w:ascii="Times New Roman" w:hAnsi="Times New Roman" w:eastAsia="宋体" w:cs="Times New Roman"/>
                <w:color w:val="000000" w:themeColor="text1"/>
                <w:spacing w:val="0"/>
                <w:vertAlign w:val="subscript"/>
                <w14:textFill>
                  <w14:solidFill>
                    <w14:schemeClr w14:val="tx1"/>
                  </w14:solidFill>
                </w14:textFill>
              </w:rPr>
              <w:t>i</w:t>
            </w:r>
            <w:r>
              <w:rPr>
                <w:rFonts w:hint="eastAsia" w:ascii="Times New Roman" w:hAnsi="Times New Roman" w:eastAsia="宋体" w:cs="Times New Roman"/>
                <w:color w:val="000000" w:themeColor="text1"/>
                <w:spacing w:val="0"/>
                <w14:textFill>
                  <w14:solidFill>
                    <w14:schemeClr w14:val="tx1"/>
                  </w14:solidFill>
                </w14:textFill>
              </w:rPr>
              <w:t>≤</w:t>
            </w:r>
            <w:r>
              <w:rPr>
                <w:rFonts w:ascii="Times New Roman" w:hAnsi="Times New Roman" w:eastAsia="宋体" w:cs="Times New Roman"/>
                <w:color w:val="000000" w:themeColor="text1"/>
                <w:spacing w:val="0"/>
                <w14:textFill>
                  <w14:solidFill>
                    <w14:schemeClr w14:val="tx1"/>
                  </w14:solidFill>
                </w14:textFill>
              </w:rPr>
              <w:t>1时，表示大气中该污染物浓度不超标；当I</w:t>
            </w:r>
            <w:r>
              <w:rPr>
                <w:rFonts w:ascii="Times New Roman" w:hAnsi="Times New Roman" w:eastAsia="宋体" w:cs="Times New Roman"/>
                <w:color w:val="000000" w:themeColor="text1"/>
                <w:spacing w:val="0"/>
                <w:vertAlign w:val="subscript"/>
                <w14:textFill>
                  <w14:solidFill>
                    <w14:schemeClr w14:val="tx1"/>
                  </w14:solidFill>
                </w14:textFill>
              </w:rPr>
              <w:t>i</w:t>
            </w:r>
            <w:r>
              <w:rPr>
                <w:rFonts w:hint="eastAsia" w:ascii="Times New Roman" w:hAnsi="Times New Roman" w:eastAsia="宋体" w:cs="Times New Roman"/>
                <w:color w:val="000000" w:themeColor="text1"/>
                <w:spacing w:val="0"/>
                <w14:textFill>
                  <w14:solidFill>
                    <w14:schemeClr w14:val="tx1"/>
                  </w14:solidFill>
                </w14:textFill>
              </w:rPr>
              <w:t>＞</w:t>
            </w:r>
            <w:r>
              <w:rPr>
                <w:rFonts w:ascii="Times New Roman" w:hAnsi="Times New Roman" w:eastAsia="宋体" w:cs="Times New Roman"/>
                <w:color w:val="000000" w:themeColor="text1"/>
                <w:spacing w:val="0"/>
                <w14:textFill>
                  <w14:solidFill>
                    <w14:schemeClr w14:val="tx1"/>
                  </w14:solidFill>
                </w14:textFill>
              </w:rPr>
              <w:t>时，表示大气中该污染物浓度超过评价标准。</w:t>
            </w:r>
          </w:p>
          <w:p w14:paraId="644DFCDA">
            <w:pPr>
              <w:adjustRightInd w:val="0"/>
              <w:snapToGrid w:val="0"/>
              <w:ind w:firstLine="480" w:firstLineChars="200"/>
              <w:rPr>
                <w:rFonts w:ascii="Times New Roman" w:hAnsi="Times New Roman" w:eastAsia="宋体" w:cs="Times New Roman"/>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（6）评价结果及结论</w:t>
            </w:r>
          </w:p>
          <w:p w14:paraId="74E46D37">
            <w:pPr>
              <w:widowControl/>
              <w:adjustRightInd w:val="0"/>
              <w:snapToGrid w:val="0"/>
              <w:spacing w:after="0" w:line="240" w:lineRule="auto"/>
              <w:ind w:firstLine="422" w:firstLineChars="200"/>
              <w:jc w:val="both"/>
              <w:rPr>
                <w:rFonts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pPr>
            <w:r>
              <w:rPr>
                <w:rFonts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t>表</w:t>
            </w:r>
            <w:r>
              <w:rPr>
                <w:rFonts w:hint="eastAsia"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t>3-2</w:t>
            </w:r>
            <w:r>
              <w:rPr>
                <w:rFonts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t xml:space="preserve">  </w:t>
            </w:r>
            <w:r>
              <w:rPr>
                <w:rFonts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t xml:space="preserve"> </w:t>
            </w:r>
            <w:r>
              <w:rPr>
                <w:rFonts w:ascii="Times New Roman" w:hAnsi="Times New Roman" w:eastAsia="宋体" w:cs="Times New Roman"/>
                <w:b/>
                <w:bCs/>
                <w:snapToGrid w:val="0"/>
                <w:color w:val="000000" w:themeColor="text1"/>
                <w:spacing w:val="0"/>
                <w:kern w:val="0"/>
                <w:sz w:val="21"/>
                <w:szCs w:val="21"/>
                <w:lang w:val="en-US" w:eastAsia="zh-CN" w:bidi="ar-SA"/>
                <w14:textFill>
                  <w14:solidFill>
                    <w14:schemeClr w14:val="tx1"/>
                  </w14:solidFill>
                </w14:textFill>
              </w:rPr>
              <w:t xml:space="preserve">  项目区环境空气质量评价结果统计表</w:t>
            </w:r>
          </w:p>
          <w:tbl>
            <w:tblPr>
              <w:tblStyle w:val="2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56"/>
              <w:gridCol w:w="952"/>
              <w:gridCol w:w="663"/>
              <w:gridCol w:w="692"/>
              <w:gridCol w:w="1154"/>
              <w:gridCol w:w="1096"/>
              <w:gridCol w:w="866"/>
              <w:gridCol w:w="750"/>
              <w:gridCol w:w="648"/>
            </w:tblGrid>
            <w:tr w14:paraId="6B951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08" w:type="dxa"/>
                  <w:vMerge w:val="restart"/>
                  <w:tcBorders>
                    <w:tl2br w:val="nil"/>
                    <w:tr2bl w:val="nil"/>
                  </w:tcBorders>
                  <w:noWrap w:val="0"/>
                  <w:vAlign w:val="center"/>
                </w:tcPr>
                <w:p w14:paraId="38CBAD48">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监测点位</w:t>
                  </w:r>
                </w:p>
              </w:tc>
              <w:tc>
                <w:tcPr>
                  <w:tcW w:w="1808" w:type="dxa"/>
                  <w:gridSpan w:val="2"/>
                  <w:tcBorders>
                    <w:tl2br w:val="nil"/>
                    <w:tr2bl w:val="nil"/>
                  </w:tcBorders>
                  <w:noWrap w:val="0"/>
                  <w:vAlign w:val="center"/>
                </w:tcPr>
                <w:p w14:paraId="57FDA426">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监测点坐标</w:t>
                  </w:r>
                </w:p>
              </w:tc>
              <w:tc>
                <w:tcPr>
                  <w:tcW w:w="663" w:type="dxa"/>
                  <w:vMerge w:val="restart"/>
                  <w:tcBorders>
                    <w:tl2br w:val="nil"/>
                    <w:tr2bl w:val="nil"/>
                  </w:tcBorders>
                  <w:noWrap w:val="0"/>
                  <w:vAlign w:val="center"/>
                </w:tcPr>
                <w:p w14:paraId="001D3501">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污染物</w:t>
                  </w:r>
                </w:p>
              </w:tc>
              <w:tc>
                <w:tcPr>
                  <w:tcW w:w="692" w:type="dxa"/>
                  <w:vMerge w:val="restart"/>
                  <w:tcBorders>
                    <w:tl2br w:val="nil"/>
                    <w:tr2bl w:val="nil"/>
                  </w:tcBorders>
                  <w:noWrap w:val="0"/>
                  <w:vAlign w:val="center"/>
                </w:tcPr>
                <w:p w14:paraId="3699E901">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平均时间</w:t>
                  </w:r>
                </w:p>
              </w:tc>
              <w:tc>
                <w:tcPr>
                  <w:tcW w:w="1154" w:type="dxa"/>
                  <w:vMerge w:val="restart"/>
                  <w:tcBorders>
                    <w:tl2br w:val="nil"/>
                    <w:tr2bl w:val="nil"/>
                  </w:tcBorders>
                  <w:noWrap w:val="0"/>
                  <w:vAlign w:val="center"/>
                </w:tcPr>
                <w:p w14:paraId="22765872">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评价标准（mg/m</w:t>
                  </w: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w:t>
                  </w:r>
                </w:p>
              </w:tc>
              <w:tc>
                <w:tcPr>
                  <w:tcW w:w="1096" w:type="dxa"/>
                  <w:vMerge w:val="restart"/>
                  <w:tcBorders>
                    <w:tl2br w:val="nil"/>
                    <w:tr2bl w:val="nil"/>
                  </w:tcBorders>
                  <w:noWrap w:val="0"/>
                  <w:vAlign w:val="center"/>
                </w:tcPr>
                <w:p w14:paraId="36BF5BF7">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监测浓度范围（mg/m</w:t>
                  </w: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w:t>
                  </w:r>
                </w:p>
              </w:tc>
              <w:tc>
                <w:tcPr>
                  <w:tcW w:w="866" w:type="dxa"/>
                  <w:vMerge w:val="restart"/>
                  <w:tcBorders>
                    <w:tl2br w:val="nil"/>
                    <w:tr2bl w:val="nil"/>
                  </w:tcBorders>
                  <w:noWrap w:val="0"/>
                  <w:vAlign w:val="center"/>
                </w:tcPr>
                <w:p w14:paraId="0318FDB8">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最大浓度占标率/%</w:t>
                  </w:r>
                </w:p>
              </w:tc>
              <w:tc>
                <w:tcPr>
                  <w:tcW w:w="750" w:type="dxa"/>
                  <w:vMerge w:val="restart"/>
                  <w:tcBorders>
                    <w:tl2br w:val="nil"/>
                    <w:tr2bl w:val="nil"/>
                  </w:tcBorders>
                  <w:noWrap w:val="0"/>
                  <w:vAlign w:val="center"/>
                </w:tcPr>
                <w:p w14:paraId="051D9BF0">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超标率/%</w:t>
                  </w:r>
                </w:p>
              </w:tc>
              <w:tc>
                <w:tcPr>
                  <w:tcW w:w="648" w:type="dxa"/>
                  <w:vMerge w:val="restart"/>
                  <w:tcBorders>
                    <w:tl2br w:val="nil"/>
                    <w:tr2bl w:val="nil"/>
                  </w:tcBorders>
                  <w:noWrap w:val="0"/>
                  <w:vAlign w:val="center"/>
                </w:tcPr>
                <w:p w14:paraId="387572B5">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达标情况</w:t>
                  </w:r>
                </w:p>
              </w:tc>
            </w:tr>
            <w:tr w14:paraId="12EB1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708" w:type="dxa"/>
                  <w:vMerge w:val="continue"/>
                  <w:tcBorders>
                    <w:tl2br w:val="nil"/>
                    <w:tr2bl w:val="nil"/>
                  </w:tcBorders>
                  <w:noWrap w:val="0"/>
                  <w:vAlign w:val="center"/>
                </w:tcPr>
                <w:p w14:paraId="4B66C8C4">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c>
                <w:tcPr>
                  <w:tcW w:w="856" w:type="dxa"/>
                  <w:tcBorders>
                    <w:tl2br w:val="nil"/>
                    <w:tr2bl w:val="nil"/>
                  </w:tcBorders>
                  <w:noWrap w:val="0"/>
                  <w:vAlign w:val="center"/>
                </w:tcPr>
                <w:p w14:paraId="5CEEE0A9">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X</w:t>
                  </w:r>
                </w:p>
              </w:tc>
              <w:tc>
                <w:tcPr>
                  <w:tcW w:w="952" w:type="dxa"/>
                  <w:tcBorders>
                    <w:tl2br w:val="nil"/>
                    <w:tr2bl w:val="nil"/>
                  </w:tcBorders>
                  <w:noWrap w:val="0"/>
                  <w:vAlign w:val="center"/>
                </w:tcPr>
                <w:p w14:paraId="201C6140">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Y</w:t>
                  </w:r>
                </w:p>
              </w:tc>
              <w:tc>
                <w:tcPr>
                  <w:tcW w:w="663" w:type="dxa"/>
                  <w:vMerge w:val="continue"/>
                  <w:tcBorders>
                    <w:tl2br w:val="nil"/>
                    <w:tr2bl w:val="nil"/>
                  </w:tcBorders>
                  <w:noWrap w:val="0"/>
                  <w:vAlign w:val="center"/>
                </w:tcPr>
                <w:p w14:paraId="2DFE88FC">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c>
                <w:tcPr>
                  <w:tcW w:w="692" w:type="dxa"/>
                  <w:vMerge w:val="continue"/>
                  <w:tcBorders>
                    <w:tl2br w:val="nil"/>
                    <w:tr2bl w:val="nil"/>
                  </w:tcBorders>
                  <w:noWrap w:val="0"/>
                  <w:vAlign w:val="center"/>
                </w:tcPr>
                <w:p w14:paraId="3D687796">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c>
                <w:tcPr>
                  <w:tcW w:w="1154" w:type="dxa"/>
                  <w:vMerge w:val="continue"/>
                  <w:tcBorders>
                    <w:tl2br w:val="nil"/>
                    <w:tr2bl w:val="nil"/>
                  </w:tcBorders>
                  <w:noWrap w:val="0"/>
                  <w:vAlign w:val="center"/>
                </w:tcPr>
                <w:p w14:paraId="1DFEC374">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c>
                <w:tcPr>
                  <w:tcW w:w="1096" w:type="dxa"/>
                  <w:vMerge w:val="continue"/>
                  <w:tcBorders>
                    <w:tl2br w:val="nil"/>
                    <w:tr2bl w:val="nil"/>
                  </w:tcBorders>
                  <w:noWrap w:val="0"/>
                  <w:vAlign w:val="center"/>
                </w:tcPr>
                <w:p w14:paraId="2DC400F2">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c>
                <w:tcPr>
                  <w:tcW w:w="866" w:type="dxa"/>
                  <w:vMerge w:val="continue"/>
                  <w:tcBorders>
                    <w:tl2br w:val="nil"/>
                    <w:tr2bl w:val="nil"/>
                  </w:tcBorders>
                  <w:noWrap w:val="0"/>
                  <w:vAlign w:val="center"/>
                </w:tcPr>
                <w:p w14:paraId="7675553C">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c>
                <w:tcPr>
                  <w:tcW w:w="750" w:type="dxa"/>
                  <w:vMerge w:val="continue"/>
                  <w:tcBorders>
                    <w:tl2br w:val="nil"/>
                    <w:tr2bl w:val="nil"/>
                  </w:tcBorders>
                  <w:noWrap w:val="0"/>
                  <w:vAlign w:val="center"/>
                </w:tcPr>
                <w:p w14:paraId="3A83FC47">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c>
                <w:tcPr>
                  <w:tcW w:w="648" w:type="dxa"/>
                  <w:vMerge w:val="continue"/>
                  <w:tcBorders>
                    <w:tl2br w:val="nil"/>
                    <w:tr2bl w:val="nil"/>
                  </w:tcBorders>
                  <w:noWrap w:val="0"/>
                  <w:vAlign w:val="center"/>
                </w:tcPr>
                <w:p w14:paraId="7332F0FD">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p>
              </w:tc>
            </w:tr>
            <w:tr w14:paraId="4D18B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l2br w:val="nil"/>
                    <w:tr2bl w:val="nil"/>
                  </w:tcBorders>
                  <w:noWrap w:val="0"/>
                  <w:vAlign w:val="center"/>
                </w:tcPr>
                <w:p w14:paraId="4F77DD02">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项目区下风向</w:t>
                  </w:r>
                </w:p>
              </w:tc>
              <w:tc>
                <w:tcPr>
                  <w:tcW w:w="856" w:type="dxa"/>
                  <w:tcBorders>
                    <w:tl2br w:val="nil"/>
                    <w:tr2bl w:val="nil"/>
                  </w:tcBorders>
                  <w:noWrap w:val="0"/>
                  <w:vAlign w:val="center"/>
                </w:tcPr>
                <w:p w14:paraId="494B9D82">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84°2′37.431″</w:t>
                  </w:r>
                </w:p>
              </w:tc>
              <w:tc>
                <w:tcPr>
                  <w:tcW w:w="952" w:type="dxa"/>
                  <w:tcBorders>
                    <w:tl2br w:val="nil"/>
                    <w:tr2bl w:val="nil"/>
                  </w:tcBorders>
                  <w:noWrap w:val="0"/>
                  <w:vAlign w:val="center"/>
                </w:tcPr>
                <w:p w14:paraId="4F9F2D23">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41°20′46.482″</w:t>
                  </w:r>
                </w:p>
              </w:tc>
              <w:tc>
                <w:tcPr>
                  <w:tcW w:w="663" w:type="dxa"/>
                  <w:tcBorders>
                    <w:tl2br w:val="nil"/>
                    <w:tr2bl w:val="nil"/>
                  </w:tcBorders>
                  <w:noWrap w:val="0"/>
                  <w:vAlign w:val="center"/>
                </w:tcPr>
                <w:p w14:paraId="02D235D6">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TSP</w:t>
                  </w:r>
                </w:p>
              </w:tc>
              <w:tc>
                <w:tcPr>
                  <w:tcW w:w="692" w:type="dxa"/>
                  <w:tcBorders>
                    <w:tl2br w:val="nil"/>
                    <w:tr2bl w:val="nil"/>
                  </w:tcBorders>
                  <w:noWrap w:val="0"/>
                  <w:vAlign w:val="center"/>
                </w:tcPr>
                <w:p w14:paraId="7E89468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日均值</w:t>
                  </w:r>
                </w:p>
              </w:tc>
              <w:tc>
                <w:tcPr>
                  <w:tcW w:w="1154" w:type="dxa"/>
                  <w:tcBorders>
                    <w:tl2br w:val="nil"/>
                    <w:tr2bl w:val="nil"/>
                  </w:tcBorders>
                  <w:noWrap w:val="0"/>
                  <w:vAlign w:val="center"/>
                </w:tcPr>
                <w:p w14:paraId="000B26FA">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0.3</w:t>
                  </w:r>
                </w:p>
              </w:tc>
              <w:tc>
                <w:tcPr>
                  <w:tcW w:w="1096" w:type="dxa"/>
                  <w:tcBorders>
                    <w:tl2br w:val="nil"/>
                    <w:tr2bl w:val="nil"/>
                  </w:tcBorders>
                  <w:noWrap w:val="0"/>
                  <w:vAlign w:val="center"/>
                </w:tcPr>
                <w:p w14:paraId="3862B758">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0.176~0.189</w:t>
                  </w:r>
                </w:p>
              </w:tc>
              <w:tc>
                <w:tcPr>
                  <w:tcW w:w="866" w:type="dxa"/>
                  <w:tcBorders>
                    <w:tl2br w:val="nil"/>
                    <w:tr2bl w:val="nil"/>
                  </w:tcBorders>
                  <w:noWrap w:val="0"/>
                  <w:vAlign w:val="center"/>
                </w:tcPr>
                <w:p w14:paraId="5BEB7A7E">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eastAsia"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63</w:t>
                  </w:r>
                </w:p>
              </w:tc>
              <w:tc>
                <w:tcPr>
                  <w:tcW w:w="750" w:type="dxa"/>
                  <w:tcBorders>
                    <w:tl2br w:val="nil"/>
                    <w:tr2bl w:val="nil"/>
                  </w:tcBorders>
                  <w:noWrap w:val="0"/>
                  <w:vAlign w:val="center"/>
                </w:tcPr>
                <w:p w14:paraId="232ED8F7">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0</w:t>
                  </w:r>
                </w:p>
              </w:tc>
              <w:tc>
                <w:tcPr>
                  <w:tcW w:w="648" w:type="dxa"/>
                  <w:tcBorders>
                    <w:tl2br w:val="nil"/>
                    <w:tr2bl w:val="nil"/>
                  </w:tcBorders>
                  <w:noWrap w:val="0"/>
                  <w:vAlign w:val="center"/>
                </w:tcPr>
                <w:p w14:paraId="3CC4B2F4">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position w:val="0"/>
                      <w:sz w:val="21"/>
                      <w:szCs w:val="21"/>
                      <w:highlight w:val="none"/>
                      <w:vertAlign w:val="baseline"/>
                      <w:lang w:val="en-US" w:eastAsia="zh-CN"/>
                      <w14:textFill>
                        <w14:solidFill>
                          <w14:schemeClr w14:val="tx1"/>
                        </w14:solidFill>
                      </w14:textFill>
                    </w:rPr>
                    <w:t>达标</w:t>
                  </w:r>
                </w:p>
              </w:tc>
            </w:tr>
          </w:tbl>
          <w:p w14:paraId="33FE9900">
            <w:pPr>
              <w:keepNext w:val="0"/>
              <w:keepLines/>
              <w:pageBreakBefore w:val="0"/>
              <w:widowControl w:val="0"/>
              <w:kinsoku/>
              <w:wordWrap/>
              <w:overflowPunct/>
              <w:topLinePunct w:val="0"/>
              <w:autoSpaceDE/>
              <w:autoSpaceDN/>
              <w:bidi w:val="0"/>
              <w:adjustRightInd w:val="0"/>
              <w:snapToGrid w:val="0"/>
              <w:ind w:firstLine="480" w:firstLineChars="200"/>
              <w:textAlignment w:val="baseline"/>
              <w:rPr>
                <w:rFonts w:ascii="Times New Roman" w:hAnsi="Times New Roman" w:eastAsia="宋体" w:cs="Times New Roman"/>
                <w:bCs/>
                <w:color w:val="000000" w:themeColor="text1"/>
                <w:spacing w:val="0"/>
                <w14:textFill>
                  <w14:solidFill>
                    <w14:schemeClr w14:val="tx1"/>
                  </w14:solidFill>
                </w14:textFill>
              </w:rPr>
            </w:pPr>
            <w:r>
              <w:rPr>
                <w:rFonts w:ascii="Times New Roman" w:hAnsi="Times New Roman" w:eastAsia="宋体" w:cs="Times New Roman"/>
                <w:color w:val="000000" w:themeColor="text1"/>
                <w:spacing w:val="0"/>
                <w14:textFill>
                  <w14:solidFill>
                    <w14:schemeClr w14:val="tx1"/>
                  </w14:solidFill>
                </w14:textFill>
              </w:rPr>
              <w:t>从</w:t>
            </w:r>
            <w:r>
              <w:rPr>
                <w:rFonts w:hint="eastAsia" w:ascii="Times New Roman" w:hAnsi="Times New Roman" w:eastAsia="宋体" w:cs="Times New Roman"/>
                <w:color w:val="000000" w:themeColor="text1"/>
                <w:spacing w:val="0"/>
                <w14:textFill>
                  <w14:solidFill>
                    <w14:schemeClr w14:val="tx1"/>
                  </w14:solidFill>
                </w14:textFill>
              </w:rPr>
              <w:t>上</w:t>
            </w:r>
            <w:r>
              <w:rPr>
                <w:rFonts w:ascii="Times New Roman" w:hAnsi="Times New Roman" w:eastAsia="宋体" w:cs="Times New Roman"/>
                <w:color w:val="000000" w:themeColor="text1"/>
                <w:spacing w:val="0"/>
                <w14:textFill>
                  <w14:solidFill>
                    <w14:schemeClr w14:val="tx1"/>
                  </w14:solidFill>
                </w14:textFill>
              </w:rPr>
              <w:t>表分析结果可知，本项目所在区域</w:t>
            </w:r>
            <w:r>
              <w:rPr>
                <w:rFonts w:hint="eastAsia" w:ascii="Times New Roman" w:hAnsi="Times New Roman" w:eastAsia="宋体" w:cs="Times New Roman"/>
                <w:color w:val="000000" w:themeColor="text1"/>
                <w:spacing w:val="0"/>
                <w14:textFill>
                  <w14:solidFill>
                    <w14:schemeClr w14:val="tx1"/>
                  </w14:solidFill>
                </w14:textFill>
              </w:rPr>
              <w:t>颗粒物可满足《环境空气质量标准》（GB3095-2012）二级标准限值</w:t>
            </w:r>
            <w:r>
              <w:rPr>
                <w:rFonts w:ascii="Times New Roman" w:hAnsi="Times New Roman" w:eastAsia="宋体" w:cs="Times New Roman"/>
                <w:bCs/>
                <w:color w:val="000000" w:themeColor="text1"/>
                <w:spacing w:val="0"/>
                <w14:textFill>
                  <w14:solidFill>
                    <w14:schemeClr w14:val="tx1"/>
                  </w14:solidFill>
                </w14:textFill>
              </w:rPr>
              <w:t>。</w:t>
            </w:r>
          </w:p>
          <w:p w14:paraId="15293846">
            <w:pPr>
              <w:keepLines/>
              <w:adjustRightInd w:val="0"/>
              <w:snapToGrid w:val="0"/>
              <w:textAlignment w:val="baseline"/>
              <w:rPr>
                <w:b/>
                <w:color w:val="000000"/>
                <w:kern w:val="0"/>
              </w:rPr>
            </w:pPr>
            <w:r>
              <w:rPr>
                <w:rFonts w:hint="eastAsia"/>
                <w:b/>
                <w:color w:val="000000"/>
                <w:kern w:val="0"/>
              </w:rPr>
              <w:t>2、地表水环境质量</w:t>
            </w:r>
          </w:p>
          <w:p w14:paraId="277D0EEB">
            <w:pPr>
              <w:adjustRightInd w:val="0"/>
              <w:snapToGrid w:val="0"/>
              <w:ind w:firstLine="480" w:firstLineChars="200"/>
              <w:rPr>
                <w:rFonts w:hint="default"/>
                <w:color w:val="000000"/>
                <w:kern w:val="0"/>
                <w:lang w:val="en-US" w:eastAsia="zh-CN"/>
              </w:rPr>
            </w:pPr>
            <w:bookmarkStart w:id="8" w:name="_Toc27865"/>
            <w:r>
              <w:rPr>
                <w:rFonts w:hint="default"/>
                <w:color w:val="000000"/>
                <w:kern w:val="0"/>
                <w:lang w:val="en-US" w:eastAsia="zh-CN"/>
              </w:rPr>
              <w:t>根据《202</w:t>
            </w:r>
            <w:r>
              <w:rPr>
                <w:rFonts w:hint="eastAsia"/>
                <w:color w:val="000000"/>
                <w:kern w:val="0"/>
                <w:lang w:val="en-US" w:eastAsia="zh-CN"/>
              </w:rPr>
              <w:t>3</w:t>
            </w:r>
            <w:r>
              <w:rPr>
                <w:rFonts w:hint="default"/>
                <w:color w:val="000000"/>
                <w:kern w:val="0"/>
                <w:lang w:val="en-US" w:eastAsia="zh-CN"/>
              </w:rPr>
              <w:t>年巴音郭楞蒙古自治州生态环境状况公报》可知：全州地表水监测的31个考核断面（点位）中，Ⅰ~Ⅲ类优良水质断面（点位）占77.42%，Ⅳ类水质断面（点位）占22.58%。6条主要河流19个监测断面中Ⅰ~Ⅲ类优良水质断面占100%，3个重要湖泊（水库）12个监测点位中Ⅰ~Ⅲ类优良水质点位占42%，无劣Ⅴ类水体，湖泊主要水质影响因子为高锰酸盐指数和化学需氧量；水库主要水质影响因子为氟化物</w:t>
            </w:r>
            <w:r>
              <w:rPr>
                <w:rFonts w:hint="eastAsia"/>
                <w:color w:val="000000"/>
                <w:kern w:val="0"/>
                <w:lang w:val="en-US" w:eastAsia="zh-CN"/>
              </w:rPr>
              <w:t>。</w:t>
            </w:r>
          </w:p>
          <w:p w14:paraId="7EB8D928">
            <w:pPr>
              <w:adjustRightInd w:val="0"/>
              <w:snapToGrid w:val="0"/>
              <w:ind w:firstLine="480" w:firstLineChars="200"/>
              <w:rPr>
                <w:color w:val="000000"/>
                <w:kern w:val="0"/>
              </w:rPr>
            </w:pPr>
            <w:r>
              <w:rPr>
                <w:rFonts w:hint="default"/>
                <w:color w:val="000000"/>
                <w:kern w:val="0"/>
                <w:lang w:val="en-US" w:eastAsia="zh-CN"/>
              </w:rPr>
              <w:t>距离项目区最近的地表水体为迪那河，</w:t>
            </w:r>
            <w:r>
              <w:rPr>
                <w:rFonts w:hint="eastAsia"/>
                <w:color w:val="000000"/>
                <w:kern w:val="0"/>
                <w:lang w:val="en-US" w:eastAsia="zh-CN"/>
              </w:rPr>
              <w:t>位于本项目北侧19.5km处，迪那河</w:t>
            </w:r>
            <w:r>
              <w:rPr>
                <w:rFonts w:hint="eastAsia"/>
                <w:color w:val="000000"/>
                <w:kern w:val="0"/>
              </w:rPr>
              <w:t>水质可满足《地表水环境质量标准》（GB3838-2002）中II类水质标准。</w:t>
            </w:r>
          </w:p>
          <w:p w14:paraId="1615650B">
            <w:pPr>
              <w:keepLines/>
              <w:adjustRightInd w:val="0"/>
              <w:snapToGrid w:val="0"/>
              <w:textAlignment w:val="baseline"/>
              <w:rPr>
                <w:b/>
                <w:color w:val="000000"/>
                <w:kern w:val="0"/>
              </w:rPr>
            </w:pPr>
            <w:r>
              <w:rPr>
                <w:rFonts w:hint="eastAsia"/>
                <w:b/>
                <w:color w:val="000000"/>
                <w:kern w:val="0"/>
              </w:rPr>
              <w:t>3、声环境质量现状</w:t>
            </w:r>
            <w:bookmarkEnd w:id="8"/>
          </w:p>
          <w:p w14:paraId="4A275693">
            <w:pPr>
              <w:adjustRightInd w:val="0"/>
              <w:snapToGrid w:val="0"/>
              <w:ind w:firstLine="480" w:firstLineChars="200"/>
              <w:jc w:val="left"/>
              <w:rPr>
                <w:color w:val="000000"/>
              </w:rPr>
            </w:pPr>
            <w:r>
              <w:rPr>
                <w:rFonts w:hint="eastAsia"/>
                <w:color w:val="000000"/>
              </w:rPr>
              <w:t>本项目运行区域及周边环境50m范围内无声环境敏感保护目标，故不进行声环境质量现状监测</w:t>
            </w:r>
            <w:r>
              <w:rPr>
                <w:color w:val="000000"/>
              </w:rPr>
              <w:t>。</w:t>
            </w:r>
          </w:p>
          <w:p w14:paraId="536F0A58">
            <w:pPr>
              <w:rPr>
                <w:b/>
                <w:bCs/>
                <w:color w:val="000000"/>
              </w:rPr>
            </w:pPr>
            <w:r>
              <w:rPr>
                <w:rFonts w:hint="eastAsia"/>
                <w:b/>
                <w:bCs/>
                <w:color w:val="000000"/>
              </w:rPr>
              <w:t>4</w:t>
            </w:r>
            <w:r>
              <w:rPr>
                <w:b/>
                <w:bCs/>
                <w:color w:val="000000"/>
              </w:rPr>
              <w:t>生态环境</w:t>
            </w:r>
          </w:p>
          <w:p w14:paraId="0120990B">
            <w:pPr>
              <w:ind w:firstLine="480" w:firstLineChars="200"/>
              <w:rPr>
                <w:color w:val="000000"/>
              </w:rPr>
            </w:pPr>
            <w:r>
              <w:rPr>
                <w:color w:val="000000"/>
                <w:kern w:val="0"/>
                <w:szCs w:val="21"/>
              </w:rPr>
              <w:t>根据《建设项目环境影响报告表编制技术指南（污染影响类）（试行）》要求，产业园区外建设项目新增用地且用地范围内含有生态环境保护目标时，应进行生态现状调查</w:t>
            </w:r>
            <w:r>
              <w:rPr>
                <w:rFonts w:hint="eastAsia"/>
                <w:color w:val="000000"/>
                <w:kern w:val="0"/>
                <w:szCs w:val="21"/>
              </w:rPr>
              <w:t>，</w:t>
            </w:r>
            <w:r>
              <w:rPr>
                <w:rFonts w:hint="eastAsia"/>
                <w:color w:val="000000"/>
                <w:kern w:val="0"/>
                <w:szCs w:val="21"/>
                <w:lang w:val="en-US" w:eastAsia="zh-CN"/>
              </w:rPr>
              <w:t>本项目用地范围内无生态环境保护目标</w:t>
            </w:r>
            <w:r>
              <w:rPr>
                <w:rFonts w:hint="eastAsia"/>
                <w:color w:val="000000"/>
                <w:kern w:val="0"/>
                <w:szCs w:val="21"/>
              </w:rPr>
              <w:t>，</w:t>
            </w:r>
            <w:r>
              <w:rPr>
                <w:rFonts w:hint="eastAsia"/>
                <w:color w:val="000000"/>
              </w:rPr>
              <w:t>因此不开展生态环境现状调查</w:t>
            </w:r>
            <w:r>
              <w:rPr>
                <w:color w:val="000000"/>
              </w:rPr>
              <w:t>。</w:t>
            </w:r>
          </w:p>
          <w:p w14:paraId="3A25096F">
            <w:pPr>
              <w:rPr>
                <w:rFonts w:hint="eastAsia" w:ascii="Times New Roman" w:hAnsi="Times New Roman" w:eastAsia="宋体" w:cs="Times New Roman"/>
                <w:b/>
                <w:bCs/>
                <w:color w:val="000000"/>
                <w:lang w:val="en-US" w:eastAsia="zh-CN"/>
              </w:rPr>
            </w:pPr>
            <w:r>
              <w:rPr>
                <w:b/>
                <w:bCs/>
                <w:color w:val="000000"/>
              </w:rPr>
              <w:t>5</w:t>
            </w:r>
            <w:r>
              <w:rPr>
                <w:rFonts w:ascii="Times New Roman" w:hAnsi="Times New Roman" w:eastAsia="宋体" w:cs="Times New Roman"/>
                <w:b/>
                <w:bCs/>
                <w:color w:val="000000"/>
              </w:rPr>
              <w:t>地下水</w:t>
            </w:r>
            <w:r>
              <w:rPr>
                <w:rFonts w:hint="eastAsia" w:ascii="Times New Roman" w:hAnsi="Times New Roman" w:eastAsia="宋体" w:cs="Times New Roman"/>
                <w:b/>
                <w:bCs/>
                <w:color w:val="000000"/>
                <w:lang w:eastAsia="zh-CN"/>
              </w:rPr>
              <w:t>、</w:t>
            </w:r>
            <w:r>
              <w:rPr>
                <w:rFonts w:hint="eastAsia" w:ascii="Times New Roman" w:hAnsi="Times New Roman" w:eastAsia="宋体" w:cs="Times New Roman"/>
                <w:b/>
                <w:bCs/>
                <w:color w:val="000000"/>
                <w:lang w:val="en-US" w:eastAsia="zh-CN"/>
              </w:rPr>
              <w:t>土壤</w:t>
            </w:r>
            <w:r>
              <w:rPr>
                <w:rFonts w:ascii="Times New Roman" w:hAnsi="Times New Roman" w:eastAsia="宋体" w:cs="Times New Roman"/>
                <w:b/>
                <w:bCs/>
                <w:color w:val="000000"/>
              </w:rPr>
              <w:t>环境</w:t>
            </w:r>
            <w:r>
              <w:rPr>
                <w:rFonts w:hint="eastAsia" w:ascii="Times New Roman" w:hAnsi="Times New Roman" w:eastAsia="宋体" w:cs="Times New Roman"/>
                <w:b/>
                <w:bCs/>
                <w:color w:val="000000"/>
                <w:lang w:val="en-US" w:eastAsia="zh-CN"/>
              </w:rPr>
              <w:t>现状</w:t>
            </w:r>
          </w:p>
          <w:p w14:paraId="755F3CFC">
            <w:pPr>
              <w:ind w:firstLine="480" w:firstLineChars="200"/>
              <w:rPr>
                <w:color w:val="000000"/>
              </w:rPr>
            </w:pPr>
            <w:r>
              <w:rPr>
                <w:rFonts w:hint="eastAsia" w:ascii="Times New Roman" w:hAnsi="Times New Roman" w:eastAsia="宋体" w:cs="Times New Roman"/>
                <w:color w:val="000000"/>
                <w:lang w:val="en-US" w:eastAsia="zh-CN"/>
              </w:rPr>
              <w:t>本项目不存在土壤、地下水污染途径，且评价范围内无地下水、土壤环境保护目标，根据《建设项目环境影响报告表编制技术指南（污染影响类）（试行）》，本项目不需要进行地下水、土壤环境现状调查。</w:t>
            </w:r>
          </w:p>
          <w:p w14:paraId="0DC288F8">
            <w:pPr>
              <w:rPr>
                <w:rFonts w:hint="eastAsia" w:ascii="Times New Roman" w:hAnsi="Times New Roman" w:eastAsia="宋体" w:cs="Times New Roman"/>
                <w:b/>
                <w:bCs/>
                <w:color w:val="000000"/>
                <w:lang w:val="en-US" w:eastAsia="zh-CN"/>
              </w:rPr>
            </w:pPr>
            <w:r>
              <w:rPr>
                <w:b/>
                <w:bCs/>
                <w:color w:val="000000"/>
              </w:rPr>
              <w:t>6</w:t>
            </w:r>
            <w:r>
              <w:rPr>
                <w:rFonts w:hint="eastAsia" w:ascii="Times New Roman" w:hAnsi="Times New Roman" w:eastAsia="宋体" w:cs="Times New Roman"/>
                <w:b/>
                <w:bCs/>
                <w:color w:val="000000"/>
                <w:lang w:val="en-US" w:eastAsia="zh-CN"/>
              </w:rPr>
              <w:t>土地沙化现状</w:t>
            </w:r>
          </w:p>
          <w:p w14:paraId="61ECD15E">
            <w:pPr>
              <w:ind w:firstLine="480" w:firstLineChars="200"/>
              <w:rPr>
                <w:color w:val="000000"/>
              </w:rPr>
            </w:pPr>
            <w:r>
              <w:rPr>
                <w:rFonts w:hint="default" w:ascii="Times New Roman" w:hAnsi="Times New Roman" w:eastAsia="宋体" w:cs="Times New Roman"/>
                <w:color w:val="000000"/>
                <w:lang w:val="en-US" w:eastAsia="zh-CN"/>
              </w:rPr>
              <w:t>根据《新疆第六次沙化监测报告》</w:t>
            </w:r>
            <w:r>
              <w:rPr>
                <w:rFonts w:hint="eastAsia" w:ascii="Times New Roman" w:hAnsi="Times New Roman" w:eastAsia="宋体" w:cs="Times New Roman"/>
                <w:color w:val="000000"/>
                <w:lang w:val="en-US" w:eastAsia="zh-CN"/>
              </w:rPr>
              <w:t>本项目位于塔克拉玛干沙漠范围内，属于沙化土地</w:t>
            </w:r>
            <w:r>
              <w:rPr>
                <w:color w:val="000000"/>
              </w:rPr>
              <w:t>。</w:t>
            </w:r>
          </w:p>
          <w:p w14:paraId="5B710361">
            <w:pPr>
              <w:ind w:firstLine="480" w:firstLineChars="200"/>
              <w:rPr>
                <w:color w:val="000000"/>
              </w:rPr>
            </w:pPr>
            <w:r>
              <w:rPr>
                <w:color w:val="000000"/>
              </w:rPr>
              <w:t>塔克拉玛干沙漠中的流动沙地占我区沙漠流动沙地总面积的92.54%，是我国流沙分布最广的沙漠。该沙漠处于塔里木盆地中心，沙漠基底构造属塔里木地台区，是由前震旦系变质岩所组成。盆地为高山和高原所夹，除东面罗布泊为风口外，其余三面均为海拔4000米以上的高山环绕，盆地边缘山前环状分布着冲积、洪积倾斜平原，沙漠居于盆地中部。盆地汇集了天山南坡和昆仑山-喀喇昆仑山北坡所有水系，但只有部分较大的河流在汛期能流入沙漠。极端干旱的大陆性气候使得沙漠降水稀少，蒸发强烈，夏季酷热，冬季寒冷，春秋季多风，日温差大，日照时间长。沙漠沙丘高大，形态类型多样。沙丘由外向内逐渐升高，边缘在25米以下，内部一般在50</w:t>
            </w:r>
            <w:r>
              <w:rPr>
                <w:rFonts w:hint="eastAsia"/>
                <w:color w:val="000000"/>
                <w:lang w:eastAsia="zh-CN"/>
              </w:rPr>
              <w:t>~</w:t>
            </w:r>
            <w:r>
              <w:rPr>
                <w:color w:val="000000"/>
              </w:rPr>
              <w:t>80米之间，少数高达200</w:t>
            </w:r>
            <w:r>
              <w:rPr>
                <w:rFonts w:hint="eastAsia"/>
                <w:color w:val="000000"/>
                <w:lang w:eastAsia="zh-CN"/>
              </w:rPr>
              <w:t>~</w:t>
            </w:r>
            <w:r>
              <w:rPr>
                <w:color w:val="000000"/>
              </w:rPr>
              <w:t>300米。沙丘类型有10多种，以复合型纵向沙垄和新月型沙丘链为主，还有鱼鳞状沙丘、穹状沙丘、复合新月型沙丘等，且末至于田一线还分布有金字塔型沙丘。塔里木盆地的主风向，在克里雅河以东为东北风，以西为西北风，沙丘移动方向随风向而变化。沙漠中每年有沙尘暴30天以上，浮尘150天以上，沙漠边缘地区年降水量60</w:t>
            </w:r>
            <w:r>
              <w:rPr>
                <w:rFonts w:hint="eastAsia"/>
                <w:color w:val="000000"/>
                <w:lang w:eastAsia="zh-CN"/>
              </w:rPr>
              <w:t>~</w:t>
            </w:r>
            <w:r>
              <w:rPr>
                <w:color w:val="000000"/>
              </w:rPr>
              <w:t>80毫米，腹地降水量更低，降水少而蒸发强烈，植被覆盖率低，生态环境极为脆弱。</w:t>
            </w:r>
          </w:p>
        </w:tc>
      </w:tr>
      <w:tr w14:paraId="6F60FD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dxa"/>
            <w:tcBorders>
              <w:tl2br w:val="nil"/>
              <w:tr2bl w:val="nil"/>
            </w:tcBorders>
            <w:noWrap w:val="0"/>
            <w:vAlign w:val="center"/>
          </w:tcPr>
          <w:p w14:paraId="59614FC3">
            <w:pPr>
              <w:adjustRightInd w:val="0"/>
              <w:snapToGrid w:val="0"/>
              <w:jc w:val="center"/>
              <w:rPr>
                <w:color w:val="000000"/>
                <w:kern w:val="0"/>
                <w:szCs w:val="21"/>
              </w:rPr>
            </w:pPr>
            <w:r>
              <w:rPr>
                <w:color w:val="000000"/>
                <w:kern w:val="0"/>
                <w:szCs w:val="21"/>
              </w:rPr>
              <w:t>环境</w:t>
            </w:r>
          </w:p>
          <w:p w14:paraId="340DE00B">
            <w:pPr>
              <w:adjustRightInd w:val="0"/>
              <w:snapToGrid w:val="0"/>
              <w:jc w:val="center"/>
              <w:rPr>
                <w:color w:val="000000"/>
                <w:kern w:val="0"/>
                <w:szCs w:val="21"/>
              </w:rPr>
            </w:pPr>
            <w:r>
              <w:rPr>
                <w:color w:val="000000"/>
                <w:kern w:val="0"/>
                <w:szCs w:val="21"/>
              </w:rPr>
              <w:t>保护</w:t>
            </w:r>
          </w:p>
          <w:p w14:paraId="0D043DEB">
            <w:pPr>
              <w:adjustRightInd w:val="0"/>
              <w:snapToGrid w:val="0"/>
              <w:jc w:val="center"/>
              <w:rPr>
                <w:color w:val="000000"/>
                <w:kern w:val="0"/>
                <w:szCs w:val="21"/>
              </w:rPr>
            </w:pPr>
            <w:r>
              <w:rPr>
                <w:color w:val="000000"/>
                <w:kern w:val="0"/>
                <w:szCs w:val="21"/>
              </w:rPr>
              <w:t>目标</w:t>
            </w:r>
          </w:p>
        </w:tc>
        <w:tc>
          <w:tcPr>
            <w:tcW w:w="8601" w:type="dxa"/>
            <w:tcBorders>
              <w:tl2br w:val="nil"/>
              <w:tr2bl w:val="nil"/>
            </w:tcBorders>
            <w:noWrap w:val="0"/>
            <w:vAlign w:val="center"/>
          </w:tcPr>
          <w:p w14:paraId="70E7B9BB">
            <w:pPr>
              <w:ind w:firstLine="480" w:firstLineChars="200"/>
              <w:rPr>
                <w:color w:val="000000"/>
              </w:rPr>
            </w:pPr>
            <w:r>
              <w:rPr>
                <w:color w:val="000000"/>
              </w:rPr>
              <w:t>本项目位于</w:t>
            </w:r>
            <w:r>
              <w:rPr>
                <w:rFonts w:hint="eastAsia"/>
                <w:color w:val="000000"/>
                <w:lang w:val="en-US" w:eastAsia="zh-CN"/>
              </w:rPr>
              <w:t>新疆巴州</w:t>
            </w:r>
            <w:r>
              <w:rPr>
                <w:rFonts w:hint="eastAsia"/>
                <w:color w:val="000000"/>
              </w:rPr>
              <w:t>轮台县轮南镇牙买提社区西环路，百盛加油站以北800米</w:t>
            </w:r>
            <w:r>
              <w:rPr>
                <w:color w:val="000000"/>
              </w:rPr>
              <w:t>，厂界外500m范围内无大气环境保护目标，厂界外50m范围内无声环境保护目标，厂界外500m范围内无地下水集中式饮用水水源和特殊地下水资源。</w:t>
            </w:r>
          </w:p>
        </w:tc>
      </w:tr>
      <w:tr w14:paraId="34D164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dxa"/>
            <w:tcBorders>
              <w:tl2br w:val="nil"/>
              <w:tr2bl w:val="nil"/>
            </w:tcBorders>
            <w:noWrap w:val="0"/>
            <w:tcMar>
              <w:left w:w="28" w:type="dxa"/>
              <w:right w:w="28" w:type="dxa"/>
            </w:tcMar>
            <w:vAlign w:val="center"/>
          </w:tcPr>
          <w:p w14:paraId="12A4CF98">
            <w:pPr>
              <w:adjustRightInd w:val="0"/>
              <w:snapToGrid w:val="0"/>
              <w:jc w:val="center"/>
              <w:rPr>
                <w:color w:val="000000"/>
                <w:kern w:val="0"/>
                <w:szCs w:val="21"/>
              </w:rPr>
            </w:pPr>
            <w:r>
              <w:rPr>
                <w:color w:val="000000"/>
                <w:kern w:val="0"/>
                <w:szCs w:val="21"/>
              </w:rPr>
              <w:t>污染</w:t>
            </w:r>
          </w:p>
          <w:p w14:paraId="63BB5441">
            <w:pPr>
              <w:adjustRightInd w:val="0"/>
              <w:snapToGrid w:val="0"/>
              <w:jc w:val="center"/>
              <w:rPr>
                <w:color w:val="000000"/>
                <w:kern w:val="0"/>
                <w:szCs w:val="21"/>
              </w:rPr>
            </w:pPr>
            <w:r>
              <w:rPr>
                <w:color w:val="000000"/>
                <w:kern w:val="0"/>
                <w:szCs w:val="21"/>
              </w:rPr>
              <w:t>物排</w:t>
            </w:r>
          </w:p>
          <w:p w14:paraId="404D89D3">
            <w:pPr>
              <w:adjustRightInd w:val="0"/>
              <w:snapToGrid w:val="0"/>
              <w:jc w:val="center"/>
              <w:rPr>
                <w:color w:val="000000"/>
                <w:kern w:val="0"/>
                <w:szCs w:val="21"/>
              </w:rPr>
            </w:pPr>
            <w:r>
              <w:rPr>
                <w:color w:val="000000"/>
                <w:kern w:val="0"/>
                <w:szCs w:val="21"/>
              </w:rPr>
              <w:t>放控</w:t>
            </w:r>
          </w:p>
          <w:p w14:paraId="518D3564">
            <w:pPr>
              <w:adjustRightInd w:val="0"/>
              <w:snapToGrid w:val="0"/>
              <w:jc w:val="center"/>
              <w:rPr>
                <w:color w:val="000000"/>
                <w:kern w:val="0"/>
                <w:szCs w:val="21"/>
              </w:rPr>
            </w:pPr>
            <w:r>
              <w:rPr>
                <w:color w:val="000000"/>
                <w:kern w:val="0"/>
                <w:szCs w:val="21"/>
              </w:rPr>
              <w:t>制标</w:t>
            </w:r>
          </w:p>
          <w:p w14:paraId="5EFFB722">
            <w:pPr>
              <w:adjustRightInd w:val="0"/>
              <w:snapToGrid w:val="0"/>
              <w:jc w:val="center"/>
              <w:rPr>
                <w:color w:val="000000"/>
                <w:kern w:val="0"/>
                <w:szCs w:val="21"/>
              </w:rPr>
            </w:pPr>
            <w:r>
              <w:rPr>
                <w:color w:val="000000"/>
                <w:kern w:val="0"/>
                <w:szCs w:val="21"/>
              </w:rPr>
              <w:t>准</w:t>
            </w:r>
          </w:p>
        </w:tc>
        <w:tc>
          <w:tcPr>
            <w:tcW w:w="8601" w:type="dxa"/>
            <w:tcBorders>
              <w:tl2br w:val="nil"/>
              <w:tr2bl w:val="nil"/>
            </w:tcBorders>
            <w:noWrap w:val="0"/>
            <w:vAlign w:val="center"/>
          </w:tcPr>
          <w:p w14:paraId="71A9C9D3">
            <w:pPr>
              <w:pStyle w:val="15"/>
              <w:adjustRightInd w:val="0"/>
              <w:snapToGrid w:val="0"/>
              <w:rPr>
                <w:color w:val="000000"/>
              </w:rPr>
            </w:pPr>
            <w:bookmarkStart w:id="9" w:name="_Toc13030"/>
            <w:bookmarkStart w:id="10" w:name="_Toc29182"/>
            <w:r>
              <w:rPr>
                <w:color w:val="000000"/>
              </w:rPr>
              <w:t>1</w:t>
            </w:r>
            <w:bookmarkEnd w:id="9"/>
            <w:bookmarkEnd w:id="10"/>
            <w:r>
              <w:rPr>
                <w:color w:val="000000"/>
              </w:rPr>
              <w:t>、施工期</w:t>
            </w:r>
          </w:p>
          <w:p w14:paraId="2A15EEE5">
            <w:pPr>
              <w:pStyle w:val="15"/>
              <w:adjustRightInd w:val="0"/>
              <w:snapToGrid w:val="0"/>
              <w:ind w:firstLine="482" w:firstLineChars="200"/>
              <w:rPr>
                <w:color w:val="000000"/>
              </w:rPr>
            </w:pPr>
            <w:r>
              <w:rPr>
                <w:color w:val="000000"/>
              </w:rPr>
              <w:t>1.1噪声</w:t>
            </w:r>
          </w:p>
          <w:p w14:paraId="2EF9EAE8">
            <w:pPr>
              <w:ind w:firstLine="480" w:firstLineChars="200"/>
              <w:rPr>
                <w:color w:val="000000"/>
              </w:rPr>
            </w:pPr>
            <w:r>
              <w:rPr>
                <w:color w:val="000000"/>
              </w:rPr>
              <w:t>施工期噪声执行《建筑施工场界环境噪声排放标准》（GB12523-2011）表1中标准，见表</w:t>
            </w:r>
            <w:r>
              <w:rPr>
                <w:rFonts w:hint="eastAsia"/>
                <w:color w:val="000000"/>
                <w:lang w:val="en-US" w:eastAsia="zh-CN"/>
              </w:rPr>
              <w:t>3-3</w:t>
            </w:r>
            <w:r>
              <w:rPr>
                <w:color w:val="000000"/>
              </w:rPr>
              <w:t>。</w:t>
            </w:r>
          </w:p>
          <w:p w14:paraId="0179AB28">
            <w:pPr>
              <w:pStyle w:val="15"/>
              <w:adjustRightInd w:val="0"/>
              <w:snapToGrid w:val="0"/>
              <w:spacing w:line="240" w:lineRule="auto"/>
              <w:ind w:firstLine="422" w:firstLineChars="200"/>
              <w:rPr>
                <w:color w:val="000000"/>
                <w:sz w:val="21"/>
                <w:szCs w:val="21"/>
              </w:rPr>
            </w:pPr>
            <w:r>
              <w:rPr>
                <w:color w:val="000000"/>
                <w:sz w:val="21"/>
                <w:szCs w:val="21"/>
              </w:rPr>
              <w:t>表</w:t>
            </w:r>
            <w:r>
              <w:rPr>
                <w:rFonts w:hint="eastAsia"/>
                <w:color w:val="000000"/>
                <w:sz w:val="21"/>
                <w:szCs w:val="21"/>
                <w:lang w:val="en-US" w:eastAsia="zh-CN"/>
              </w:rPr>
              <w:t>3-3</w:t>
            </w:r>
            <w:r>
              <w:rPr>
                <w:color w:val="000000"/>
                <w:sz w:val="21"/>
                <w:szCs w:val="21"/>
              </w:rPr>
              <w:t xml:space="preserve">         </w:t>
            </w:r>
            <w:r>
              <w:rPr>
                <w:color w:val="000000"/>
                <w:sz w:val="21"/>
                <w:szCs w:val="21"/>
              </w:rPr>
              <w:tab/>
            </w:r>
            <w:r>
              <w:rPr>
                <w:color w:val="000000"/>
                <w:sz w:val="21"/>
                <w:szCs w:val="21"/>
              </w:rPr>
              <w:t xml:space="preserve">   建筑施工场界环境噪声排放限值            单位： dB（A）</w:t>
            </w:r>
          </w:p>
          <w:tbl>
            <w:tblPr>
              <w:tblStyle w:val="24"/>
              <w:tblW w:w="4963"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64"/>
              <w:gridCol w:w="4059"/>
            </w:tblGrid>
            <w:tr w14:paraId="7AEDCE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561" w:type="pct"/>
                  <w:noWrap w:val="0"/>
                  <w:vAlign w:val="center"/>
                </w:tcPr>
                <w:p w14:paraId="0DC37123">
                  <w:pPr>
                    <w:pStyle w:val="15"/>
                    <w:adjustRightInd w:val="0"/>
                    <w:snapToGrid w:val="0"/>
                    <w:spacing w:line="240" w:lineRule="auto"/>
                    <w:jc w:val="center"/>
                    <w:rPr>
                      <w:b w:val="0"/>
                      <w:bCs/>
                      <w:color w:val="000000"/>
                      <w:sz w:val="21"/>
                      <w:szCs w:val="21"/>
                    </w:rPr>
                  </w:pPr>
                  <w:r>
                    <w:rPr>
                      <w:b w:val="0"/>
                      <w:bCs/>
                      <w:color w:val="000000"/>
                      <w:sz w:val="21"/>
                      <w:szCs w:val="21"/>
                    </w:rPr>
                    <w:t>昼间</w:t>
                  </w:r>
                </w:p>
              </w:tc>
              <w:tc>
                <w:tcPr>
                  <w:tcW w:w="2438" w:type="pct"/>
                  <w:noWrap w:val="0"/>
                  <w:vAlign w:val="center"/>
                </w:tcPr>
                <w:p w14:paraId="1F89995D">
                  <w:pPr>
                    <w:pStyle w:val="15"/>
                    <w:adjustRightInd w:val="0"/>
                    <w:snapToGrid w:val="0"/>
                    <w:spacing w:line="240" w:lineRule="auto"/>
                    <w:jc w:val="center"/>
                    <w:rPr>
                      <w:b w:val="0"/>
                      <w:bCs/>
                      <w:color w:val="000000"/>
                      <w:sz w:val="21"/>
                      <w:szCs w:val="21"/>
                    </w:rPr>
                  </w:pPr>
                  <w:r>
                    <w:rPr>
                      <w:b w:val="0"/>
                      <w:bCs/>
                      <w:color w:val="000000"/>
                      <w:sz w:val="21"/>
                      <w:szCs w:val="21"/>
                    </w:rPr>
                    <w:t>夜间</w:t>
                  </w:r>
                </w:p>
              </w:tc>
            </w:tr>
            <w:tr w14:paraId="0CAEAD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561" w:type="pct"/>
                  <w:noWrap w:val="0"/>
                  <w:vAlign w:val="center"/>
                </w:tcPr>
                <w:p w14:paraId="2FBE6FF6">
                  <w:pPr>
                    <w:pStyle w:val="15"/>
                    <w:adjustRightInd w:val="0"/>
                    <w:snapToGrid w:val="0"/>
                    <w:spacing w:line="240" w:lineRule="auto"/>
                    <w:jc w:val="center"/>
                    <w:rPr>
                      <w:b w:val="0"/>
                      <w:bCs/>
                      <w:color w:val="000000"/>
                      <w:sz w:val="21"/>
                      <w:szCs w:val="21"/>
                    </w:rPr>
                  </w:pPr>
                  <w:r>
                    <w:rPr>
                      <w:b w:val="0"/>
                      <w:bCs/>
                      <w:color w:val="000000"/>
                      <w:sz w:val="21"/>
                      <w:szCs w:val="21"/>
                    </w:rPr>
                    <w:t>70</w:t>
                  </w:r>
                </w:p>
              </w:tc>
              <w:tc>
                <w:tcPr>
                  <w:tcW w:w="2438" w:type="pct"/>
                  <w:noWrap w:val="0"/>
                  <w:vAlign w:val="center"/>
                </w:tcPr>
                <w:p w14:paraId="67C22E78">
                  <w:pPr>
                    <w:pStyle w:val="15"/>
                    <w:adjustRightInd w:val="0"/>
                    <w:snapToGrid w:val="0"/>
                    <w:spacing w:line="240" w:lineRule="auto"/>
                    <w:jc w:val="center"/>
                    <w:rPr>
                      <w:b w:val="0"/>
                      <w:bCs/>
                      <w:color w:val="000000"/>
                      <w:sz w:val="21"/>
                      <w:szCs w:val="21"/>
                    </w:rPr>
                  </w:pPr>
                  <w:r>
                    <w:rPr>
                      <w:b w:val="0"/>
                      <w:bCs/>
                      <w:color w:val="000000"/>
                      <w:sz w:val="21"/>
                      <w:szCs w:val="21"/>
                    </w:rPr>
                    <w:t>55</w:t>
                  </w:r>
                </w:p>
              </w:tc>
            </w:tr>
          </w:tbl>
          <w:p w14:paraId="3EA1FB5E">
            <w:pPr>
              <w:pStyle w:val="15"/>
              <w:adjustRightInd w:val="0"/>
              <w:snapToGrid w:val="0"/>
              <w:ind w:firstLine="482" w:firstLineChars="200"/>
              <w:rPr>
                <w:color w:val="000000"/>
              </w:rPr>
            </w:pPr>
            <w:r>
              <w:rPr>
                <w:color w:val="000000"/>
              </w:rPr>
              <w:t>1.2固废</w:t>
            </w:r>
          </w:p>
          <w:p w14:paraId="35B07287">
            <w:pPr>
              <w:ind w:firstLine="480" w:firstLineChars="200"/>
              <w:rPr>
                <w:color w:val="000000"/>
              </w:rPr>
            </w:pPr>
            <w:r>
              <w:rPr>
                <w:color w:val="000000"/>
              </w:rPr>
              <w:t>施工期固废执行《建筑垃圾处理技术标准》（CJJ/T 134-2019）。</w:t>
            </w:r>
          </w:p>
          <w:p w14:paraId="41E3A44C">
            <w:pPr>
              <w:pStyle w:val="15"/>
              <w:adjustRightInd w:val="0"/>
              <w:snapToGrid w:val="0"/>
              <w:ind w:firstLine="482" w:firstLineChars="200"/>
              <w:rPr>
                <w:color w:val="000000"/>
              </w:rPr>
            </w:pPr>
            <w:r>
              <w:rPr>
                <w:color w:val="000000"/>
              </w:rPr>
              <w:t>1.3大气</w:t>
            </w:r>
          </w:p>
          <w:p w14:paraId="76EC8A11">
            <w:pPr>
              <w:ind w:firstLine="480" w:firstLineChars="200"/>
              <w:rPr>
                <w:color w:val="000000"/>
              </w:rPr>
            </w:pPr>
            <w:r>
              <w:rPr>
                <w:color w:val="000000"/>
              </w:rPr>
              <w:t>本项目施工颗粒物执行《大气污染物综合排放标准》（GB16297-1996）表2中无组织排放监控浓度限值要求，具体见</w:t>
            </w:r>
            <w:bookmarkStart w:id="11" w:name="_Ref379546700"/>
            <w:r>
              <w:rPr>
                <w:color w:val="000000"/>
              </w:rPr>
              <w:t>表</w:t>
            </w:r>
            <w:bookmarkStart w:id="12" w:name="_Ref396828303"/>
            <w:r>
              <w:rPr>
                <w:rFonts w:hint="eastAsia"/>
                <w:color w:val="000000"/>
                <w:lang w:val="en-US" w:eastAsia="zh-CN"/>
              </w:rPr>
              <w:t>3-4</w:t>
            </w:r>
            <w:r>
              <w:rPr>
                <w:color w:val="000000"/>
              </w:rPr>
              <w:t>。</w:t>
            </w:r>
          </w:p>
          <w:p w14:paraId="0604CD5E">
            <w:pPr>
              <w:pStyle w:val="15"/>
              <w:adjustRightInd w:val="0"/>
              <w:snapToGrid w:val="0"/>
              <w:spacing w:line="240" w:lineRule="auto"/>
              <w:ind w:firstLine="422" w:firstLineChars="200"/>
              <w:rPr>
                <w:color w:val="000000"/>
                <w:sz w:val="21"/>
                <w:szCs w:val="21"/>
              </w:rPr>
            </w:pPr>
          </w:p>
          <w:p w14:paraId="7B892655">
            <w:pPr>
              <w:pStyle w:val="15"/>
              <w:adjustRightInd w:val="0"/>
              <w:snapToGrid w:val="0"/>
              <w:spacing w:line="240" w:lineRule="auto"/>
              <w:ind w:firstLine="422" w:firstLineChars="200"/>
              <w:rPr>
                <w:color w:val="000000"/>
                <w:sz w:val="21"/>
                <w:szCs w:val="21"/>
              </w:rPr>
            </w:pPr>
            <w:r>
              <w:rPr>
                <w:color w:val="000000"/>
                <w:sz w:val="21"/>
                <w:szCs w:val="21"/>
              </w:rPr>
              <w:t>表</w:t>
            </w:r>
            <w:bookmarkEnd w:id="11"/>
            <w:bookmarkEnd w:id="12"/>
            <w:r>
              <w:rPr>
                <w:rFonts w:hint="eastAsia"/>
                <w:color w:val="000000"/>
                <w:sz w:val="21"/>
                <w:szCs w:val="21"/>
                <w:lang w:val="en-US" w:eastAsia="zh-CN"/>
              </w:rPr>
              <w:t>3-4</w:t>
            </w:r>
            <w:r>
              <w:rPr>
                <w:color w:val="000000"/>
                <w:sz w:val="21"/>
                <w:szCs w:val="21"/>
              </w:rPr>
              <w:t xml:space="preserve">                  大气污染物排放标准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1"/>
              <w:gridCol w:w="3412"/>
              <w:gridCol w:w="4055"/>
            </w:tblGrid>
            <w:tr w14:paraId="40D4A9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91" w:type="dxa"/>
                  <w:vMerge w:val="restart"/>
                  <w:noWrap w:val="0"/>
                  <w:vAlign w:val="center"/>
                </w:tcPr>
                <w:p w14:paraId="0E551E8C">
                  <w:pPr>
                    <w:pStyle w:val="15"/>
                    <w:adjustRightInd w:val="0"/>
                    <w:snapToGrid w:val="0"/>
                    <w:spacing w:line="240" w:lineRule="auto"/>
                    <w:jc w:val="center"/>
                    <w:rPr>
                      <w:b w:val="0"/>
                      <w:bCs/>
                      <w:color w:val="000000"/>
                      <w:sz w:val="21"/>
                      <w:szCs w:val="21"/>
                    </w:rPr>
                  </w:pPr>
                  <w:r>
                    <w:rPr>
                      <w:b w:val="0"/>
                      <w:bCs/>
                      <w:color w:val="000000"/>
                      <w:sz w:val="21"/>
                      <w:szCs w:val="21"/>
                    </w:rPr>
                    <w:t>污染物</w:t>
                  </w:r>
                </w:p>
              </w:tc>
              <w:tc>
                <w:tcPr>
                  <w:tcW w:w="3412" w:type="dxa"/>
                  <w:noWrap w:val="0"/>
                  <w:vAlign w:val="center"/>
                </w:tcPr>
                <w:p w14:paraId="5CEEF45D">
                  <w:pPr>
                    <w:pStyle w:val="15"/>
                    <w:adjustRightInd w:val="0"/>
                    <w:snapToGrid w:val="0"/>
                    <w:spacing w:line="240" w:lineRule="auto"/>
                    <w:jc w:val="center"/>
                    <w:rPr>
                      <w:b w:val="0"/>
                      <w:bCs/>
                      <w:color w:val="000000"/>
                      <w:sz w:val="21"/>
                      <w:szCs w:val="21"/>
                    </w:rPr>
                  </w:pPr>
                  <w:r>
                    <w:rPr>
                      <w:b w:val="0"/>
                      <w:bCs/>
                      <w:color w:val="000000"/>
                      <w:sz w:val="21"/>
                      <w:szCs w:val="21"/>
                    </w:rPr>
                    <w:t>标准限值</w:t>
                  </w:r>
                </w:p>
              </w:tc>
              <w:tc>
                <w:tcPr>
                  <w:tcW w:w="4055" w:type="dxa"/>
                  <w:vMerge w:val="restart"/>
                  <w:noWrap w:val="0"/>
                  <w:vAlign w:val="center"/>
                </w:tcPr>
                <w:p w14:paraId="5BE0BE25">
                  <w:pPr>
                    <w:pStyle w:val="15"/>
                    <w:adjustRightInd w:val="0"/>
                    <w:snapToGrid w:val="0"/>
                    <w:spacing w:line="240" w:lineRule="auto"/>
                    <w:jc w:val="center"/>
                    <w:rPr>
                      <w:b w:val="0"/>
                      <w:bCs/>
                      <w:color w:val="000000"/>
                      <w:sz w:val="21"/>
                      <w:szCs w:val="21"/>
                    </w:rPr>
                  </w:pPr>
                  <w:r>
                    <w:rPr>
                      <w:b w:val="0"/>
                      <w:bCs/>
                      <w:color w:val="000000"/>
                      <w:sz w:val="21"/>
                      <w:szCs w:val="21"/>
                    </w:rPr>
                    <w:t>执行标准</w:t>
                  </w:r>
                </w:p>
              </w:tc>
            </w:tr>
            <w:tr w14:paraId="4DAD3F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91" w:type="dxa"/>
                  <w:vMerge w:val="continue"/>
                  <w:noWrap w:val="0"/>
                  <w:vAlign w:val="center"/>
                </w:tcPr>
                <w:p w14:paraId="32C6AC6A">
                  <w:pPr>
                    <w:pStyle w:val="15"/>
                    <w:adjustRightInd w:val="0"/>
                    <w:snapToGrid w:val="0"/>
                    <w:spacing w:line="240" w:lineRule="auto"/>
                    <w:jc w:val="center"/>
                    <w:rPr>
                      <w:b w:val="0"/>
                      <w:bCs/>
                      <w:color w:val="000000"/>
                      <w:sz w:val="21"/>
                      <w:szCs w:val="21"/>
                    </w:rPr>
                  </w:pPr>
                </w:p>
              </w:tc>
              <w:tc>
                <w:tcPr>
                  <w:tcW w:w="3412" w:type="dxa"/>
                  <w:noWrap w:val="0"/>
                  <w:vAlign w:val="center"/>
                </w:tcPr>
                <w:p w14:paraId="1C03EA6C">
                  <w:pPr>
                    <w:pStyle w:val="15"/>
                    <w:adjustRightInd w:val="0"/>
                    <w:snapToGrid w:val="0"/>
                    <w:spacing w:line="240" w:lineRule="auto"/>
                    <w:jc w:val="center"/>
                    <w:rPr>
                      <w:b w:val="0"/>
                      <w:bCs/>
                      <w:color w:val="000000"/>
                      <w:sz w:val="21"/>
                      <w:szCs w:val="21"/>
                    </w:rPr>
                  </w:pPr>
                  <w:r>
                    <w:rPr>
                      <w:b w:val="0"/>
                      <w:bCs/>
                      <w:color w:val="000000"/>
                      <w:sz w:val="21"/>
                      <w:szCs w:val="21"/>
                    </w:rPr>
                    <w:t>无组织排放监控浓度限值(mg/m</w:t>
                  </w:r>
                  <w:r>
                    <w:rPr>
                      <w:b w:val="0"/>
                      <w:bCs/>
                      <w:color w:val="000000"/>
                      <w:sz w:val="21"/>
                      <w:szCs w:val="21"/>
                      <w:vertAlign w:val="superscript"/>
                    </w:rPr>
                    <w:t>3</w:t>
                  </w:r>
                  <w:r>
                    <w:rPr>
                      <w:b w:val="0"/>
                      <w:bCs/>
                      <w:color w:val="000000"/>
                      <w:sz w:val="21"/>
                      <w:szCs w:val="21"/>
                    </w:rPr>
                    <w:t>)</w:t>
                  </w:r>
                </w:p>
              </w:tc>
              <w:tc>
                <w:tcPr>
                  <w:tcW w:w="4055" w:type="dxa"/>
                  <w:vMerge w:val="continue"/>
                  <w:noWrap w:val="0"/>
                  <w:vAlign w:val="center"/>
                </w:tcPr>
                <w:p w14:paraId="09024ABF">
                  <w:pPr>
                    <w:pStyle w:val="15"/>
                    <w:adjustRightInd w:val="0"/>
                    <w:snapToGrid w:val="0"/>
                    <w:spacing w:line="240" w:lineRule="auto"/>
                    <w:jc w:val="center"/>
                    <w:rPr>
                      <w:b w:val="0"/>
                      <w:bCs/>
                      <w:color w:val="000000"/>
                      <w:sz w:val="21"/>
                      <w:szCs w:val="21"/>
                    </w:rPr>
                  </w:pPr>
                </w:p>
              </w:tc>
            </w:tr>
            <w:tr w14:paraId="3A109E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91" w:type="dxa"/>
                  <w:noWrap w:val="0"/>
                  <w:vAlign w:val="center"/>
                </w:tcPr>
                <w:p w14:paraId="6AC23A0E">
                  <w:pPr>
                    <w:pStyle w:val="15"/>
                    <w:adjustRightInd w:val="0"/>
                    <w:snapToGrid w:val="0"/>
                    <w:spacing w:line="240" w:lineRule="auto"/>
                    <w:jc w:val="center"/>
                    <w:rPr>
                      <w:b w:val="0"/>
                      <w:bCs/>
                      <w:color w:val="000000"/>
                      <w:sz w:val="21"/>
                      <w:szCs w:val="21"/>
                    </w:rPr>
                  </w:pPr>
                  <w:r>
                    <w:rPr>
                      <w:b w:val="0"/>
                      <w:bCs/>
                      <w:color w:val="000000"/>
                      <w:sz w:val="21"/>
                      <w:szCs w:val="21"/>
                    </w:rPr>
                    <w:t>颗粒物</w:t>
                  </w:r>
                </w:p>
              </w:tc>
              <w:tc>
                <w:tcPr>
                  <w:tcW w:w="3412" w:type="dxa"/>
                  <w:noWrap w:val="0"/>
                  <w:vAlign w:val="center"/>
                </w:tcPr>
                <w:p w14:paraId="06F43CD4">
                  <w:pPr>
                    <w:pStyle w:val="15"/>
                    <w:adjustRightInd w:val="0"/>
                    <w:snapToGrid w:val="0"/>
                    <w:spacing w:line="240" w:lineRule="auto"/>
                    <w:jc w:val="center"/>
                    <w:rPr>
                      <w:b w:val="0"/>
                      <w:bCs/>
                      <w:color w:val="000000"/>
                      <w:sz w:val="21"/>
                      <w:szCs w:val="21"/>
                    </w:rPr>
                  </w:pPr>
                  <w:r>
                    <w:rPr>
                      <w:b w:val="0"/>
                      <w:bCs/>
                      <w:color w:val="000000"/>
                      <w:sz w:val="21"/>
                      <w:szCs w:val="21"/>
                    </w:rPr>
                    <w:t>1.0</w:t>
                  </w:r>
                </w:p>
              </w:tc>
              <w:tc>
                <w:tcPr>
                  <w:tcW w:w="4055" w:type="dxa"/>
                  <w:noWrap w:val="0"/>
                  <w:vAlign w:val="center"/>
                </w:tcPr>
                <w:p w14:paraId="35340F2E">
                  <w:pPr>
                    <w:pStyle w:val="15"/>
                    <w:adjustRightInd w:val="0"/>
                    <w:snapToGrid w:val="0"/>
                    <w:spacing w:line="240" w:lineRule="auto"/>
                    <w:jc w:val="center"/>
                    <w:rPr>
                      <w:b w:val="0"/>
                      <w:bCs/>
                      <w:color w:val="000000"/>
                      <w:sz w:val="21"/>
                      <w:szCs w:val="21"/>
                    </w:rPr>
                  </w:pPr>
                  <w:r>
                    <w:rPr>
                      <w:b w:val="0"/>
                      <w:bCs/>
                      <w:color w:val="000000"/>
                      <w:sz w:val="21"/>
                      <w:szCs w:val="21"/>
                    </w:rPr>
                    <w:t>《大气污染物综合排放标准》（GB16297-1996）表2标准</w:t>
                  </w:r>
                </w:p>
              </w:tc>
            </w:tr>
          </w:tbl>
          <w:p w14:paraId="18797E79">
            <w:pPr>
              <w:pStyle w:val="15"/>
              <w:numPr>
                <w:ilvl w:val="0"/>
                <w:numId w:val="3"/>
              </w:numPr>
              <w:adjustRightInd w:val="0"/>
              <w:snapToGrid w:val="0"/>
              <w:rPr>
                <w:rFonts w:hint="eastAsia"/>
                <w:color w:val="000000"/>
              </w:rPr>
            </w:pPr>
            <w:r>
              <w:rPr>
                <w:rFonts w:hint="eastAsia"/>
                <w:color w:val="000000"/>
              </w:rPr>
              <w:t>运营期</w:t>
            </w:r>
          </w:p>
          <w:p w14:paraId="1DED0776">
            <w:pPr>
              <w:pStyle w:val="15"/>
              <w:adjustRightInd w:val="0"/>
              <w:snapToGrid w:val="0"/>
              <w:ind w:firstLine="482" w:firstLineChars="200"/>
              <w:rPr>
                <w:color w:val="000000"/>
              </w:rPr>
            </w:pPr>
            <w:r>
              <w:rPr>
                <w:rFonts w:hint="eastAsia"/>
                <w:color w:val="000000"/>
              </w:rPr>
              <w:t>2.</w:t>
            </w:r>
            <w:r>
              <w:rPr>
                <w:color w:val="000000"/>
              </w:rPr>
              <w:t>1废气</w:t>
            </w:r>
          </w:p>
          <w:p w14:paraId="4D0AD7DD">
            <w:pPr>
              <w:adjustRightInd w:val="0"/>
              <w:snapToGrid w:val="0"/>
              <w:ind w:firstLine="480" w:firstLineChars="200"/>
              <w:rPr>
                <w:rFonts w:hint="eastAsia"/>
                <w:color w:val="000000"/>
              </w:rPr>
            </w:pPr>
            <w:r>
              <w:rPr>
                <w:rFonts w:hint="eastAsia"/>
                <w:color w:val="000000"/>
              </w:rPr>
              <w:t>非甲烷总烃排放执行</w:t>
            </w:r>
            <w:r>
              <w:rPr>
                <w:rFonts w:hint="eastAsia"/>
                <w:color w:val="000000"/>
                <w:lang w:eastAsia="zh-CN"/>
              </w:rPr>
              <w:t>《合成树脂工业污染物排放标准》（GB31572-2015，含2024年修改单）</w:t>
            </w:r>
            <w:r>
              <w:rPr>
                <w:rFonts w:hint="eastAsia"/>
                <w:color w:val="000000"/>
              </w:rPr>
              <w:t>中表4大气污染物排放限值及表9中企业边界大气污染物浓度限值，非甲烷总烃有组织100mg/m</w:t>
            </w:r>
            <w:r>
              <w:rPr>
                <w:rFonts w:hint="eastAsia"/>
                <w:color w:val="000000"/>
                <w:vertAlign w:val="superscript"/>
              </w:rPr>
              <w:t>3</w:t>
            </w:r>
            <w:r>
              <w:rPr>
                <w:rFonts w:hint="eastAsia"/>
                <w:color w:val="000000"/>
              </w:rPr>
              <w:t>、无组织4.0mg/m</w:t>
            </w:r>
            <w:r>
              <w:rPr>
                <w:rFonts w:hint="eastAsia"/>
                <w:color w:val="000000"/>
                <w:vertAlign w:val="superscript"/>
              </w:rPr>
              <w:t>3</w:t>
            </w:r>
            <w:r>
              <w:rPr>
                <w:rFonts w:hint="eastAsia"/>
                <w:color w:val="000000"/>
              </w:rPr>
              <w:t>；</w:t>
            </w:r>
          </w:p>
          <w:p w14:paraId="33139108">
            <w:pPr>
              <w:adjustRightInd w:val="0"/>
              <w:snapToGrid w:val="0"/>
              <w:ind w:firstLine="480" w:firstLineChars="200"/>
              <w:rPr>
                <w:b/>
                <w:bCs/>
                <w:color w:val="000000"/>
                <w:szCs w:val="21"/>
              </w:rPr>
            </w:pPr>
            <w:r>
              <w:rPr>
                <w:rFonts w:hint="eastAsia"/>
                <w:color w:val="000000"/>
                <w:szCs w:val="21"/>
              </w:rPr>
              <w:t>喷粉颗粒物排放执行</w:t>
            </w:r>
            <w:r>
              <w:rPr>
                <w:rFonts w:hint="eastAsia"/>
                <w:color w:val="000000"/>
                <w:lang w:eastAsia="zh-CN"/>
              </w:rPr>
              <w:t>《合成树脂工业污染物排放标准》（GB31572-2015，含2024年修改单）</w:t>
            </w:r>
            <w:r>
              <w:rPr>
                <w:rFonts w:hint="eastAsia"/>
                <w:color w:val="000000"/>
              </w:rPr>
              <w:t>中表4大气污染物排放限值及表9中企业边界大气污染物浓度限值，颗粒物有组织30mg/m</w:t>
            </w:r>
            <w:r>
              <w:rPr>
                <w:rFonts w:hint="eastAsia"/>
                <w:color w:val="000000"/>
                <w:vertAlign w:val="superscript"/>
              </w:rPr>
              <w:t>3</w:t>
            </w:r>
            <w:r>
              <w:rPr>
                <w:rFonts w:hint="eastAsia"/>
                <w:color w:val="000000"/>
              </w:rPr>
              <w:t>、无组织1.0mg/m</w:t>
            </w:r>
            <w:r>
              <w:rPr>
                <w:rFonts w:hint="eastAsia"/>
                <w:color w:val="000000"/>
                <w:vertAlign w:val="superscript"/>
              </w:rPr>
              <w:t>3</w:t>
            </w:r>
            <w:r>
              <w:rPr>
                <w:rFonts w:hint="eastAsia"/>
                <w:color w:val="000000"/>
              </w:rPr>
              <w:t>。</w:t>
            </w:r>
          </w:p>
          <w:p w14:paraId="548F1F61">
            <w:pPr>
              <w:adjustRightInd w:val="0"/>
              <w:snapToGrid w:val="0"/>
              <w:ind w:firstLine="480" w:firstLineChars="200"/>
              <w:rPr>
                <w:color w:val="000000"/>
                <w:szCs w:val="21"/>
              </w:rPr>
            </w:pPr>
            <w:r>
              <w:rPr>
                <w:rFonts w:hint="eastAsia"/>
                <w:color w:val="000000"/>
                <w:szCs w:val="21"/>
              </w:rPr>
              <w:t>抛丸颗粒物排放执行</w:t>
            </w:r>
            <w:r>
              <w:rPr>
                <w:rFonts w:hint="eastAsia"/>
                <w:color w:val="000000"/>
              </w:rPr>
              <w:t>《大气污染物综合排放标准》表2中新污染源大气污染物排放限值，颗粒物有组织限值120mg/m</w:t>
            </w:r>
            <w:r>
              <w:rPr>
                <w:rFonts w:hint="eastAsia"/>
                <w:color w:val="000000"/>
                <w:vertAlign w:val="superscript"/>
              </w:rPr>
              <w:t>3</w:t>
            </w:r>
            <w:r>
              <w:rPr>
                <w:rFonts w:hint="eastAsia"/>
                <w:color w:val="000000"/>
              </w:rPr>
              <w:t>、排放速率3.5kg/h、</w:t>
            </w:r>
            <w:r>
              <w:rPr>
                <w:color w:val="000000"/>
                <w:kern w:val="0"/>
                <w:szCs w:val="21"/>
              </w:rPr>
              <w:t>无组织</w:t>
            </w:r>
            <w:r>
              <w:rPr>
                <w:rFonts w:hint="eastAsia"/>
                <w:color w:val="000000"/>
                <w:kern w:val="0"/>
                <w:szCs w:val="21"/>
              </w:rPr>
              <w:t>1</w:t>
            </w:r>
            <w:r>
              <w:rPr>
                <w:rFonts w:hint="eastAsia"/>
                <w:color w:val="000000"/>
                <w:kern w:val="0"/>
                <w:szCs w:val="21"/>
                <w:lang w:val="en-US" w:eastAsia="zh-CN"/>
              </w:rPr>
              <w:t>.0</w:t>
            </w:r>
            <w:r>
              <w:rPr>
                <w:color w:val="000000"/>
                <w:kern w:val="0"/>
                <w:szCs w:val="21"/>
              </w:rPr>
              <w:t>mg/m</w:t>
            </w:r>
            <w:r>
              <w:rPr>
                <w:color w:val="000000"/>
                <w:kern w:val="0"/>
                <w:szCs w:val="21"/>
                <w:vertAlign w:val="superscript"/>
              </w:rPr>
              <w:t>3</w:t>
            </w:r>
            <w:r>
              <w:rPr>
                <w:color w:val="000000"/>
                <w:szCs w:val="21"/>
              </w:rPr>
              <w:t>；</w:t>
            </w:r>
          </w:p>
          <w:p w14:paraId="51245AB0">
            <w:pPr>
              <w:adjustRightInd w:val="0"/>
              <w:snapToGrid w:val="0"/>
              <w:ind w:firstLine="480" w:firstLineChars="200"/>
              <w:rPr>
                <w:color w:val="000000"/>
              </w:rPr>
            </w:pPr>
            <w:r>
              <w:rPr>
                <w:rFonts w:hint="eastAsia"/>
                <w:color w:val="000000"/>
              </w:rPr>
              <w:t>厂区内挥发性有机物排放控制执行《挥发性有机物无组织排放控制标准》（GB 37822-2019）附录A中NMHC排放限值：监控点处1h平均浓度值</w:t>
            </w:r>
            <w:r>
              <w:rPr>
                <w:rFonts w:hint="eastAsia"/>
                <w:color w:val="000000"/>
                <w:lang w:val="en-US" w:eastAsia="zh-CN"/>
              </w:rPr>
              <w:t>10</w:t>
            </w:r>
            <w:r>
              <w:rPr>
                <w:rFonts w:hint="eastAsia"/>
                <w:color w:val="000000"/>
              </w:rPr>
              <w:t>mg/m</w:t>
            </w:r>
            <w:r>
              <w:rPr>
                <w:rFonts w:hint="eastAsia"/>
                <w:color w:val="000000"/>
                <w:vertAlign w:val="superscript"/>
              </w:rPr>
              <w:t>3</w:t>
            </w:r>
            <w:r>
              <w:rPr>
                <w:rFonts w:hint="eastAsia"/>
                <w:color w:val="000000"/>
              </w:rPr>
              <w:t>、监控点处任意一次浓度值</w:t>
            </w:r>
            <w:r>
              <w:rPr>
                <w:rFonts w:hint="eastAsia"/>
                <w:color w:val="000000"/>
                <w:lang w:val="en-US" w:eastAsia="zh-CN"/>
              </w:rPr>
              <w:t>3</w:t>
            </w:r>
            <w:r>
              <w:rPr>
                <w:rFonts w:hint="eastAsia"/>
                <w:color w:val="000000"/>
              </w:rPr>
              <w:t>0mg/m</w:t>
            </w:r>
            <w:r>
              <w:rPr>
                <w:rFonts w:hint="eastAsia"/>
                <w:color w:val="000000"/>
                <w:vertAlign w:val="superscript"/>
              </w:rPr>
              <w:t>3</w:t>
            </w:r>
            <w:r>
              <w:rPr>
                <w:rFonts w:hint="eastAsia"/>
                <w:color w:val="000000"/>
              </w:rPr>
              <w:t>。</w:t>
            </w:r>
          </w:p>
          <w:p w14:paraId="43824DC3">
            <w:pPr>
              <w:pStyle w:val="15"/>
              <w:adjustRightInd w:val="0"/>
              <w:snapToGrid w:val="0"/>
              <w:ind w:firstLine="482" w:firstLineChars="200"/>
              <w:rPr>
                <w:color w:val="000000"/>
              </w:rPr>
            </w:pPr>
            <w:r>
              <w:rPr>
                <w:rFonts w:hint="eastAsia"/>
                <w:color w:val="000000"/>
              </w:rPr>
              <w:t>2.</w:t>
            </w:r>
            <w:r>
              <w:rPr>
                <w:rFonts w:hint="eastAsia"/>
                <w:color w:val="000000"/>
                <w:lang w:val="en-US" w:eastAsia="zh-CN"/>
              </w:rPr>
              <w:t>2</w:t>
            </w:r>
            <w:r>
              <w:rPr>
                <w:color w:val="000000"/>
              </w:rPr>
              <w:t>噪声</w:t>
            </w:r>
          </w:p>
          <w:p w14:paraId="51300AD1">
            <w:pPr>
              <w:adjustRightInd w:val="0"/>
              <w:snapToGrid w:val="0"/>
              <w:ind w:firstLine="480" w:firstLineChars="200"/>
              <w:rPr>
                <w:color w:val="000000"/>
              </w:rPr>
            </w:pPr>
            <w:r>
              <w:rPr>
                <w:color w:val="000000"/>
              </w:rPr>
              <w:t>营运期噪声控制标准执行《工业企业厂界环境噪声排放标准》（GB</w:t>
            </w:r>
            <w:r>
              <w:rPr>
                <w:rFonts w:hint="eastAsia"/>
                <w:color w:val="000000"/>
              </w:rPr>
              <w:t xml:space="preserve"> </w:t>
            </w:r>
            <w:r>
              <w:rPr>
                <w:color w:val="000000"/>
              </w:rPr>
              <w:t>12348-2008）</w:t>
            </w:r>
            <w:r>
              <w:rPr>
                <w:rFonts w:hint="eastAsia"/>
                <w:color w:val="000000"/>
                <w:lang w:val="en-US" w:eastAsia="zh-CN"/>
              </w:rPr>
              <w:t>2</w:t>
            </w:r>
            <w:r>
              <w:rPr>
                <w:color w:val="000000"/>
              </w:rPr>
              <w:t>类标准，昼间6</w:t>
            </w:r>
            <w:r>
              <w:rPr>
                <w:rFonts w:hint="eastAsia"/>
                <w:color w:val="000000"/>
                <w:lang w:val="en-US" w:eastAsia="zh-CN"/>
              </w:rPr>
              <w:t>0</w:t>
            </w:r>
            <w:r>
              <w:rPr>
                <w:color w:val="000000"/>
              </w:rPr>
              <w:t>dB(A)，夜间5</w:t>
            </w:r>
            <w:r>
              <w:rPr>
                <w:rFonts w:hint="eastAsia"/>
                <w:color w:val="000000"/>
                <w:lang w:val="en-US" w:eastAsia="zh-CN"/>
              </w:rPr>
              <w:t>0</w:t>
            </w:r>
            <w:r>
              <w:rPr>
                <w:color w:val="000000"/>
              </w:rPr>
              <w:t>dB(A)。</w:t>
            </w:r>
          </w:p>
          <w:p w14:paraId="53087627">
            <w:pPr>
              <w:pStyle w:val="15"/>
              <w:adjustRightInd w:val="0"/>
              <w:snapToGrid w:val="0"/>
              <w:ind w:firstLine="482" w:firstLineChars="200"/>
              <w:rPr>
                <w:color w:val="000000"/>
              </w:rPr>
            </w:pPr>
            <w:r>
              <w:rPr>
                <w:rFonts w:hint="eastAsia"/>
                <w:color w:val="000000"/>
              </w:rPr>
              <w:t>2.</w:t>
            </w:r>
            <w:r>
              <w:rPr>
                <w:color w:val="000000"/>
              </w:rPr>
              <w:t>4固废</w:t>
            </w:r>
          </w:p>
          <w:p w14:paraId="72296EFE">
            <w:pPr>
              <w:adjustRightInd w:val="0"/>
              <w:snapToGrid w:val="0"/>
              <w:ind w:firstLine="480" w:firstLineChars="200"/>
              <w:jc w:val="left"/>
              <w:rPr>
                <w:color w:val="000000"/>
                <w:szCs w:val="21"/>
              </w:rPr>
            </w:pPr>
            <w:r>
              <w:rPr>
                <w:rFonts w:hint="default"/>
                <w:color w:val="000000"/>
                <w:szCs w:val="21"/>
                <w:lang w:val="en-US" w:eastAsia="zh-CN"/>
              </w:rPr>
              <w:t>本项目一般固废</w:t>
            </w:r>
            <w:r>
              <w:rPr>
                <w:rFonts w:hint="default"/>
                <w:color w:val="000000"/>
                <w:szCs w:val="21"/>
                <w:lang w:eastAsia="zh-CN"/>
              </w:rPr>
              <w:t>执行</w:t>
            </w:r>
            <w:r>
              <w:rPr>
                <w:rFonts w:hint="default"/>
                <w:color w:val="000000"/>
                <w:szCs w:val="21"/>
              </w:rPr>
              <w:t>《</w:t>
            </w:r>
            <w:r>
              <w:rPr>
                <w:rFonts w:hint="default"/>
                <w:color w:val="000000"/>
                <w:szCs w:val="21"/>
                <w:lang w:val="en-US" w:eastAsia="zh-CN"/>
              </w:rPr>
              <w:t>中华人民共和国固体废物污染环境防治法</w:t>
            </w:r>
            <w:r>
              <w:rPr>
                <w:rFonts w:hint="default"/>
                <w:color w:val="000000"/>
                <w:szCs w:val="21"/>
              </w:rPr>
              <w:t>》</w:t>
            </w:r>
            <w:r>
              <w:rPr>
                <w:rFonts w:hint="default"/>
                <w:color w:val="000000"/>
                <w:szCs w:val="21"/>
                <w:lang w:val="en-US" w:eastAsia="zh-CN"/>
              </w:rPr>
              <w:t>中的要求</w:t>
            </w:r>
            <w:r>
              <w:rPr>
                <w:rFonts w:hint="default"/>
                <w:color w:val="000000"/>
                <w:szCs w:val="21"/>
                <w:lang w:eastAsia="zh-CN"/>
              </w:rPr>
              <w:t>；</w:t>
            </w:r>
          </w:p>
          <w:p w14:paraId="5CD7C477">
            <w:pPr>
              <w:adjustRightInd w:val="0"/>
              <w:snapToGrid w:val="0"/>
              <w:rPr>
                <w:color w:val="000000"/>
              </w:rPr>
            </w:pPr>
            <w:r>
              <w:rPr>
                <w:color w:val="000000"/>
                <w:szCs w:val="21"/>
              </w:rPr>
              <w:t>本项目产生的危险废物控制标准执行《危险废物贮存污染控制标准》（GB18597-20</w:t>
            </w:r>
            <w:r>
              <w:rPr>
                <w:rFonts w:hint="eastAsia"/>
                <w:color w:val="000000"/>
                <w:szCs w:val="21"/>
              </w:rPr>
              <w:t>23</w:t>
            </w:r>
            <w:r>
              <w:rPr>
                <w:color w:val="000000"/>
                <w:szCs w:val="21"/>
              </w:rPr>
              <w:t>）的要求</w:t>
            </w:r>
            <w:r>
              <w:rPr>
                <w:color w:val="000000"/>
              </w:rPr>
              <w:t>。</w:t>
            </w:r>
          </w:p>
        </w:tc>
      </w:tr>
      <w:tr w14:paraId="4AC09A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dxa"/>
            <w:tcBorders>
              <w:tl2br w:val="nil"/>
              <w:tr2bl w:val="nil"/>
            </w:tcBorders>
            <w:noWrap w:val="0"/>
            <w:vAlign w:val="center"/>
          </w:tcPr>
          <w:p w14:paraId="74165BC4">
            <w:pPr>
              <w:adjustRightInd w:val="0"/>
              <w:snapToGrid w:val="0"/>
              <w:jc w:val="center"/>
              <w:rPr>
                <w:color w:val="000000"/>
                <w:kern w:val="0"/>
                <w:szCs w:val="21"/>
              </w:rPr>
            </w:pPr>
            <w:r>
              <w:rPr>
                <w:color w:val="000000"/>
                <w:kern w:val="0"/>
                <w:szCs w:val="21"/>
              </w:rPr>
              <w:t>总量</w:t>
            </w:r>
          </w:p>
          <w:p w14:paraId="55AA8FB0">
            <w:pPr>
              <w:adjustRightInd w:val="0"/>
              <w:snapToGrid w:val="0"/>
              <w:jc w:val="center"/>
              <w:rPr>
                <w:color w:val="000000"/>
                <w:kern w:val="0"/>
                <w:szCs w:val="21"/>
              </w:rPr>
            </w:pPr>
            <w:r>
              <w:rPr>
                <w:color w:val="000000"/>
                <w:kern w:val="0"/>
                <w:szCs w:val="21"/>
              </w:rPr>
              <w:t>控制</w:t>
            </w:r>
          </w:p>
          <w:p w14:paraId="4523F692">
            <w:pPr>
              <w:adjustRightInd w:val="0"/>
              <w:snapToGrid w:val="0"/>
              <w:jc w:val="center"/>
              <w:rPr>
                <w:color w:val="000000"/>
                <w:kern w:val="0"/>
                <w:szCs w:val="21"/>
              </w:rPr>
            </w:pPr>
            <w:r>
              <w:rPr>
                <w:color w:val="000000"/>
                <w:kern w:val="0"/>
                <w:szCs w:val="21"/>
              </w:rPr>
              <w:t>指标</w:t>
            </w:r>
          </w:p>
        </w:tc>
        <w:tc>
          <w:tcPr>
            <w:tcW w:w="8601" w:type="dxa"/>
            <w:tcBorders>
              <w:tl2br w:val="nil"/>
              <w:tr2bl w:val="nil"/>
            </w:tcBorders>
            <w:noWrap w:val="0"/>
            <w:vAlign w:val="center"/>
          </w:tcPr>
          <w:p w14:paraId="2E1CCB4A">
            <w:pPr>
              <w:adjustRightInd w:val="0"/>
              <w:snapToGrid w:val="0"/>
              <w:ind w:firstLine="480" w:firstLineChars="200"/>
              <w:rPr>
                <w:color w:val="000000"/>
                <w:szCs w:val="21"/>
              </w:rPr>
            </w:pPr>
            <w:r>
              <w:rPr>
                <w:color w:val="000000"/>
                <w:kern w:val="0"/>
                <w:szCs w:val="21"/>
              </w:rPr>
              <w:t>根据国家</w:t>
            </w:r>
            <w:r>
              <w:rPr>
                <w:rFonts w:hint="eastAsia"/>
                <w:color w:val="000000"/>
                <w:kern w:val="0"/>
                <w:szCs w:val="21"/>
                <w:lang w:val="en-US" w:eastAsia="zh-CN"/>
              </w:rPr>
              <w:t>生态环境部</w:t>
            </w:r>
            <w:r>
              <w:rPr>
                <w:color w:val="000000"/>
                <w:kern w:val="0"/>
                <w:szCs w:val="21"/>
              </w:rPr>
              <w:t>已颁布的总量控制计划，结合本项目所在区域的环境特征及本项目排污情况，确定拟建项目排放总量控制因子及控制指标。</w:t>
            </w:r>
          </w:p>
          <w:p w14:paraId="0A2C80A1">
            <w:pPr>
              <w:ind w:firstLine="480" w:firstLineChars="200"/>
              <w:rPr>
                <w:rFonts w:hint="default"/>
                <w:color w:val="000000"/>
                <w:lang w:val="en-US"/>
              </w:rPr>
            </w:pPr>
            <w:r>
              <w:rPr>
                <w:color w:val="000000"/>
              </w:rPr>
              <w:t>根据工程分析，本项目所在区域的环境特征及本项目排污情况，确定本项目总量控制指</w:t>
            </w:r>
            <w:r>
              <w:rPr>
                <w:color w:val="000000" w:themeColor="text1"/>
                <w14:textFill>
                  <w14:solidFill>
                    <w14:schemeClr w14:val="tx1"/>
                  </w14:solidFill>
                </w14:textFill>
              </w:rPr>
              <w:t>标为VOCs</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有组织总量控制指标为0.667t/a，无组织总量控制指标为0.964t/a。</w:t>
            </w:r>
          </w:p>
          <w:p w14:paraId="46F0EE6D">
            <w:pPr>
              <w:ind w:firstLine="480" w:firstLineChars="200"/>
              <w:rPr>
                <w:color w:val="000000"/>
              </w:rPr>
            </w:pPr>
          </w:p>
          <w:p w14:paraId="408480AF">
            <w:pPr>
              <w:ind w:firstLine="480" w:firstLineChars="200"/>
              <w:rPr>
                <w:color w:val="000000"/>
              </w:rPr>
            </w:pPr>
          </w:p>
          <w:p w14:paraId="0FC3A956">
            <w:pPr>
              <w:rPr>
                <w:color w:val="000000"/>
                <w:kern w:val="0"/>
                <w:szCs w:val="21"/>
              </w:rPr>
            </w:pPr>
          </w:p>
        </w:tc>
      </w:tr>
    </w:tbl>
    <w:p w14:paraId="613BC69F">
      <w:pPr>
        <w:pStyle w:val="3"/>
        <w:rPr>
          <w:snapToGrid w:val="0"/>
          <w:color w:val="auto"/>
          <w:vertAlign w:val="baseline"/>
        </w:rPr>
      </w:pPr>
      <w:r>
        <w:rPr>
          <w:snapToGrid w:val="0"/>
          <w:color w:val="auto"/>
          <w:sz w:val="36"/>
          <w:szCs w:val="36"/>
        </w:rPr>
        <w:br w:type="page"/>
      </w:r>
      <w:bookmarkStart w:id="13" w:name="_Toc29362"/>
      <w:r>
        <w:rPr>
          <w:snapToGrid w:val="0"/>
          <w:color w:val="auto"/>
        </w:rPr>
        <w:t>四、主要环境影响和保护措施</w:t>
      </w:r>
      <w:bookmarkEnd w:id="13"/>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Layout w:type="autofit"/>
        <w:tblCellMar>
          <w:top w:w="0" w:type="dxa"/>
          <w:left w:w="108" w:type="dxa"/>
          <w:bottom w:w="0" w:type="dxa"/>
          <w:right w:w="108" w:type="dxa"/>
        </w:tblCellMar>
      </w:tblPr>
      <w:tblGrid>
        <w:gridCol w:w="535"/>
        <w:gridCol w:w="8526"/>
      </w:tblGrid>
      <w:tr w14:paraId="138AE946">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108" w:type="dxa"/>
            <w:bottom w:w="0" w:type="dxa"/>
            <w:right w:w="108" w:type="dxa"/>
          </w:tblCellMar>
        </w:tblPrEx>
        <w:trPr>
          <w:trHeight w:val="12297" w:hRule="atLeast"/>
        </w:trPr>
        <w:tc>
          <w:tcPr>
            <w:tcW w:w="295" w:type="pct"/>
            <w:tcBorders>
              <w:tl2br w:val="nil"/>
              <w:tr2bl w:val="nil"/>
            </w:tcBorders>
            <w:shd w:val="clear" w:color="auto" w:fill="auto"/>
            <w:vAlign w:val="center"/>
          </w:tcPr>
          <w:p w14:paraId="7B59120D">
            <w:pPr>
              <w:pStyle w:val="19"/>
              <w:adjustRightInd w:val="0"/>
              <w:snapToGrid w:val="0"/>
              <w:spacing w:before="0" w:beforeAutospacing="0" w:after="0" w:afterAutospacing="0"/>
              <w:jc w:val="center"/>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施工</w:t>
            </w:r>
          </w:p>
          <w:p w14:paraId="08A63D1F">
            <w:pPr>
              <w:pStyle w:val="19"/>
              <w:adjustRightInd w:val="0"/>
              <w:snapToGrid w:val="0"/>
              <w:spacing w:before="0" w:beforeAutospacing="0" w:after="0" w:afterAutospacing="0"/>
              <w:jc w:val="center"/>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期环</w:t>
            </w:r>
          </w:p>
          <w:p w14:paraId="25B6A8D1">
            <w:pPr>
              <w:pStyle w:val="19"/>
              <w:adjustRightInd w:val="0"/>
              <w:snapToGrid w:val="0"/>
              <w:spacing w:before="0" w:beforeAutospacing="0" w:after="0" w:afterAutospacing="0"/>
              <w:jc w:val="center"/>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境保</w:t>
            </w:r>
          </w:p>
          <w:p w14:paraId="46F5AD1E">
            <w:pPr>
              <w:pStyle w:val="19"/>
              <w:adjustRightInd w:val="0"/>
              <w:snapToGrid w:val="0"/>
              <w:spacing w:before="0" w:beforeAutospacing="0" w:after="0" w:afterAutospacing="0"/>
              <w:jc w:val="center"/>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rPr>
              <w:t>护措</w:t>
            </w:r>
          </w:p>
          <w:p w14:paraId="14570519">
            <w:pPr>
              <w:pStyle w:val="19"/>
              <w:adjustRightInd w:val="0"/>
              <w:snapToGrid w:val="0"/>
              <w:spacing w:before="0" w:beforeAutospacing="0" w:after="0" w:afterAutospacing="0"/>
              <w:jc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color w:val="000000"/>
                <w:kern w:val="2"/>
                <w:sz w:val="24"/>
                <w:szCs w:val="24"/>
              </w:rPr>
              <w:t>施</w:t>
            </w:r>
          </w:p>
        </w:tc>
        <w:tc>
          <w:tcPr>
            <w:tcW w:w="4704" w:type="pct"/>
            <w:tcBorders>
              <w:tl2br w:val="nil"/>
              <w:tr2bl w:val="nil"/>
            </w:tcBorders>
            <w:shd w:val="clear" w:color="auto" w:fill="auto"/>
            <w:vAlign w:val="center"/>
          </w:tcPr>
          <w:p w14:paraId="499A963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本项目施工期已结束。根据建设单位提供资料施工期开展的防治措施有：</w:t>
            </w:r>
          </w:p>
          <w:p w14:paraId="1175DA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（1）</w:t>
            </w:r>
            <w:r>
              <w:rPr>
                <w:rFonts w:hint="eastAsia" w:cs="Times New Roman"/>
                <w:color w:val="000000"/>
                <w:kern w:val="0"/>
                <w:sz w:val="24"/>
                <w:szCs w:val="24"/>
                <w:highlight w:val="none"/>
                <w:lang w:val="en-US" w:eastAsia="zh-CN" w:bidi="ar-SA"/>
              </w:rPr>
              <w:t>施工过程中对厂区进行洒水抑尘。</w:t>
            </w:r>
          </w:p>
          <w:p w14:paraId="5CC6D81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（2）施工生产产生的废水量较少，主要污染物为泥沙，施工区设置沉淀池，废水经沉淀池澄清后循环使用或用于场地洒水抑尘。</w:t>
            </w:r>
          </w:p>
          <w:p w14:paraId="363FC9B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（3）本项目施工期未使用噪声源强较强的设备，夜间不进行施工作业。</w:t>
            </w:r>
          </w:p>
          <w:p w14:paraId="3D7FB0CC">
            <w:pPr>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cs="Times New Roman"/>
                <w:color w:val="000000"/>
                <w:kern w:val="0"/>
                <w:sz w:val="24"/>
                <w:szCs w:val="24"/>
                <w:highlight w:val="none"/>
                <w:lang w:val="en-US" w:eastAsia="zh-CN" w:bidi="ar-SA"/>
              </w:rPr>
              <w:t>（4）</w:t>
            </w:r>
            <w:r>
              <w:rPr>
                <w:rFonts w:hint="default" w:ascii="Times New Roman" w:hAnsi="Times New Roman" w:eastAsia="宋体" w:cs="Times New Roman"/>
                <w:color w:val="000000"/>
                <w:kern w:val="0"/>
                <w:sz w:val="24"/>
                <w:szCs w:val="24"/>
                <w:highlight w:val="none"/>
                <w:lang w:val="en-US" w:eastAsia="zh-CN" w:bidi="ar-SA"/>
              </w:rPr>
              <w:t>施工过程地基处理和建材损耗、装修阶段产生的少量砂土石块、水泥、废金属等。建筑垃圾采取有计划地堆放，按要求分类处置、综合回收利用；施工人员的生活垃圾应定点收集，送环卫部门指定地点处理。</w:t>
            </w:r>
          </w:p>
          <w:p w14:paraId="775F1786">
            <w:pPr>
              <w:pStyle w:val="33"/>
              <w:rPr>
                <w:rFonts w:hint="default" w:eastAsia="宋体"/>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施工过程中对厂区周围进行绿化。</w:t>
            </w:r>
          </w:p>
        </w:tc>
      </w:tr>
    </w:tbl>
    <w:p w14:paraId="5A31CAEF">
      <w:pPr>
        <w:pStyle w:val="3"/>
        <w:rPr>
          <w:snapToGrid w:val="0"/>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5185C1C">
      <w:pPr>
        <w:keepNext/>
        <w:keepLines w:val="0"/>
        <w:pageBreakBefore w:val="0"/>
        <w:widowControl/>
        <w:kinsoku/>
        <w:wordWrap/>
        <w:overflowPunct/>
        <w:topLinePunct/>
        <w:autoSpaceDE/>
        <w:autoSpaceDN/>
        <w:bidi w:val="0"/>
        <w:adjustRightInd w:val="0"/>
        <w:snapToGrid w:val="0"/>
        <w:spacing w:line="240" w:lineRule="auto"/>
        <w:ind w:left="0" w:right="0" w:firstLine="482" w:firstLineChars="200"/>
        <w:jc w:val="both"/>
        <w:textAlignment w:val="auto"/>
        <w:rPr>
          <w:rFonts w:hint="eastAsia" w:ascii="Times New Roman" w:hAnsi="Times New Roman" w:eastAsia="宋体" w:cs="Times New Roman"/>
          <w:b/>
          <w:snapToGrid/>
          <w:spacing w:val="0"/>
          <w:kern w:val="0"/>
          <w:position w:val="0"/>
          <w:sz w:val="24"/>
          <w:szCs w:val="24"/>
          <w:lang w:val="en-US" w:eastAsia="zh-CN" w:bidi="ar-SA"/>
        </w:rPr>
      </w:pPr>
      <w:r>
        <w:rPr>
          <w:rFonts w:hint="eastAsia" w:ascii="Times New Roman" w:hAnsi="Times New Roman" w:eastAsia="宋体" w:cs="Times New Roman"/>
          <w:b/>
          <w:snapToGrid/>
          <w:spacing w:val="0"/>
          <w:kern w:val="0"/>
          <w:position w:val="0"/>
          <w:sz w:val="24"/>
          <w:szCs w:val="24"/>
          <w:lang w:val="en-US" w:eastAsia="zh-CN" w:bidi="ar-SA"/>
        </w:rPr>
        <w:t>表4-</w:t>
      </w:r>
      <w:r>
        <w:rPr>
          <w:rFonts w:hint="eastAsia" w:cs="Times New Roman"/>
          <w:b/>
          <w:snapToGrid/>
          <w:spacing w:val="0"/>
          <w:kern w:val="0"/>
          <w:position w:val="0"/>
          <w:sz w:val="24"/>
          <w:szCs w:val="24"/>
          <w:lang w:val="en-US" w:eastAsia="zh-CN" w:bidi="ar-SA"/>
        </w:rPr>
        <w:t>1</w:t>
      </w:r>
      <w:r>
        <w:rPr>
          <w:rFonts w:hint="eastAsia" w:ascii="Times New Roman" w:hAnsi="Times New Roman" w:eastAsia="宋体" w:cs="Times New Roman"/>
          <w:b/>
          <w:snapToGrid/>
          <w:spacing w:val="0"/>
          <w:kern w:val="0"/>
          <w:position w:val="0"/>
          <w:sz w:val="24"/>
          <w:szCs w:val="24"/>
          <w:lang w:val="en-US" w:eastAsia="zh-CN" w:bidi="ar-SA"/>
        </w:rPr>
        <w:t xml:space="preserve">                     本项目废气产排情况一览表</w:t>
      </w:r>
    </w:p>
    <w:tbl>
      <w:tblPr>
        <w:tblStyle w:val="25"/>
        <w:tblW w:w="513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58"/>
        <w:gridCol w:w="495"/>
        <w:gridCol w:w="773"/>
        <w:gridCol w:w="768"/>
        <w:gridCol w:w="768"/>
        <w:gridCol w:w="686"/>
        <w:gridCol w:w="358"/>
        <w:gridCol w:w="358"/>
        <w:gridCol w:w="479"/>
        <w:gridCol w:w="479"/>
        <w:gridCol w:w="358"/>
        <w:gridCol w:w="768"/>
        <w:gridCol w:w="768"/>
        <w:gridCol w:w="615"/>
        <w:gridCol w:w="720"/>
        <w:gridCol w:w="780"/>
        <w:gridCol w:w="495"/>
        <w:gridCol w:w="653"/>
        <w:gridCol w:w="358"/>
        <w:gridCol w:w="360"/>
        <w:gridCol w:w="403"/>
        <w:gridCol w:w="599"/>
        <w:gridCol w:w="471"/>
      </w:tblGrid>
      <w:tr w14:paraId="33AEC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restart"/>
            <w:tcBorders>
              <w:tl2br w:val="nil"/>
              <w:tr2bl w:val="nil"/>
            </w:tcBorders>
            <w:noWrap w:val="0"/>
            <w:vAlign w:val="center"/>
          </w:tcPr>
          <w:p w14:paraId="0FA9BF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厂房</w:t>
            </w:r>
          </w:p>
        </w:tc>
        <w:tc>
          <w:tcPr>
            <w:tcW w:w="131" w:type="pct"/>
            <w:vMerge w:val="restart"/>
            <w:tcBorders>
              <w:tl2br w:val="nil"/>
              <w:tr2bl w:val="nil"/>
            </w:tcBorders>
            <w:noWrap w:val="0"/>
            <w:vAlign w:val="center"/>
          </w:tcPr>
          <w:p w14:paraId="0EC070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产污</w:t>
            </w:r>
          </w:p>
          <w:p w14:paraId="6315CD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环节</w:t>
            </w:r>
          </w:p>
        </w:tc>
        <w:tc>
          <w:tcPr>
            <w:tcW w:w="182" w:type="pct"/>
            <w:vMerge w:val="restart"/>
            <w:tcBorders>
              <w:tl2br w:val="nil"/>
              <w:tr2bl w:val="nil"/>
            </w:tcBorders>
            <w:noWrap w:val="0"/>
            <w:vAlign w:val="center"/>
          </w:tcPr>
          <w:p w14:paraId="685E87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w:t>
            </w:r>
          </w:p>
        </w:tc>
        <w:tc>
          <w:tcPr>
            <w:tcW w:w="284" w:type="pct"/>
            <w:vMerge w:val="restart"/>
            <w:tcBorders>
              <w:tl2br w:val="nil"/>
              <w:tr2bl w:val="nil"/>
            </w:tcBorders>
            <w:noWrap w:val="0"/>
            <w:vAlign w:val="center"/>
          </w:tcPr>
          <w:p w14:paraId="3F3409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风机风量（m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/h）</w:t>
            </w:r>
          </w:p>
        </w:tc>
        <w:tc>
          <w:tcPr>
            <w:tcW w:w="817" w:type="pct"/>
            <w:gridSpan w:val="3"/>
            <w:tcBorders>
              <w:tl2br w:val="nil"/>
              <w:tr2bl w:val="nil"/>
            </w:tcBorders>
            <w:noWrap w:val="0"/>
            <w:vAlign w:val="center"/>
          </w:tcPr>
          <w:p w14:paraId="791BFF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产生情况</w:t>
            </w:r>
          </w:p>
        </w:tc>
        <w:tc>
          <w:tcPr>
            <w:tcW w:w="131" w:type="pct"/>
            <w:vMerge w:val="restart"/>
            <w:tcBorders>
              <w:tl2br w:val="nil"/>
              <w:tr2bl w:val="nil"/>
            </w:tcBorders>
            <w:noWrap w:val="0"/>
            <w:vAlign w:val="center"/>
          </w:tcPr>
          <w:p w14:paraId="30CA8E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排放形式</w:t>
            </w:r>
          </w:p>
        </w:tc>
        <w:tc>
          <w:tcPr>
            <w:tcW w:w="484" w:type="pct"/>
            <w:gridSpan w:val="3"/>
            <w:tcBorders>
              <w:tl2br w:val="nil"/>
              <w:tr2bl w:val="nil"/>
            </w:tcBorders>
            <w:noWrap w:val="0"/>
            <w:vAlign w:val="center"/>
          </w:tcPr>
          <w:p w14:paraId="616E64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治理情况</w:t>
            </w:r>
          </w:p>
        </w:tc>
        <w:tc>
          <w:tcPr>
            <w:tcW w:w="923" w:type="pct"/>
            <w:gridSpan w:val="4"/>
            <w:tcBorders>
              <w:tl2br w:val="nil"/>
              <w:tr2bl w:val="nil"/>
            </w:tcBorders>
            <w:noWrap w:val="0"/>
            <w:vAlign w:val="center"/>
          </w:tcPr>
          <w:p w14:paraId="56E302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排放情况</w:t>
            </w:r>
          </w:p>
        </w:tc>
        <w:tc>
          <w:tcPr>
            <w:tcW w:w="1387" w:type="pct"/>
            <w:gridSpan w:val="7"/>
            <w:tcBorders>
              <w:tl2br w:val="nil"/>
              <w:tr2bl w:val="nil"/>
            </w:tcBorders>
            <w:noWrap w:val="0"/>
            <w:vAlign w:val="center"/>
          </w:tcPr>
          <w:p w14:paraId="5A4DD4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排气筒参数</w:t>
            </w:r>
          </w:p>
        </w:tc>
        <w:tc>
          <w:tcPr>
            <w:tcW w:w="393" w:type="pct"/>
            <w:gridSpan w:val="2"/>
            <w:tcBorders>
              <w:tl2br w:val="nil"/>
              <w:tr2bl w:val="nil"/>
            </w:tcBorders>
            <w:noWrap w:val="0"/>
            <w:vAlign w:val="center"/>
          </w:tcPr>
          <w:p w14:paraId="0A275E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排放限值</w:t>
            </w:r>
          </w:p>
        </w:tc>
      </w:tr>
      <w:tr w14:paraId="6C2D9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74214F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1" w:type="pct"/>
            <w:vMerge w:val="continue"/>
            <w:tcBorders>
              <w:tl2br w:val="nil"/>
              <w:tr2bl w:val="nil"/>
            </w:tcBorders>
            <w:noWrap w:val="0"/>
            <w:vAlign w:val="center"/>
          </w:tcPr>
          <w:p w14:paraId="1D0042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82" w:type="pct"/>
            <w:vMerge w:val="continue"/>
            <w:tcBorders>
              <w:tl2br w:val="nil"/>
              <w:tr2bl w:val="nil"/>
            </w:tcBorders>
            <w:noWrap w:val="0"/>
            <w:vAlign w:val="center"/>
          </w:tcPr>
          <w:p w14:paraId="3E895D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84" w:type="pct"/>
            <w:vMerge w:val="continue"/>
            <w:tcBorders>
              <w:tl2br w:val="nil"/>
              <w:tr2bl w:val="nil"/>
            </w:tcBorders>
            <w:noWrap w:val="0"/>
            <w:vAlign w:val="center"/>
          </w:tcPr>
          <w:p w14:paraId="0DA9F4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82" w:type="pct"/>
            <w:vMerge w:val="restart"/>
            <w:tcBorders>
              <w:tl2br w:val="nil"/>
              <w:tr2bl w:val="nil"/>
            </w:tcBorders>
            <w:noWrap w:val="0"/>
            <w:vAlign w:val="center"/>
          </w:tcPr>
          <w:p w14:paraId="791A7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产生量</w:t>
            </w:r>
            <w:r>
              <w:rPr>
                <w:rFonts w:hint="default" w:ascii="Times New Roman" w:hAnsi="Times New Roman" w:eastAsia="宋体" w:cs="Times New Roman"/>
                <w:sz w:val="21"/>
                <w:szCs w:val="21"/>
                <w:lang w:val="en-US" w:eastAsia="zh-CN"/>
              </w:rPr>
              <w:t>t/a</w:t>
            </w:r>
          </w:p>
        </w:tc>
        <w:tc>
          <w:tcPr>
            <w:tcW w:w="282" w:type="pct"/>
            <w:vMerge w:val="restart"/>
            <w:tcBorders>
              <w:tl2br w:val="nil"/>
              <w:tr2bl w:val="nil"/>
            </w:tcBorders>
            <w:noWrap w:val="0"/>
            <w:vAlign w:val="center"/>
          </w:tcPr>
          <w:p w14:paraId="409C7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产生</w:t>
            </w:r>
            <w:r>
              <w:rPr>
                <w:rFonts w:hint="default" w:ascii="Times New Roman" w:hAnsi="Times New Roman" w:eastAsia="宋体" w:cs="Times New Roman"/>
                <w:sz w:val="21"/>
                <w:szCs w:val="21"/>
                <w:lang w:eastAsia="zh-CN"/>
              </w:rPr>
              <w:t>速率</w:t>
            </w:r>
            <w:r>
              <w:rPr>
                <w:rFonts w:hint="default" w:ascii="Times New Roman" w:hAnsi="Times New Roman" w:eastAsia="宋体" w:cs="Times New Roman"/>
                <w:sz w:val="21"/>
                <w:szCs w:val="21"/>
                <w:lang w:val="en-US" w:eastAsia="zh-CN"/>
              </w:rPr>
              <w:t>kg/h</w:t>
            </w:r>
          </w:p>
        </w:tc>
        <w:tc>
          <w:tcPr>
            <w:tcW w:w="252" w:type="pct"/>
            <w:vMerge w:val="restart"/>
            <w:tcBorders>
              <w:tl2br w:val="nil"/>
              <w:tr2bl w:val="nil"/>
            </w:tcBorders>
            <w:noWrap w:val="0"/>
            <w:vAlign w:val="center"/>
          </w:tcPr>
          <w:p w14:paraId="2B7A1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产生浓度mg/m</w:t>
            </w:r>
            <w:r>
              <w:rPr>
                <w:rFonts w:hint="default" w:ascii="Times New Roman" w:hAnsi="Times New Roman" w:eastAsia="宋体" w:cs="Times New Roman"/>
                <w:sz w:val="21"/>
                <w:szCs w:val="21"/>
                <w:vertAlign w:val="superscript"/>
              </w:rPr>
              <w:t>3</w:t>
            </w:r>
          </w:p>
        </w:tc>
        <w:tc>
          <w:tcPr>
            <w:tcW w:w="131" w:type="pct"/>
            <w:vMerge w:val="continue"/>
            <w:tcBorders>
              <w:tl2br w:val="nil"/>
              <w:tr2bl w:val="nil"/>
            </w:tcBorders>
            <w:noWrap w:val="0"/>
            <w:vAlign w:val="center"/>
          </w:tcPr>
          <w:p w14:paraId="6F007B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1" w:type="pct"/>
            <w:vMerge w:val="restart"/>
            <w:tcBorders>
              <w:tl2br w:val="nil"/>
              <w:tr2bl w:val="nil"/>
            </w:tcBorders>
            <w:noWrap w:val="0"/>
            <w:vAlign w:val="center"/>
          </w:tcPr>
          <w:p w14:paraId="68CDCC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治理措施</w:t>
            </w:r>
          </w:p>
        </w:tc>
        <w:tc>
          <w:tcPr>
            <w:tcW w:w="176" w:type="pct"/>
            <w:vMerge w:val="restart"/>
            <w:tcBorders>
              <w:tl2br w:val="nil"/>
              <w:tr2bl w:val="nil"/>
            </w:tcBorders>
            <w:noWrap w:val="0"/>
            <w:vAlign w:val="center"/>
          </w:tcPr>
          <w:p w14:paraId="27AD1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收集效率</w:t>
            </w:r>
            <w:r>
              <w:rPr>
                <w:rFonts w:hint="default" w:ascii="Times New Roman" w:hAnsi="Times New Roman" w:eastAsia="宋体" w:cs="Times New Roman"/>
                <w:sz w:val="21"/>
                <w:szCs w:val="21"/>
              </w:rPr>
              <w:t>%</w:t>
            </w:r>
          </w:p>
        </w:tc>
        <w:tc>
          <w:tcPr>
            <w:tcW w:w="176" w:type="pct"/>
            <w:vMerge w:val="restart"/>
            <w:tcBorders>
              <w:tl2br w:val="nil"/>
              <w:tr2bl w:val="nil"/>
            </w:tcBorders>
            <w:noWrap w:val="0"/>
            <w:vAlign w:val="center"/>
          </w:tcPr>
          <w:p w14:paraId="41EDBD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去除率%</w:t>
            </w:r>
          </w:p>
        </w:tc>
        <w:tc>
          <w:tcPr>
            <w:tcW w:w="131" w:type="pct"/>
            <w:vMerge w:val="restart"/>
            <w:tcBorders>
              <w:tl2br w:val="nil"/>
              <w:tr2bl w:val="nil"/>
            </w:tcBorders>
            <w:noWrap w:val="0"/>
            <w:vAlign w:val="center"/>
          </w:tcPr>
          <w:p w14:paraId="66004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是否可行</w:t>
            </w:r>
          </w:p>
        </w:tc>
        <w:tc>
          <w:tcPr>
            <w:tcW w:w="282" w:type="pct"/>
            <w:vMerge w:val="restart"/>
            <w:tcBorders>
              <w:tl2br w:val="nil"/>
              <w:tr2bl w:val="nil"/>
            </w:tcBorders>
            <w:noWrap w:val="0"/>
            <w:vAlign w:val="center"/>
          </w:tcPr>
          <w:p w14:paraId="2F4D0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282" w:type="pct"/>
            <w:vMerge w:val="restart"/>
            <w:tcBorders>
              <w:tl2br w:val="nil"/>
              <w:tr2bl w:val="nil"/>
            </w:tcBorders>
            <w:noWrap w:val="0"/>
            <w:vAlign w:val="center"/>
          </w:tcPr>
          <w:p w14:paraId="6FD9DA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排放速率</w:t>
            </w:r>
            <w:r>
              <w:rPr>
                <w:rFonts w:hint="default" w:ascii="Times New Roman" w:hAnsi="Times New Roman" w:eastAsia="宋体" w:cs="Times New Roman"/>
                <w:sz w:val="21"/>
                <w:szCs w:val="21"/>
                <w:lang w:val="en-US" w:eastAsia="zh-CN"/>
              </w:rPr>
              <w:t>kg/h</w:t>
            </w:r>
          </w:p>
        </w:tc>
        <w:tc>
          <w:tcPr>
            <w:tcW w:w="226" w:type="pct"/>
            <w:vMerge w:val="restart"/>
            <w:tcBorders>
              <w:tl2br w:val="nil"/>
              <w:tr2bl w:val="nil"/>
            </w:tcBorders>
            <w:noWrap w:val="0"/>
            <w:vAlign w:val="center"/>
          </w:tcPr>
          <w:p w14:paraId="09EF32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排放浓度mg/m</w:t>
            </w:r>
            <w:r>
              <w:rPr>
                <w:rFonts w:hint="default" w:ascii="Times New Roman" w:hAnsi="Times New Roman" w:eastAsia="宋体" w:cs="Times New Roman"/>
                <w:sz w:val="21"/>
                <w:szCs w:val="21"/>
                <w:vertAlign w:val="superscript"/>
              </w:rPr>
              <w:t>3</w:t>
            </w:r>
          </w:p>
        </w:tc>
        <w:tc>
          <w:tcPr>
            <w:tcW w:w="552" w:type="pct"/>
            <w:gridSpan w:val="2"/>
            <w:tcBorders>
              <w:tl2br w:val="nil"/>
              <w:tr2bl w:val="nil"/>
            </w:tcBorders>
            <w:noWrap w:val="0"/>
            <w:vAlign w:val="center"/>
          </w:tcPr>
          <w:p w14:paraId="4A235D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地理</w:t>
            </w:r>
            <w:r>
              <w:rPr>
                <w:rFonts w:hint="default" w:ascii="Times New Roman" w:hAnsi="Times New Roman" w:eastAsia="宋体" w:cs="Times New Roman"/>
                <w:sz w:val="21"/>
                <w:szCs w:val="21"/>
              </w:rPr>
              <w:t>坐标</w:t>
            </w:r>
          </w:p>
        </w:tc>
        <w:tc>
          <w:tcPr>
            <w:tcW w:w="182" w:type="pct"/>
            <w:vMerge w:val="restart"/>
            <w:tcBorders>
              <w:tl2br w:val="nil"/>
              <w:tr2bl w:val="nil"/>
            </w:tcBorders>
            <w:noWrap w:val="0"/>
            <w:vAlign w:val="center"/>
          </w:tcPr>
          <w:p w14:paraId="62EDC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240" w:type="pct"/>
            <w:vMerge w:val="restart"/>
            <w:tcBorders>
              <w:tl2br w:val="nil"/>
              <w:tr2bl w:val="nil"/>
            </w:tcBorders>
            <w:noWrap w:val="0"/>
            <w:vAlign w:val="center"/>
          </w:tcPr>
          <w:p w14:paraId="781309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31" w:type="pct"/>
            <w:vMerge w:val="restart"/>
            <w:tcBorders>
              <w:tl2br w:val="nil"/>
              <w:tr2bl w:val="nil"/>
            </w:tcBorders>
            <w:noWrap w:val="0"/>
            <w:vAlign w:val="center"/>
          </w:tcPr>
          <w:p w14:paraId="4A9131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类型</w:t>
            </w:r>
          </w:p>
        </w:tc>
        <w:tc>
          <w:tcPr>
            <w:tcW w:w="132" w:type="pct"/>
            <w:vMerge w:val="restart"/>
            <w:tcBorders>
              <w:tl2br w:val="nil"/>
              <w:tr2bl w:val="nil"/>
            </w:tcBorders>
            <w:noWrap w:val="0"/>
            <w:vAlign w:val="center"/>
          </w:tcPr>
          <w:p w14:paraId="71598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高度m</w:t>
            </w:r>
          </w:p>
        </w:tc>
        <w:tc>
          <w:tcPr>
            <w:tcW w:w="148" w:type="pct"/>
            <w:vMerge w:val="restart"/>
            <w:tcBorders>
              <w:tl2br w:val="nil"/>
              <w:tr2bl w:val="nil"/>
            </w:tcBorders>
            <w:noWrap w:val="0"/>
            <w:vAlign w:val="center"/>
          </w:tcPr>
          <w:p w14:paraId="4135DE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内径</w:t>
            </w:r>
          </w:p>
          <w:p w14:paraId="6E1DCE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p>
        </w:tc>
        <w:tc>
          <w:tcPr>
            <w:tcW w:w="220" w:type="pct"/>
            <w:vMerge w:val="restart"/>
            <w:tcBorders>
              <w:tl2br w:val="nil"/>
              <w:tr2bl w:val="nil"/>
            </w:tcBorders>
            <w:noWrap w:val="0"/>
            <w:vAlign w:val="center"/>
          </w:tcPr>
          <w:p w14:paraId="237E91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浓度</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73" w:type="pct"/>
            <w:vMerge w:val="restart"/>
            <w:tcBorders>
              <w:tl2br w:val="nil"/>
              <w:tr2bl w:val="nil"/>
            </w:tcBorders>
            <w:noWrap w:val="0"/>
            <w:vAlign w:val="center"/>
          </w:tcPr>
          <w:p w14:paraId="1ECB51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速率</w:t>
            </w:r>
            <w:r>
              <w:rPr>
                <w:rFonts w:hint="default" w:ascii="Times New Roman" w:hAnsi="Times New Roman" w:eastAsia="宋体" w:cs="Times New Roman"/>
                <w:sz w:val="21"/>
                <w:szCs w:val="21"/>
                <w:lang w:val="en-US" w:eastAsia="zh-CN"/>
              </w:rPr>
              <w:t>kg/h</w:t>
            </w:r>
          </w:p>
        </w:tc>
      </w:tr>
      <w:tr w14:paraId="462DD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60DF4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1" w:type="pct"/>
            <w:vMerge w:val="continue"/>
            <w:tcBorders>
              <w:tl2br w:val="nil"/>
              <w:tr2bl w:val="nil"/>
            </w:tcBorders>
            <w:noWrap w:val="0"/>
            <w:vAlign w:val="center"/>
          </w:tcPr>
          <w:p w14:paraId="3CDE86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82" w:type="pct"/>
            <w:vMerge w:val="continue"/>
            <w:tcBorders>
              <w:tl2br w:val="nil"/>
              <w:tr2bl w:val="nil"/>
            </w:tcBorders>
            <w:noWrap w:val="0"/>
            <w:vAlign w:val="center"/>
          </w:tcPr>
          <w:p w14:paraId="5FF1C2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84" w:type="pct"/>
            <w:vMerge w:val="continue"/>
            <w:tcBorders>
              <w:tl2br w:val="nil"/>
              <w:tr2bl w:val="nil"/>
            </w:tcBorders>
            <w:noWrap w:val="0"/>
            <w:vAlign w:val="center"/>
          </w:tcPr>
          <w:p w14:paraId="19D4FE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82" w:type="pct"/>
            <w:vMerge w:val="continue"/>
            <w:tcBorders>
              <w:tl2br w:val="nil"/>
              <w:tr2bl w:val="nil"/>
            </w:tcBorders>
            <w:noWrap w:val="0"/>
            <w:vAlign w:val="center"/>
          </w:tcPr>
          <w:p w14:paraId="67643E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82" w:type="pct"/>
            <w:vMerge w:val="continue"/>
            <w:tcBorders>
              <w:tl2br w:val="nil"/>
              <w:tr2bl w:val="nil"/>
            </w:tcBorders>
            <w:noWrap w:val="0"/>
            <w:vAlign w:val="center"/>
          </w:tcPr>
          <w:p w14:paraId="3E8D6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52" w:type="pct"/>
            <w:vMerge w:val="continue"/>
            <w:tcBorders>
              <w:tl2br w:val="nil"/>
              <w:tr2bl w:val="nil"/>
            </w:tcBorders>
            <w:noWrap w:val="0"/>
            <w:vAlign w:val="center"/>
          </w:tcPr>
          <w:p w14:paraId="19F97D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1" w:type="pct"/>
            <w:vMerge w:val="continue"/>
            <w:tcBorders>
              <w:tl2br w:val="nil"/>
              <w:tr2bl w:val="nil"/>
            </w:tcBorders>
            <w:noWrap w:val="0"/>
            <w:vAlign w:val="center"/>
          </w:tcPr>
          <w:p w14:paraId="0DE744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1" w:type="pct"/>
            <w:vMerge w:val="continue"/>
            <w:tcBorders>
              <w:tl2br w:val="nil"/>
              <w:tr2bl w:val="nil"/>
            </w:tcBorders>
            <w:noWrap w:val="0"/>
            <w:vAlign w:val="center"/>
          </w:tcPr>
          <w:p w14:paraId="56AE0C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76" w:type="pct"/>
            <w:vMerge w:val="continue"/>
            <w:tcBorders>
              <w:tl2br w:val="nil"/>
              <w:tr2bl w:val="nil"/>
            </w:tcBorders>
            <w:noWrap w:val="0"/>
            <w:vAlign w:val="center"/>
          </w:tcPr>
          <w:p w14:paraId="2CA22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76" w:type="pct"/>
            <w:vMerge w:val="continue"/>
            <w:tcBorders>
              <w:tl2br w:val="nil"/>
              <w:tr2bl w:val="nil"/>
            </w:tcBorders>
            <w:noWrap w:val="0"/>
            <w:vAlign w:val="center"/>
          </w:tcPr>
          <w:p w14:paraId="5C4EC3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1" w:type="pct"/>
            <w:vMerge w:val="continue"/>
            <w:tcBorders>
              <w:tl2br w:val="nil"/>
              <w:tr2bl w:val="nil"/>
            </w:tcBorders>
            <w:noWrap w:val="0"/>
            <w:vAlign w:val="center"/>
          </w:tcPr>
          <w:p w14:paraId="4AB5C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82" w:type="pct"/>
            <w:vMerge w:val="continue"/>
            <w:tcBorders>
              <w:tl2br w:val="nil"/>
              <w:tr2bl w:val="nil"/>
            </w:tcBorders>
            <w:noWrap w:val="0"/>
            <w:vAlign w:val="center"/>
          </w:tcPr>
          <w:p w14:paraId="4AE131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82" w:type="pct"/>
            <w:vMerge w:val="continue"/>
            <w:tcBorders>
              <w:tl2br w:val="nil"/>
              <w:tr2bl w:val="nil"/>
            </w:tcBorders>
            <w:noWrap w:val="0"/>
            <w:vAlign w:val="center"/>
          </w:tcPr>
          <w:p w14:paraId="6E815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26" w:type="pct"/>
            <w:vMerge w:val="continue"/>
            <w:tcBorders>
              <w:tl2br w:val="nil"/>
              <w:tr2bl w:val="nil"/>
            </w:tcBorders>
            <w:noWrap w:val="0"/>
            <w:vAlign w:val="center"/>
          </w:tcPr>
          <w:p w14:paraId="349C7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64" w:type="pct"/>
            <w:tcBorders>
              <w:tl2br w:val="nil"/>
              <w:tr2bl w:val="nil"/>
            </w:tcBorders>
            <w:noWrap w:val="0"/>
            <w:vAlign w:val="center"/>
          </w:tcPr>
          <w:p w14:paraId="346B93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经度</w:t>
            </w:r>
          </w:p>
        </w:tc>
        <w:tc>
          <w:tcPr>
            <w:tcW w:w="287" w:type="pct"/>
            <w:tcBorders>
              <w:tl2br w:val="nil"/>
              <w:tr2bl w:val="nil"/>
            </w:tcBorders>
            <w:noWrap w:val="0"/>
            <w:vAlign w:val="center"/>
          </w:tcPr>
          <w:p w14:paraId="3D473B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纬度</w:t>
            </w:r>
          </w:p>
        </w:tc>
        <w:tc>
          <w:tcPr>
            <w:tcW w:w="182" w:type="pct"/>
            <w:vMerge w:val="continue"/>
            <w:tcBorders>
              <w:tl2br w:val="nil"/>
              <w:tr2bl w:val="nil"/>
            </w:tcBorders>
            <w:noWrap w:val="0"/>
            <w:vAlign w:val="center"/>
          </w:tcPr>
          <w:p w14:paraId="78A4C5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40" w:type="pct"/>
            <w:vMerge w:val="continue"/>
            <w:tcBorders>
              <w:tl2br w:val="nil"/>
              <w:tr2bl w:val="nil"/>
            </w:tcBorders>
            <w:noWrap w:val="0"/>
            <w:vAlign w:val="center"/>
          </w:tcPr>
          <w:p w14:paraId="38AE89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1" w:type="pct"/>
            <w:vMerge w:val="continue"/>
            <w:tcBorders>
              <w:tl2br w:val="nil"/>
              <w:tr2bl w:val="nil"/>
            </w:tcBorders>
            <w:noWrap w:val="0"/>
            <w:vAlign w:val="center"/>
          </w:tcPr>
          <w:p w14:paraId="5C22DE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32" w:type="pct"/>
            <w:vMerge w:val="continue"/>
            <w:tcBorders>
              <w:tl2br w:val="nil"/>
              <w:tr2bl w:val="nil"/>
            </w:tcBorders>
            <w:noWrap w:val="0"/>
            <w:vAlign w:val="center"/>
          </w:tcPr>
          <w:p w14:paraId="4D830F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48" w:type="pct"/>
            <w:vMerge w:val="continue"/>
            <w:tcBorders>
              <w:tl2br w:val="nil"/>
              <w:tr2bl w:val="nil"/>
            </w:tcBorders>
            <w:noWrap w:val="0"/>
            <w:vAlign w:val="center"/>
          </w:tcPr>
          <w:p w14:paraId="60BF7F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220" w:type="pct"/>
            <w:vMerge w:val="continue"/>
            <w:tcBorders>
              <w:tl2br w:val="nil"/>
              <w:tr2bl w:val="nil"/>
            </w:tcBorders>
            <w:noWrap w:val="0"/>
            <w:vAlign w:val="center"/>
          </w:tcPr>
          <w:p w14:paraId="393BC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173" w:type="pct"/>
            <w:vMerge w:val="continue"/>
            <w:tcBorders>
              <w:tl2br w:val="nil"/>
              <w:tr2bl w:val="nil"/>
            </w:tcBorders>
            <w:noWrap w:val="0"/>
            <w:vAlign w:val="center"/>
          </w:tcPr>
          <w:p w14:paraId="3B9AAB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r>
      <w:tr w14:paraId="3D175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restart"/>
            <w:tcBorders>
              <w:tl2br w:val="nil"/>
              <w:tr2bl w:val="nil"/>
            </w:tcBorders>
            <w:noWrap w:val="0"/>
            <w:vAlign w:val="center"/>
          </w:tcPr>
          <w:p w14:paraId="7DE30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厂房</w:t>
            </w:r>
          </w:p>
        </w:tc>
        <w:tc>
          <w:tcPr>
            <w:tcW w:w="131" w:type="pct"/>
            <w:vMerge w:val="restart"/>
            <w:tcBorders>
              <w:tl2br w:val="nil"/>
              <w:tr2bl w:val="nil"/>
            </w:tcBorders>
            <w:noWrap w:val="0"/>
            <w:vAlign w:val="center"/>
          </w:tcPr>
          <w:p w14:paraId="2D221B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w:t>
            </w:r>
          </w:p>
        </w:tc>
        <w:tc>
          <w:tcPr>
            <w:tcW w:w="182" w:type="pct"/>
            <w:tcBorders>
              <w:tl2br w:val="nil"/>
              <w:tr2bl w:val="nil"/>
            </w:tcBorders>
            <w:noWrap w:val="0"/>
            <w:vAlign w:val="center"/>
          </w:tcPr>
          <w:p w14:paraId="453532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284" w:type="pct"/>
            <w:tcBorders>
              <w:tl2br w:val="nil"/>
              <w:tr2bl w:val="nil"/>
            </w:tcBorders>
            <w:noWrap w:val="0"/>
            <w:vAlign w:val="center"/>
          </w:tcPr>
          <w:p w14:paraId="78989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2000</w:t>
            </w:r>
          </w:p>
        </w:tc>
        <w:tc>
          <w:tcPr>
            <w:tcW w:w="282" w:type="pct"/>
            <w:tcBorders>
              <w:tl2br w:val="nil"/>
              <w:tr2bl w:val="nil"/>
            </w:tcBorders>
            <w:noWrap w:val="0"/>
            <w:vAlign w:val="center"/>
          </w:tcPr>
          <w:p w14:paraId="60E496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2.808</w:t>
            </w:r>
          </w:p>
        </w:tc>
        <w:tc>
          <w:tcPr>
            <w:tcW w:w="282" w:type="pct"/>
            <w:tcBorders>
              <w:tl2br w:val="nil"/>
              <w:tr2bl w:val="nil"/>
            </w:tcBorders>
            <w:noWrap w:val="0"/>
            <w:vAlign w:val="center"/>
          </w:tcPr>
          <w:p w14:paraId="206AF0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1.17</w:t>
            </w:r>
          </w:p>
        </w:tc>
        <w:tc>
          <w:tcPr>
            <w:tcW w:w="252" w:type="pct"/>
            <w:tcBorders>
              <w:tl2br w:val="nil"/>
              <w:tr2bl w:val="nil"/>
            </w:tcBorders>
            <w:noWrap w:val="0"/>
            <w:vAlign w:val="center"/>
          </w:tcPr>
          <w:p w14:paraId="7E2E0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585</w:t>
            </w:r>
          </w:p>
        </w:tc>
        <w:tc>
          <w:tcPr>
            <w:tcW w:w="131" w:type="pct"/>
            <w:tcBorders>
              <w:tl2br w:val="nil"/>
              <w:tr2bl w:val="nil"/>
            </w:tcBorders>
            <w:noWrap w:val="0"/>
            <w:vAlign w:val="center"/>
          </w:tcPr>
          <w:p w14:paraId="0E364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w:t>
            </w:r>
          </w:p>
        </w:tc>
        <w:tc>
          <w:tcPr>
            <w:tcW w:w="131" w:type="pct"/>
            <w:tcBorders>
              <w:tl2br w:val="nil"/>
              <w:tr2bl w:val="nil"/>
            </w:tcBorders>
            <w:noWrap w:val="0"/>
            <w:vAlign w:val="center"/>
          </w:tcPr>
          <w:p w14:paraId="0463C2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布袋除尘器</w:t>
            </w:r>
          </w:p>
        </w:tc>
        <w:tc>
          <w:tcPr>
            <w:tcW w:w="176" w:type="pct"/>
            <w:tcBorders>
              <w:tl2br w:val="nil"/>
              <w:tr2bl w:val="nil"/>
            </w:tcBorders>
            <w:noWrap w:val="0"/>
            <w:vAlign w:val="center"/>
          </w:tcPr>
          <w:p w14:paraId="32849D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95</w:t>
            </w:r>
          </w:p>
        </w:tc>
        <w:tc>
          <w:tcPr>
            <w:tcW w:w="176" w:type="pct"/>
            <w:tcBorders>
              <w:tl2br w:val="nil"/>
              <w:tr2bl w:val="nil"/>
            </w:tcBorders>
            <w:noWrap w:val="0"/>
            <w:vAlign w:val="center"/>
          </w:tcPr>
          <w:p w14:paraId="77BAF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95</w:t>
            </w:r>
          </w:p>
        </w:tc>
        <w:tc>
          <w:tcPr>
            <w:tcW w:w="131" w:type="pct"/>
            <w:tcBorders>
              <w:tl2br w:val="nil"/>
              <w:tr2bl w:val="nil"/>
            </w:tcBorders>
            <w:noWrap w:val="0"/>
            <w:vAlign w:val="center"/>
          </w:tcPr>
          <w:p w14:paraId="0DD21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c>
          <w:tcPr>
            <w:tcW w:w="282" w:type="pct"/>
            <w:tcBorders>
              <w:tl2br w:val="nil"/>
              <w:tr2bl w:val="nil"/>
            </w:tcBorders>
            <w:noWrap w:val="0"/>
            <w:vAlign w:val="center"/>
          </w:tcPr>
          <w:p w14:paraId="364FE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0.140</w:t>
            </w:r>
          </w:p>
        </w:tc>
        <w:tc>
          <w:tcPr>
            <w:tcW w:w="282" w:type="pct"/>
            <w:tcBorders>
              <w:tl2br w:val="nil"/>
              <w:tr2bl w:val="nil"/>
            </w:tcBorders>
            <w:noWrap w:val="0"/>
            <w:vAlign w:val="center"/>
          </w:tcPr>
          <w:p w14:paraId="640F26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0.058</w:t>
            </w:r>
          </w:p>
        </w:tc>
        <w:tc>
          <w:tcPr>
            <w:tcW w:w="226" w:type="pct"/>
            <w:tcBorders>
              <w:tl2br w:val="nil"/>
              <w:tr2bl w:val="nil"/>
            </w:tcBorders>
            <w:noWrap w:val="0"/>
            <w:vAlign w:val="center"/>
          </w:tcPr>
          <w:p w14:paraId="144B51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29.2</w:t>
            </w:r>
          </w:p>
        </w:tc>
        <w:tc>
          <w:tcPr>
            <w:tcW w:w="264" w:type="pct"/>
            <w:tcBorders>
              <w:tl2br w:val="nil"/>
              <w:tr2bl w:val="nil"/>
            </w:tcBorders>
            <w:noWrap w:val="0"/>
            <w:vAlign w:val="center"/>
          </w:tcPr>
          <w:p w14:paraId="2B47F3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87" w:type="pct"/>
            <w:tcBorders>
              <w:tl2br w:val="nil"/>
              <w:tr2bl w:val="nil"/>
            </w:tcBorders>
            <w:noWrap w:val="0"/>
            <w:vAlign w:val="center"/>
          </w:tcPr>
          <w:p w14:paraId="72F28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82" w:type="pct"/>
            <w:tcBorders>
              <w:tl2br w:val="nil"/>
              <w:tr2bl w:val="nil"/>
            </w:tcBorders>
            <w:noWrap w:val="0"/>
            <w:vAlign w:val="center"/>
          </w:tcPr>
          <w:p w14:paraId="2D322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240" w:type="pct"/>
            <w:tcBorders>
              <w:tl2br w:val="nil"/>
              <w:tr2bl w:val="nil"/>
            </w:tcBorders>
            <w:noWrap w:val="0"/>
            <w:vAlign w:val="center"/>
          </w:tcPr>
          <w:p w14:paraId="0D152B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抛丸废气排放口</w:t>
            </w:r>
          </w:p>
        </w:tc>
        <w:tc>
          <w:tcPr>
            <w:tcW w:w="131" w:type="pct"/>
            <w:tcBorders>
              <w:tl2br w:val="nil"/>
              <w:tr2bl w:val="nil"/>
            </w:tcBorders>
            <w:noWrap w:val="0"/>
            <w:vAlign w:val="center"/>
          </w:tcPr>
          <w:p w14:paraId="6944B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一般排放口</w:t>
            </w:r>
          </w:p>
        </w:tc>
        <w:tc>
          <w:tcPr>
            <w:tcW w:w="132" w:type="pct"/>
            <w:tcBorders>
              <w:tl2br w:val="nil"/>
              <w:tr2bl w:val="nil"/>
            </w:tcBorders>
            <w:noWrap w:val="0"/>
            <w:vAlign w:val="center"/>
          </w:tcPr>
          <w:p w14:paraId="60B4B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148" w:type="pct"/>
            <w:tcBorders>
              <w:tl2br w:val="nil"/>
              <w:tr2bl w:val="nil"/>
            </w:tcBorders>
            <w:noWrap w:val="0"/>
            <w:vAlign w:val="center"/>
          </w:tcPr>
          <w:p w14:paraId="5B9366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w:t>
            </w:r>
          </w:p>
        </w:tc>
        <w:tc>
          <w:tcPr>
            <w:tcW w:w="220" w:type="pct"/>
            <w:tcBorders>
              <w:tl2br w:val="nil"/>
              <w:tr2bl w:val="nil"/>
            </w:tcBorders>
            <w:noWrap w:val="0"/>
            <w:vAlign w:val="center"/>
          </w:tcPr>
          <w:p w14:paraId="6A0E7D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c>
          <w:tcPr>
            <w:tcW w:w="173" w:type="pct"/>
            <w:tcBorders>
              <w:tl2br w:val="nil"/>
              <w:tr2bl w:val="nil"/>
            </w:tcBorders>
            <w:noWrap w:val="0"/>
            <w:vAlign w:val="center"/>
          </w:tcPr>
          <w:p w14:paraId="53BF4A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w:t>
            </w:r>
          </w:p>
        </w:tc>
      </w:tr>
      <w:tr w14:paraId="1ED3E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7C6DC5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continue"/>
            <w:tcBorders>
              <w:tl2br w:val="nil"/>
              <w:tr2bl w:val="nil"/>
            </w:tcBorders>
            <w:noWrap w:val="0"/>
            <w:vAlign w:val="center"/>
          </w:tcPr>
          <w:p w14:paraId="64637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82" w:type="pct"/>
            <w:tcBorders>
              <w:tl2br w:val="nil"/>
              <w:tr2bl w:val="nil"/>
            </w:tcBorders>
            <w:noWrap w:val="0"/>
            <w:vAlign w:val="center"/>
          </w:tcPr>
          <w:p w14:paraId="5A424F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284" w:type="pct"/>
            <w:tcBorders>
              <w:tl2br w:val="nil"/>
              <w:tr2bl w:val="nil"/>
            </w:tcBorders>
            <w:noWrap w:val="0"/>
            <w:vAlign w:val="center"/>
          </w:tcPr>
          <w:p w14:paraId="3AC360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82" w:type="pct"/>
            <w:tcBorders>
              <w:tl2br w:val="nil"/>
              <w:tr2bl w:val="nil"/>
            </w:tcBorders>
            <w:noWrap w:val="0"/>
            <w:vAlign w:val="center"/>
          </w:tcPr>
          <w:p w14:paraId="33A879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0.148</w:t>
            </w:r>
          </w:p>
        </w:tc>
        <w:tc>
          <w:tcPr>
            <w:tcW w:w="282" w:type="pct"/>
            <w:tcBorders>
              <w:tl2br w:val="nil"/>
              <w:tr2bl w:val="nil"/>
            </w:tcBorders>
            <w:noWrap w:val="0"/>
            <w:vAlign w:val="center"/>
          </w:tcPr>
          <w:p w14:paraId="2AA7E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0.062</w:t>
            </w:r>
          </w:p>
        </w:tc>
        <w:tc>
          <w:tcPr>
            <w:tcW w:w="252" w:type="pct"/>
            <w:tcBorders>
              <w:tl2br w:val="nil"/>
              <w:tr2bl w:val="nil"/>
            </w:tcBorders>
            <w:noWrap w:val="0"/>
            <w:vAlign w:val="center"/>
          </w:tcPr>
          <w:p w14:paraId="3ADF3A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31" w:type="pct"/>
            <w:tcBorders>
              <w:tl2br w:val="nil"/>
              <w:tr2bl w:val="nil"/>
            </w:tcBorders>
            <w:noWrap w:val="0"/>
            <w:vAlign w:val="center"/>
          </w:tcPr>
          <w:p w14:paraId="78CC6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w:t>
            </w:r>
          </w:p>
        </w:tc>
        <w:tc>
          <w:tcPr>
            <w:tcW w:w="131" w:type="pct"/>
            <w:tcBorders>
              <w:tl2br w:val="nil"/>
              <w:tr2bl w:val="nil"/>
            </w:tcBorders>
            <w:noWrap w:val="0"/>
            <w:vAlign w:val="center"/>
          </w:tcPr>
          <w:p w14:paraId="7FCC9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密闭设备仅留钢管进出口</w:t>
            </w:r>
          </w:p>
        </w:tc>
        <w:tc>
          <w:tcPr>
            <w:tcW w:w="176" w:type="pct"/>
            <w:tcBorders>
              <w:tl2br w:val="nil"/>
              <w:tr2bl w:val="nil"/>
            </w:tcBorders>
            <w:noWrap w:val="0"/>
            <w:vAlign w:val="center"/>
          </w:tcPr>
          <w:p w14:paraId="396425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176" w:type="pct"/>
            <w:tcBorders>
              <w:tl2br w:val="nil"/>
              <w:tr2bl w:val="nil"/>
            </w:tcBorders>
            <w:noWrap w:val="0"/>
            <w:vAlign w:val="center"/>
          </w:tcPr>
          <w:p w14:paraId="33D50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131" w:type="pct"/>
            <w:tcBorders>
              <w:tl2br w:val="nil"/>
              <w:tr2bl w:val="nil"/>
            </w:tcBorders>
            <w:noWrap w:val="0"/>
            <w:vAlign w:val="center"/>
          </w:tcPr>
          <w:p w14:paraId="76D56B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c>
          <w:tcPr>
            <w:tcW w:w="282" w:type="pct"/>
            <w:tcBorders>
              <w:tl2br w:val="nil"/>
              <w:tr2bl w:val="nil"/>
            </w:tcBorders>
            <w:shd w:val="clear" w:color="auto" w:fill="auto"/>
            <w:noWrap w:val="0"/>
            <w:vAlign w:val="center"/>
          </w:tcPr>
          <w:p w14:paraId="450E8F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0.074</w:t>
            </w:r>
          </w:p>
        </w:tc>
        <w:tc>
          <w:tcPr>
            <w:tcW w:w="282" w:type="pct"/>
            <w:tcBorders>
              <w:tl2br w:val="nil"/>
              <w:tr2bl w:val="nil"/>
            </w:tcBorders>
            <w:shd w:val="clear" w:color="auto" w:fill="auto"/>
            <w:noWrap w:val="0"/>
            <w:vAlign w:val="center"/>
          </w:tcPr>
          <w:p w14:paraId="444A0C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0.031</w:t>
            </w:r>
          </w:p>
        </w:tc>
        <w:tc>
          <w:tcPr>
            <w:tcW w:w="226" w:type="pct"/>
            <w:tcBorders>
              <w:tl2br w:val="nil"/>
              <w:tr2bl w:val="nil"/>
            </w:tcBorders>
            <w:noWrap w:val="0"/>
            <w:vAlign w:val="center"/>
          </w:tcPr>
          <w:p w14:paraId="79ABAA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64" w:type="pct"/>
            <w:tcBorders>
              <w:tl2br w:val="nil"/>
              <w:tr2bl w:val="nil"/>
            </w:tcBorders>
            <w:noWrap w:val="0"/>
            <w:vAlign w:val="center"/>
          </w:tcPr>
          <w:p w14:paraId="32E049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87" w:type="pct"/>
            <w:tcBorders>
              <w:tl2br w:val="nil"/>
              <w:tr2bl w:val="nil"/>
            </w:tcBorders>
            <w:noWrap w:val="0"/>
            <w:vAlign w:val="center"/>
          </w:tcPr>
          <w:p w14:paraId="100C7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82" w:type="pct"/>
            <w:tcBorders>
              <w:tl2br w:val="nil"/>
              <w:tr2bl w:val="nil"/>
            </w:tcBorders>
            <w:noWrap w:val="0"/>
            <w:vAlign w:val="center"/>
          </w:tcPr>
          <w:p w14:paraId="0BD6DE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40" w:type="pct"/>
            <w:tcBorders>
              <w:tl2br w:val="nil"/>
              <w:tr2bl w:val="nil"/>
            </w:tcBorders>
            <w:noWrap w:val="0"/>
            <w:vAlign w:val="center"/>
          </w:tcPr>
          <w:p w14:paraId="5072F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1" w:type="pct"/>
            <w:tcBorders>
              <w:tl2br w:val="nil"/>
              <w:tr2bl w:val="nil"/>
            </w:tcBorders>
            <w:noWrap w:val="0"/>
            <w:vAlign w:val="center"/>
          </w:tcPr>
          <w:p w14:paraId="7BEEFB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2" w:type="pct"/>
            <w:tcBorders>
              <w:tl2br w:val="nil"/>
              <w:tr2bl w:val="nil"/>
            </w:tcBorders>
            <w:noWrap w:val="0"/>
            <w:vAlign w:val="center"/>
          </w:tcPr>
          <w:p w14:paraId="74C07F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48" w:type="pct"/>
            <w:tcBorders>
              <w:tl2br w:val="nil"/>
              <w:tr2bl w:val="nil"/>
            </w:tcBorders>
            <w:noWrap w:val="0"/>
            <w:vAlign w:val="center"/>
          </w:tcPr>
          <w:p w14:paraId="5E02B9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20" w:type="pct"/>
            <w:tcBorders>
              <w:tl2br w:val="nil"/>
              <w:tr2bl w:val="nil"/>
            </w:tcBorders>
            <w:noWrap w:val="0"/>
            <w:vAlign w:val="center"/>
          </w:tcPr>
          <w:p w14:paraId="35D631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73" w:type="pct"/>
            <w:tcBorders>
              <w:tl2br w:val="nil"/>
              <w:tr2bl w:val="nil"/>
            </w:tcBorders>
            <w:noWrap w:val="0"/>
            <w:vAlign w:val="center"/>
          </w:tcPr>
          <w:p w14:paraId="43C94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C35B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012784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restart"/>
            <w:tcBorders>
              <w:tl2br w:val="nil"/>
              <w:tr2bl w:val="nil"/>
            </w:tcBorders>
            <w:noWrap w:val="0"/>
            <w:vAlign w:val="center"/>
          </w:tcPr>
          <w:p w14:paraId="662465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环氧粉末喷涂</w:t>
            </w:r>
          </w:p>
        </w:tc>
        <w:tc>
          <w:tcPr>
            <w:tcW w:w="182" w:type="pct"/>
            <w:tcBorders>
              <w:tl2br w:val="nil"/>
              <w:tr2bl w:val="nil"/>
            </w:tcBorders>
            <w:shd w:val="clear" w:color="auto" w:fill="auto"/>
            <w:noWrap w:val="0"/>
            <w:vAlign w:val="center"/>
          </w:tcPr>
          <w:p w14:paraId="4AD52A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w:t>
            </w:r>
          </w:p>
        </w:tc>
        <w:tc>
          <w:tcPr>
            <w:tcW w:w="284" w:type="pct"/>
            <w:tcBorders>
              <w:tl2br w:val="nil"/>
              <w:tr2bl w:val="nil"/>
            </w:tcBorders>
            <w:shd w:val="clear" w:color="auto" w:fill="auto"/>
            <w:noWrap w:val="0"/>
            <w:vAlign w:val="center"/>
          </w:tcPr>
          <w:p w14:paraId="054EE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82" w:type="pct"/>
            <w:tcBorders>
              <w:tl2br w:val="nil"/>
              <w:tr2bl w:val="nil"/>
            </w:tcBorders>
            <w:shd w:val="clear" w:color="auto" w:fill="auto"/>
            <w:noWrap w:val="0"/>
            <w:vAlign w:val="center"/>
          </w:tcPr>
          <w:p w14:paraId="5D1B8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0.9</w:t>
            </w:r>
          </w:p>
        </w:tc>
        <w:tc>
          <w:tcPr>
            <w:tcW w:w="282" w:type="pct"/>
            <w:tcBorders>
              <w:tl2br w:val="nil"/>
              <w:tr2bl w:val="nil"/>
            </w:tcBorders>
            <w:shd w:val="clear" w:color="auto" w:fill="auto"/>
            <w:noWrap w:val="0"/>
            <w:vAlign w:val="center"/>
          </w:tcPr>
          <w:p w14:paraId="67A20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0.375</w:t>
            </w:r>
          </w:p>
        </w:tc>
        <w:tc>
          <w:tcPr>
            <w:tcW w:w="252" w:type="pct"/>
            <w:tcBorders>
              <w:tl2br w:val="nil"/>
              <w:tr2bl w:val="nil"/>
            </w:tcBorders>
            <w:shd w:val="clear" w:color="auto" w:fill="auto"/>
            <w:noWrap w:val="0"/>
            <w:vAlign w:val="center"/>
          </w:tcPr>
          <w:p w14:paraId="0DB9C9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1" w:type="pct"/>
            <w:tcBorders>
              <w:tl2br w:val="nil"/>
              <w:tr2bl w:val="nil"/>
            </w:tcBorders>
            <w:shd w:val="clear" w:color="auto" w:fill="auto"/>
            <w:noWrap w:val="0"/>
            <w:vAlign w:val="center"/>
          </w:tcPr>
          <w:p w14:paraId="2D805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无组织</w:t>
            </w:r>
          </w:p>
        </w:tc>
        <w:tc>
          <w:tcPr>
            <w:tcW w:w="131" w:type="pct"/>
            <w:tcBorders>
              <w:tl2br w:val="nil"/>
              <w:tr2bl w:val="nil"/>
            </w:tcBorders>
            <w:shd w:val="clear" w:color="auto" w:fill="auto"/>
            <w:noWrap w:val="0"/>
            <w:vAlign w:val="center"/>
          </w:tcPr>
          <w:p w14:paraId="5DAD1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密闭厂房</w:t>
            </w:r>
          </w:p>
        </w:tc>
        <w:tc>
          <w:tcPr>
            <w:tcW w:w="176" w:type="pct"/>
            <w:tcBorders>
              <w:tl2br w:val="nil"/>
              <w:tr2bl w:val="nil"/>
            </w:tcBorders>
            <w:shd w:val="clear" w:color="auto" w:fill="auto"/>
            <w:noWrap w:val="0"/>
            <w:vAlign w:val="center"/>
          </w:tcPr>
          <w:p w14:paraId="501214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76" w:type="pct"/>
            <w:tcBorders>
              <w:tl2br w:val="nil"/>
              <w:tr2bl w:val="nil"/>
            </w:tcBorders>
            <w:shd w:val="clear" w:color="auto" w:fill="auto"/>
            <w:noWrap w:val="0"/>
            <w:vAlign w:val="center"/>
          </w:tcPr>
          <w:p w14:paraId="1869F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50</w:t>
            </w:r>
          </w:p>
        </w:tc>
        <w:tc>
          <w:tcPr>
            <w:tcW w:w="131" w:type="pct"/>
            <w:tcBorders>
              <w:tl2br w:val="nil"/>
              <w:tr2bl w:val="nil"/>
            </w:tcBorders>
            <w:shd w:val="clear" w:color="auto" w:fill="auto"/>
            <w:noWrap w:val="0"/>
            <w:vAlign w:val="center"/>
          </w:tcPr>
          <w:p w14:paraId="644966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82" w:type="pct"/>
            <w:tcBorders>
              <w:tl2br w:val="nil"/>
              <w:tr2bl w:val="nil"/>
            </w:tcBorders>
            <w:shd w:val="clear" w:color="auto" w:fill="auto"/>
            <w:noWrap w:val="0"/>
            <w:vAlign w:val="center"/>
          </w:tcPr>
          <w:p w14:paraId="32990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0.45</w:t>
            </w:r>
          </w:p>
        </w:tc>
        <w:tc>
          <w:tcPr>
            <w:tcW w:w="282" w:type="pct"/>
            <w:tcBorders>
              <w:tl2br w:val="nil"/>
              <w:tr2bl w:val="nil"/>
            </w:tcBorders>
            <w:shd w:val="clear" w:color="auto" w:fill="auto"/>
            <w:noWrap w:val="0"/>
            <w:vAlign w:val="center"/>
          </w:tcPr>
          <w:p w14:paraId="032CFF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0.188</w:t>
            </w:r>
          </w:p>
        </w:tc>
        <w:tc>
          <w:tcPr>
            <w:tcW w:w="226" w:type="pct"/>
            <w:tcBorders>
              <w:tl2br w:val="nil"/>
              <w:tr2bl w:val="nil"/>
            </w:tcBorders>
            <w:shd w:val="clear" w:color="auto" w:fill="auto"/>
            <w:noWrap w:val="0"/>
            <w:vAlign w:val="center"/>
          </w:tcPr>
          <w:p w14:paraId="06BEAA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64" w:type="pct"/>
            <w:tcBorders>
              <w:tl2br w:val="nil"/>
              <w:tr2bl w:val="nil"/>
            </w:tcBorders>
            <w:shd w:val="clear" w:color="auto" w:fill="auto"/>
            <w:noWrap w:val="0"/>
            <w:vAlign w:val="center"/>
          </w:tcPr>
          <w:p w14:paraId="33D214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87" w:type="pct"/>
            <w:tcBorders>
              <w:tl2br w:val="nil"/>
              <w:tr2bl w:val="nil"/>
            </w:tcBorders>
            <w:shd w:val="clear" w:color="auto" w:fill="auto"/>
            <w:noWrap w:val="0"/>
            <w:vAlign w:val="center"/>
          </w:tcPr>
          <w:p w14:paraId="1B04B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82" w:type="pct"/>
            <w:tcBorders>
              <w:tl2br w:val="nil"/>
              <w:tr2bl w:val="nil"/>
            </w:tcBorders>
            <w:shd w:val="clear" w:color="auto" w:fill="auto"/>
            <w:noWrap w:val="0"/>
            <w:vAlign w:val="center"/>
          </w:tcPr>
          <w:p w14:paraId="44119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40" w:type="pct"/>
            <w:tcBorders>
              <w:tl2br w:val="nil"/>
              <w:tr2bl w:val="nil"/>
            </w:tcBorders>
            <w:shd w:val="clear" w:color="auto" w:fill="auto"/>
            <w:noWrap w:val="0"/>
            <w:vAlign w:val="center"/>
          </w:tcPr>
          <w:p w14:paraId="349F69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1" w:type="pct"/>
            <w:tcBorders>
              <w:tl2br w:val="nil"/>
              <w:tr2bl w:val="nil"/>
            </w:tcBorders>
            <w:shd w:val="clear" w:color="auto" w:fill="auto"/>
            <w:noWrap w:val="0"/>
            <w:vAlign w:val="center"/>
          </w:tcPr>
          <w:p w14:paraId="29C50A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2" w:type="pct"/>
            <w:tcBorders>
              <w:tl2br w:val="nil"/>
              <w:tr2bl w:val="nil"/>
            </w:tcBorders>
            <w:shd w:val="clear" w:color="auto" w:fill="auto"/>
            <w:noWrap w:val="0"/>
            <w:vAlign w:val="center"/>
          </w:tcPr>
          <w:p w14:paraId="026091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48" w:type="pct"/>
            <w:tcBorders>
              <w:tl2br w:val="nil"/>
              <w:tr2bl w:val="nil"/>
            </w:tcBorders>
            <w:shd w:val="clear" w:color="auto" w:fill="auto"/>
            <w:noWrap w:val="0"/>
            <w:vAlign w:val="center"/>
          </w:tcPr>
          <w:p w14:paraId="3A1E4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20" w:type="pct"/>
            <w:tcBorders>
              <w:tl2br w:val="nil"/>
              <w:tr2bl w:val="nil"/>
            </w:tcBorders>
            <w:shd w:val="clear" w:color="auto" w:fill="auto"/>
            <w:noWrap w:val="0"/>
            <w:vAlign w:val="center"/>
          </w:tcPr>
          <w:p w14:paraId="6EB4B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p>
        </w:tc>
        <w:tc>
          <w:tcPr>
            <w:tcW w:w="173" w:type="pct"/>
            <w:tcBorders>
              <w:tl2br w:val="nil"/>
              <w:tr2bl w:val="nil"/>
            </w:tcBorders>
            <w:shd w:val="clear" w:color="auto" w:fill="auto"/>
            <w:noWrap w:val="0"/>
            <w:vAlign w:val="center"/>
          </w:tcPr>
          <w:p w14:paraId="7257B8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r w14:paraId="20614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0BB1E9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continue"/>
            <w:tcBorders>
              <w:tl2br w:val="nil"/>
              <w:tr2bl w:val="nil"/>
            </w:tcBorders>
            <w:noWrap w:val="0"/>
            <w:vAlign w:val="center"/>
          </w:tcPr>
          <w:p w14:paraId="63923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82" w:type="pct"/>
            <w:tcBorders>
              <w:tl2br w:val="nil"/>
              <w:tr2bl w:val="nil"/>
            </w:tcBorders>
            <w:shd w:val="clear" w:color="auto" w:fill="auto"/>
            <w:noWrap w:val="0"/>
            <w:vAlign w:val="center"/>
          </w:tcPr>
          <w:p w14:paraId="12D45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非甲烷总烃</w:t>
            </w:r>
          </w:p>
        </w:tc>
        <w:tc>
          <w:tcPr>
            <w:tcW w:w="284" w:type="pct"/>
            <w:tcBorders>
              <w:tl2br w:val="nil"/>
              <w:tr2bl w:val="nil"/>
            </w:tcBorders>
            <w:shd w:val="clear" w:color="auto" w:fill="auto"/>
            <w:noWrap w:val="0"/>
            <w:vAlign w:val="center"/>
          </w:tcPr>
          <w:p w14:paraId="2AAF3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82" w:type="pct"/>
            <w:tcBorders>
              <w:tl2br w:val="nil"/>
              <w:tr2bl w:val="nil"/>
            </w:tcBorders>
            <w:shd w:val="clear" w:color="auto" w:fill="auto"/>
            <w:noWrap w:val="0"/>
            <w:vAlign w:val="center"/>
          </w:tcPr>
          <w:p w14:paraId="50CBDC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0.004</w:t>
            </w:r>
          </w:p>
        </w:tc>
        <w:tc>
          <w:tcPr>
            <w:tcW w:w="282" w:type="pct"/>
            <w:tcBorders>
              <w:tl2br w:val="nil"/>
              <w:tr2bl w:val="nil"/>
            </w:tcBorders>
            <w:shd w:val="clear" w:color="auto" w:fill="auto"/>
            <w:noWrap w:val="0"/>
            <w:vAlign w:val="center"/>
          </w:tcPr>
          <w:p w14:paraId="4D76B5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0.002</w:t>
            </w:r>
          </w:p>
        </w:tc>
        <w:tc>
          <w:tcPr>
            <w:tcW w:w="252" w:type="pct"/>
            <w:tcBorders>
              <w:tl2br w:val="nil"/>
              <w:tr2bl w:val="nil"/>
            </w:tcBorders>
            <w:shd w:val="clear" w:color="auto" w:fill="auto"/>
            <w:noWrap w:val="0"/>
            <w:vAlign w:val="center"/>
          </w:tcPr>
          <w:p w14:paraId="4C4896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1" w:type="pct"/>
            <w:tcBorders>
              <w:tl2br w:val="nil"/>
              <w:tr2bl w:val="nil"/>
            </w:tcBorders>
            <w:shd w:val="clear" w:color="auto" w:fill="auto"/>
            <w:noWrap w:val="0"/>
            <w:vAlign w:val="center"/>
          </w:tcPr>
          <w:p w14:paraId="55474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无组织</w:t>
            </w:r>
          </w:p>
        </w:tc>
        <w:tc>
          <w:tcPr>
            <w:tcW w:w="131" w:type="pct"/>
            <w:tcBorders>
              <w:tl2br w:val="nil"/>
              <w:tr2bl w:val="nil"/>
            </w:tcBorders>
            <w:shd w:val="clear" w:color="auto" w:fill="auto"/>
            <w:noWrap w:val="0"/>
            <w:vAlign w:val="center"/>
          </w:tcPr>
          <w:p w14:paraId="2C433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密闭厂房</w:t>
            </w:r>
          </w:p>
        </w:tc>
        <w:tc>
          <w:tcPr>
            <w:tcW w:w="176" w:type="pct"/>
            <w:tcBorders>
              <w:tl2br w:val="nil"/>
              <w:tr2bl w:val="nil"/>
            </w:tcBorders>
            <w:shd w:val="clear" w:color="auto" w:fill="auto"/>
            <w:noWrap w:val="0"/>
            <w:vAlign w:val="center"/>
          </w:tcPr>
          <w:p w14:paraId="2BE745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76" w:type="pct"/>
            <w:tcBorders>
              <w:tl2br w:val="nil"/>
              <w:tr2bl w:val="nil"/>
            </w:tcBorders>
            <w:shd w:val="clear" w:color="auto" w:fill="auto"/>
            <w:noWrap w:val="0"/>
            <w:vAlign w:val="center"/>
          </w:tcPr>
          <w:p w14:paraId="3284CF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w:t>
            </w:r>
          </w:p>
        </w:tc>
        <w:tc>
          <w:tcPr>
            <w:tcW w:w="131" w:type="pct"/>
            <w:tcBorders>
              <w:tl2br w:val="nil"/>
              <w:tr2bl w:val="nil"/>
            </w:tcBorders>
            <w:shd w:val="clear" w:color="auto" w:fill="auto"/>
            <w:noWrap w:val="0"/>
            <w:vAlign w:val="center"/>
          </w:tcPr>
          <w:p w14:paraId="4F9153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82" w:type="pct"/>
            <w:tcBorders>
              <w:tl2br w:val="nil"/>
              <w:tr2bl w:val="nil"/>
            </w:tcBorders>
            <w:shd w:val="clear" w:color="auto" w:fill="auto"/>
            <w:noWrap w:val="0"/>
            <w:vAlign w:val="center"/>
          </w:tcPr>
          <w:p w14:paraId="4AEE8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0.004</w:t>
            </w:r>
          </w:p>
        </w:tc>
        <w:tc>
          <w:tcPr>
            <w:tcW w:w="282" w:type="pct"/>
            <w:tcBorders>
              <w:tl2br w:val="nil"/>
              <w:tr2bl w:val="nil"/>
            </w:tcBorders>
            <w:shd w:val="clear" w:color="auto" w:fill="auto"/>
            <w:noWrap w:val="0"/>
            <w:vAlign w:val="center"/>
          </w:tcPr>
          <w:p w14:paraId="61D37C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0.002</w:t>
            </w:r>
          </w:p>
        </w:tc>
        <w:tc>
          <w:tcPr>
            <w:tcW w:w="226" w:type="pct"/>
            <w:tcBorders>
              <w:tl2br w:val="nil"/>
              <w:tr2bl w:val="nil"/>
            </w:tcBorders>
            <w:shd w:val="clear" w:color="auto" w:fill="auto"/>
            <w:noWrap w:val="0"/>
            <w:vAlign w:val="center"/>
          </w:tcPr>
          <w:p w14:paraId="000AD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64" w:type="pct"/>
            <w:tcBorders>
              <w:tl2br w:val="nil"/>
              <w:tr2bl w:val="nil"/>
            </w:tcBorders>
            <w:shd w:val="clear" w:color="auto" w:fill="auto"/>
            <w:noWrap w:val="0"/>
            <w:vAlign w:val="center"/>
          </w:tcPr>
          <w:p w14:paraId="217F5C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87" w:type="pct"/>
            <w:tcBorders>
              <w:tl2br w:val="nil"/>
              <w:tr2bl w:val="nil"/>
            </w:tcBorders>
            <w:shd w:val="clear" w:color="auto" w:fill="auto"/>
            <w:noWrap w:val="0"/>
            <w:vAlign w:val="center"/>
          </w:tcPr>
          <w:p w14:paraId="6BFA95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82" w:type="pct"/>
            <w:tcBorders>
              <w:tl2br w:val="nil"/>
              <w:tr2bl w:val="nil"/>
            </w:tcBorders>
            <w:shd w:val="clear" w:color="auto" w:fill="auto"/>
            <w:noWrap w:val="0"/>
            <w:vAlign w:val="center"/>
          </w:tcPr>
          <w:p w14:paraId="281B0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40" w:type="pct"/>
            <w:tcBorders>
              <w:tl2br w:val="nil"/>
              <w:tr2bl w:val="nil"/>
            </w:tcBorders>
            <w:shd w:val="clear" w:color="auto" w:fill="auto"/>
            <w:noWrap w:val="0"/>
            <w:vAlign w:val="center"/>
          </w:tcPr>
          <w:p w14:paraId="61E95C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1" w:type="pct"/>
            <w:tcBorders>
              <w:tl2br w:val="nil"/>
              <w:tr2bl w:val="nil"/>
            </w:tcBorders>
            <w:shd w:val="clear" w:color="auto" w:fill="auto"/>
            <w:noWrap w:val="0"/>
            <w:vAlign w:val="center"/>
          </w:tcPr>
          <w:p w14:paraId="55018D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2" w:type="pct"/>
            <w:tcBorders>
              <w:tl2br w:val="nil"/>
              <w:tr2bl w:val="nil"/>
            </w:tcBorders>
            <w:shd w:val="clear" w:color="auto" w:fill="auto"/>
            <w:noWrap w:val="0"/>
            <w:vAlign w:val="center"/>
          </w:tcPr>
          <w:p w14:paraId="3628EF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48" w:type="pct"/>
            <w:tcBorders>
              <w:tl2br w:val="nil"/>
              <w:tr2bl w:val="nil"/>
            </w:tcBorders>
            <w:shd w:val="clear" w:color="auto" w:fill="auto"/>
            <w:noWrap w:val="0"/>
            <w:vAlign w:val="center"/>
          </w:tcPr>
          <w:p w14:paraId="1F31CC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20" w:type="pct"/>
            <w:tcBorders>
              <w:tl2br w:val="nil"/>
              <w:tr2bl w:val="nil"/>
            </w:tcBorders>
            <w:shd w:val="clear" w:color="auto" w:fill="auto"/>
            <w:noWrap w:val="0"/>
            <w:vAlign w:val="center"/>
          </w:tcPr>
          <w:p w14:paraId="50065E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w:t>
            </w:r>
          </w:p>
        </w:tc>
        <w:tc>
          <w:tcPr>
            <w:tcW w:w="173" w:type="pct"/>
            <w:tcBorders>
              <w:tl2br w:val="nil"/>
              <w:tr2bl w:val="nil"/>
            </w:tcBorders>
            <w:shd w:val="clear" w:color="auto" w:fill="auto"/>
            <w:noWrap w:val="0"/>
            <w:vAlign w:val="center"/>
          </w:tcPr>
          <w:p w14:paraId="55905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r w14:paraId="25BA2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3489C3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continue"/>
            <w:tcBorders>
              <w:tl2br w:val="nil"/>
              <w:tr2bl w:val="nil"/>
            </w:tcBorders>
            <w:noWrap w:val="0"/>
            <w:vAlign w:val="center"/>
          </w:tcPr>
          <w:p w14:paraId="0ED10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82" w:type="pct"/>
            <w:tcBorders>
              <w:tl2br w:val="nil"/>
              <w:tr2bl w:val="nil"/>
            </w:tcBorders>
            <w:noWrap w:val="0"/>
            <w:vAlign w:val="center"/>
          </w:tcPr>
          <w:p w14:paraId="12B230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84" w:type="pct"/>
            <w:tcBorders>
              <w:tl2br w:val="nil"/>
              <w:tr2bl w:val="nil"/>
            </w:tcBorders>
            <w:noWrap w:val="0"/>
            <w:vAlign w:val="center"/>
          </w:tcPr>
          <w:p w14:paraId="15C26E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5000</w:t>
            </w:r>
          </w:p>
        </w:tc>
        <w:tc>
          <w:tcPr>
            <w:tcW w:w="282" w:type="pct"/>
            <w:tcBorders>
              <w:tl2br w:val="nil"/>
              <w:tr2bl w:val="nil"/>
            </w:tcBorders>
            <w:noWrap w:val="0"/>
            <w:vAlign w:val="center"/>
          </w:tcPr>
          <w:p w14:paraId="6850C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8.1</w:t>
            </w:r>
          </w:p>
        </w:tc>
        <w:tc>
          <w:tcPr>
            <w:tcW w:w="282" w:type="pct"/>
            <w:tcBorders>
              <w:tl2br w:val="nil"/>
              <w:tr2bl w:val="nil"/>
            </w:tcBorders>
            <w:noWrap w:val="0"/>
            <w:vAlign w:val="center"/>
          </w:tcPr>
          <w:p w14:paraId="3B141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3.375</w:t>
            </w:r>
          </w:p>
        </w:tc>
        <w:tc>
          <w:tcPr>
            <w:tcW w:w="252" w:type="pct"/>
            <w:tcBorders>
              <w:tl2br w:val="nil"/>
              <w:tr2bl w:val="nil"/>
            </w:tcBorders>
            <w:noWrap w:val="0"/>
            <w:vAlign w:val="center"/>
          </w:tcPr>
          <w:p w14:paraId="72FE97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675</w:t>
            </w:r>
          </w:p>
        </w:tc>
        <w:tc>
          <w:tcPr>
            <w:tcW w:w="131" w:type="pct"/>
            <w:tcBorders>
              <w:tl2br w:val="nil"/>
              <w:tr2bl w:val="nil"/>
            </w:tcBorders>
            <w:noWrap w:val="0"/>
            <w:vAlign w:val="center"/>
          </w:tcPr>
          <w:p w14:paraId="6345F9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w:t>
            </w:r>
          </w:p>
        </w:tc>
        <w:tc>
          <w:tcPr>
            <w:tcW w:w="131" w:type="pct"/>
            <w:tcBorders>
              <w:tl2br w:val="nil"/>
              <w:tr2bl w:val="nil"/>
            </w:tcBorders>
            <w:noWrap w:val="0"/>
            <w:vAlign w:val="center"/>
          </w:tcPr>
          <w:p w14:paraId="2B59D9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旋风除尘器+滤芯除尘器</w:t>
            </w:r>
          </w:p>
        </w:tc>
        <w:tc>
          <w:tcPr>
            <w:tcW w:w="176" w:type="pct"/>
            <w:tcBorders>
              <w:tl2br w:val="nil"/>
              <w:tr2bl w:val="nil"/>
            </w:tcBorders>
            <w:noWrap w:val="0"/>
            <w:vAlign w:val="center"/>
          </w:tcPr>
          <w:p w14:paraId="6750D1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w:t>
            </w:r>
          </w:p>
        </w:tc>
        <w:tc>
          <w:tcPr>
            <w:tcW w:w="176" w:type="pct"/>
            <w:tcBorders>
              <w:tl2br w:val="nil"/>
              <w:tr2bl w:val="nil"/>
            </w:tcBorders>
            <w:noWrap w:val="0"/>
            <w:vAlign w:val="center"/>
          </w:tcPr>
          <w:p w14:paraId="361EE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98</w:t>
            </w:r>
          </w:p>
        </w:tc>
        <w:tc>
          <w:tcPr>
            <w:tcW w:w="131" w:type="pct"/>
            <w:tcBorders>
              <w:tl2br w:val="nil"/>
              <w:tr2bl w:val="nil"/>
            </w:tcBorders>
            <w:noWrap w:val="0"/>
            <w:vAlign w:val="center"/>
          </w:tcPr>
          <w:p w14:paraId="61B50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c>
          <w:tcPr>
            <w:tcW w:w="282" w:type="pct"/>
            <w:tcBorders>
              <w:tl2br w:val="nil"/>
              <w:tr2bl w:val="nil"/>
            </w:tcBorders>
            <w:noWrap w:val="0"/>
            <w:vAlign w:val="center"/>
          </w:tcPr>
          <w:p w14:paraId="5CD633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0.162</w:t>
            </w:r>
          </w:p>
        </w:tc>
        <w:tc>
          <w:tcPr>
            <w:tcW w:w="282" w:type="pct"/>
            <w:tcBorders>
              <w:tl2br w:val="nil"/>
              <w:tr2bl w:val="nil"/>
            </w:tcBorders>
            <w:noWrap w:val="0"/>
            <w:vAlign w:val="center"/>
          </w:tcPr>
          <w:p w14:paraId="238B5B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0.068</w:t>
            </w:r>
          </w:p>
        </w:tc>
        <w:tc>
          <w:tcPr>
            <w:tcW w:w="226" w:type="pct"/>
            <w:tcBorders>
              <w:tl2br w:val="nil"/>
              <w:tr2bl w:val="nil"/>
            </w:tcBorders>
            <w:noWrap w:val="0"/>
            <w:vAlign w:val="center"/>
          </w:tcPr>
          <w:p w14:paraId="359EE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w:t>
            </w:r>
          </w:p>
        </w:tc>
        <w:tc>
          <w:tcPr>
            <w:tcW w:w="264" w:type="pct"/>
            <w:vMerge w:val="restart"/>
            <w:tcBorders>
              <w:tl2br w:val="nil"/>
              <w:tr2bl w:val="nil"/>
            </w:tcBorders>
            <w:noWrap w:val="0"/>
            <w:vAlign w:val="center"/>
          </w:tcPr>
          <w:p w14:paraId="0E7073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287" w:type="pct"/>
            <w:vMerge w:val="restart"/>
            <w:tcBorders>
              <w:tl2br w:val="nil"/>
              <w:tr2bl w:val="nil"/>
            </w:tcBorders>
            <w:noWrap w:val="0"/>
            <w:vAlign w:val="center"/>
          </w:tcPr>
          <w:p w14:paraId="7483A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82" w:type="pct"/>
            <w:vMerge w:val="restart"/>
            <w:tcBorders>
              <w:tl2br w:val="nil"/>
              <w:tr2bl w:val="nil"/>
            </w:tcBorders>
            <w:noWrap w:val="0"/>
            <w:vAlign w:val="center"/>
          </w:tcPr>
          <w:p w14:paraId="5A9B9C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DA002</w:t>
            </w:r>
          </w:p>
        </w:tc>
        <w:tc>
          <w:tcPr>
            <w:tcW w:w="240" w:type="pct"/>
            <w:vMerge w:val="restart"/>
            <w:tcBorders>
              <w:tl2br w:val="nil"/>
              <w:tr2bl w:val="nil"/>
            </w:tcBorders>
            <w:noWrap w:val="0"/>
            <w:vAlign w:val="center"/>
          </w:tcPr>
          <w:p w14:paraId="20537D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环氧粉末喷涂废气排放口</w:t>
            </w:r>
          </w:p>
        </w:tc>
        <w:tc>
          <w:tcPr>
            <w:tcW w:w="131" w:type="pct"/>
            <w:vMerge w:val="restart"/>
            <w:tcBorders>
              <w:tl2br w:val="nil"/>
              <w:tr2bl w:val="nil"/>
            </w:tcBorders>
            <w:noWrap w:val="0"/>
            <w:vAlign w:val="center"/>
          </w:tcPr>
          <w:p w14:paraId="4EED3B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一般排放口</w:t>
            </w:r>
          </w:p>
        </w:tc>
        <w:tc>
          <w:tcPr>
            <w:tcW w:w="132" w:type="pct"/>
            <w:vMerge w:val="restart"/>
            <w:tcBorders>
              <w:tl2br w:val="nil"/>
              <w:tr2bl w:val="nil"/>
            </w:tcBorders>
            <w:noWrap w:val="0"/>
            <w:vAlign w:val="center"/>
          </w:tcPr>
          <w:p w14:paraId="381660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148" w:type="pct"/>
            <w:vMerge w:val="restart"/>
            <w:tcBorders>
              <w:tl2br w:val="nil"/>
              <w:tr2bl w:val="nil"/>
            </w:tcBorders>
            <w:noWrap w:val="0"/>
            <w:vAlign w:val="center"/>
          </w:tcPr>
          <w:p w14:paraId="09FC95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0.4</w:t>
            </w:r>
          </w:p>
        </w:tc>
        <w:tc>
          <w:tcPr>
            <w:tcW w:w="220" w:type="pct"/>
            <w:tcBorders>
              <w:tl2br w:val="nil"/>
              <w:tr2bl w:val="nil"/>
            </w:tcBorders>
            <w:noWrap w:val="0"/>
            <w:vAlign w:val="center"/>
          </w:tcPr>
          <w:p w14:paraId="3A3A0F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73" w:type="pct"/>
            <w:tcBorders>
              <w:tl2br w:val="nil"/>
              <w:tr2bl w:val="nil"/>
            </w:tcBorders>
            <w:noWrap w:val="0"/>
            <w:vAlign w:val="center"/>
          </w:tcPr>
          <w:p w14:paraId="57A737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4B085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07CF36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continue"/>
            <w:tcBorders>
              <w:tl2br w:val="nil"/>
              <w:tr2bl w:val="nil"/>
            </w:tcBorders>
            <w:noWrap w:val="0"/>
            <w:vAlign w:val="center"/>
          </w:tcPr>
          <w:p w14:paraId="4D9EA2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82" w:type="pct"/>
            <w:tcBorders>
              <w:tl2br w:val="nil"/>
              <w:tr2bl w:val="nil"/>
            </w:tcBorders>
            <w:noWrap w:val="0"/>
            <w:vAlign w:val="center"/>
          </w:tcPr>
          <w:p w14:paraId="5FE84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84" w:type="pct"/>
            <w:tcBorders>
              <w:tl2br w:val="nil"/>
              <w:tr2bl w:val="nil"/>
            </w:tcBorders>
            <w:noWrap w:val="0"/>
            <w:vAlign w:val="center"/>
          </w:tcPr>
          <w:p w14:paraId="080608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5000</w:t>
            </w:r>
          </w:p>
        </w:tc>
        <w:tc>
          <w:tcPr>
            <w:tcW w:w="282" w:type="pct"/>
            <w:tcBorders>
              <w:tl2br w:val="nil"/>
              <w:tr2bl w:val="nil"/>
            </w:tcBorders>
            <w:noWrap w:val="0"/>
            <w:vAlign w:val="center"/>
          </w:tcPr>
          <w:p w14:paraId="414487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0.032</w:t>
            </w:r>
          </w:p>
        </w:tc>
        <w:tc>
          <w:tcPr>
            <w:tcW w:w="282" w:type="pct"/>
            <w:tcBorders>
              <w:tl2br w:val="nil"/>
              <w:tr2bl w:val="nil"/>
            </w:tcBorders>
            <w:noWrap w:val="0"/>
            <w:vAlign w:val="center"/>
          </w:tcPr>
          <w:p w14:paraId="6B74A4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0.013</w:t>
            </w:r>
          </w:p>
        </w:tc>
        <w:tc>
          <w:tcPr>
            <w:tcW w:w="252" w:type="pct"/>
            <w:tcBorders>
              <w:tl2br w:val="nil"/>
              <w:tr2bl w:val="nil"/>
            </w:tcBorders>
            <w:noWrap w:val="0"/>
            <w:vAlign w:val="center"/>
          </w:tcPr>
          <w:p w14:paraId="32AB80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131" w:type="pct"/>
            <w:tcBorders>
              <w:tl2br w:val="nil"/>
              <w:tr2bl w:val="nil"/>
            </w:tcBorders>
            <w:noWrap w:val="0"/>
            <w:vAlign w:val="center"/>
          </w:tcPr>
          <w:p w14:paraId="57247F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w:t>
            </w:r>
          </w:p>
        </w:tc>
        <w:tc>
          <w:tcPr>
            <w:tcW w:w="131" w:type="pct"/>
            <w:tcBorders>
              <w:tl2br w:val="nil"/>
              <w:tr2bl w:val="nil"/>
            </w:tcBorders>
            <w:noWrap w:val="0"/>
            <w:vAlign w:val="center"/>
          </w:tcPr>
          <w:p w14:paraId="62E92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二级活性炭</w:t>
            </w:r>
          </w:p>
        </w:tc>
        <w:tc>
          <w:tcPr>
            <w:tcW w:w="176" w:type="pct"/>
            <w:tcBorders>
              <w:tl2br w:val="nil"/>
              <w:tr2bl w:val="nil"/>
            </w:tcBorders>
            <w:noWrap w:val="0"/>
            <w:vAlign w:val="center"/>
          </w:tcPr>
          <w:p w14:paraId="3E7EF3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w:t>
            </w:r>
          </w:p>
        </w:tc>
        <w:tc>
          <w:tcPr>
            <w:tcW w:w="176" w:type="pct"/>
            <w:tcBorders>
              <w:tl2br w:val="nil"/>
              <w:tr2bl w:val="nil"/>
            </w:tcBorders>
            <w:noWrap w:val="0"/>
            <w:vAlign w:val="center"/>
          </w:tcPr>
          <w:p w14:paraId="7670A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32.76</w:t>
            </w:r>
          </w:p>
        </w:tc>
        <w:tc>
          <w:tcPr>
            <w:tcW w:w="131" w:type="pct"/>
            <w:tcBorders>
              <w:tl2br w:val="nil"/>
              <w:tr2bl w:val="nil"/>
            </w:tcBorders>
            <w:noWrap w:val="0"/>
            <w:vAlign w:val="center"/>
          </w:tcPr>
          <w:p w14:paraId="4063A4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c>
          <w:tcPr>
            <w:tcW w:w="282" w:type="pct"/>
            <w:vMerge w:val="restart"/>
            <w:tcBorders>
              <w:tl2br w:val="nil"/>
              <w:tr2bl w:val="nil"/>
            </w:tcBorders>
            <w:shd w:val="clear" w:color="auto" w:fill="auto"/>
            <w:noWrap w:val="0"/>
            <w:vAlign w:val="center"/>
          </w:tcPr>
          <w:p w14:paraId="42EC9F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0.667</w:t>
            </w:r>
          </w:p>
        </w:tc>
        <w:tc>
          <w:tcPr>
            <w:tcW w:w="282" w:type="pct"/>
            <w:vMerge w:val="restart"/>
            <w:tcBorders>
              <w:tl2br w:val="nil"/>
              <w:tr2bl w:val="nil"/>
            </w:tcBorders>
            <w:shd w:val="clear" w:color="auto" w:fill="auto"/>
            <w:noWrap w:val="0"/>
            <w:vAlign w:val="center"/>
          </w:tcPr>
          <w:p w14:paraId="47E4EC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0.278</w:t>
            </w:r>
          </w:p>
        </w:tc>
        <w:tc>
          <w:tcPr>
            <w:tcW w:w="226" w:type="pct"/>
            <w:vMerge w:val="restart"/>
            <w:tcBorders>
              <w:tl2br w:val="nil"/>
              <w:tr2bl w:val="nil"/>
            </w:tcBorders>
            <w:shd w:val="clear" w:color="auto" w:fill="auto"/>
            <w:noWrap w:val="0"/>
            <w:vAlign w:val="center"/>
          </w:tcPr>
          <w:p w14:paraId="0C04E7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55.6</w:t>
            </w:r>
          </w:p>
        </w:tc>
        <w:tc>
          <w:tcPr>
            <w:tcW w:w="264" w:type="pct"/>
            <w:vMerge w:val="continue"/>
            <w:tcBorders>
              <w:tl2br w:val="nil"/>
              <w:tr2bl w:val="nil"/>
            </w:tcBorders>
            <w:noWrap w:val="0"/>
            <w:vAlign w:val="center"/>
          </w:tcPr>
          <w:p w14:paraId="5A42D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287" w:type="pct"/>
            <w:vMerge w:val="continue"/>
            <w:tcBorders>
              <w:tl2br w:val="nil"/>
              <w:tr2bl w:val="nil"/>
            </w:tcBorders>
            <w:noWrap w:val="0"/>
            <w:vAlign w:val="center"/>
          </w:tcPr>
          <w:p w14:paraId="34C95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82" w:type="pct"/>
            <w:vMerge w:val="continue"/>
            <w:tcBorders>
              <w:tl2br w:val="nil"/>
              <w:tr2bl w:val="nil"/>
            </w:tcBorders>
            <w:noWrap w:val="0"/>
            <w:vAlign w:val="center"/>
          </w:tcPr>
          <w:p w14:paraId="2C4CDE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240" w:type="pct"/>
            <w:vMerge w:val="continue"/>
            <w:tcBorders>
              <w:tl2br w:val="nil"/>
              <w:tr2bl w:val="nil"/>
            </w:tcBorders>
            <w:noWrap w:val="0"/>
            <w:vAlign w:val="center"/>
          </w:tcPr>
          <w:p w14:paraId="601F4B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continue"/>
            <w:tcBorders>
              <w:tl2br w:val="nil"/>
              <w:tr2bl w:val="nil"/>
            </w:tcBorders>
            <w:noWrap w:val="0"/>
            <w:vAlign w:val="center"/>
          </w:tcPr>
          <w:p w14:paraId="027C7D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2" w:type="pct"/>
            <w:vMerge w:val="continue"/>
            <w:tcBorders>
              <w:tl2br w:val="nil"/>
              <w:tr2bl w:val="nil"/>
            </w:tcBorders>
            <w:noWrap w:val="0"/>
            <w:vAlign w:val="center"/>
          </w:tcPr>
          <w:p w14:paraId="6A0E2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48" w:type="pct"/>
            <w:vMerge w:val="continue"/>
            <w:tcBorders>
              <w:tl2br w:val="nil"/>
              <w:tr2bl w:val="nil"/>
            </w:tcBorders>
            <w:noWrap w:val="0"/>
            <w:vAlign w:val="center"/>
          </w:tcPr>
          <w:p w14:paraId="1BD34E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220" w:type="pct"/>
            <w:vMerge w:val="restart"/>
            <w:tcBorders>
              <w:tl2br w:val="nil"/>
              <w:tr2bl w:val="nil"/>
            </w:tcBorders>
            <w:noWrap w:val="0"/>
            <w:vAlign w:val="center"/>
          </w:tcPr>
          <w:p w14:paraId="30A3E3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73" w:type="pct"/>
            <w:vMerge w:val="restart"/>
            <w:tcBorders>
              <w:tl2br w:val="nil"/>
              <w:tr2bl w:val="nil"/>
            </w:tcBorders>
            <w:noWrap w:val="0"/>
            <w:vAlign w:val="center"/>
          </w:tcPr>
          <w:p w14:paraId="76C8B4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4F031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26A915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restart"/>
            <w:tcBorders>
              <w:tl2br w:val="nil"/>
              <w:tr2bl w:val="nil"/>
            </w:tcBorders>
            <w:noWrap w:val="0"/>
            <w:vAlign w:val="center"/>
          </w:tcPr>
          <w:p w14:paraId="798FC1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底胶和PE防腐层缠绕废气</w:t>
            </w:r>
          </w:p>
        </w:tc>
        <w:tc>
          <w:tcPr>
            <w:tcW w:w="182" w:type="pct"/>
            <w:tcBorders>
              <w:tl2br w:val="nil"/>
              <w:tr2bl w:val="nil"/>
            </w:tcBorders>
            <w:shd w:val="clear" w:color="auto" w:fill="auto"/>
            <w:noWrap w:val="0"/>
            <w:vAlign w:val="center"/>
          </w:tcPr>
          <w:p w14:paraId="0FBCC2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84" w:type="pct"/>
            <w:tcBorders>
              <w:tl2br w:val="nil"/>
              <w:tr2bl w:val="nil"/>
            </w:tcBorders>
            <w:noWrap w:val="0"/>
            <w:vAlign w:val="center"/>
          </w:tcPr>
          <w:p w14:paraId="5DD6D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5000</w:t>
            </w:r>
          </w:p>
        </w:tc>
        <w:tc>
          <w:tcPr>
            <w:tcW w:w="282" w:type="pct"/>
            <w:tcBorders>
              <w:tl2br w:val="nil"/>
              <w:tr2bl w:val="nil"/>
            </w:tcBorders>
            <w:noWrap w:val="0"/>
            <w:vAlign w:val="center"/>
          </w:tcPr>
          <w:p w14:paraId="11F02A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0.96</w:t>
            </w:r>
          </w:p>
        </w:tc>
        <w:tc>
          <w:tcPr>
            <w:tcW w:w="282" w:type="pct"/>
            <w:tcBorders>
              <w:tl2br w:val="nil"/>
              <w:tr2bl w:val="nil"/>
            </w:tcBorders>
            <w:noWrap w:val="0"/>
            <w:vAlign w:val="center"/>
          </w:tcPr>
          <w:p w14:paraId="01DCF3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w:t>
            </w:r>
          </w:p>
        </w:tc>
        <w:tc>
          <w:tcPr>
            <w:tcW w:w="252" w:type="pct"/>
            <w:tcBorders>
              <w:tl2br w:val="nil"/>
              <w:tr2bl w:val="nil"/>
            </w:tcBorders>
            <w:noWrap w:val="0"/>
            <w:vAlign w:val="center"/>
          </w:tcPr>
          <w:p w14:paraId="09811A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131" w:type="pct"/>
            <w:tcBorders>
              <w:tl2br w:val="nil"/>
              <w:tr2bl w:val="nil"/>
            </w:tcBorders>
            <w:noWrap w:val="0"/>
            <w:vAlign w:val="center"/>
          </w:tcPr>
          <w:p w14:paraId="672651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w:t>
            </w:r>
          </w:p>
        </w:tc>
        <w:tc>
          <w:tcPr>
            <w:tcW w:w="131" w:type="pct"/>
            <w:tcBorders>
              <w:tl2br w:val="nil"/>
              <w:tr2bl w:val="nil"/>
            </w:tcBorders>
            <w:shd w:val="clear" w:color="auto" w:fill="auto"/>
            <w:noWrap w:val="0"/>
            <w:vAlign w:val="center"/>
          </w:tcPr>
          <w:p w14:paraId="75C152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二级活性炭</w:t>
            </w:r>
          </w:p>
        </w:tc>
        <w:tc>
          <w:tcPr>
            <w:tcW w:w="176" w:type="pct"/>
            <w:tcBorders>
              <w:tl2br w:val="nil"/>
              <w:tr2bl w:val="nil"/>
            </w:tcBorders>
            <w:shd w:val="clear" w:color="auto" w:fill="auto"/>
            <w:noWrap w:val="0"/>
            <w:vAlign w:val="center"/>
          </w:tcPr>
          <w:p w14:paraId="3FE917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176" w:type="pct"/>
            <w:tcBorders>
              <w:tl2br w:val="nil"/>
              <w:tr2bl w:val="nil"/>
            </w:tcBorders>
            <w:noWrap w:val="0"/>
            <w:vAlign w:val="center"/>
          </w:tcPr>
          <w:p w14:paraId="4D3BE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32.76</w:t>
            </w:r>
          </w:p>
        </w:tc>
        <w:tc>
          <w:tcPr>
            <w:tcW w:w="131" w:type="pct"/>
            <w:tcBorders>
              <w:tl2br w:val="nil"/>
              <w:tr2bl w:val="nil"/>
            </w:tcBorders>
            <w:noWrap w:val="0"/>
            <w:vAlign w:val="center"/>
          </w:tcPr>
          <w:p w14:paraId="2CAD1B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c>
          <w:tcPr>
            <w:tcW w:w="282" w:type="pct"/>
            <w:vMerge w:val="continue"/>
            <w:tcBorders>
              <w:tl2br w:val="nil"/>
              <w:tr2bl w:val="nil"/>
            </w:tcBorders>
            <w:shd w:val="clear" w:color="auto" w:fill="auto"/>
            <w:noWrap w:val="0"/>
            <w:vAlign w:val="center"/>
          </w:tcPr>
          <w:p w14:paraId="6C40BD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82" w:type="pct"/>
            <w:vMerge w:val="continue"/>
            <w:tcBorders>
              <w:tl2br w:val="nil"/>
              <w:tr2bl w:val="nil"/>
            </w:tcBorders>
            <w:shd w:val="clear" w:color="auto" w:fill="auto"/>
            <w:noWrap w:val="0"/>
            <w:vAlign w:val="center"/>
          </w:tcPr>
          <w:p w14:paraId="403945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26" w:type="pct"/>
            <w:vMerge w:val="continue"/>
            <w:tcBorders>
              <w:tl2br w:val="nil"/>
              <w:tr2bl w:val="nil"/>
            </w:tcBorders>
            <w:shd w:val="clear" w:color="auto" w:fill="auto"/>
            <w:noWrap w:val="0"/>
            <w:vAlign w:val="center"/>
          </w:tcPr>
          <w:p w14:paraId="4BC675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64" w:type="pct"/>
            <w:vMerge w:val="continue"/>
            <w:tcBorders>
              <w:tl2br w:val="nil"/>
              <w:tr2bl w:val="nil"/>
            </w:tcBorders>
            <w:shd w:val="clear" w:color="auto" w:fill="auto"/>
            <w:noWrap w:val="0"/>
            <w:vAlign w:val="center"/>
          </w:tcPr>
          <w:p w14:paraId="41718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287" w:type="pct"/>
            <w:vMerge w:val="continue"/>
            <w:tcBorders>
              <w:tl2br w:val="nil"/>
              <w:tr2bl w:val="nil"/>
            </w:tcBorders>
            <w:shd w:val="clear" w:color="auto" w:fill="auto"/>
            <w:noWrap w:val="0"/>
            <w:vAlign w:val="center"/>
          </w:tcPr>
          <w:p w14:paraId="3EE2B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82" w:type="pct"/>
            <w:vMerge w:val="continue"/>
            <w:tcBorders>
              <w:tl2br w:val="nil"/>
              <w:tr2bl w:val="nil"/>
            </w:tcBorders>
            <w:shd w:val="clear" w:color="auto" w:fill="auto"/>
            <w:noWrap w:val="0"/>
            <w:vAlign w:val="center"/>
          </w:tcPr>
          <w:p w14:paraId="50F69B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40" w:type="pct"/>
            <w:vMerge w:val="continue"/>
            <w:tcBorders>
              <w:tl2br w:val="nil"/>
              <w:tr2bl w:val="nil"/>
            </w:tcBorders>
            <w:shd w:val="clear" w:color="auto" w:fill="auto"/>
            <w:noWrap w:val="0"/>
            <w:vAlign w:val="center"/>
          </w:tcPr>
          <w:p w14:paraId="239342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31" w:type="pct"/>
            <w:vMerge w:val="continue"/>
            <w:tcBorders>
              <w:tl2br w:val="nil"/>
              <w:tr2bl w:val="nil"/>
            </w:tcBorders>
            <w:shd w:val="clear" w:color="auto" w:fill="auto"/>
            <w:noWrap w:val="0"/>
            <w:vAlign w:val="center"/>
          </w:tcPr>
          <w:p w14:paraId="68193C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32" w:type="pct"/>
            <w:vMerge w:val="continue"/>
            <w:tcBorders>
              <w:tl2br w:val="nil"/>
              <w:tr2bl w:val="nil"/>
            </w:tcBorders>
            <w:shd w:val="clear" w:color="auto" w:fill="auto"/>
            <w:noWrap w:val="0"/>
            <w:vAlign w:val="center"/>
          </w:tcPr>
          <w:p w14:paraId="1EB44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48" w:type="pct"/>
            <w:vMerge w:val="continue"/>
            <w:tcBorders>
              <w:tl2br w:val="nil"/>
              <w:tr2bl w:val="nil"/>
            </w:tcBorders>
            <w:shd w:val="clear" w:color="auto" w:fill="auto"/>
            <w:noWrap w:val="0"/>
            <w:vAlign w:val="center"/>
          </w:tcPr>
          <w:p w14:paraId="45256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220" w:type="pct"/>
            <w:vMerge w:val="continue"/>
            <w:tcBorders>
              <w:tl2br w:val="nil"/>
              <w:tr2bl w:val="nil"/>
            </w:tcBorders>
            <w:shd w:val="clear" w:color="auto" w:fill="auto"/>
            <w:noWrap w:val="0"/>
            <w:vAlign w:val="center"/>
          </w:tcPr>
          <w:p w14:paraId="6821B9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73" w:type="pct"/>
            <w:vMerge w:val="continue"/>
            <w:tcBorders>
              <w:tl2br w:val="nil"/>
              <w:tr2bl w:val="nil"/>
            </w:tcBorders>
            <w:shd w:val="clear" w:color="auto" w:fill="auto"/>
            <w:noWrap w:val="0"/>
            <w:vAlign w:val="center"/>
          </w:tcPr>
          <w:p w14:paraId="76EA71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r>
      <w:tr w14:paraId="30743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Merge w:val="continue"/>
            <w:tcBorders>
              <w:tl2br w:val="nil"/>
              <w:tr2bl w:val="nil"/>
            </w:tcBorders>
            <w:noWrap w:val="0"/>
            <w:vAlign w:val="center"/>
          </w:tcPr>
          <w:p w14:paraId="594CE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131" w:type="pct"/>
            <w:vMerge w:val="continue"/>
            <w:tcBorders>
              <w:tl2br w:val="nil"/>
              <w:tr2bl w:val="nil"/>
            </w:tcBorders>
            <w:noWrap w:val="0"/>
            <w:vAlign w:val="center"/>
          </w:tcPr>
          <w:p w14:paraId="4956B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182" w:type="pct"/>
            <w:tcBorders>
              <w:tl2br w:val="nil"/>
              <w:tr2bl w:val="nil"/>
            </w:tcBorders>
            <w:shd w:val="clear" w:color="auto" w:fill="auto"/>
            <w:noWrap w:val="0"/>
            <w:vAlign w:val="center"/>
          </w:tcPr>
          <w:p w14:paraId="6B8C61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84" w:type="pct"/>
            <w:tcBorders>
              <w:tl2br w:val="nil"/>
              <w:tr2bl w:val="nil"/>
            </w:tcBorders>
            <w:noWrap w:val="0"/>
            <w:vAlign w:val="center"/>
          </w:tcPr>
          <w:p w14:paraId="26300C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82" w:type="pct"/>
            <w:tcBorders>
              <w:tl2br w:val="nil"/>
              <w:tr2bl w:val="nil"/>
            </w:tcBorders>
            <w:shd w:val="clear" w:color="auto" w:fill="auto"/>
            <w:noWrap w:val="0"/>
            <w:vAlign w:val="center"/>
          </w:tcPr>
          <w:p w14:paraId="4406E1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0.96</w:t>
            </w:r>
          </w:p>
        </w:tc>
        <w:tc>
          <w:tcPr>
            <w:tcW w:w="282" w:type="pct"/>
            <w:tcBorders>
              <w:tl2br w:val="nil"/>
              <w:tr2bl w:val="nil"/>
            </w:tcBorders>
            <w:shd w:val="clear" w:color="auto" w:fill="auto"/>
            <w:noWrap w:val="0"/>
            <w:vAlign w:val="center"/>
          </w:tcPr>
          <w:p w14:paraId="3E5C0F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0.4</w:t>
            </w:r>
          </w:p>
        </w:tc>
        <w:tc>
          <w:tcPr>
            <w:tcW w:w="252" w:type="pct"/>
            <w:tcBorders>
              <w:tl2br w:val="nil"/>
              <w:tr2bl w:val="nil"/>
            </w:tcBorders>
            <w:noWrap w:val="0"/>
            <w:vAlign w:val="center"/>
          </w:tcPr>
          <w:p w14:paraId="0FB998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131" w:type="pct"/>
            <w:tcBorders>
              <w:tl2br w:val="nil"/>
              <w:tr2bl w:val="nil"/>
            </w:tcBorders>
            <w:noWrap w:val="0"/>
            <w:vAlign w:val="center"/>
          </w:tcPr>
          <w:p w14:paraId="62D03D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w:t>
            </w:r>
          </w:p>
        </w:tc>
        <w:tc>
          <w:tcPr>
            <w:tcW w:w="131" w:type="pct"/>
            <w:tcBorders>
              <w:tl2br w:val="nil"/>
              <w:tr2bl w:val="nil"/>
            </w:tcBorders>
            <w:shd w:val="clear" w:color="auto" w:fill="auto"/>
            <w:noWrap w:val="0"/>
            <w:vAlign w:val="center"/>
          </w:tcPr>
          <w:p w14:paraId="488BC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封闭厂房</w:t>
            </w:r>
          </w:p>
        </w:tc>
        <w:tc>
          <w:tcPr>
            <w:tcW w:w="176" w:type="pct"/>
            <w:tcBorders>
              <w:tl2br w:val="nil"/>
              <w:tr2bl w:val="nil"/>
            </w:tcBorders>
            <w:shd w:val="clear" w:color="auto" w:fill="auto"/>
            <w:noWrap w:val="0"/>
            <w:vAlign w:val="center"/>
          </w:tcPr>
          <w:p w14:paraId="3256EF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76" w:type="pct"/>
            <w:tcBorders>
              <w:tl2br w:val="nil"/>
              <w:tr2bl w:val="nil"/>
            </w:tcBorders>
            <w:noWrap w:val="0"/>
            <w:vAlign w:val="center"/>
          </w:tcPr>
          <w:p w14:paraId="06E19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1" w:type="pct"/>
            <w:tcBorders>
              <w:tl2br w:val="nil"/>
              <w:tr2bl w:val="nil"/>
            </w:tcBorders>
            <w:noWrap w:val="0"/>
            <w:vAlign w:val="center"/>
          </w:tcPr>
          <w:p w14:paraId="21D5D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82" w:type="pct"/>
            <w:tcBorders>
              <w:tl2br w:val="nil"/>
              <w:tr2bl w:val="nil"/>
            </w:tcBorders>
            <w:shd w:val="clear" w:color="auto" w:fill="auto"/>
            <w:noWrap w:val="0"/>
            <w:vAlign w:val="center"/>
          </w:tcPr>
          <w:p w14:paraId="5ABE4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0.96</w:t>
            </w:r>
          </w:p>
        </w:tc>
        <w:tc>
          <w:tcPr>
            <w:tcW w:w="282" w:type="pct"/>
            <w:tcBorders>
              <w:tl2br w:val="nil"/>
              <w:tr2bl w:val="nil"/>
            </w:tcBorders>
            <w:shd w:val="clear" w:color="auto" w:fill="auto"/>
            <w:noWrap w:val="0"/>
            <w:vAlign w:val="center"/>
          </w:tcPr>
          <w:p w14:paraId="321D84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0.4</w:t>
            </w:r>
          </w:p>
        </w:tc>
        <w:tc>
          <w:tcPr>
            <w:tcW w:w="226" w:type="pct"/>
            <w:tcBorders>
              <w:tl2br w:val="nil"/>
              <w:tr2bl w:val="nil"/>
            </w:tcBorders>
            <w:shd w:val="clear" w:color="auto" w:fill="auto"/>
            <w:noWrap w:val="0"/>
            <w:vAlign w:val="center"/>
          </w:tcPr>
          <w:p w14:paraId="4CDEF0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64" w:type="pct"/>
            <w:tcBorders>
              <w:tl2br w:val="nil"/>
              <w:tr2bl w:val="nil"/>
            </w:tcBorders>
            <w:shd w:val="clear" w:color="auto" w:fill="auto"/>
            <w:noWrap w:val="0"/>
            <w:vAlign w:val="center"/>
          </w:tcPr>
          <w:p w14:paraId="5E7FC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87" w:type="pct"/>
            <w:tcBorders>
              <w:tl2br w:val="nil"/>
              <w:tr2bl w:val="nil"/>
            </w:tcBorders>
            <w:shd w:val="clear" w:color="auto" w:fill="auto"/>
            <w:noWrap w:val="0"/>
            <w:vAlign w:val="center"/>
          </w:tcPr>
          <w:p w14:paraId="104A42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82" w:type="pct"/>
            <w:tcBorders>
              <w:tl2br w:val="nil"/>
              <w:tr2bl w:val="nil"/>
            </w:tcBorders>
            <w:shd w:val="clear" w:color="auto" w:fill="auto"/>
            <w:noWrap w:val="0"/>
            <w:vAlign w:val="center"/>
          </w:tcPr>
          <w:p w14:paraId="58DB9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40" w:type="pct"/>
            <w:tcBorders>
              <w:tl2br w:val="nil"/>
              <w:tr2bl w:val="nil"/>
            </w:tcBorders>
            <w:shd w:val="clear" w:color="auto" w:fill="auto"/>
            <w:noWrap w:val="0"/>
            <w:vAlign w:val="center"/>
          </w:tcPr>
          <w:p w14:paraId="5D1997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1" w:type="pct"/>
            <w:tcBorders>
              <w:tl2br w:val="nil"/>
              <w:tr2bl w:val="nil"/>
            </w:tcBorders>
            <w:shd w:val="clear" w:color="auto" w:fill="auto"/>
            <w:noWrap w:val="0"/>
            <w:vAlign w:val="center"/>
          </w:tcPr>
          <w:p w14:paraId="21BBB0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32" w:type="pct"/>
            <w:tcBorders>
              <w:tl2br w:val="nil"/>
              <w:tr2bl w:val="nil"/>
            </w:tcBorders>
            <w:shd w:val="clear" w:color="auto" w:fill="auto"/>
            <w:noWrap w:val="0"/>
            <w:vAlign w:val="center"/>
          </w:tcPr>
          <w:p w14:paraId="3D202C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48" w:type="pct"/>
            <w:tcBorders>
              <w:tl2br w:val="nil"/>
              <w:tr2bl w:val="nil"/>
            </w:tcBorders>
            <w:shd w:val="clear" w:color="auto" w:fill="auto"/>
            <w:noWrap w:val="0"/>
            <w:vAlign w:val="center"/>
          </w:tcPr>
          <w:p w14:paraId="0D2602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220" w:type="pct"/>
            <w:tcBorders>
              <w:tl2br w:val="nil"/>
              <w:tr2bl w:val="nil"/>
            </w:tcBorders>
            <w:shd w:val="clear" w:color="auto" w:fill="auto"/>
            <w:noWrap w:val="0"/>
            <w:vAlign w:val="center"/>
          </w:tcPr>
          <w:p w14:paraId="43CB1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4.0</w:t>
            </w:r>
          </w:p>
        </w:tc>
        <w:tc>
          <w:tcPr>
            <w:tcW w:w="173" w:type="pct"/>
            <w:tcBorders>
              <w:tl2br w:val="nil"/>
              <w:tr2bl w:val="nil"/>
            </w:tcBorders>
            <w:shd w:val="clear" w:color="auto" w:fill="auto"/>
            <w:noWrap w:val="0"/>
            <w:vAlign w:val="center"/>
          </w:tcPr>
          <w:p w14:paraId="20AD4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bl>
    <w:p w14:paraId="768D2300">
      <w:pPr>
        <w:keepNext/>
        <w:keepLines w:val="0"/>
        <w:pageBreakBefore w:val="0"/>
        <w:widowControl/>
        <w:kinsoku/>
        <w:wordWrap/>
        <w:overflowPunct/>
        <w:topLinePunct/>
        <w:autoSpaceDE/>
        <w:autoSpaceDN/>
        <w:bidi w:val="0"/>
        <w:adjustRightInd w:val="0"/>
        <w:snapToGrid w:val="0"/>
        <w:spacing w:line="240" w:lineRule="auto"/>
        <w:ind w:left="0" w:right="0" w:firstLine="482" w:firstLineChars="200"/>
        <w:jc w:val="both"/>
        <w:textAlignment w:val="auto"/>
        <w:rPr>
          <w:rFonts w:hint="eastAsia" w:ascii="Times New Roman" w:hAnsi="Times New Roman" w:eastAsia="宋体" w:cs="Times New Roman"/>
          <w:b/>
          <w:snapToGrid/>
          <w:spacing w:val="0"/>
          <w:kern w:val="0"/>
          <w:position w:val="0"/>
          <w:sz w:val="24"/>
          <w:szCs w:val="24"/>
          <w:lang w:val="en-US" w:eastAsia="zh-CN" w:bidi="ar-SA"/>
        </w:rPr>
      </w:pPr>
    </w:p>
    <w:p w14:paraId="6D077DD8">
      <w:pPr>
        <w:keepNext/>
        <w:keepLines w:val="0"/>
        <w:pageBreakBefore w:val="0"/>
        <w:widowControl/>
        <w:kinsoku/>
        <w:wordWrap/>
        <w:overflowPunct/>
        <w:topLinePunct/>
        <w:autoSpaceDE/>
        <w:autoSpaceDN/>
        <w:bidi w:val="0"/>
        <w:adjustRightInd w:val="0"/>
        <w:snapToGrid w:val="0"/>
        <w:spacing w:line="240" w:lineRule="auto"/>
        <w:ind w:left="0" w:right="0" w:firstLine="482" w:firstLineChars="200"/>
        <w:jc w:val="both"/>
        <w:textAlignment w:val="auto"/>
        <w:rPr>
          <w:rFonts w:hint="default" w:ascii="Times New Roman" w:hAnsi="Times New Roman" w:eastAsia="宋体" w:cs="Times New Roman"/>
          <w:b/>
          <w:snapToGrid/>
          <w:spacing w:val="0"/>
          <w:kern w:val="0"/>
          <w:position w:val="0"/>
          <w:sz w:val="24"/>
          <w:szCs w:val="24"/>
          <w:lang w:val="en-US" w:eastAsia="zh-CN" w:bidi="ar-SA"/>
        </w:rPr>
      </w:pPr>
    </w:p>
    <w:p w14:paraId="101D6849">
      <w:p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Layout w:type="autofit"/>
        <w:tblCellMar>
          <w:top w:w="0" w:type="dxa"/>
          <w:left w:w="108" w:type="dxa"/>
          <w:bottom w:w="0" w:type="dxa"/>
          <w:right w:w="108" w:type="dxa"/>
        </w:tblCellMar>
      </w:tblPr>
      <w:tblGrid>
        <w:gridCol w:w="478"/>
        <w:gridCol w:w="8583"/>
      </w:tblGrid>
      <w:tr w14:paraId="2AF396B9">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108" w:type="dxa"/>
            <w:bottom w:w="0" w:type="dxa"/>
            <w:right w:w="108" w:type="dxa"/>
          </w:tblCellMar>
        </w:tblPrEx>
        <w:tc>
          <w:tcPr>
            <w:tcW w:w="0" w:type="auto"/>
            <w:tcBorders>
              <w:tl2br w:val="nil"/>
              <w:tr2bl w:val="nil"/>
            </w:tcBorders>
            <w:vAlign w:val="top"/>
          </w:tcPr>
          <w:p w14:paraId="62C03828">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b/>
                <w:bCs/>
                <w:vertAlign w:val="baseline"/>
              </w:rPr>
            </w:pPr>
            <w:r>
              <w:rPr>
                <w:b/>
                <w:bCs/>
                <w:vertAlign w:val="baseline"/>
              </w:rPr>
              <w:t>运营</w:t>
            </w:r>
          </w:p>
          <w:p w14:paraId="46E0CA28">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b/>
                <w:bCs/>
                <w:vertAlign w:val="baseline"/>
              </w:rPr>
            </w:pPr>
            <w:r>
              <w:rPr>
                <w:b/>
                <w:bCs/>
                <w:vertAlign w:val="baseline"/>
              </w:rPr>
              <w:t>期环</w:t>
            </w:r>
          </w:p>
          <w:p w14:paraId="111EA6AE">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b/>
                <w:bCs/>
                <w:vertAlign w:val="baseline"/>
              </w:rPr>
            </w:pPr>
            <w:r>
              <w:rPr>
                <w:b/>
                <w:bCs/>
                <w:vertAlign w:val="baseline"/>
              </w:rPr>
              <w:t>境影</w:t>
            </w:r>
          </w:p>
          <w:p w14:paraId="0D558B37">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b/>
                <w:bCs/>
                <w:vertAlign w:val="baseline"/>
              </w:rPr>
            </w:pPr>
            <w:r>
              <w:rPr>
                <w:b/>
                <w:bCs/>
                <w:vertAlign w:val="baseline"/>
              </w:rPr>
              <w:t>响和</w:t>
            </w:r>
          </w:p>
          <w:p w14:paraId="6756949B">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b/>
                <w:bCs/>
                <w:vertAlign w:val="baseline"/>
              </w:rPr>
            </w:pPr>
            <w:r>
              <w:rPr>
                <w:b/>
                <w:bCs/>
                <w:vertAlign w:val="baseline"/>
              </w:rPr>
              <w:t>保护</w:t>
            </w:r>
          </w:p>
          <w:p w14:paraId="576F0332">
            <w:pPr>
              <w:pStyle w:val="33"/>
              <w:keepNext w:val="0"/>
              <w:keepLines w:val="0"/>
              <w:pageBreakBefore w:val="0"/>
              <w:widowControl w:val="0"/>
              <w:kinsoku/>
              <w:wordWrap/>
              <w:overflowPunct/>
              <w:topLinePunct w:val="0"/>
              <w:autoSpaceDE/>
              <w:autoSpaceDN/>
              <w:bidi w:val="0"/>
              <w:adjustRightInd/>
              <w:snapToGrid/>
              <w:ind w:firstLine="0" w:firstLineChars="0"/>
              <w:textAlignment w:val="auto"/>
              <w:rPr>
                <w:vertAlign w:val="baseline"/>
              </w:rPr>
            </w:pPr>
            <w:r>
              <w:rPr>
                <w:b/>
                <w:bCs/>
                <w:vertAlign w:val="baseline"/>
              </w:rPr>
              <w:t>措施</w:t>
            </w:r>
          </w:p>
        </w:tc>
        <w:tc>
          <w:tcPr>
            <w:tcW w:w="0" w:type="auto"/>
            <w:tcBorders>
              <w:tl2br w:val="nil"/>
              <w:tr2bl w:val="nil"/>
            </w:tcBorders>
            <w:vAlign w:val="top"/>
          </w:tcPr>
          <w:p w14:paraId="30E4F499">
            <w:pPr>
              <w:adjustRightInd w:val="0"/>
              <w:snapToGrid w:val="0"/>
              <w:rPr>
                <w:rFonts w:ascii="Times New Roman" w:hAnsi="Times New Roman" w:eastAsia="宋体" w:cs="Times New Roman"/>
                <w:color w:val="000000"/>
              </w:rPr>
            </w:pPr>
            <w:r>
              <w:rPr>
                <w:rFonts w:ascii="Times New Roman" w:hAnsi="Times New Roman" w:eastAsia="宋体" w:cs="Times New Roman"/>
                <w:b/>
                <w:bCs/>
                <w:color w:val="000000"/>
              </w:rPr>
              <w:t>1废气</w:t>
            </w:r>
          </w:p>
          <w:p w14:paraId="5D21C171">
            <w:pPr>
              <w:adjustRightInd w:val="0"/>
              <w:snapToGrid w:val="0"/>
              <w:rPr>
                <w:rFonts w:ascii="Times New Roman" w:hAnsi="Times New Roman" w:eastAsia="宋体" w:cs="Times New Roman"/>
                <w:b/>
                <w:bCs/>
                <w:color w:val="000000"/>
              </w:rPr>
            </w:pPr>
            <w:r>
              <w:rPr>
                <w:rFonts w:ascii="Times New Roman" w:hAnsi="Times New Roman" w:eastAsia="宋体" w:cs="Times New Roman"/>
                <w:b/>
                <w:bCs/>
                <w:color w:val="000000"/>
              </w:rPr>
              <w:t>1.1废气源强核算</w:t>
            </w:r>
          </w:p>
          <w:p w14:paraId="72514C67">
            <w:pPr>
              <w:adjustRightInd w:val="0"/>
              <w:snapToGrid w:val="0"/>
              <w:ind w:firstLine="480" w:firstLineChars="200"/>
              <w:rPr>
                <w:rFonts w:hint="eastAsia" w:ascii="Times New Roman" w:hAnsi="Times New Roman" w:eastAsia="宋体" w:cs="Times New Roman"/>
                <w:color w:val="000000"/>
              </w:rPr>
            </w:pPr>
            <w:r>
              <w:rPr>
                <w:rFonts w:hint="eastAsia" w:ascii="Times New Roman" w:hAnsi="Times New Roman" w:eastAsia="宋体" w:cs="Times New Roman"/>
                <w:color w:val="000000"/>
              </w:rPr>
              <w:t>（1）抛丸废气</w:t>
            </w:r>
          </w:p>
          <w:p w14:paraId="3CAFE5B7">
            <w:pPr>
              <w:adjustRightInd w:val="0"/>
              <w:snapToGrid w:val="0"/>
              <w:ind w:firstLine="480" w:firstLineChars="200"/>
              <w:rPr>
                <w:rFonts w:ascii="Times New Roman" w:hAnsi="Times New Roman" w:eastAsia="宋体" w:cs="Times New Roman"/>
                <w:color w:val="000000"/>
              </w:rPr>
            </w:pPr>
            <w:r>
              <w:rPr>
                <w:rFonts w:hint="eastAsia" w:ascii="Times New Roman" w:hAnsi="Times New Roman" w:eastAsia="宋体" w:cs="Times New Roman"/>
                <w:color w:val="000000"/>
                <w:kern w:val="0"/>
              </w:rPr>
              <w:t>本项目3PE管在生产过程中钢管抛丸</w:t>
            </w:r>
            <w:r>
              <w:rPr>
                <w:rFonts w:ascii="Times New Roman" w:hAnsi="Times New Roman" w:eastAsia="宋体" w:cs="Times New Roman"/>
                <w:color w:val="000000"/>
              </w:rPr>
              <w:t>废气粉尘产生量核算参考《排放源统计调查产排污核算方法和系数手册》——</w:t>
            </w:r>
            <w:r>
              <w:rPr>
                <w:rFonts w:hint="eastAsia" w:ascii="Times New Roman" w:hAnsi="Times New Roman" w:eastAsia="宋体" w:cs="Times New Roman"/>
                <w:color w:val="000000"/>
              </w:rPr>
              <w:t>“</w:t>
            </w:r>
            <w:r>
              <w:rPr>
                <w:rFonts w:ascii="Times New Roman" w:hAnsi="Times New Roman" w:eastAsia="宋体" w:cs="Times New Roman"/>
                <w:color w:val="000000"/>
              </w:rPr>
              <w:t>33金属制品业系数手册</w:t>
            </w:r>
            <w:r>
              <w:rPr>
                <w:rFonts w:hint="eastAsia" w:ascii="Times New Roman" w:hAnsi="Times New Roman" w:eastAsia="宋体" w:cs="Times New Roman"/>
                <w:color w:val="000000"/>
              </w:rPr>
              <w:t>”</w:t>
            </w:r>
            <w:r>
              <w:rPr>
                <w:rFonts w:ascii="Times New Roman" w:hAnsi="Times New Roman" w:eastAsia="宋体" w:cs="Times New Roman"/>
                <w:color w:val="000000"/>
              </w:rPr>
              <w:t>中金属件干式预处理（抛丸、喷砂、打磨、滚筒）产污系数：颗粒物2.19千克/吨-原料，根据建设单位提供资料钢管</w:t>
            </w:r>
            <w:r>
              <w:rPr>
                <w:rFonts w:hint="eastAsia" w:ascii="Times New Roman" w:hAnsi="Times New Roman" w:eastAsia="宋体" w:cs="Times New Roman"/>
                <w:color w:val="000000"/>
              </w:rPr>
              <w:t>平均</w:t>
            </w:r>
            <w:r>
              <w:rPr>
                <w:rFonts w:ascii="Times New Roman" w:hAnsi="Times New Roman" w:eastAsia="宋体" w:cs="Times New Roman"/>
                <w:color w:val="000000"/>
              </w:rPr>
              <w:t>重量为</w:t>
            </w:r>
            <w:r>
              <w:rPr>
                <w:rFonts w:hint="eastAsia" w:ascii="Times New Roman" w:hAnsi="Times New Roman" w:eastAsia="宋体" w:cs="Times New Roman"/>
                <w:color w:val="000000"/>
                <w:lang w:val="en-US" w:eastAsia="zh-CN"/>
              </w:rPr>
              <w:t>3</w:t>
            </w:r>
            <w:r>
              <w:rPr>
                <w:rFonts w:ascii="Times New Roman" w:hAnsi="Times New Roman" w:eastAsia="宋体" w:cs="Times New Roman"/>
                <w:color w:val="000000"/>
              </w:rPr>
              <w:t>0kg/m，</w:t>
            </w:r>
            <w:r>
              <w:rPr>
                <w:rFonts w:hint="eastAsia" w:ascii="Times New Roman" w:hAnsi="Times New Roman" w:eastAsia="宋体" w:cs="Times New Roman"/>
                <w:color w:val="000000"/>
              </w:rPr>
              <w:t>年生产3PE管</w:t>
            </w:r>
            <w:r>
              <w:rPr>
                <w:rFonts w:hint="eastAsia" w:ascii="Times New Roman" w:hAnsi="Times New Roman" w:eastAsia="宋体" w:cs="Times New Roman"/>
                <w:color w:val="000000"/>
                <w:lang w:val="en-US" w:eastAsia="zh-CN"/>
              </w:rPr>
              <w:t>45</w:t>
            </w:r>
            <w:r>
              <w:rPr>
                <w:rFonts w:hint="eastAsia" w:ascii="Times New Roman" w:hAnsi="Times New Roman" w:eastAsia="宋体" w:cs="Times New Roman"/>
                <w:color w:val="000000"/>
              </w:rPr>
              <w:t>km，</w:t>
            </w:r>
            <w:r>
              <w:rPr>
                <w:rFonts w:ascii="Times New Roman" w:hAnsi="Times New Roman" w:eastAsia="宋体" w:cs="Times New Roman"/>
                <w:color w:val="000000"/>
              </w:rPr>
              <w:t>则本项目</w:t>
            </w:r>
            <w:r>
              <w:rPr>
                <w:rFonts w:hint="eastAsia" w:ascii="Times New Roman" w:hAnsi="Times New Roman" w:eastAsia="宋体" w:cs="Times New Roman"/>
                <w:color w:val="000000"/>
              </w:rPr>
              <w:t>生产保温管的</w:t>
            </w:r>
            <w:r>
              <w:rPr>
                <w:rFonts w:ascii="Times New Roman" w:hAnsi="Times New Roman" w:eastAsia="宋体" w:cs="Times New Roman"/>
                <w:color w:val="000000"/>
              </w:rPr>
              <w:t>钢管总重量为</w:t>
            </w:r>
            <w:r>
              <w:rPr>
                <w:rFonts w:hint="eastAsia" w:ascii="Times New Roman" w:hAnsi="Times New Roman" w:eastAsia="宋体" w:cs="Times New Roman"/>
                <w:color w:val="000000"/>
                <w:lang w:val="en-US" w:eastAsia="zh-CN"/>
              </w:rPr>
              <w:t>1350</w:t>
            </w:r>
            <w:r>
              <w:rPr>
                <w:rFonts w:ascii="Times New Roman" w:hAnsi="Times New Roman" w:eastAsia="宋体" w:cs="Times New Roman"/>
                <w:color w:val="000000"/>
              </w:rPr>
              <w:t>t/a，共产生颗粒物</w:t>
            </w:r>
            <w:r>
              <w:rPr>
                <w:rFonts w:hint="eastAsia" w:ascii="Times New Roman" w:hAnsi="Times New Roman" w:eastAsia="宋体" w:cs="Times New Roman"/>
                <w:color w:val="000000"/>
                <w:lang w:val="en-US" w:eastAsia="zh-CN"/>
              </w:rPr>
              <w:t>2.956</w:t>
            </w:r>
            <w:r>
              <w:rPr>
                <w:rFonts w:ascii="Times New Roman" w:hAnsi="Times New Roman" w:eastAsia="宋体" w:cs="Times New Roman"/>
                <w:color w:val="000000"/>
              </w:rPr>
              <w:t>t。</w:t>
            </w:r>
          </w:p>
          <w:p w14:paraId="1C216555">
            <w:pPr>
              <w:adjustRightInd w:val="0"/>
              <w:snapToGrid w:val="0"/>
              <w:ind w:firstLine="480" w:firstLineChars="200"/>
              <w:rPr>
                <w:rFonts w:ascii="Times New Roman" w:hAnsi="Times New Roman" w:eastAsia="宋体" w:cs="Times New Roman"/>
                <w:color w:val="000000"/>
                <w:spacing w:val="-6"/>
              </w:rPr>
            </w:pPr>
            <w:r>
              <w:rPr>
                <w:rFonts w:ascii="Times New Roman" w:hAnsi="Times New Roman" w:eastAsia="宋体" w:cs="Times New Roman"/>
                <w:color w:val="000000"/>
              </w:rPr>
              <w:t>项目抛丸设备配套设置布袋除尘器，布袋除尘器自带风机风量为</w:t>
            </w:r>
            <w:r>
              <w:rPr>
                <w:rFonts w:hint="eastAsia" w:ascii="Times New Roman" w:hAnsi="Times New Roman" w:eastAsia="宋体" w:cs="Times New Roman"/>
                <w:color w:val="000000"/>
                <w:lang w:val="en-US" w:eastAsia="zh-CN"/>
              </w:rPr>
              <w:t>2</w:t>
            </w:r>
            <w:r>
              <w:rPr>
                <w:rFonts w:ascii="Times New Roman" w:hAnsi="Times New Roman" w:eastAsia="宋体" w:cs="Times New Roman"/>
                <w:color w:val="000000"/>
              </w:rPr>
              <w:t>000m</w:t>
            </w:r>
            <w:r>
              <w:rPr>
                <w:rFonts w:ascii="Times New Roman" w:hAnsi="Times New Roman" w:eastAsia="宋体" w:cs="Times New Roman"/>
                <w:color w:val="000000"/>
                <w:vertAlign w:val="superscript"/>
              </w:rPr>
              <w:t>3</w:t>
            </w:r>
            <w:r>
              <w:rPr>
                <w:rFonts w:ascii="Times New Roman" w:hAnsi="Times New Roman" w:eastAsia="宋体" w:cs="Times New Roman"/>
                <w:color w:val="000000"/>
              </w:rPr>
              <w:t>/h，抛丸设备为密闭设备仅留钢管进出口</w:t>
            </w:r>
            <w:r>
              <w:rPr>
                <w:rFonts w:hint="eastAsia" w:ascii="Times New Roman" w:hAnsi="Times New Roman" w:eastAsia="宋体" w:cs="Times New Roman"/>
                <w:color w:val="000000"/>
              </w:rPr>
              <w:t>，</w:t>
            </w:r>
            <w:r>
              <w:rPr>
                <w:rFonts w:ascii="Times New Roman" w:hAnsi="Times New Roman" w:eastAsia="宋体" w:cs="Times New Roman"/>
                <w:color w:val="000000"/>
              </w:rPr>
              <w:t>此过程废气收集效率视为95%，使用布袋除尘器为末端治理设施，去除效率为9</w:t>
            </w:r>
            <w:r>
              <w:rPr>
                <w:rFonts w:hint="eastAsia" w:ascii="Times New Roman" w:hAnsi="Times New Roman" w:eastAsia="宋体" w:cs="Times New Roman"/>
                <w:color w:val="000000"/>
              </w:rPr>
              <w:t>5</w:t>
            </w:r>
            <w:r>
              <w:rPr>
                <w:rFonts w:ascii="Times New Roman" w:hAnsi="Times New Roman" w:eastAsia="宋体" w:cs="Times New Roman"/>
                <w:color w:val="000000"/>
              </w:rPr>
              <w:t>%，运行时间为</w:t>
            </w:r>
            <w:r>
              <w:rPr>
                <w:rFonts w:hint="eastAsia" w:ascii="Times New Roman" w:hAnsi="Times New Roman" w:eastAsia="宋体" w:cs="Times New Roman"/>
                <w:color w:val="000000"/>
                <w:lang w:val="en-US" w:eastAsia="zh-CN"/>
              </w:rPr>
              <w:t>2400</w:t>
            </w:r>
            <w:r>
              <w:rPr>
                <w:rFonts w:ascii="Times New Roman" w:hAnsi="Times New Roman" w:eastAsia="宋体" w:cs="Times New Roman"/>
                <w:color w:val="000000"/>
              </w:rPr>
              <w:t>h/a，处理后的废气经15m排气筒（DA00</w:t>
            </w:r>
            <w:r>
              <w:rPr>
                <w:rFonts w:hint="eastAsia" w:ascii="Times New Roman" w:hAnsi="Times New Roman" w:eastAsia="宋体" w:cs="Times New Roman"/>
                <w:color w:val="000000"/>
                <w:lang w:val="en-US" w:eastAsia="zh-CN"/>
              </w:rPr>
              <w:t>1</w:t>
            </w:r>
            <w:r>
              <w:rPr>
                <w:rFonts w:ascii="Times New Roman" w:hAnsi="Times New Roman" w:eastAsia="宋体" w:cs="Times New Roman"/>
                <w:color w:val="000000"/>
              </w:rPr>
              <w:t>），则该工段颗粒物</w:t>
            </w:r>
            <w:r>
              <w:rPr>
                <w:rFonts w:ascii="Times New Roman" w:hAnsi="Times New Roman" w:eastAsia="宋体" w:cs="Times New Roman"/>
                <w:color w:val="000000"/>
                <w:spacing w:val="-6"/>
              </w:rPr>
              <w:t>有组织排放量为</w:t>
            </w:r>
            <w:r>
              <w:rPr>
                <w:rFonts w:hint="eastAsia" w:ascii="Times New Roman" w:hAnsi="Times New Roman" w:eastAsia="宋体" w:cs="Times New Roman"/>
                <w:color w:val="000000"/>
                <w:spacing w:val="-6"/>
                <w:lang w:val="en-US" w:eastAsia="zh-CN"/>
              </w:rPr>
              <w:t>0.140</w:t>
            </w:r>
            <w:r>
              <w:rPr>
                <w:rFonts w:hint="eastAsia" w:ascii="Times New Roman" w:hAnsi="Times New Roman" w:eastAsia="宋体" w:cs="Times New Roman"/>
                <w:color w:val="000000"/>
                <w:spacing w:val="-6"/>
              </w:rPr>
              <w:t>t</w:t>
            </w:r>
            <w:r>
              <w:rPr>
                <w:rFonts w:ascii="Times New Roman" w:hAnsi="Times New Roman" w:eastAsia="宋体" w:cs="Times New Roman"/>
                <w:color w:val="000000"/>
                <w:spacing w:val="-6"/>
              </w:rPr>
              <w:t>/a、排放速率为</w:t>
            </w:r>
            <w:r>
              <w:rPr>
                <w:rFonts w:hint="eastAsia" w:ascii="Times New Roman" w:hAnsi="Times New Roman" w:eastAsia="宋体" w:cs="Times New Roman"/>
                <w:color w:val="000000"/>
                <w:spacing w:val="-6"/>
                <w:lang w:val="en-US" w:eastAsia="zh-CN"/>
              </w:rPr>
              <w:t>0.058</w:t>
            </w:r>
            <w:r>
              <w:rPr>
                <w:rFonts w:ascii="Times New Roman" w:hAnsi="Times New Roman" w:eastAsia="宋体" w:cs="Times New Roman"/>
                <w:color w:val="000000"/>
                <w:spacing w:val="-6"/>
              </w:rPr>
              <w:t>kg/h、排放浓度为</w:t>
            </w:r>
            <w:r>
              <w:rPr>
                <w:rFonts w:hint="eastAsia" w:ascii="Times New Roman" w:hAnsi="Times New Roman" w:eastAsia="宋体" w:cs="Times New Roman"/>
                <w:color w:val="000000"/>
                <w:spacing w:val="-6"/>
                <w:lang w:val="en-US" w:eastAsia="zh-CN"/>
              </w:rPr>
              <w:t>29.2</w:t>
            </w:r>
            <w:r>
              <w:rPr>
                <w:rFonts w:ascii="Times New Roman" w:hAnsi="Times New Roman" w:eastAsia="宋体" w:cs="Times New Roman"/>
                <w:color w:val="000000"/>
                <w:spacing w:val="-6"/>
              </w:rPr>
              <w:t>mg/m³。</w:t>
            </w:r>
          </w:p>
          <w:p w14:paraId="4E8C6081">
            <w:pPr>
              <w:adjustRightInd w:val="0"/>
              <w:snapToGrid w:val="0"/>
              <w:ind w:firstLine="456" w:firstLineChars="200"/>
              <w:rPr>
                <w:rFonts w:ascii="Times New Roman" w:hAnsi="Times New Roman" w:eastAsia="宋体" w:cs="Times New Roman"/>
                <w:color w:val="000000"/>
                <w:spacing w:val="-6"/>
              </w:rPr>
            </w:pPr>
            <w:r>
              <w:rPr>
                <w:rFonts w:ascii="Times New Roman" w:hAnsi="Times New Roman" w:eastAsia="宋体" w:cs="Times New Roman"/>
                <w:color w:val="000000"/>
                <w:spacing w:val="-6"/>
              </w:rPr>
              <w:t>本项目生产过程均在密闭厂房内进行，此过程对无组织排放粉尘去除效率为50%，则</w:t>
            </w:r>
            <w:r>
              <w:rPr>
                <w:rFonts w:hint="eastAsia" w:ascii="Times New Roman" w:hAnsi="Times New Roman" w:eastAsia="宋体" w:cs="Times New Roman"/>
                <w:color w:val="000000"/>
                <w:spacing w:val="-6"/>
              </w:rPr>
              <w:t>颗粒物无组织排放量为</w:t>
            </w:r>
            <w:r>
              <w:rPr>
                <w:rFonts w:hint="eastAsia" w:ascii="Times New Roman" w:hAnsi="Times New Roman" w:eastAsia="宋体" w:cs="Times New Roman"/>
                <w:color w:val="000000"/>
                <w:spacing w:val="-6"/>
                <w:lang w:val="en-US" w:eastAsia="zh-CN"/>
              </w:rPr>
              <w:t>0.074</w:t>
            </w:r>
            <w:r>
              <w:rPr>
                <w:rFonts w:ascii="Times New Roman" w:hAnsi="Times New Roman" w:eastAsia="宋体" w:cs="Times New Roman"/>
                <w:color w:val="000000"/>
                <w:spacing w:val="-6"/>
              </w:rPr>
              <w:t>t/a、排放速率为0.</w:t>
            </w:r>
            <w:r>
              <w:rPr>
                <w:rFonts w:hint="eastAsia" w:ascii="Times New Roman" w:hAnsi="Times New Roman" w:eastAsia="宋体" w:cs="Times New Roman"/>
                <w:color w:val="000000"/>
                <w:spacing w:val="-6"/>
              </w:rPr>
              <w:t>0</w:t>
            </w:r>
            <w:r>
              <w:rPr>
                <w:rFonts w:hint="eastAsia" w:ascii="Times New Roman" w:hAnsi="Times New Roman" w:eastAsia="宋体" w:cs="Times New Roman"/>
                <w:color w:val="000000"/>
                <w:spacing w:val="-6"/>
                <w:lang w:val="en-US" w:eastAsia="zh-CN"/>
              </w:rPr>
              <w:t>31</w:t>
            </w:r>
            <w:r>
              <w:rPr>
                <w:rFonts w:ascii="Times New Roman" w:hAnsi="Times New Roman" w:eastAsia="宋体" w:cs="Times New Roman"/>
                <w:color w:val="000000"/>
                <w:spacing w:val="-6"/>
              </w:rPr>
              <w:t>kg/h。</w:t>
            </w:r>
          </w:p>
          <w:p w14:paraId="1037E0AB">
            <w:pPr>
              <w:adjustRightInd w:val="0"/>
              <w:snapToGrid w:val="0"/>
              <w:ind w:firstLine="480" w:firstLineChars="200"/>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w:t>
            </w:r>
            <w:r>
              <w:rPr>
                <w:rFonts w:hint="eastAsia" w:ascii="Times New Roman" w:hAnsi="Times New Roman" w:eastAsia="宋体" w:cs="Times New Roman"/>
                <w:color w:val="000000"/>
                <w:kern w:val="0"/>
                <w:lang w:eastAsia="zh-CN"/>
              </w:rPr>
              <w:t>环氧粉末</w:t>
            </w:r>
            <w:r>
              <w:rPr>
                <w:rFonts w:ascii="Times New Roman" w:hAnsi="Times New Roman" w:eastAsia="宋体" w:cs="Times New Roman"/>
                <w:color w:val="000000"/>
                <w:kern w:val="0"/>
              </w:rPr>
              <w:t>喷涂</w:t>
            </w:r>
          </w:p>
          <w:p w14:paraId="5C9E78FA">
            <w:pPr>
              <w:adjustRightInd w:val="0"/>
              <w:snapToGrid w:val="0"/>
              <w:ind w:firstLine="480" w:firstLineChars="200"/>
              <w:rPr>
                <w:rFonts w:hint="default" w:ascii="Times New Roman" w:hAnsi="Times New Roman" w:eastAsia="宋体" w:cs="Times New Roman"/>
                <w:color w:val="000000"/>
                <w:spacing w:val="-6"/>
                <w:lang w:val="en-US" w:eastAsia="zh-CN"/>
              </w:rPr>
            </w:pPr>
            <w:r>
              <w:rPr>
                <w:rFonts w:hint="eastAsia" w:ascii="Times New Roman" w:hAnsi="Times New Roman" w:eastAsia="宋体" w:cs="Times New Roman"/>
                <w:bCs/>
                <w:color w:val="000000"/>
              </w:rPr>
              <w:t>本项目进入</w:t>
            </w:r>
            <w:r>
              <w:rPr>
                <w:rFonts w:hint="eastAsia" w:ascii="Times New Roman" w:hAnsi="Times New Roman" w:eastAsia="宋体" w:cs="Times New Roman"/>
                <w:bCs/>
                <w:color w:val="000000"/>
                <w:lang w:eastAsia="zh-CN"/>
              </w:rPr>
              <w:t>环氧粉末</w:t>
            </w:r>
            <w:r>
              <w:rPr>
                <w:rFonts w:hint="eastAsia" w:ascii="Times New Roman" w:hAnsi="Times New Roman" w:eastAsia="宋体" w:cs="Times New Roman"/>
                <w:bCs/>
                <w:color w:val="000000"/>
              </w:rPr>
              <w:t>喷涂工序的钢管为加热后的钢管，温度为</w:t>
            </w:r>
            <w:r>
              <w:rPr>
                <w:rFonts w:ascii="Times New Roman" w:hAnsi="Times New Roman" w:eastAsia="宋体" w:cs="Times New Roman"/>
                <w:bCs/>
                <w:color w:val="000000"/>
              </w:rPr>
              <w:t>220℃～230℃之间</w:t>
            </w:r>
            <w:r>
              <w:rPr>
                <w:rFonts w:hint="eastAsia" w:ascii="Times New Roman" w:hAnsi="Times New Roman" w:eastAsia="宋体" w:cs="Times New Roman"/>
                <w:bCs/>
                <w:color w:val="000000"/>
              </w:rPr>
              <w:t>，</w:t>
            </w:r>
            <w:r>
              <w:rPr>
                <w:rFonts w:ascii="Times New Roman" w:hAnsi="Times New Roman" w:eastAsia="宋体" w:cs="Times New Roman"/>
                <w:bCs/>
                <w:color w:val="000000"/>
              </w:rPr>
              <w:t>塑粉通过静电喷涂设备均匀的喷至钢管表面，塑粉在钢管表面迅速的</w:t>
            </w:r>
            <w:r>
              <w:rPr>
                <w:rFonts w:hint="eastAsia" w:ascii="Times New Roman" w:hAnsi="Times New Roman" w:eastAsia="宋体" w:cs="Times New Roman"/>
                <w:bCs/>
                <w:color w:val="000000"/>
                <w:lang w:eastAsia="zh-CN"/>
              </w:rPr>
              <w:t>熔化</w:t>
            </w:r>
            <w:r>
              <w:rPr>
                <w:rFonts w:ascii="Times New Roman" w:hAnsi="Times New Roman" w:eastAsia="宋体" w:cs="Times New Roman"/>
                <w:bCs/>
                <w:color w:val="000000"/>
              </w:rPr>
              <w:t>、流平</w:t>
            </w:r>
            <w:r>
              <w:rPr>
                <w:rFonts w:hint="eastAsia" w:ascii="Times New Roman" w:hAnsi="Times New Roman" w:eastAsia="宋体" w:cs="Times New Roman"/>
                <w:bCs/>
                <w:color w:val="000000"/>
              </w:rPr>
              <w:t>。</w:t>
            </w:r>
            <w:r>
              <w:rPr>
                <w:rFonts w:ascii="Times New Roman" w:hAnsi="Times New Roman" w:eastAsia="宋体" w:cs="Times New Roman"/>
                <w:bCs/>
                <w:color w:val="000000"/>
              </w:rPr>
              <w:t>塑粉在钢管表面迅速的</w:t>
            </w:r>
            <w:r>
              <w:rPr>
                <w:rFonts w:hint="eastAsia" w:ascii="Times New Roman" w:hAnsi="Times New Roman" w:eastAsia="宋体" w:cs="Times New Roman"/>
                <w:bCs/>
                <w:color w:val="000000"/>
                <w:lang w:eastAsia="zh-CN"/>
              </w:rPr>
              <w:t>熔化</w:t>
            </w:r>
            <w:r>
              <w:rPr>
                <w:rFonts w:ascii="Times New Roman" w:hAnsi="Times New Roman" w:eastAsia="宋体" w:cs="Times New Roman"/>
                <w:bCs/>
                <w:color w:val="000000"/>
              </w:rPr>
              <w:t>、流平</w:t>
            </w:r>
            <w:r>
              <w:rPr>
                <w:rFonts w:hint="eastAsia" w:ascii="Times New Roman" w:hAnsi="Times New Roman" w:eastAsia="宋体" w:cs="Times New Roman"/>
                <w:bCs/>
                <w:color w:val="000000"/>
              </w:rPr>
              <w:t>废气参考</w:t>
            </w:r>
            <w:r>
              <w:rPr>
                <w:rFonts w:ascii="Times New Roman" w:hAnsi="Times New Roman" w:eastAsia="宋体" w:cs="Times New Roman"/>
                <w:bCs/>
                <w:color w:val="000000"/>
              </w:rPr>
              <w:t>《排放源统计调查产排污核算方法和系数手册》中</w:t>
            </w:r>
            <w:r>
              <w:rPr>
                <w:rFonts w:hint="eastAsia" w:ascii="Times New Roman" w:hAnsi="Times New Roman" w:eastAsia="宋体" w:cs="Times New Roman"/>
                <w:bCs/>
                <w:color w:val="000000"/>
              </w:rPr>
              <w:t>“</w:t>
            </w:r>
            <w:r>
              <w:rPr>
                <w:rFonts w:ascii="Times New Roman" w:hAnsi="Times New Roman" w:eastAsia="宋体" w:cs="Times New Roman"/>
                <w:bCs/>
                <w:color w:val="000000"/>
              </w:rPr>
              <w:t>机械行业系数手册</w:t>
            </w:r>
            <w:r>
              <w:rPr>
                <w:rFonts w:hint="eastAsia" w:ascii="Times New Roman" w:hAnsi="Times New Roman" w:eastAsia="宋体" w:cs="Times New Roman"/>
                <w:bCs/>
                <w:color w:val="000000"/>
              </w:rPr>
              <w:t>”</w:t>
            </w:r>
            <w:r>
              <w:rPr>
                <w:rFonts w:ascii="Times New Roman" w:hAnsi="Times New Roman" w:eastAsia="宋体" w:cs="Times New Roman"/>
                <w:bCs/>
                <w:color w:val="000000"/>
              </w:rPr>
              <w:t>提及的</w:t>
            </w:r>
            <w:r>
              <w:rPr>
                <w:rFonts w:hint="eastAsia" w:ascii="Times New Roman" w:hAnsi="Times New Roman" w:eastAsia="宋体" w:cs="Times New Roman"/>
                <w:bCs/>
                <w:color w:val="000000"/>
              </w:rPr>
              <w:t>喷塑后烘干过程的产污系数非甲烷总烃1.20千克/吨-原料，喷粉废气参考</w:t>
            </w:r>
            <w:r>
              <w:rPr>
                <w:rFonts w:ascii="Times New Roman" w:hAnsi="Times New Roman" w:eastAsia="宋体" w:cs="Times New Roman"/>
                <w:bCs/>
                <w:color w:val="000000"/>
              </w:rPr>
              <w:t>《排放源统计调查产排污核算方法和系数手册》中《机械行业系数手册》提及的粉末涂料喷塑过程的产污系数颗粒物300千克/吨-原料，</w:t>
            </w:r>
            <w:r>
              <w:rPr>
                <w:rFonts w:hint="eastAsia" w:ascii="Times New Roman" w:hAnsi="Times New Roman" w:eastAsia="宋体" w:cs="Times New Roman"/>
                <w:bCs/>
                <w:color w:val="000000"/>
              </w:rPr>
              <w:t>本项目使用的环氧粉末重量约为</w:t>
            </w:r>
            <w:r>
              <w:rPr>
                <w:rFonts w:hint="eastAsia" w:ascii="Times New Roman" w:hAnsi="Times New Roman" w:eastAsia="宋体" w:cs="Times New Roman"/>
                <w:bCs/>
                <w:color w:val="000000"/>
                <w:lang w:val="en-US" w:eastAsia="zh-CN"/>
              </w:rPr>
              <w:t>3</w:t>
            </w:r>
            <w:r>
              <w:rPr>
                <w:rFonts w:hint="eastAsia" w:ascii="Times New Roman" w:hAnsi="Times New Roman" w:eastAsia="宋体" w:cs="Times New Roman"/>
                <w:bCs/>
                <w:color w:val="000000"/>
              </w:rPr>
              <w:t>0t/a，则本项目</w:t>
            </w:r>
            <w:r>
              <w:rPr>
                <w:rFonts w:hint="eastAsia" w:ascii="Times New Roman" w:hAnsi="Times New Roman" w:eastAsia="宋体" w:cs="Times New Roman"/>
                <w:bCs/>
                <w:color w:val="000000"/>
                <w:lang w:eastAsia="zh-CN"/>
              </w:rPr>
              <w:t>环氧粉末</w:t>
            </w:r>
            <w:r>
              <w:rPr>
                <w:rFonts w:hint="eastAsia" w:ascii="Times New Roman" w:hAnsi="Times New Roman" w:eastAsia="宋体" w:cs="Times New Roman"/>
                <w:bCs/>
                <w:color w:val="000000"/>
              </w:rPr>
              <w:t>喷涂过程产生的非甲烷总烃为0.0</w:t>
            </w:r>
            <w:r>
              <w:rPr>
                <w:rFonts w:hint="eastAsia" w:ascii="Times New Roman" w:hAnsi="Times New Roman" w:eastAsia="宋体" w:cs="Times New Roman"/>
                <w:bCs/>
                <w:color w:val="000000"/>
                <w:lang w:val="en-US" w:eastAsia="zh-CN"/>
              </w:rPr>
              <w:t>36</w:t>
            </w:r>
            <w:r>
              <w:rPr>
                <w:rFonts w:hint="eastAsia" w:ascii="Times New Roman" w:hAnsi="Times New Roman" w:eastAsia="宋体" w:cs="Times New Roman"/>
                <w:bCs/>
                <w:color w:val="000000"/>
              </w:rPr>
              <w:t>t/a、颗粒物为</w:t>
            </w:r>
            <w:r>
              <w:rPr>
                <w:rFonts w:hint="eastAsia" w:ascii="Times New Roman" w:hAnsi="Times New Roman" w:eastAsia="宋体" w:cs="Times New Roman"/>
                <w:bCs/>
                <w:color w:val="000000"/>
                <w:lang w:val="en-US" w:eastAsia="zh-CN"/>
              </w:rPr>
              <w:t>9</w:t>
            </w:r>
            <w:r>
              <w:rPr>
                <w:rFonts w:hint="eastAsia" w:ascii="Times New Roman" w:hAnsi="Times New Roman" w:eastAsia="宋体" w:cs="Times New Roman"/>
                <w:bCs/>
                <w:color w:val="000000"/>
              </w:rPr>
              <w:t>t/a，</w:t>
            </w:r>
            <w:r>
              <w:rPr>
                <w:rFonts w:ascii="Times New Roman" w:hAnsi="Times New Roman" w:eastAsia="宋体" w:cs="Times New Roman"/>
                <w:bCs/>
                <w:color w:val="000000"/>
              </w:rPr>
              <w:t>喷粉过程位于密闭的喷粉设备内仅留钢管进出口，粉末经旋风回收系统</w:t>
            </w:r>
            <w:r>
              <w:rPr>
                <w:rFonts w:hint="eastAsia" w:ascii="Times New Roman" w:hAnsi="Times New Roman" w:eastAsia="宋体" w:cs="Times New Roman"/>
                <w:bCs/>
                <w:color w:val="000000"/>
                <w:lang w:val="en-US" w:eastAsia="zh-CN"/>
              </w:rPr>
              <w:t>+滤芯除尘器处理，</w:t>
            </w:r>
            <w:r>
              <w:rPr>
                <w:rFonts w:ascii="Times New Roman" w:hAnsi="Times New Roman" w:eastAsia="宋体" w:cs="Times New Roman"/>
                <w:bCs/>
                <w:color w:val="000000"/>
              </w:rPr>
              <w:t>收集效率为90%</w:t>
            </w:r>
            <w:r>
              <w:rPr>
                <w:rFonts w:hint="eastAsia" w:cs="Times New Roman"/>
                <w:bCs/>
                <w:color w:val="000000"/>
                <w:lang w:eastAsia="zh-CN"/>
              </w:rPr>
              <w:t>（</w:t>
            </w:r>
            <w:r>
              <w:rPr>
                <w:rFonts w:hint="eastAsia" w:cs="Times New Roman"/>
                <w:bCs/>
                <w:color w:val="000000"/>
                <w:lang w:val="en-US" w:eastAsia="zh-CN"/>
              </w:rPr>
              <w:t>喷粉过程在密闭空间内进行</w:t>
            </w:r>
            <w:r>
              <w:rPr>
                <w:rFonts w:hint="eastAsia" w:cs="Times New Roman"/>
                <w:bCs/>
                <w:color w:val="000000"/>
                <w:lang w:eastAsia="zh-CN"/>
              </w:rPr>
              <w:t>）</w:t>
            </w:r>
            <w:r>
              <w:rPr>
                <w:rFonts w:ascii="Times New Roman" w:hAnsi="Times New Roman" w:eastAsia="宋体" w:cs="Times New Roman"/>
                <w:bCs/>
                <w:color w:val="000000"/>
              </w:rPr>
              <w:t>，旋风回收系统对颗粒物的去除效率为60%（参考《排放源统计调查产排污核算方法和系数手册》中《机械行业系数手册》喷粉除效率单筒（多筒并联）旋风 ），</w:t>
            </w:r>
            <w:r>
              <w:rPr>
                <w:rFonts w:hint="eastAsia" w:ascii="Times New Roman" w:hAnsi="Times New Roman" w:eastAsia="宋体" w:cs="Times New Roman"/>
                <w:bCs/>
                <w:color w:val="000000"/>
                <w:lang w:val="en-US" w:eastAsia="zh-CN"/>
              </w:rPr>
              <w:t>滤芯除尘器</w:t>
            </w:r>
            <w:r>
              <w:rPr>
                <w:rFonts w:ascii="Times New Roman" w:hAnsi="Times New Roman" w:eastAsia="宋体" w:cs="Times New Roman"/>
                <w:bCs/>
                <w:color w:val="000000"/>
              </w:rPr>
              <w:t>对颗粒物的去除效率为95%（参考《排放源统计调查产排污核算方法和系数手册》中《机械行业系数手册》喷粉</w:t>
            </w:r>
            <w:r>
              <w:rPr>
                <w:rFonts w:hint="eastAsia" w:ascii="Times New Roman" w:hAnsi="Times New Roman" w:eastAsia="宋体" w:cs="Times New Roman"/>
                <w:bCs/>
                <w:color w:val="000000"/>
                <w:lang w:val="en-US" w:eastAsia="zh-CN"/>
              </w:rPr>
              <w:t>中布袋除尘器</w:t>
            </w:r>
            <w:r>
              <w:rPr>
                <w:rFonts w:ascii="Times New Roman" w:hAnsi="Times New Roman" w:eastAsia="宋体" w:cs="Times New Roman"/>
                <w:bCs/>
                <w:color w:val="000000"/>
              </w:rPr>
              <w:t>除效率），颗粒物综合去除效率为98%。运行时间为</w:t>
            </w:r>
            <w:r>
              <w:rPr>
                <w:rFonts w:hint="eastAsia" w:ascii="Times New Roman" w:hAnsi="Times New Roman" w:eastAsia="宋体" w:cs="Times New Roman"/>
                <w:bCs/>
                <w:color w:val="000000"/>
                <w:lang w:val="en-US" w:eastAsia="zh-CN"/>
              </w:rPr>
              <w:t>24</w:t>
            </w:r>
            <w:r>
              <w:rPr>
                <w:rFonts w:ascii="Times New Roman" w:hAnsi="Times New Roman" w:eastAsia="宋体" w:cs="Times New Roman"/>
                <w:bCs/>
                <w:color w:val="000000"/>
              </w:rPr>
              <w:t>00h/a</w:t>
            </w:r>
            <w:r>
              <w:rPr>
                <w:rFonts w:hint="eastAsia" w:ascii="Times New Roman" w:hAnsi="Times New Roman" w:eastAsia="宋体" w:cs="Times New Roman"/>
                <w:bCs/>
                <w:color w:val="000000"/>
                <w:lang w:eastAsia="zh-CN"/>
              </w:rPr>
              <w:t>，</w:t>
            </w:r>
            <w:r>
              <w:rPr>
                <w:rFonts w:hint="eastAsia" w:ascii="Times New Roman" w:hAnsi="Times New Roman" w:eastAsia="宋体" w:cs="Times New Roman"/>
                <w:bCs/>
                <w:color w:val="000000"/>
                <w:lang w:val="en-US" w:eastAsia="zh-CN"/>
              </w:rPr>
              <w:t>风机风量为5000m</w:t>
            </w:r>
            <w:r>
              <w:rPr>
                <w:rFonts w:hint="eastAsia" w:ascii="Times New Roman" w:hAnsi="Times New Roman" w:eastAsia="宋体" w:cs="Times New Roman"/>
                <w:bCs/>
                <w:color w:val="000000"/>
                <w:vertAlign w:val="superscript"/>
                <w:lang w:val="en-US" w:eastAsia="zh-CN"/>
              </w:rPr>
              <w:t>3</w:t>
            </w:r>
            <w:r>
              <w:rPr>
                <w:rFonts w:hint="eastAsia" w:ascii="Times New Roman" w:hAnsi="Times New Roman" w:eastAsia="宋体" w:cs="Times New Roman"/>
                <w:bCs/>
                <w:color w:val="000000"/>
                <w:lang w:val="en-US" w:eastAsia="zh-CN"/>
              </w:rPr>
              <w:t>/h</w:t>
            </w:r>
            <w:r>
              <w:rPr>
                <w:rFonts w:hint="eastAsia" w:ascii="Times New Roman" w:hAnsi="Times New Roman" w:eastAsia="宋体" w:cs="Times New Roman"/>
                <w:color w:val="000000"/>
              </w:rPr>
              <w:t>。</w:t>
            </w:r>
          </w:p>
          <w:p w14:paraId="0D602595">
            <w:pPr>
              <w:adjustRightInd w:val="0"/>
              <w:snapToGrid w:val="0"/>
              <w:ind w:firstLine="456" w:firstLineChars="200"/>
              <w:rPr>
                <w:rFonts w:ascii="Times New Roman" w:hAnsi="Times New Roman" w:eastAsia="宋体" w:cs="Times New Roman"/>
                <w:color w:val="000000"/>
                <w:spacing w:val="-6"/>
              </w:rPr>
            </w:pPr>
            <w:r>
              <w:rPr>
                <w:rFonts w:ascii="Times New Roman" w:hAnsi="Times New Roman" w:eastAsia="宋体" w:cs="Times New Roman"/>
                <w:color w:val="000000"/>
                <w:spacing w:val="-6"/>
              </w:rPr>
              <w:t>本项目生产过程均在密闭厂房内进行，此过程对无组织排放粉尘去除效率为50%，则</w:t>
            </w:r>
            <w:r>
              <w:rPr>
                <w:rFonts w:hint="eastAsia" w:ascii="Times New Roman" w:hAnsi="Times New Roman" w:eastAsia="宋体" w:cs="Times New Roman"/>
                <w:color w:val="000000"/>
                <w:spacing w:val="-6"/>
              </w:rPr>
              <w:t>颗粒物无组织排放量为</w:t>
            </w:r>
            <w:r>
              <w:rPr>
                <w:rFonts w:hint="eastAsia" w:ascii="Times New Roman" w:hAnsi="Times New Roman" w:eastAsia="宋体" w:cs="Times New Roman"/>
                <w:color w:val="000000"/>
                <w:spacing w:val="-6"/>
                <w:lang w:val="en-US" w:eastAsia="zh-CN"/>
              </w:rPr>
              <w:t>0.45</w:t>
            </w:r>
            <w:r>
              <w:rPr>
                <w:rFonts w:ascii="Times New Roman" w:hAnsi="Times New Roman" w:eastAsia="宋体" w:cs="Times New Roman"/>
                <w:color w:val="000000"/>
                <w:spacing w:val="-6"/>
              </w:rPr>
              <w:t>t/a、排放速率为</w:t>
            </w:r>
            <w:r>
              <w:rPr>
                <w:rFonts w:hint="eastAsia" w:ascii="Times New Roman" w:hAnsi="Times New Roman" w:eastAsia="宋体" w:cs="Times New Roman"/>
                <w:color w:val="000000"/>
                <w:spacing w:val="-6"/>
                <w:lang w:val="en-US" w:eastAsia="zh-CN"/>
              </w:rPr>
              <w:t>0.188</w:t>
            </w:r>
            <w:r>
              <w:rPr>
                <w:rFonts w:ascii="Times New Roman" w:hAnsi="Times New Roman" w:eastAsia="宋体" w:cs="Times New Roman"/>
                <w:color w:val="000000"/>
                <w:spacing w:val="-6"/>
              </w:rPr>
              <w:t>kg/h</w:t>
            </w:r>
            <w:r>
              <w:rPr>
                <w:rFonts w:hint="eastAsia" w:ascii="Times New Roman" w:hAnsi="Times New Roman" w:eastAsia="宋体" w:cs="Times New Roman"/>
                <w:color w:val="000000"/>
                <w:spacing w:val="-6"/>
              </w:rPr>
              <w:t>，非甲烷总烃无组织排放量为0.00</w:t>
            </w:r>
            <w:r>
              <w:rPr>
                <w:rFonts w:hint="eastAsia" w:ascii="Times New Roman" w:hAnsi="Times New Roman" w:eastAsia="宋体" w:cs="Times New Roman"/>
                <w:color w:val="000000"/>
                <w:spacing w:val="-6"/>
                <w:lang w:val="en-US" w:eastAsia="zh-CN"/>
              </w:rPr>
              <w:t>4</w:t>
            </w:r>
            <w:r>
              <w:rPr>
                <w:rFonts w:hint="eastAsia" w:ascii="Times New Roman" w:hAnsi="Times New Roman" w:eastAsia="宋体" w:cs="Times New Roman"/>
                <w:color w:val="000000"/>
                <w:spacing w:val="-6"/>
              </w:rPr>
              <w:t>t/a，排放速率为0.00</w:t>
            </w:r>
            <w:r>
              <w:rPr>
                <w:rFonts w:hint="eastAsia" w:ascii="Times New Roman" w:hAnsi="Times New Roman" w:eastAsia="宋体" w:cs="Times New Roman"/>
                <w:color w:val="000000"/>
                <w:spacing w:val="-6"/>
                <w:lang w:val="en-US" w:eastAsia="zh-CN"/>
              </w:rPr>
              <w:t>2</w:t>
            </w:r>
            <w:r>
              <w:rPr>
                <w:rFonts w:hint="eastAsia" w:ascii="Times New Roman" w:hAnsi="Times New Roman" w:eastAsia="宋体" w:cs="Times New Roman"/>
                <w:color w:val="000000"/>
                <w:spacing w:val="-6"/>
              </w:rPr>
              <w:t>kg/h</w:t>
            </w:r>
            <w:r>
              <w:rPr>
                <w:rFonts w:ascii="Times New Roman" w:hAnsi="Times New Roman" w:eastAsia="宋体" w:cs="Times New Roman"/>
                <w:color w:val="000000"/>
                <w:spacing w:val="-6"/>
              </w:rPr>
              <w:t>。</w:t>
            </w:r>
          </w:p>
          <w:p w14:paraId="3756FEEF">
            <w:pPr>
              <w:adjustRightInd w:val="0"/>
              <w:snapToGrid w:val="0"/>
              <w:ind w:firstLine="480" w:firstLineChars="200"/>
              <w:rPr>
                <w:rFonts w:hint="eastAsia" w:ascii="Times New Roman" w:hAnsi="Times New Roman" w:eastAsia="宋体" w:cs="Times New Roman"/>
                <w:color w:val="000000"/>
              </w:rPr>
            </w:pPr>
            <w:r>
              <w:rPr>
                <w:rFonts w:hint="eastAsia" w:ascii="Times New Roman" w:hAnsi="Times New Roman" w:eastAsia="宋体" w:cs="Times New Roman"/>
                <w:color w:val="000000"/>
              </w:rPr>
              <w:t>（3）</w:t>
            </w:r>
            <w:r>
              <w:rPr>
                <w:rFonts w:hint="eastAsia" w:ascii="Times New Roman" w:hAnsi="Times New Roman" w:eastAsia="宋体" w:cs="Times New Roman"/>
                <w:color w:val="000000"/>
                <w:lang w:val="en-US" w:eastAsia="zh-CN"/>
              </w:rPr>
              <w:t>底胶</w:t>
            </w:r>
            <w:r>
              <w:rPr>
                <w:rFonts w:hint="eastAsia" w:ascii="Times New Roman" w:hAnsi="Times New Roman" w:eastAsia="宋体" w:cs="Times New Roman"/>
                <w:color w:val="000000"/>
              </w:rPr>
              <w:t>和PE防腐层缠绕废气</w:t>
            </w:r>
          </w:p>
          <w:p w14:paraId="54746A4C">
            <w:pPr>
              <w:adjustRightInd w:val="0"/>
              <w:snapToGrid w:val="0"/>
              <w:ind w:firstLine="480" w:firstLineChars="20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本项目生产的3PE管部分采用缠绕的方式进行生产，生产过程中使用的</w:t>
            </w:r>
            <w:r>
              <w:rPr>
                <w:rFonts w:hint="eastAsia" w:ascii="Times New Roman" w:hAnsi="Times New Roman" w:eastAsia="宋体" w:cs="Times New Roman"/>
                <w:color w:val="000000"/>
                <w:kern w:val="0"/>
                <w:lang w:val="en-US" w:eastAsia="zh-CN"/>
              </w:rPr>
              <w:t>底胶</w:t>
            </w:r>
            <w:r>
              <w:rPr>
                <w:rFonts w:hint="eastAsia" w:ascii="Times New Roman" w:hAnsi="Times New Roman" w:eastAsia="宋体" w:cs="Times New Roman"/>
                <w:color w:val="000000"/>
                <w:kern w:val="0"/>
              </w:rPr>
              <w:t>和PE防腐料均在挤出机使用电加热缠绕至钢管表面。产生的废气参考《排放源统计调查产排污核算方法和系数手册》——33金属制品业系数手册”中</w:t>
            </w:r>
            <w:r>
              <w:rPr>
                <w:rFonts w:hint="eastAsia" w:ascii="Times New Roman" w:hAnsi="Times New Roman" w:eastAsia="宋体" w:cs="Times New Roman"/>
                <w:color w:val="000000"/>
                <w:kern w:val="0"/>
                <w:lang w:val="en-US" w:eastAsia="zh-CN"/>
              </w:rPr>
              <w:t>注塑件、吹塑件、搪塑件、纤维材料</w:t>
            </w:r>
            <w:r>
              <w:rPr>
                <w:rFonts w:hint="eastAsia" w:ascii="Times New Roman" w:hAnsi="Times New Roman" w:eastAsia="宋体" w:cs="Times New Roman"/>
                <w:color w:val="000000"/>
                <w:kern w:val="0"/>
              </w:rPr>
              <w:t>系数1.</w:t>
            </w:r>
            <w:r>
              <w:rPr>
                <w:rFonts w:hint="eastAsia" w:ascii="Times New Roman" w:hAnsi="Times New Roman" w:eastAsia="宋体" w:cs="Times New Roman"/>
                <w:color w:val="000000"/>
                <w:kern w:val="0"/>
                <w:lang w:val="en-US" w:eastAsia="zh-CN"/>
              </w:rPr>
              <w:t>2</w:t>
            </w:r>
            <w:r>
              <w:rPr>
                <w:rFonts w:hint="eastAsia" w:ascii="Times New Roman" w:hAnsi="Times New Roman" w:eastAsia="宋体" w:cs="Times New Roman"/>
                <w:color w:val="000000"/>
                <w:kern w:val="0"/>
              </w:rPr>
              <w:t>千克/吨-</w:t>
            </w:r>
            <w:r>
              <w:rPr>
                <w:rFonts w:hint="eastAsia" w:ascii="Times New Roman" w:hAnsi="Times New Roman" w:eastAsia="宋体" w:cs="Times New Roman"/>
                <w:color w:val="000000"/>
                <w:kern w:val="0"/>
                <w:lang w:val="en-US" w:eastAsia="zh-CN"/>
              </w:rPr>
              <w:t>原料，糊制成型件、拉挤成型件、缠绕成型件、模压成型件、编织成型件（粘胶剂）系数60千克/吨-原料。</w:t>
            </w:r>
            <w:r>
              <w:rPr>
                <w:rFonts w:hint="eastAsia" w:ascii="Times New Roman" w:hAnsi="Times New Roman" w:eastAsia="宋体" w:cs="Times New Roman"/>
                <w:color w:val="000000"/>
                <w:kern w:val="0"/>
              </w:rPr>
              <w:t>根据建设单位提供资料</w:t>
            </w:r>
            <w:r>
              <w:rPr>
                <w:rFonts w:hint="eastAsia" w:ascii="Times New Roman" w:hAnsi="Times New Roman" w:eastAsia="宋体" w:cs="Times New Roman"/>
                <w:color w:val="000000"/>
                <w:kern w:val="0"/>
                <w:lang w:val="en-US" w:eastAsia="zh-CN"/>
              </w:rPr>
              <w:t>本项目共使用聚乙烯防腐树脂100t/a、共聚聚烯烃底胶30t/a，则非甲烷总烃产生量为1.92t/a</w:t>
            </w:r>
            <w:r>
              <w:rPr>
                <w:rFonts w:hint="eastAsia" w:ascii="Times New Roman" w:hAnsi="Times New Roman" w:eastAsia="宋体" w:cs="Times New Roman"/>
                <w:color w:val="000000"/>
                <w:kern w:val="0"/>
              </w:rPr>
              <w:t>。</w:t>
            </w:r>
          </w:p>
          <w:p w14:paraId="32039EB5">
            <w:pPr>
              <w:adjustRightInd w:val="0"/>
              <w:snapToGrid w:val="0"/>
              <w:ind w:firstLine="480" w:firstLineChars="200"/>
              <w:rPr>
                <w:rFonts w:hint="default" w:ascii="Times New Roman" w:hAnsi="Times New Roman" w:eastAsia="宋体" w:cs="Times New Roman"/>
                <w:color w:val="000000"/>
                <w:lang w:val="en-US"/>
              </w:rPr>
            </w:pPr>
            <w:r>
              <w:rPr>
                <w:rFonts w:hint="eastAsia" w:ascii="Times New Roman" w:hAnsi="Times New Roman" w:eastAsia="宋体" w:cs="Times New Roman"/>
                <w:color w:val="000000"/>
                <w:kern w:val="0"/>
              </w:rPr>
              <w:t>本项目</w:t>
            </w:r>
            <w:r>
              <w:rPr>
                <w:rFonts w:hint="eastAsia" w:ascii="Times New Roman" w:hAnsi="Times New Roman" w:eastAsia="宋体" w:cs="Times New Roman"/>
                <w:lang w:val="en-US" w:eastAsia="zh-CN"/>
              </w:rPr>
              <w:t>在</w:t>
            </w:r>
            <w:r>
              <w:rPr>
                <w:rFonts w:hint="eastAsia" w:ascii="Times New Roman" w:hAnsi="Times New Roman" w:eastAsia="宋体" w:cs="Times New Roman"/>
                <w:color w:val="000000"/>
                <w:kern w:val="0"/>
                <w:lang w:val="en-US" w:eastAsia="zh-CN"/>
              </w:rPr>
              <w:t>底胶</w:t>
            </w:r>
            <w:r>
              <w:rPr>
                <w:rFonts w:hint="eastAsia" w:ascii="Times New Roman" w:hAnsi="Times New Roman" w:eastAsia="宋体" w:cs="Times New Roman"/>
                <w:color w:val="000000"/>
                <w:kern w:val="0"/>
              </w:rPr>
              <w:t>挤出机距离PE料挤出机约0.5m</w:t>
            </w:r>
            <w:r>
              <w:rPr>
                <w:rFonts w:hint="eastAsia" w:ascii="Times New Roman" w:hAnsi="Times New Roman" w:eastAsia="宋体" w:cs="Times New Roman"/>
                <w:color w:val="000000"/>
                <w:kern w:val="0"/>
                <w:lang w:eastAsia="zh-CN"/>
              </w:rPr>
              <w:t>，</w:t>
            </w:r>
            <w:r>
              <w:rPr>
                <w:rFonts w:hint="eastAsia" w:ascii="Times New Roman" w:hAnsi="Times New Roman" w:eastAsia="宋体" w:cs="Times New Roman"/>
                <w:color w:val="000000"/>
                <w:kern w:val="0"/>
              </w:rPr>
              <w:t>在上方安装集气罩</w:t>
            </w:r>
            <w:r>
              <w:rPr>
                <w:rFonts w:hint="eastAsia" w:ascii="Times New Roman" w:hAnsi="Times New Roman" w:eastAsia="宋体" w:cs="Times New Roman"/>
                <w:color w:val="000000"/>
                <w:kern w:val="0"/>
                <w:lang w:val="en-US" w:eastAsia="zh-CN"/>
              </w:rPr>
              <w:t>+软帘收集废气</w:t>
            </w:r>
            <w:r>
              <w:rPr>
                <w:rFonts w:hint="eastAsia" w:ascii="Times New Roman" w:hAnsi="Times New Roman" w:eastAsia="宋体" w:cs="Times New Roman"/>
                <w:color w:val="000000"/>
                <w:kern w:val="0"/>
              </w:rPr>
              <w:t>，</w:t>
            </w:r>
            <w:r>
              <w:rPr>
                <w:rFonts w:ascii="Times New Roman" w:hAnsi="Times New Roman" w:eastAsia="宋体" w:cs="Times New Roman"/>
                <w:color w:val="000000"/>
                <w:kern w:val="0"/>
              </w:rPr>
              <w:t>废气经收集后进入</w:t>
            </w:r>
            <w:r>
              <w:rPr>
                <w:rFonts w:hint="eastAsia" w:ascii="Times New Roman" w:hAnsi="Times New Roman" w:eastAsia="宋体" w:cs="Times New Roman"/>
                <w:color w:val="000000"/>
                <w:kern w:val="0"/>
                <w:lang w:val="en-US" w:eastAsia="zh-CN"/>
              </w:rPr>
              <w:t>二级活性炭装置</w:t>
            </w:r>
            <w:r>
              <w:rPr>
                <w:rFonts w:ascii="Times New Roman" w:hAnsi="Times New Roman" w:eastAsia="宋体" w:cs="Times New Roman"/>
                <w:color w:val="000000"/>
                <w:kern w:val="0"/>
              </w:rPr>
              <w:t>处理后通过15m排气筒（DA00</w:t>
            </w:r>
            <w:r>
              <w:rPr>
                <w:rFonts w:hint="eastAsia" w:cs="Times New Roman"/>
                <w:color w:val="000000"/>
                <w:kern w:val="0"/>
                <w:lang w:val="en-US" w:eastAsia="zh-CN"/>
              </w:rPr>
              <w:t>2</w:t>
            </w:r>
            <w:r>
              <w:rPr>
                <w:rFonts w:ascii="Times New Roman" w:hAnsi="Times New Roman" w:eastAsia="宋体" w:cs="Times New Roman"/>
                <w:color w:val="000000"/>
                <w:kern w:val="0"/>
              </w:rPr>
              <w:t>）排放</w:t>
            </w:r>
            <w:r>
              <w:rPr>
                <w:rFonts w:hint="eastAsia" w:ascii="Times New Roman" w:hAnsi="Times New Roman" w:eastAsia="宋体" w:cs="Times New Roman"/>
                <w:color w:val="000000"/>
                <w:kern w:val="0"/>
              </w:rPr>
              <w:t>，使用大风量，确保最远控制点控制风速不小于0.3m/s。</w:t>
            </w:r>
            <w:r>
              <w:rPr>
                <w:rFonts w:hint="eastAsia" w:ascii="Times New Roman" w:hAnsi="Times New Roman" w:eastAsia="宋体" w:cs="Times New Roman"/>
                <w:color w:val="000000"/>
              </w:rPr>
              <w:t>参考《主要污染物总量减排核算技术指南》（2022年修订），</w:t>
            </w:r>
            <w:r>
              <w:rPr>
                <w:rFonts w:hint="eastAsia" w:ascii="Times New Roman" w:hAnsi="Times New Roman" w:eastAsia="宋体" w:cs="Times New Roman"/>
                <w:color w:val="000000"/>
                <w:lang w:val="en-US" w:eastAsia="zh-CN"/>
              </w:rPr>
              <w:t>集气罩+软帘</w:t>
            </w:r>
            <w:r>
              <w:rPr>
                <w:rFonts w:hint="eastAsia" w:ascii="Times New Roman" w:hAnsi="Times New Roman" w:eastAsia="宋体" w:cs="Times New Roman"/>
                <w:color w:val="000000"/>
              </w:rPr>
              <w:t>收集效率为</w:t>
            </w:r>
            <w:r>
              <w:rPr>
                <w:rFonts w:hint="eastAsia" w:ascii="Times New Roman" w:hAnsi="Times New Roman" w:eastAsia="宋体" w:cs="Times New Roman"/>
                <w:color w:val="000000"/>
                <w:lang w:val="en-US" w:eastAsia="zh-CN"/>
              </w:rPr>
              <w:t>5</w:t>
            </w:r>
            <w:r>
              <w:rPr>
                <w:rFonts w:hint="eastAsia" w:ascii="Times New Roman" w:hAnsi="Times New Roman" w:eastAsia="宋体" w:cs="Times New Roman"/>
                <w:color w:val="000000"/>
              </w:rPr>
              <w:t>0%</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非甲烷总烃的去除效率为</w:t>
            </w:r>
            <w:r>
              <w:rPr>
                <w:rFonts w:hint="eastAsia" w:cs="Times New Roman"/>
                <w:color w:val="000000"/>
                <w:lang w:val="en-US" w:eastAsia="zh-CN"/>
              </w:rPr>
              <w:t>32.76</w:t>
            </w:r>
            <w:r>
              <w:rPr>
                <w:rFonts w:hint="eastAsia" w:ascii="Times New Roman" w:hAnsi="Times New Roman" w:eastAsia="宋体" w:cs="Times New Roman"/>
                <w:color w:val="000000"/>
              </w:rPr>
              <w:t>%</w:t>
            </w:r>
            <w:r>
              <w:rPr>
                <w:rFonts w:hint="eastAsia" w:ascii="Times New Roman" w:hAnsi="Times New Roman" w:eastAsia="宋体" w:cs="Times New Roman"/>
                <w:color w:val="000000"/>
                <w:lang w:eastAsia="zh-CN"/>
              </w:rPr>
              <w:t>（参考《排放源统计调查产排污核算方法和系数手册》——“</w:t>
            </w:r>
            <w:r>
              <w:rPr>
                <w:rFonts w:hint="eastAsia" w:ascii="Times New Roman" w:hAnsi="Times New Roman" w:eastAsia="宋体" w:cs="Times New Roman"/>
                <w:color w:val="000000"/>
                <w:kern w:val="0"/>
              </w:rPr>
              <w:t>33金属制品业系数手册</w:t>
            </w:r>
            <w:r>
              <w:rPr>
                <w:rFonts w:hint="eastAsia" w:ascii="Times New Roman" w:hAnsi="Times New Roman" w:eastAsia="宋体" w:cs="Times New Roman"/>
                <w:color w:val="000000"/>
                <w:lang w:eastAsia="zh-CN"/>
              </w:rPr>
              <w:t>”中</w:t>
            </w:r>
            <w:r>
              <w:rPr>
                <w:rFonts w:hint="eastAsia" w:ascii="Times New Roman" w:hAnsi="Times New Roman" w:eastAsia="宋体" w:cs="Times New Roman"/>
                <w:color w:val="000000"/>
                <w:lang w:val="en-US" w:eastAsia="zh-CN"/>
              </w:rPr>
              <w:t>活性炭去除效率为</w:t>
            </w:r>
            <w:r>
              <w:rPr>
                <w:rFonts w:hint="eastAsia" w:cs="Times New Roman"/>
                <w:color w:val="000000"/>
                <w:lang w:val="en-US" w:eastAsia="zh-CN"/>
              </w:rPr>
              <w:t>18</w:t>
            </w:r>
            <w:r>
              <w:rPr>
                <w:rFonts w:hint="eastAsia" w:ascii="Times New Roman" w:hAnsi="Times New Roman" w:eastAsia="宋体" w:cs="Times New Roman"/>
                <w:color w:val="000000"/>
                <w:lang w:val="en-US" w:eastAsia="zh-CN"/>
              </w:rPr>
              <w:t>%</w:t>
            </w:r>
            <w:r>
              <w:rPr>
                <w:rFonts w:hint="eastAsia" w:ascii="Times New Roman" w:hAnsi="Times New Roman" w:eastAsia="宋体" w:cs="Times New Roman"/>
                <w:color w:val="000000"/>
                <w:lang w:eastAsia="zh-CN"/>
              </w:rPr>
              <w:t>），</w:t>
            </w:r>
            <w:r>
              <w:rPr>
                <w:rFonts w:ascii="Times New Roman" w:hAnsi="Times New Roman" w:eastAsia="宋体" w:cs="Times New Roman"/>
                <w:color w:val="000000"/>
              </w:rPr>
              <w:t>运行时间为</w:t>
            </w:r>
            <w:r>
              <w:rPr>
                <w:rFonts w:hint="eastAsia" w:ascii="Times New Roman" w:hAnsi="Times New Roman" w:eastAsia="宋体" w:cs="Times New Roman"/>
                <w:color w:val="000000"/>
                <w:lang w:val="en-US" w:eastAsia="zh-CN"/>
              </w:rPr>
              <w:t>24</w:t>
            </w:r>
            <w:r>
              <w:rPr>
                <w:rFonts w:ascii="Times New Roman" w:hAnsi="Times New Roman" w:eastAsia="宋体" w:cs="Times New Roman"/>
                <w:color w:val="000000"/>
              </w:rPr>
              <w:t>00h/a</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lang w:val="en-US" w:eastAsia="zh-CN"/>
              </w:rPr>
              <w:t>风机风量为5000m</w:t>
            </w:r>
            <w:r>
              <w:rPr>
                <w:rFonts w:hint="eastAsia" w:ascii="Times New Roman" w:hAnsi="Times New Roman" w:eastAsia="宋体" w:cs="Times New Roman"/>
                <w:color w:val="000000"/>
                <w:vertAlign w:val="superscript"/>
                <w:lang w:val="en-US" w:eastAsia="zh-CN"/>
              </w:rPr>
              <w:t>3</w:t>
            </w:r>
            <w:r>
              <w:rPr>
                <w:rFonts w:hint="eastAsia" w:ascii="Times New Roman" w:hAnsi="Times New Roman" w:eastAsia="宋体" w:cs="Times New Roman"/>
                <w:color w:val="000000"/>
                <w:lang w:val="en-US" w:eastAsia="zh-CN"/>
              </w:rPr>
              <w:t>/h，无组织排放量为</w:t>
            </w:r>
            <w:r>
              <w:rPr>
                <w:rFonts w:hint="eastAsia" w:cs="Times New Roman"/>
                <w:color w:val="000000"/>
                <w:lang w:val="en-US" w:eastAsia="zh-CN"/>
              </w:rPr>
              <w:t>0.96</w:t>
            </w:r>
            <w:r>
              <w:rPr>
                <w:rFonts w:hint="eastAsia" w:ascii="Times New Roman" w:hAnsi="Times New Roman" w:eastAsia="宋体" w:cs="Times New Roman"/>
                <w:color w:val="000000"/>
                <w:lang w:val="en-US" w:eastAsia="zh-CN"/>
              </w:rPr>
              <w:t>/a，排放速率为</w:t>
            </w:r>
            <w:r>
              <w:rPr>
                <w:rFonts w:hint="eastAsia" w:cs="Times New Roman"/>
                <w:color w:val="000000"/>
                <w:lang w:val="en-US" w:eastAsia="zh-CN"/>
              </w:rPr>
              <w:t>0.4</w:t>
            </w:r>
            <w:r>
              <w:rPr>
                <w:rFonts w:hint="eastAsia" w:ascii="Times New Roman" w:hAnsi="Times New Roman" w:eastAsia="宋体" w:cs="Times New Roman"/>
                <w:color w:val="000000"/>
                <w:lang w:val="en-US" w:eastAsia="zh-CN"/>
              </w:rPr>
              <w:t>kg/h。</w:t>
            </w:r>
          </w:p>
          <w:p w14:paraId="7C134BFB">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kern w:val="0"/>
                <w:lang w:val="en-US" w:eastAsia="zh-CN"/>
              </w:rPr>
            </w:pPr>
            <w:r>
              <w:rPr>
                <w:rFonts w:hint="eastAsia" w:ascii="Times New Roman" w:hAnsi="Times New Roman" w:eastAsia="宋体" w:cs="Times New Roman"/>
                <w:color w:val="000000"/>
                <w:kern w:val="0"/>
                <w:lang w:val="en-US" w:eastAsia="zh-CN"/>
              </w:rPr>
              <w:t>环氧粉末喷涂废气经旋风除尘器+滤芯除尘器处理后与底胶和PE防腐层缠绕废气一同进入二级活性炭装置进行处理，则DA002有组织排放的颗粒物为0.162t/a，排放速率为0.068kg/h，排放浓度为13.5mg/m</w:t>
            </w:r>
            <w:r>
              <w:rPr>
                <w:rFonts w:hint="eastAsia" w:ascii="Times New Roman" w:hAnsi="Times New Roman" w:eastAsia="宋体" w:cs="Times New Roman"/>
                <w:color w:val="000000"/>
                <w:kern w:val="0"/>
                <w:vertAlign w:val="superscript"/>
                <w:lang w:val="en-US" w:eastAsia="zh-CN"/>
              </w:rPr>
              <w:t>3</w:t>
            </w:r>
            <w:r>
              <w:rPr>
                <w:rFonts w:hint="eastAsia" w:ascii="Times New Roman" w:hAnsi="Times New Roman" w:eastAsia="宋体" w:cs="Times New Roman"/>
                <w:color w:val="000000"/>
                <w:kern w:val="0"/>
                <w:lang w:val="en-US" w:eastAsia="zh-CN"/>
              </w:rPr>
              <w:t>；有组织非甲烷总烃排放量为0.</w:t>
            </w:r>
            <w:r>
              <w:rPr>
                <w:rFonts w:hint="eastAsia" w:cs="Times New Roman"/>
                <w:color w:val="000000"/>
                <w:kern w:val="0"/>
                <w:lang w:val="en-US" w:eastAsia="zh-CN"/>
              </w:rPr>
              <w:t>667</w:t>
            </w:r>
            <w:r>
              <w:rPr>
                <w:rFonts w:hint="eastAsia" w:ascii="Times New Roman" w:hAnsi="Times New Roman" w:eastAsia="宋体" w:cs="Times New Roman"/>
                <w:color w:val="000000"/>
                <w:kern w:val="0"/>
                <w:lang w:val="en-US" w:eastAsia="zh-CN"/>
              </w:rPr>
              <w:t>t/a，排放速率为0.</w:t>
            </w:r>
            <w:r>
              <w:rPr>
                <w:rFonts w:hint="eastAsia" w:cs="Times New Roman"/>
                <w:color w:val="000000"/>
                <w:kern w:val="0"/>
                <w:lang w:val="en-US" w:eastAsia="zh-CN"/>
              </w:rPr>
              <w:t>278</w:t>
            </w:r>
            <w:r>
              <w:rPr>
                <w:rFonts w:hint="eastAsia" w:ascii="Times New Roman" w:hAnsi="Times New Roman" w:eastAsia="宋体" w:cs="Times New Roman"/>
                <w:color w:val="000000"/>
                <w:kern w:val="0"/>
                <w:lang w:val="en-US" w:eastAsia="zh-CN"/>
              </w:rPr>
              <w:t>kg/h，排放浓度为</w:t>
            </w:r>
            <w:r>
              <w:rPr>
                <w:rFonts w:hint="eastAsia" w:cs="Times New Roman"/>
                <w:color w:val="000000"/>
                <w:kern w:val="0"/>
                <w:lang w:val="en-US" w:eastAsia="zh-CN"/>
              </w:rPr>
              <w:t>55.6</w:t>
            </w:r>
            <w:r>
              <w:rPr>
                <w:rFonts w:hint="eastAsia" w:ascii="Times New Roman" w:hAnsi="Times New Roman" w:eastAsia="宋体" w:cs="Times New Roman"/>
                <w:color w:val="000000"/>
                <w:kern w:val="0"/>
                <w:lang w:val="en-US" w:eastAsia="zh-CN"/>
              </w:rPr>
              <w:t>mg/m</w:t>
            </w:r>
            <w:r>
              <w:rPr>
                <w:rFonts w:hint="eastAsia" w:ascii="Times New Roman" w:hAnsi="Times New Roman" w:eastAsia="宋体" w:cs="Times New Roman"/>
                <w:color w:val="000000"/>
                <w:kern w:val="0"/>
                <w:vertAlign w:val="superscript"/>
                <w:lang w:val="en-US" w:eastAsia="zh-CN"/>
              </w:rPr>
              <w:t>3</w:t>
            </w:r>
            <w:r>
              <w:rPr>
                <w:rFonts w:hint="eastAsia" w:ascii="Times New Roman" w:hAnsi="Times New Roman" w:eastAsia="宋体" w:cs="Times New Roman"/>
                <w:color w:val="000000"/>
                <w:kern w:val="0"/>
                <w:lang w:val="en-US" w:eastAsia="zh-CN"/>
              </w:rPr>
              <w:t>。</w:t>
            </w:r>
          </w:p>
          <w:p w14:paraId="41661203">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kern w:val="0"/>
                <w:lang w:val="en-US" w:eastAsia="zh-CN"/>
              </w:rPr>
            </w:pPr>
            <w:r>
              <w:rPr>
                <w:rFonts w:hint="eastAsia" w:ascii="Times New Roman" w:hAnsi="Times New Roman" w:eastAsia="宋体" w:cs="Times New Roman"/>
                <w:color w:val="000000"/>
                <w:kern w:val="0"/>
                <w:lang w:val="en-US" w:eastAsia="zh-CN"/>
              </w:rPr>
              <w:t>（4）恶臭气体</w:t>
            </w:r>
          </w:p>
          <w:p w14:paraId="05CEA689">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本项目除产生有机废气外，同时还会伴有轻微异味产生，以臭气浓度进行表征。这种异味刺激人的嗅觉器官并引起身体的不适。由于臭气浓度暂无相关的成熟的核算系数，且生产过程中产生的臭气与有机废气难以分离，故不做定量分，臭浓度伴随着有机废气一同收集处理后经15米高排气筒排放，少量未被收维的臭气通过车间通排风稀释扩散后无组织排放。</w:t>
            </w:r>
          </w:p>
          <w:p w14:paraId="1FE70E59">
            <w:pPr>
              <w:rPr>
                <w:rFonts w:ascii="Times New Roman" w:hAnsi="Times New Roman" w:eastAsia="宋体" w:cs="Times New Roman"/>
                <w:color w:val="000000"/>
              </w:rPr>
            </w:pPr>
            <w:r>
              <w:rPr>
                <w:rFonts w:hint="eastAsia" w:ascii="Times New Roman" w:hAnsi="Times New Roman" w:eastAsia="宋体" w:cs="Times New Roman"/>
                <w:b/>
                <w:bCs/>
                <w:color w:val="000000"/>
              </w:rPr>
              <w:t>1.2废气治理措施及影响分析</w:t>
            </w:r>
          </w:p>
          <w:p w14:paraId="16966F2F">
            <w:pPr>
              <w:tabs>
                <w:tab w:val="left" w:pos="0"/>
              </w:tabs>
              <w:adjustRightInd w:val="0"/>
              <w:snapToGrid w:val="0"/>
              <w:ind w:firstLine="480" w:firstLineChars="200"/>
              <w:rPr>
                <w:rFonts w:ascii="Times New Roman" w:hAnsi="Times New Roman" w:eastAsia="宋体" w:cs="Times New Roman"/>
                <w:color w:val="000000"/>
              </w:rPr>
            </w:pPr>
            <w:r>
              <w:rPr>
                <w:rFonts w:ascii="Times New Roman" w:hAnsi="Times New Roman" w:eastAsia="宋体" w:cs="Times New Roman"/>
                <w:color w:val="000000"/>
              </w:rPr>
              <w:t>本项目抛丸除锈过程产生的废气收集后进入布袋除尘器处理，处理后的废气可满足《大气污染物综合排放标准》表2中新污染源大气污染物排放限值要求。</w:t>
            </w:r>
          </w:p>
          <w:p w14:paraId="56858679">
            <w:pPr>
              <w:tabs>
                <w:tab w:val="left" w:pos="0"/>
              </w:tabs>
              <w:adjustRightInd w:val="0"/>
              <w:snapToGrid w:val="0"/>
              <w:ind w:firstLine="480" w:firstLineChars="200"/>
              <w:rPr>
                <w:rFonts w:ascii="Times New Roman" w:hAnsi="Times New Roman" w:eastAsia="宋体" w:cs="Times New Roman"/>
                <w:color w:val="000000"/>
              </w:rPr>
            </w:pPr>
            <w:r>
              <w:rPr>
                <w:rFonts w:ascii="Times New Roman" w:hAnsi="Times New Roman" w:eastAsia="宋体" w:cs="Times New Roman"/>
                <w:color w:val="000000"/>
              </w:rPr>
              <w:t>本项目</w:t>
            </w:r>
            <w:r>
              <w:rPr>
                <w:rFonts w:hint="eastAsia" w:ascii="Times New Roman" w:hAnsi="Times New Roman" w:eastAsia="宋体" w:cs="Times New Roman"/>
                <w:color w:val="000000"/>
                <w:lang w:val="en-US" w:eastAsia="zh-CN"/>
              </w:rPr>
              <w:t>环氧粉末喷涂</w:t>
            </w:r>
            <w:r>
              <w:rPr>
                <w:rFonts w:hint="eastAsia" w:ascii="Times New Roman" w:hAnsi="Times New Roman" w:eastAsia="宋体" w:cs="Times New Roman"/>
                <w:color w:val="000000"/>
              </w:rPr>
              <w:t>过程废气经</w:t>
            </w:r>
            <w:r>
              <w:rPr>
                <w:rFonts w:hint="eastAsia" w:ascii="Times New Roman" w:hAnsi="Times New Roman" w:eastAsia="宋体" w:cs="Times New Roman"/>
                <w:color w:val="000000"/>
                <w:lang w:val="en-US" w:eastAsia="zh-CN"/>
              </w:rPr>
              <w:t>旋风除尘器+滤芯除尘器处理后通过15m排气筒排放，</w:t>
            </w:r>
            <w:r>
              <w:rPr>
                <w:rFonts w:ascii="Times New Roman" w:hAnsi="Times New Roman" w:eastAsia="宋体" w:cs="Times New Roman"/>
                <w:color w:val="000000"/>
              </w:rPr>
              <w:t>处理后的废气</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lang w:val="en-US" w:eastAsia="zh-CN"/>
              </w:rPr>
              <w:t>颗粒物、非甲烷总烃</w:t>
            </w:r>
            <w:r>
              <w:rPr>
                <w:rFonts w:hint="eastAsia" w:ascii="Times New Roman" w:hAnsi="Times New Roman" w:eastAsia="宋体" w:cs="Times New Roman"/>
                <w:color w:val="000000"/>
                <w:lang w:eastAsia="zh-CN"/>
              </w:rPr>
              <w:t>）</w:t>
            </w:r>
            <w:r>
              <w:rPr>
                <w:rFonts w:ascii="Times New Roman" w:hAnsi="Times New Roman" w:eastAsia="宋体" w:cs="Times New Roman"/>
                <w:color w:val="000000"/>
              </w:rPr>
              <w:t>可满足</w:t>
            </w:r>
            <w:r>
              <w:rPr>
                <w:rFonts w:hint="eastAsia" w:ascii="Times New Roman" w:hAnsi="Times New Roman" w:eastAsia="宋体" w:cs="Times New Roman"/>
                <w:color w:val="000000"/>
                <w:lang w:eastAsia="zh-CN"/>
              </w:rPr>
              <w:t>《合成树脂工业污染物排放标准》（GB31572-2015，含2024年修改单）</w:t>
            </w:r>
            <w:r>
              <w:rPr>
                <w:rFonts w:ascii="Times New Roman" w:hAnsi="Times New Roman" w:eastAsia="宋体" w:cs="Times New Roman"/>
                <w:color w:val="000000"/>
              </w:rPr>
              <w:t>中表4大气污染物排放限值要求。</w:t>
            </w:r>
          </w:p>
          <w:p w14:paraId="151C9CE0">
            <w:pPr>
              <w:tabs>
                <w:tab w:val="left" w:pos="0"/>
              </w:tabs>
              <w:adjustRightInd w:val="0"/>
              <w:snapToGrid w:val="0"/>
              <w:ind w:firstLine="480" w:firstLineChars="200"/>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项目底胶和PE防腐层缠绕过程中产生的废气经集气罩+软帘收集后进入二级活性炭装置进行处置，处理后的废气通过15m排气筒排放，排放浓度可满足《合成树脂工业污染物排放标准》（GB31572-2015，含2024年修改单）中表4大气污染物排放限值要求。</w:t>
            </w:r>
          </w:p>
          <w:p w14:paraId="05BCE742">
            <w:pPr>
              <w:widowControl w:val="0"/>
              <w:adjustRightInd w:val="0"/>
              <w:snapToGrid w:val="0"/>
              <w:spacing w:line="360" w:lineRule="auto"/>
              <w:ind w:firstLine="480" w:firstLineChars="200"/>
              <w:jc w:val="left"/>
              <w:rPr>
                <w:rFonts w:hint="eastAsia" w:ascii="Times New Roman" w:hAnsi="Times New Roman" w:eastAsia="宋体" w:cs="Times New Roman"/>
                <w:b w:val="0"/>
                <w:bCs w:val="0"/>
                <w:color w:val="000000"/>
                <w:kern w:val="2"/>
                <w:sz w:val="24"/>
                <w:szCs w:val="20"/>
                <w:lang w:val="en-US" w:eastAsia="zh-CN" w:bidi="ar-SA"/>
              </w:rPr>
            </w:pPr>
            <w:r>
              <w:rPr>
                <w:rFonts w:ascii="Times New Roman" w:hAnsi="Times New Roman" w:eastAsia="宋体" w:cs="Times New Roman"/>
                <w:b w:val="0"/>
                <w:bCs w:val="0"/>
                <w:color w:val="000000"/>
                <w:kern w:val="2"/>
                <w:sz w:val="24"/>
                <w:szCs w:val="20"/>
                <w:lang w:val="en-US" w:eastAsia="zh-CN" w:bidi="ar-SA"/>
              </w:rPr>
              <w:t>根据《排污许可证申请与核发技术规范 橡胶和塑料制品工业》( HJ1122-2020）</w:t>
            </w:r>
            <w:r>
              <w:rPr>
                <w:rFonts w:hint="eastAsia" w:ascii="Times New Roman" w:hAnsi="Times New Roman" w:eastAsia="宋体" w:cs="Times New Roman"/>
                <w:b w:val="0"/>
                <w:bCs w:val="0"/>
                <w:color w:val="000000"/>
                <w:kern w:val="2"/>
                <w:sz w:val="24"/>
                <w:szCs w:val="20"/>
                <w:lang w:val="en-US" w:eastAsia="zh-CN" w:bidi="ar-SA"/>
              </w:rPr>
              <w:t>中表A2塑料制品工业排污单位废气污染防治可行技术参考表，本项目环氧粉末喷涂过程废气采用旋风除尘器+滤芯除尘器属于可行技术；底胶和PE防腐层缠绕过程中产生的废气经集气罩+软帘收集后进入二级活性炭装置进行处置属于可行技术。</w:t>
            </w:r>
          </w:p>
          <w:p w14:paraId="38139303">
            <w:pPr>
              <w:widowControl w:val="0"/>
              <w:adjustRightInd w:val="0"/>
              <w:snapToGrid w:val="0"/>
              <w:spacing w:line="360" w:lineRule="auto"/>
              <w:ind w:firstLine="480" w:firstLineChars="200"/>
              <w:jc w:val="left"/>
              <w:rPr>
                <w:rFonts w:hint="eastAsia" w:ascii="Times New Roman" w:hAnsi="Times New Roman" w:eastAsia="宋体" w:cs="Times New Roman"/>
                <w:b w:val="0"/>
                <w:bCs w:val="0"/>
                <w:color w:val="000000"/>
                <w:kern w:val="2"/>
                <w:sz w:val="24"/>
                <w:szCs w:val="20"/>
                <w:lang w:val="en-US" w:eastAsia="zh-CN" w:bidi="ar-SA"/>
              </w:rPr>
            </w:pPr>
            <w:r>
              <w:rPr>
                <w:rFonts w:hint="eastAsia" w:ascii="Times New Roman" w:hAnsi="Times New Roman" w:eastAsia="宋体" w:cs="Times New Roman"/>
                <w:b w:val="0"/>
                <w:bCs w:val="0"/>
                <w:color w:val="000000"/>
                <w:kern w:val="2"/>
                <w:sz w:val="24"/>
                <w:szCs w:val="20"/>
                <w:lang w:val="en-US" w:eastAsia="zh-CN" w:bidi="ar-SA"/>
              </w:rPr>
              <w:t>参考《排污许可证申请与核发技术规范 汽车制造业》 ( HJ 971-2018)表25 汽车制造业废气污染治理推荐可行技术清单中预处理机械抛丸、打磨、喷砂、清理、砂轮机过程废气治理可行技术为袋式除尘器、湿式除尘，本项目抛丸废气末端治理设施为布袋除尘器，属于可行技术。</w:t>
            </w:r>
          </w:p>
          <w:p w14:paraId="77D39F46">
            <w:pPr>
              <w:adjustRightInd w:val="0"/>
              <w:snapToGrid w:val="0"/>
              <w:ind w:firstLine="480" w:firstLineChars="200"/>
              <w:rPr>
                <w:rFonts w:hint="eastAsia" w:ascii="Times New Roman" w:hAnsi="Times New Roman" w:eastAsia="宋体" w:cs="Times New Roman"/>
                <w:color w:val="000000"/>
              </w:rPr>
            </w:pPr>
            <w:r>
              <w:rPr>
                <w:rFonts w:hint="eastAsia" w:ascii="Times New Roman" w:hAnsi="Times New Roman" w:eastAsia="宋体" w:cs="Times New Roman"/>
                <w:color w:val="000000"/>
              </w:rPr>
              <w:t>本项目在各产生有机废气的产物节点上方设置集气罩使用大风量风机收集废气，确保</w:t>
            </w:r>
            <w:r>
              <w:rPr>
                <w:rFonts w:hint="eastAsia" w:ascii="Times New Roman" w:hAnsi="Times New Roman" w:eastAsia="宋体" w:cs="Times New Roman"/>
                <w:color w:val="000000"/>
                <w:kern w:val="0"/>
              </w:rPr>
              <w:t>最远控制点控制风速不小于0.3m/s，符合《挥发性有机物无组织排放控制标准》（GB 37822-2019）中要求。</w:t>
            </w:r>
          </w:p>
          <w:p w14:paraId="227F5DD8">
            <w:pPr>
              <w:widowControl w:val="0"/>
              <w:spacing w:line="360" w:lineRule="auto"/>
              <w:ind w:firstLine="482" w:firstLineChars="200"/>
              <w:jc w:val="both"/>
              <w:rPr>
                <w:rFonts w:ascii="Times New Roman" w:hAnsi="Times New Roman" w:eastAsia="宋体" w:cs="Times New Roman"/>
                <w:b/>
                <w:color w:val="000000"/>
                <w:kern w:val="2"/>
                <w:sz w:val="24"/>
                <w:szCs w:val="24"/>
                <w:lang w:val="en-US" w:eastAsia="zh-CN" w:bidi="ar-SA"/>
              </w:rPr>
            </w:pPr>
            <w:r>
              <w:rPr>
                <w:rFonts w:hint="eastAsia" w:ascii="Times New Roman" w:hAnsi="Times New Roman" w:eastAsia="宋体" w:cs="Times New Roman"/>
                <w:b/>
                <w:color w:val="000000"/>
                <w:kern w:val="2"/>
                <w:sz w:val="24"/>
                <w:szCs w:val="24"/>
                <w:lang w:val="en-US" w:eastAsia="zh-CN" w:bidi="ar-SA"/>
              </w:rPr>
              <w:t>1.3</w:t>
            </w:r>
            <w:r>
              <w:rPr>
                <w:rFonts w:ascii="Times New Roman" w:hAnsi="Times New Roman" w:eastAsia="宋体" w:cs="Times New Roman"/>
                <w:b/>
                <w:color w:val="000000"/>
                <w:kern w:val="2"/>
                <w:sz w:val="24"/>
                <w:szCs w:val="24"/>
                <w:lang w:val="en-US" w:eastAsia="zh-CN" w:bidi="ar-SA"/>
              </w:rPr>
              <w:t>非正常工况</w:t>
            </w:r>
          </w:p>
          <w:p w14:paraId="0A9CE4D5">
            <w:pPr>
              <w:widowControl w:val="0"/>
              <w:adjustRightInd w:val="0"/>
              <w:snapToGrid w:val="0"/>
              <w:spacing w:line="360" w:lineRule="auto"/>
              <w:ind w:firstLine="480" w:firstLineChars="200"/>
              <w:jc w:val="both"/>
              <w:rPr>
                <w:rFonts w:hint="default" w:ascii="Times New Roman" w:hAnsi="Times New Roman" w:eastAsia="宋体" w:cs="Times New Roman"/>
                <w:bCs/>
                <w:color w:val="000000"/>
                <w:spacing w:val="0"/>
                <w:kern w:val="0"/>
                <w:sz w:val="24"/>
                <w:szCs w:val="24"/>
                <w:lang w:val="en-US" w:eastAsia="zh-CN" w:bidi="ar-SA"/>
              </w:rPr>
            </w:pPr>
            <w:r>
              <w:rPr>
                <w:rFonts w:ascii="Times New Roman" w:hAnsi="Times New Roman" w:eastAsia="宋体" w:cs="Times New Roman"/>
                <w:bCs/>
                <w:color w:val="000000"/>
                <w:spacing w:val="0"/>
                <w:kern w:val="0"/>
                <w:sz w:val="24"/>
                <w:szCs w:val="24"/>
                <w:lang w:val="en-US" w:eastAsia="zh-CN" w:bidi="ar-SA"/>
              </w:rPr>
              <w:t>非正常工况主要为</w:t>
            </w:r>
            <w:r>
              <w:rPr>
                <w:rFonts w:hint="eastAsia" w:ascii="Times New Roman" w:hAnsi="Times New Roman" w:eastAsia="宋体" w:cs="Times New Roman"/>
                <w:bCs/>
                <w:color w:val="000000"/>
                <w:spacing w:val="0"/>
                <w:kern w:val="0"/>
                <w:sz w:val="24"/>
                <w:szCs w:val="24"/>
                <w:lang w:val="en-US" w:eastAsia="zh-CN" w:bidi="ar-SA"/>
              </w:rPr>
              <w:t>末端治理</w:t>
            </w:r>
            <w:r>
              <w:rPr>
                <w:rFonts w:ascii="Times New Roman" w:hAnsi="Times New Roman" w:eastAsia="宋体" w:cs="Times New Roman"/>
                <w:bCs/>
                <w:color w:val="000000"/>
                <w:spacing w:val="0"/>
                <w:kern w:val="0"/>
                <w:sz w:val="24"/>
                <w:szCs w:val="24"/>
                <w:lang w:val="en-US" w:eastAsia="zh-CN" w:bidi="ar-SA"/>
              </w:rPr>
              <w:t>设施故障导致的事故排放，本项目非正常工况主要为</w:t>
            </w:r>
            <w:r>
              <w:rPr>
                <w:rFonts w:hint="eastAsia" w:ascii="Times New Roman" w:hAnsi="Times New Roman" w:eastAsia="宋体" w:cs="Times New Roman"/>
                <w:bCs/>
                <w:color w:val="000000"/>
                <w:spacing w:val="0"/>
                <w:kern w:val="0"/>
                <w:sz w:val="24"/>
                <w:szCs w:val="24"/>
                <w:lang w:val="en-US" w:eastAsia="zh-CN" w:bidi="ar-SA"/>
              </w:rPr>
              <w:t>废气治理设施故障</w:t>
            </w:r>
            <w:r>
              <w:rPr>
                <w:rFonts w:ascii="Times New Roman" w:hAnsi="Times New Roman" w:eastAsia="宋体" w:cs="Times New Roman"/>
                <w:bCs/>
                <w:color w:val="000000"/>
                <w:spacing w:val="0"/>
                <w:kern w:val="0"/>
                <w:sz w:val="24"/>
                <w:szCs w:val="24"/>
                <w:lang w:val="en-US" w:eastAsia="zh-CN" w:bidi="ar-SA"/>
              </w:rPr>
              <w:t>导致</w:t>
            </w:r>
            <w:r>
              <w:rPr>
                <w:rFonts w:hint="eastAsia" w:ascii="Times New Roman" w:hAnsi="Times New Roman" w:eastAsia="宋体" w:cs="Times New Roman"/>
                <w:bCs/>
                <w:color w:val="000000"/>
                <w:spacing w:val="0"/>
                <w:kern w:val="0"/>
                <w:sz w:val="24"/>
                <w:szCs w:val="24"/>
                <w:lang w:val="en-US" w:eastAsia="zh-CN" w:bidi="ar-SA"/>
              </w:rPr>
              <w:t>去除</w:t>
            </w:r>
            <w:r>
              <w:rPr>
                <w:rFonts w:ascii="Times New Roman" w:hAnsi="Times New Roman" w:eastAsia="宋体" w:cs="Times New Roman"/>
                <w:bCs/>
                <w:color w:val="000000"/>
                <w:spacing w:val="0"/>
                <w:kern w:val="0"/>
                <w:sz w:val="24"/>
                <w:szCs w:val="24"/>
                <w:lang w:val="en-US" w:eastAsia="zh-CN" w:bidi="ar-SA"/>
              </w:rPr>
              <w:t>效率达不到要求</w:t>
            </w:r>
            <w:r>
              <w:rPr>
                <w:rFonts w:hint="eastAsia" w:ascii="Times New Roman" w:hAnsi="Times New Roman" w:eastAsia="宋体" w:cs="Times New Roman"/>
                <w:bCs/>
                <w:color w:val="000000"/>
                <w:spacing w:val="0"/>
                <w:kern w:val="0"/>
                <w:sz w:val="24"/>
                <w:szCs w:val="24"/>
                <w:lang w:val="en-US" w:eastAsia="zh-CN" w:bidi="ar-SA"/>
              </w:rPr>
              <w:t>，</w:t>
            </w:r>
            <w:r>
              <w:rPr>
                <w:rFonts w:ascii="Times New Roman" w:hAnsi="Times New Roman" w:eastAsia="宋体" w:cs="Times New Roman"/>
                <w:bCs/>
                <w:color w:val="000000"/>
                <w:spacing w:val="0"/>
                <w:kern w:val="0"/>
                <w:sz w:val="24"/>
                <w:szCs w:val="24"/>
                <w:lang w:val="en-US" w:eastAsia="zh-CN" w:bidi="ar-SA"/>
              </w:rPr>
              <w:t>去除效率按</w:t>
            </w:r>
            <w:r>
              <w:rPr>
                <w:rFonts w:hint="eastAsia" w:ascii="Times New Roman" w:hAnsi="Times New Roman" w:eastAsia="宋体" w:cs="Times New Roman"/>
                <w:bCs/>
                <w:color w:val="000000"/>
                <w:spacing w:val="0"/>
                <w:kern w:val="0"/>
                <w:sz w:val="24"/>
                <w:szCs w:val="24"/>
                <w:lang w:val="en-US" w:eastAsia="zh-CN" w:bidi="ar-SA"/>
              </w:rPr>
              <w:t>5</w:t>
            </w:r>
            <w:r>
              <w:rPr>
                <w:rFonts w:ascii="Times New Roman" w:hAnsi="Times New Roman" w:eastAsia="宋体" w:cs="Times New Roman"/>
                <w:bCs/>
                <w:color w:val="000000"/>
                <w:spacing w:val="0"/>
                <w:kern w:val="0"/>
                <w:sz w:val="24"/>
                <w:szCs w:val="24"/>
                <w:lang w:val="en-US" w:eastAsia="zh-CN" w:bidi="ar-SA"/>
              </w:rPr>
              <w:t>0%计，事故情况排放量见表</w:t>
            </w:r>
            <w:r>
              <w:rPr>
                <w:rFonts w:hint="eastAsia" w:ascii="Times New Roman" w:hAnsi="Times New Roman" w:eastAsia="宋体" w:cs="Times New Roman"/>
                <w:bCs/>
                <w:color w:val="000000"/>
                <w:spacing w:val="0"/>
                <w:kern w:val="0"/>
                <w:sz w:val="24"/>
                <w:szCs w:val="24"/>
                <w:lang w:val="en-US" w:eastAsia="zh-CN" w:bidi="ar-SA"/>
              </w:rPr>
              <w:t>4-2</w:t>
            </w:r>
            <w:r>
              <w:rPr>
                <w:rFonts w:ascii="Times New Roman" w:hAnsi="Times New Roman" w:eastAsia="宋体" w:cs="Times New Roman"/>
                <w:bCs/>
                <w:color w:val="000000"/>
                <w:spacing w:val="0"/>
                <w:kern w:val="0"/>
                <w:sz w:val="24"/>
                <w:szCs w:val="24"/>
                <w:lang w:val="en-US" w:eastAsia="zh-CN" w:bidi="ar-SA"/>
              </w:rPr>
              <w:t>。</w:t>
            </w:r>
          </w:p>
          <w:p w14:paraId="5EDFA66B">
            <w:pPr>
              <w:tabs>
                <w:tab w:val="left" w:pos="6480"/>
              </w:tabs>
              <w:adjustRightInd w:val="0"/>
              <w:snapToGrid w:val="0"/>
              <w:spacing w:line="240" w:lineRule="auto"/>
              <w:ind w:firstLine="422" w:firstLineChars="200"/>
              <w:rPr>
                <w:rFonts w:ascii="Times New Roman" w:hAnsi="Times New Roman" w:eastAsia="宋体" w:cs="Times New Roman"/>
                <w:b/>
                <w:bCs/>
                <w:color w:val="000000"/>
                <w:spacing w:val="0"/>
                <w:kern w:val="0"/>
                <w:sz w:val="21"/>
                <w:szCs w:val="21"/>
                <w:lang w:bidi="ar"/>
              </w:rPr>
            </w:pPr>
            <w:r>
              <w:rPr>
                <w:rFonts w:ascii="Times New Roman" w:hAnsi="Times New Roman" w:eastAsia="宋体" w:cs="Times New Roman"/>
                <w:b/>
                <w:bCs/>
                <w:color w:val="000000"/>
                <w:spacing w:val="0"/>
                <w:kern w:val="0"/>
                <w:sz w:val="21"/>
                <w:szCs w:val="21"/>
                <w:lang w:bidi="ar"/>
              </w:rPr>
              <w:t>表</w:t>
            </w:r>
            <w:r>
              <w:rPr>
                <w:rFonts w:hint="eastAsia" w:ascii="Times New Roman" w:hAnsi="Times New Roman" w:eastAsia="宋体" w:cs="Times New Roman"/>
                <w:b/>
                <w:bCs/>
                <w:color w:val="000000"/>
                <w:spacing w:val="0"/>
                <w:kern w:val="0"/>
                <w:sz w:val="21"/>
                <w:szCs w:val="21"/>
                <w:lang w:val="en-US" w:eastAsia="zh-CN" w:bidi="ar"/>
              </w:rPr>
              <w:t>4-2</w:t>
            </w:r>
            <w:r>
              <w:rPr>
                <w:rFonts w:ascii="Times New Roman" w:hAnsi="Times New Roman" w:eastAsia="宋体" w:cs="Times New Roman"/>
                <w:b/>
                <w:bCs/>
                <w:color w:val="000000"/>
                <w:spacing w:val="0"/>
                <w:kern w:val="0"/>
                <w:sz w:val="21"/>
                <w:szCs w:val="21"/>
                <w:lang w:bidi="ar"/>
              </w:rPr>
              <w:t xml:space="preserve">                   非正常工况一览表</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58"/>
              <w:gridCol w:w="432"/>
              <w:gridCol w:w="714"/>
              <w:gridCol w:w="1069"/>
              <w:gridCol w:w="856"/>
              <w:gridCol w:w="1039"/>
              <w:gridCol w:w="875"/>
              <w:gridCol w:w="1099"/>
              <w:gridCol w:w="824"/>
              <w:gridCol w:w="801"/>
            </w:tblGrid>
            <w:tr w14:paraId="2B8454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1" w:hRule="atLeast"/>
                <w:jc w:val="center"/>
              </w:trPr>
              <w:tc>
                <w:tcPr>
                  <w:tcW w:w="393" w:type="pct"/>
                  <w:tcBorders>
                    <w:tl2br w:val="nil"/>
                    <w:tr2bl w:val="nil"/>
                  </w:tcBorders>
                  <w:noWrap w:val="0"/>
                  <w:vAlign w:val="center"/>
                </w:tcPr>
                <w:p w14:paraId="1C619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排放源</w:t>
                  </w:r>
                </w:p>
              </w:tc>
              <w:tc>
                <w:tcPr>
                  <w:tcW w:w="258" w:type="pct"/>
                  <w:tcBorders>
                    <w:tl2br w:val="nil"/>
                    <w:tr2bl w:val="nil"/>
                  </w:tcBorders>
                  <w:noWrap w:val="0"/>
                  <w:vAlign w:val="center"/>
                </w:tcPr>
                <w:p w14:paraId="5A3199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污染物名称</w:t>
                  </w:r>
                </w:p>
              </w:tc>
              <w:tc>
                <w:tcPr>
                  <w:tcW w:w="426" w:type="pct"/>
                  <w:tcBorders>
                    <w:tl2br w:val="nil"/>
                    <w:tr2bl w:val="nil"/>
                  </w:tcBorders>
                  <w:noWrap w:val="0"/>
                  <w:vAlign w:val="center"/>
                </w:tcPr>
                <w:p w14:paraId="1B5D10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治理措施</w:t>
                  </w:r>
                </w:p>
              </w:tc>
              <w:tc>
                <w:tcPr>
                  <w:tcW w:w="638" w:type="pct"/>
                  <w:tcBorders>
                    <w:tl2br w:val="nil"/>
                    <w:tr2bl w:val="nil"/>
                  </w:tcBorders>
                  <w:noWrap w:val="0"/>
                  <w:vAlign w:val="center"/>
                </w:tcPr>
                <w:p w14:paraId="0FDB07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处理风量（m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/h）</w:t>
                  </w:r>
                </w:p>
              </w:tc>
              <w:tc>
                <w:tcPr>
                  <w:tcW w:w="511" w:type="pct"/>
                  <w:tcBorders>
                    <w:tl2br w:val="nil"/>
                    <w:tr2bl w:val="nil"/>
                  </w:tcBorders>
                  <w:noWrap w:val="0"/>
                  <w:vAlign w:val="center"/>
                </w:tcPr>
                <w:p w14:paraId="1F9C6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排放速率</w:t>
                  </w:r>
                </w:p>
                <w:p w14:paraId="161306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（kg/h）</w:t>
                  </w:r>
                </w:p>
              </w:tc>
              <w:tc>
                <w:tcPr>
                  <w:tcW w:w="620" w:type="pct"/>
                  <w:tcBorders>
                    <w:tl2br w:val="nil"/>
                    <w:tr2bl w:val="nil"/>
                  </w:tcBorders>
                  <w:noWrap w:val="0"/>
                  <w:vAlign w:val="center"/>
                </w:tcPr>
                <w:p w14:paraId="75772A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排放浓度</w:t>
                  </w:r>
                </w:p>
                <w:p w14:paraId="621F79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（mg/m</w:t>
                  </w:r>
                  <w:r>
                    <w:rPr>
                      <w:rFonts w:hint="default" w:ascii="Times New Roman" w:hAnsi="Times New Roman" w:eastAsia="宋体" w:cs="Times New Roman"/>
                      <w:b w:val="0"/>
                      <w:bCs w:val="0"/>
                      <w:color w:val="auto"/>
                      <w:kern w:val="2"/>
                      <w:sz w:val="21"/>
                      <w:szCs w:val="21"/>
                      <w:vertAlign w:val="superscript"/>
                      <w:lang w:val="en-US" w:eastAsia="zh-CN" w:bidi="ar-SA"/>
                    </w:rPr>
                    <w:t>3</w:t>
                  </w:r>
                  <w:r>
                    <w:rPr>
                      <w:rFonts w:hint="default" w:ascii="Times New Roman" w:hAnsi="Times New Roman" w:eastAsia="宋体" w:cs="Times New Roman"/>
                      <w:b w:val="0"/>
                      <w:bCs w:val="0"/>
                      <w:color w:val="auto"/>
                      <w:kern w:val="2"/>
                      <w:sz w:val="21"/>
                      <w:szCs w:val="21"/>
                      <w:lang w:val="en-US" w:eastAsia="zh-CN" w:bidi="ar-SA"/>
                    </w:rPr>
                    <w:t>）</w:t>
                  </w:r>
                </w:p>
              </w:tc>
              <w:tc>
                <w:tcPr>
                  <w:tcW w:w="522" w:type="pct"/>
                  <w:tcBorders>
                    <w:tl2br w:val="nil"/>
                    <w:tr2bl w:val="nil"/>
                  </w:tcBorders>
                  <w:noWrap w:val="0"/>
                  <w:vAlign w:val="center"/>
                </w:tcPr>
                <w:p w14:paraId="18F81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发生频次（次）</w:t>
                  </w:r>
                </w:p>
              </w:tc>
              <w:tc>
                <w:tcPr>
                  <w:tcW w:w="656" w:type="pct"/>
                  <w:tcBorders>
                    <w:tl2br w:val="nil"/>
                    <w:tr2bl w:val="nil"/>
                  </w:tcBorders>
                  <w:noWrap w:val="0"/>
                  <w:vAlign w:val="center"/>
                </w:tcPr>
                <w:p w14:paraId="6C2BC1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单次持续时间（min）</w:t>
                  </w:r>
                </w:p>
              </w:tc>
              <w:tc>
                <w:tcPr>
                  <w:tcW w:w="492" w:type="pct"/>
                  <w:tcBorders>
                    <w:tl2br w:val="nil"/>
                    <w:tr2bl w:val="nil"/>
                  </w:tcBorders>
                  <w:noWrap w:val="0"/>
                  <w:vAlign w:val="center"/>
                </w:tcPr>
                <w:p w14:paraId="303AB9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排放量（kg）</w:t>
                  </w:r>
                </w:p>
              </w:tc>
              <w:tc>
                <w:tcPr>
                  <w:tcW w:w="478" w:type="pct"/>
                  <w:tcBorders>
                    <w:tl2br w:val="nil"/>
                    <w:tr2bl w:val="nil"/>
                  </w:tcBorders>
                  <w:noWrap w:val="0"/>
                  <w:vAlign w:val="center"/>
                </w:tcPr>
                <w:p w14:paraId="0D3CD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处理措施</w:t>
                  </w:r>
                </w:p>
              </w:tc>
            </w:tr>
            <w:tr w14:paraId="464FB3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393" w:type="pct"/>
                  <w:tcBorders>
                    <w:tl2br w:val="nil"/>
                    <w:tr2bl w:val="nil"/>
                  </w:tcBorders>
                  <w:noWrap w:val="0"/>
                  <w:vAlign w:val="center"/>
                </w:tcPr>
                <w:p w14:paraId="3DC2C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DA0</w:t>
                  </w:r>
                  <w:r>
                    <w:rPr>
                      <w:rFonts w:hint="eastAsia" w:ascii="Times New Roman" w:hAnsi="Times New Roman" w:eastAsia="宋体" w:cs="Times New Roman"/>
                      <w:b w:val="0"/>
                      <w:bCs w:val="0"/>
                      <w:color w:val="auto"/>
                      <w:kern w:val="2"/>
                      <w:sz w:val="21"/>
                      <w:szCs w:val="21"/>
                      <w:lang w:val="en-US" w:eastAsia="zh-CN" w:bidi="ar-SA"/>
                    </w:rPr>
                    <w:t>01</w:t>
                  </w:r>
                </w:p>
              </w:tc>
              <w:tc>
                <w:tcPr>
                  <w:tcW w:w="258" w:type="pct"/>
                  <w:tcBorders>
                    <w:tl2br w:val="nil"/>
                    <w:tr2bl w:val="nil"/>
                  </w:tcBorders>
                  <w:noWrap w:val="0"/>
                  <w:vAlign w:val="center"/>
                </w:tcPr>
                <w:p w14:paraId="3A3EDE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颗粒物</w:t>
                  </w:r>
                </w:p>
              </w:tc>
              <w:tc>
                <w:tcPr>
                  <w:tcW w:w="426" w:type="pct"/>
                  <w:tcBorders>
                    <w:tl2br w:val="nil"/>
                    <w:tr2bl w:val="nil"/>
                  </w:tcBorders>
                  <w:noWrap w:val="0"/>
                  <w:vAlign w:val="center"/>
                </w:tcPr>
                <w:p w14:paraId="299D7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布袋除尘器</w:t>
                  </w:r>
                </w:p>
              </w:tc>
              <w:tc>
                <w:tcPr>
                  <w:tcW w:w="638" w:type="pct"/>
                  <w:tcBorders>
                    <w:tl2br w:val="nil"/>
                    <w:tr2bl w:val="nil"/>
                  </w:tcBorders>
                  <w:noWrap w:val="0"/>
                  <w:vAlign w:val="center"/>
                </w:tcPr>
                <w:p w14:paraId="7FA816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000</w:t>
                  </w:r>
                </w:p>
              </w:tc>
              <w:tc>
                <w:tcPr>
                  <w:tcW w:w="511" w:type="pct"/>
                  <w:tcBorders>
                    <w:tl2br w:val="nil"/>
                    <w:tr2bl w:val="nil"/>
                  </w:tcBorders>
                  <w:noWrap w:val="0"/>
                  <w:vAlign w:val="center"/>
                </w:tcPr>
                <w:p w14:paraId="6D4AE0A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0.091</w:t>
                  </w:r>
                </w:p>
              </w:tc>
              <w:tc>
                <w:tcPr>
                  <w:tcW w:w="620" w:type="pct"/>
                  <w:tcBorders>
                    <w:tl2br w:val="nil"/>
                    <w:tr2bl w:val="nil"/>
                  </w:tcBorders>
                  <w:noWrap w:val="0"/>
                  <w:vAlign w:val="center"/>
                </w:tcPr>
                <w:p w14:paraId="5FDBBC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45.5</w:t>
                  </w:r>
                </w:p>
              </w:tc>
              <w:tc>
                <w:tcPr>
                  <w:tcW w:w="522" w:type="pct"/>
                  <w:tcBorders>
                    <w:tl2br w:val="nil"/>
                    <w:tr2bl w:val="nil"/>
                  </w:tcBorders>
                  <w:noWrap w:val="0"/>
                  <w:vAlign w:val="center"/>
                </w:tcPr>
                <w:p w14:paraId="747FED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1次/年</w:t>
                  </w:r>
                </w:p>
              </w:tc>
              <w:tc>
                <w:tcPr>
                  <w:tcW w:w="656" w:type="pct"/>
                  <w:tcBorders>
                    <w:tl2br w:val="nil"/>
                    <w:tr2bl w:val="nil"/>
                  </w:tcBorders>
                  <w:noWrap w:val="0"/>
                  <w:vAlign w:val="center"/>
                </w:tcPr>
                <w:p w14:paraId="6E0815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60</w:t>
                  </w:r>
                </w:p>
              </w:tc>
              <w:tc>
                <w:tcPr>
                  <w:tcW w:w="492" w:type="pct"/>
                  <w:tcBorders>
                    <w:tl2br w:val="nil"/>
                    <w:tr2bl w:val="nil"/>
                  </w:tcBorders>
                  <w:noWrap w:val="0"/>
                  <w:vAlign w:val="center"/>
                </w:tcPr>
                <w:p w14:paraId="5C36CA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0.091</w:t>
                  </w:r>
                </w:p>
              </w:tc>
              <w:tc>
                <w:tcPr>
                  <w:tcW w:w="478" w:type="pct"/>
                  <w:vMerge w:val="restart"/>
                  <w:tcBorders>
                    <w:tl2br w:val="nil"/>
                    <w:tr2bl w:val="nil"/>
                  </w:tcBorders>
                  <w:noWrap w:val="0"/>
                  <w:vAlign w:val="center"/>
                </w:tcPr>
                <w:p w14:paraId="3E06BE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停止工作，紧急抢修</w:t>
                  </w:r>
                </w:p>
              </w:tc>
            </w:tr>
            <w:tr w14:paraId="77196B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393" w:type="pct"/>
                  <w:vMerge w:val="restart"/>
                  <w:tcBorders>
                    <w:tl2br w:val="nil"/>
                    <w:tr2bl w:val="nil"/>
                  </w:tcBorders>
                  <w:noWrap w:val="0"/>
                  <w:vAlign w:val="center"/>
                </w:tcPr>
                <w:p w14:paraId="48267D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DA002</w:t>
                  </w:r>
                </w:p>
              </w:tc>
              <w:tc>
                <w:tcPr>
                  <w:tcW w:w="258" w:type="pct"/>
                  <w:tcBorders>
                    <w:tl2br w:val="nil"/>
                    <w:tr2bl w:val="nil"/>
                  </w:tcBorders>
                  <w:noWrap w:val="0"/>
                  <w:vAlign w:val="center"/>
                </w:tcPr>
                <w:p w14:paraId="1F40D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颗粒物</w:t>
                  </w:r>
                </w:p>
              </w:tc>
              <w:tc>
                <w:tcPr>
                  <w:tcW w:w="426" w:type="pct"/>
                  <w:vMerge w:val="restart"/>
                  <w:tcBorders>
                    <w:tl2br w:val="nil"/>
                    <w:tr2bl w:val="nil"/>
                  </w:tcBorders>
                  <w:noWrap w:val="0"/>
                  <w:vAlign w:val="center"/>
                </w:tcPr>
                <w:p w14:paraId="49DFCB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旋风除尘器+滤芯除尘器</w:t>
                  </w:r>
                  <w:r>
                    <w:rPr>
                      <w:rFonts w:hint="eastAsia" w:cs="Times New Roman"/>
                      <w:sz w:val="21"/>
                      <w:szCs w:val="21"/>
                      <w:lang w:val="en-US" w:eastAsia="zh-CN"/>
                    </w:rPr>
                    <w:t>+</w:t>
                  </w:r>
                </w:p>
                <w:p w14:paraId="5268A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二级活性炭</w:t>
                  </w:r>
                </w:p>
              </w:tc>
              <w:tc>
                <w:tcPr>
                  <w:tcW w:w="638" w:type="pct"/>
                  <w:tcBorders>
                    <w:tl2br w:val="nil"/>
                    <w:tr2bl w:val="nil"/>
                  </w:tcBorders>
                  <w:noWrap w:val="0"/>
                  <w:vAlign w:val="center"/>
                </w:tcPr>
                <w:p w14:paraId="27C77A8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5000</w:t>
                  </w:r>
                </w:p>
              </w:tc>
              <w:tc>
                <w:tcPr>
                  <w:tcW w:w="511" w:type="pct"/>
                  <w:tcBorders>
                    <w:tl2br w:val="nil"/>
                    <w:tr2bl w:val="nil"/>
                  </w:tcBorders>
                  <w:noWrap w:val="0"/>
                  <w:vAlign w:val="center"/>
                </w:tcPr>
                <w:p w14:paraId="299BBD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1.721</w:t>
                  </w:r>
                </w:p>
              </w:tc>
              <w:tc>
                <w:tcPr>
                  <w:tcW w:w="620" w:type="pct"/>
                  <w:tcBorders>
                    <w:tl2br w:val="nil"/>
                    <w:tr2bl w:val="nil"/>
                  </w:tcBorders>
                  <w:noWrap w:val="0"/>
                  <w:vAlign w:val="center"/>
                </w:tcPr>
                <w:p w14:paraId="6276994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334.</w:t>
                  </w:r>
                  <w:r>
                    <w:rPr>
                      <w:rFonts w:hint="eastAsia" w:cs="Times New Roman"/>
                      <w:b w:val="0"/>
                      <w:bCs w:val="0"/>
                      <w:color w:val="auto"/>
                      <w:kern w:val="2"/>
                      <w:sz w:val="21"/>
                      <w:szCs w:val="21"/>
                      <w:lang w:val="en-US" w:eastAsia="zh-CN" w:bidi="ar-SA"/>
                    </w:rPr>
                    <w:t>2</w:t>
                  </w:r>
                </w:p>
              </w:tc>
              <w:tc>
                <w:tcPr>
                  <w:tcW w:w="522" w:type="pct"/>
                  <w:tcBorders>
                    <w:tl2br w:val="nil"/>
                    <w:tr2bl w:val="nil"/>
                  </w:tcBorders>
                  <w:shd w:val="clear" w:color="auto" w:fill="auto"/>
                  <w:noWrap w:val="0"/>
                  <w:vAlign w:val="center"/>
                </w:tcPr>
                <w:p w14:paraId="4664D2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1次/年</w:t>
                  </w:r>
                </w:p>
              </w:tc>
              <w:tc>
                <w:tcPr>
                  <w:tcW w:w="656" w:type="pct"/>
                  <w:tcBorders>
                    <w:tl2br w:val="nil"/>
                    <w:tr2bl w:val="nil"/>
                  </w:tcBorders>
                  <w:shd w:val="clear" w:color="auto" w:fill="auto"/>
                  <w:noWrap w:val="0"/>
                  <w:vAlign w:val="center"/>
                </w:tcPr>
                <w:p w14:paraId="25A64C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60</w:t>
                  </w:r>
                </w:p>
              </w:tc>
              <w:tc>
                <w:tcPr>
                  <w:tcW w:w="492" w:type="pct"/>
                  <w:tcBorders>
                    <w:tl2br w:val="nil"/>
                    <w:tr2bl w:val="nil"/>
                  </w:tcBorders>
                  <w:noWrap w:val="0"/>
                  <w:vAlign w:val="center"/>
                </w:tcPr>
                <w:p w14:paraId="7F6BAF3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1.721</w:t>
                  </w:r>
                </w:p>
              </w:tc>
              <w:tc>
                <w:tcPr>
                  <w:tcW w:w="478" w:type="pct"/>
                  <w:vMerge w:val="continue"/>
                  <w:tcBorders>
                    <w:tl2br w:val="nil"/>
                    <w:tr2bl w:val="nil"/>
                  </w:tcBorders>
                  <w:noWrap w:val="0"/>
                  <w:vAlign w:val="center"/>
                </w:tcPr>
                <w:p w14:paraId="556BA2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p>
              </w:tc>
            </w:tr>
            <w:tr w14:paraId="4D89DB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393" w:type="pct"/>
                  <w:vMerge w:val="continue"/>
                  <w:tcBorders>
                    <w:tl2br w:val="nil"/>
                    <w:tr2bl w:val="nil"/>
                  </w:tcBorders>
                  <w:noWrap w:val="0"/>
                  <w:vAlign w:val="center"/>
                </w:tcPr>
                <w:p w14:paraId="049B3C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p>
              </w:tc>
              <w:tc>
                <w:tcPr>
                  <w:tcW w:w="258" w:type="pct"/>
                  <w:tcBorders>
                    <w:tl2br w:val="nil"/>
                    <w:tr2bl w:val="nil"/>
                  </w:tcBorders>
                  <w:noWrap w:val="0"/>
                  <w:vAlign w:val="center"/>
                </w:tcPr>
                <w:p w14:paraId="34480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非甲烷总烃</w:t>
                  </w:r>
                </w:p>
              </w:tc>
              <w:tc>
                <w:tcPr>
                  <w:tcW w:w="426" w:type="pct"/>
                  <w:vMerge w:val="continue"/>
                  <w:tcBorders>
                    <w:tl2br w:val="nil"/>
                    <w:tr2bl w:val="nil"/>
                  </w:tcBorders>
                  <w:noWrap w:val="0"/>
                  <w:vAlign w:val="center"/>
                </w:tcPr>
                <w:p w14:paraId="489CF7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638" w:type="pct"/>
                  <w:tcBorders>
                    <w:tl2br w:val="nil"/>
                    <w:tr2bl w:val="nil"/>
                  </w:tcBorders>
                  <w:noWrap w:val="0"/>
                  <w:vAlign w:val="center"/>
                </w:tcPr>
                <w:p w14:paraId="32E5FB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5000</w:t>
                  </w:r>
                </w:p>
              </w:tc>
              <w:tc>
                <w:tcPr>
                  <w:tcW w:w="511" w:type="pct"/>
                  <w:tcBorders>
                    <w:tl2br w:val="nil"/>
                    <w:tr2bl w:val="nil"/>
                  </w:tcBorders>
                  <w:noWrap w:val="0"/>
                  <w:vAlign w:val="center"/>
                </w:tcPr>
                <w:p w14:paraId="56AF46B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0.03</w:t>
                  </w:r>
                  <w:r>
                    <w:rPr>
                      <w:rFonts w:hint="eastAsia" w:cs="Times New Roman"/>
                      <w:b w:val="0"/>
                      <w:bCs w:val="0"/>
                      <w:color w:val="auto"/>
                      <w:kern w:val="2"/>
                      <w:sz w:val="21"/>
                      <w:szCs w:val="21"/>
                      <w:lang w:val="en-US" w:eastAsia="zh-CN" w:bidi="ar-SA"/>
                    </w:rPr>
                    <w:t>5</w:t>
                  </w:r>
                </w:p>
              </w:tc>
              <w:tc>
                <w:tcPr>
                  <w:tcW w:w="620" w:type="pct"/>
                  <w:tcBorders>
                    <w:tl2br w:val="nil"/>
                    <w:tr2bl w:val="nil"/>
                  </w:tcBorders>
                  <w:noWrap w:val="0"/>
                  <w:vAlign w:val="center"/>
                </w:tcPr>
                <w:p w14:paraId="14A6B9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w:t>
                  </w:r>
                  <w:r>
                    <w:rPr>
                      <w:rFonts w:hint="eastAsia" w:cs="Times New Roman"/>
                      <w:b w:val="0"/>
                      <w:bCs w:val="0"/>
                      <w:color w:val="auto"/>
                      <w:kern w:val="2"/>
                      <w:sz w:val="21"/>
                      <w:szCs w:val="21"/>
                      <w:lang w:val="en-US" w:eastAsia="zh-CN" w:bidi="ar-SA"/>
                    </w:rPr>
                    <w:t>2</w:t>
                  </w:r>
                </w:p>
              </w:tc>
              <w:tc>
                <w:tcPr>
                  <w:tcW w:w="522" w:type="pct"/>
                  <w:tcBorders>
                    <w:tl2br w:val="nil"/>
                    <w:tr2bl w:val="nil"/>
                  </w:tcBorders>
                  <w:shd w:val="clear" w:color="auto" w:fill="auto"/>
                  <w:noWrap w:val="0"/>
                  <w:vAlign w:val="center"/>
                </w:tcPr>
                <w:p w14:paraId="3D4DBC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1次/年</w:t>
                  </w:r>
                </w:p>
              </w:tc>
              <w:tc>
                <w:tcPr>
                  <w:tcW w:w="656" w:type="pct"/>
                  <w:tcBorders>
                    <w:tl2br w:val="nil"/>
                    <w:tr2bl w:val="nil"/>
                  </w:tcBorders>
                  <w:shd w:val="clear" w:color="auto" w:fill="auto"/>
                  <w:noWrap w:val="0"/>
                  <w:vAlign w:val="center"/>
                </w:tcPr>
                <w:p w14:paraId="615804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60</w:t>
                  </w:r>
                </w:p>
              </w:tc>
              <w:tc>
                <w:tcPr>
                  <w:tcW w:w="492" w:type="pct"/>
                  <w:tcBorders>
                    <w:tl2br w:val="nil"/>
                    <w:tr2bl w:val="nil"/>
                  </w:tcBorders>
                  <w:noWrap w:val="0"/>
                  <w:vAlign w:val="center"/>
                </w:tcPr>
                <w:p w14:paraId="3E5E124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bottom"/>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0.03</w:t>
                  </w:r>
                  <w:r>
                    <w:rPr>
                      <w:rFonts w:hint="eastAsia" w:cs="Times New Roman"/>
                      <w:b w:val="0"/>
                      <w:bCs w:val="0"/>
                      <w:color w:val="auto"/>
                      <w:kern w:val="2"/>
                      <w:sz w:val="21"/>
                      <w:szCs w:val="21"/>
                      <w:lang w:val="en-US" w:eastAsia="zh-CN" w:bidi="ar-SA"/>
                    </w:rPr>
                    <w:t>5</w:t>
                  </w:r>
                </w:p>
              </w:tc>
              <w:tc>
                <w:tcPr>
                  <w:tcW w:w="478" w:type="pct"/>
                  <w:vMerge w:val="continue"/>
                  <w:tcBorders>
                    <w:tl2br w:val="nil"/>
                    <w:tr2bl w:val="nil"/>
                  </w:tcBorders>
                  <w:noWrap w:val="0"/>
                  <w:vAlign w:val="center"/>
                </w:tcPr>
                <w:p w14:paraId="6F48A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3"/>
                    <w:rPr>
                      <w:rFonts w:hint="default" w:ascii="Times New Roman" w:hAnsi="Times New Roman" w:eastAsia="宋体" w:cs="Times New Roman"/>
                      <w:b w:val="0"/>
                      <w:bCs w:val="0"/>
                      <w:color w:val="auto"/>
                      <w:kern w:val="2"/>
                      <w:sz w:val="21"/>
                      <w:szCs w:val="21"/>
                      <w:lang w:val="en-US" w:eastAsia="zh-CN" w:bidi="ar-SA"/>
                    </w:rPr>
                  </w:pPr>
                </w:p>
              </w:tc>
            </w:tr>
          </w:tbl>
          <w:p w14:paraId="038CD2B4">
            <w:pPr>
              <w:widowControl w:val="0"/>
              <w:adjustRightInd w:val="0"/>
              <w:snapToGrid w:val="0"/>
              <w:spacing w:line="360" w:lineRule="auto"/>
              <w:ind w:firstLine="482" w:firstLineChars="200"/>
              <w:jc w:val="both"/>
              <w:rPr>
                <w:rFonts w:ascii="Times New Roman" w:hAnsi="Times New Roman" w:eastAsia="宋体" w:cs="Times New Roman"/>
                <w:b/>
                <w:bCs w:val="0"/>
                <w:color w:val="000000"/>
                <w:kern w:val="24"/>
                <w:sz w:val="24"/>
                <w:szCs w:val="24"/>
                <w:lang w:val="en-US" w:eastAsia="zh-CN" w:bidi="ar-SA"/>
              </w:rPr>
            </w:pPr>
            <w:r>
              <w:rPr>
                <w:rFonts w:ascii="Times New Roman" w:hAnsi="Times New Roman" w:eastAsia="宋体" w:cs="Times New Roman"/>
                <w:b/>
                <w:bCs w:val="0"/>
                <w:color w:val="000000"/>
                <w:kern w:val="24"/>
                <w:sz w:val="24"/>
                <w:szCs w:val="24"/>
                <w:lang w:val="en-US" w:eastAsia="zh-CN" w:bidi="ar-SA"/>
              </w:rPr>
              <w:t>1.4自行监测</w:t>
            </w:r>
          </w:p>
          <w:p w14:paraId="28DE8E85">
            <w:pPr>
              <w:autoSpaceDE w:val="0"/>
              <w:autoSpaceDN w:val="0"/>
              <w:adjustRightInd w:val="0"/>
              <w:snapToGrid w:val="0"/>
              <w:ind w:firstLine="480" w:firstLineChars="200"/>
              <w:rPr>
                <w:rFonts w:ascii="Times New Roman" w:hAnsi="Times New Roman" w:eastAsia="宋体" w:cs="Times New Roman"/>
                <w:color w:val="000000"/>
              </w:rPr>
            </w:pPr>
            <w:r>
              <w:rPr>
                <w:rFonts w:hint="eastAsia" w:ascii="Times New Roman" w:hAnsi="Times New Roman" w:eastAsia="宋体" w:cs="Times New Roman"/>
                <w:color w:val="000000"/>
              </w:rPr>
              <w:t>本项目根据</w:t>
            </w:r>
            <w:r>
              <w:rPr>
                <w:rFonts w:ascii="Times New Roman" w:hAnsi="Times New Roman" w:eastAsia="宋体" w:cs="Times New Roman"/>
                <w:color w:val="000000"/>
              </w:rPr>
              <w:t>《排污许可证申请与核发技术规范 橡胶和塑料制品工业》( HJ1122-2020）</w:t>
            </w:r>
            <w:r>
              <w:rPr>
                <w:rFonts w:hint="eastAsia" w:ascii="Times New Roman" w:hAnsi="Times New Roman" w:eastAsia="宋体" w:cs="Times New Roman"/>
                <w:color w:val="000000"/>
              </w:rPr>
              <w:t>和《排污单位自行监测技术指南 总则》（</w:t>
            </w:r>
            <w:r>
              <w:rPr>
                <w:rFonts w:ascii="Times New Roman" w:hAnsi="Times New Roman" w:eastAsia="宋体" w:cs="Times New Roman"/>
                <w:color w:val="000000"/>
              </w:rPr>
              <w:t>HJ 819-2017</w:t>
            </w:r>
            <w:r>
              <w:rPr>
                <w:rFonts w:hint="eastAsia" w:ascii="Times New Roman" w:hAnsi="Times New Roman" w:eastAsia="宋体" w:cs="Times New Roman"/>
                <w:color w:val="000000"/>
              </w:rPr>
              <w:t>）要求制定自行监测计划，监测计划见表</w:t>
            </w:r>
            <w:r>
              <w:rPr>
                <w:rFonts w:hint="eastAsia" w:ascii="Times New Roman" w:hAnsi="Times New Roman" w:eastAsia="宋体" w:cs="Times New Roman"/>
                <w:color w:val="000000"/>
                <w:lang w:val="en-US" w:eastAsia="zh-CN"/>
              </w:rPr>
              <w:t>4-3</w:t>
            </w:r>
            <w:r>
              <w:rPr>
                <w:rFonts w:hint="eastAsia" w:ascii="Times New Roman" w:hAnsi="Times New Roman" w:eastAsia="宋体" w:cs="Times New Roman"/>
                <w:color w:val="000000"/>
              </w:rPr>
              <w:t>。</w:t>
            </w:r>
          </w:p>
          <w:p w14:paraId="633754DE">
            <w:pPr>
              <w:tabs>
                <w:tab w:val="left" w:pos="6480"/>
              </w:tabs>
              <w:adjustRightInd w:val="0"/>
              <w:snapToGrid w:val="0"/>
              <w:spacing w:line="240" w:lineRule="auto"/>
              <w:ind w:firstLine="422" w:firstLineChars="200"/>
              <w:rPr>
                <w:rFonts w:ascii="Times New Roman" w:hAnsi="Times New Roman" w:eastAsia="宋体" w:cs="Times New Roman"/>
                <w:b/>
                <w:bCs/>
                <w:color w:val="000000"/>
                <w:kern w:val="0"/>
                <w:sz w:val="21"/>
                <w:szCs w:val="21"/>
                <w:lang w:bidi="ar"/>
              </w:rPr>
            </w:pPr>
            <w:r>
              <w:rPr>
                <w:rFonts w:hint="eastAsia" w:ascii="Times New Roman" w:hAnsi="Times New Roman" w:eastAsia="宋体" w:cs="Times New Roman"/>
                <w:b/>
                <w:bCs/>
                <w:color w:val="000000"/>
                <w:kern w:val="0"/>
                <w:sz w:val="21"/>
                <w:szCs w:val="21"/>
                <w:lang w:bidi="ar"/>
              </w:rPr>
              <w:t>表</w:t>
            </w:r>
            <w:r>
              <w:rPr>
                <w:rFonts w:hint="eastAsia" w:ascii="Times New Roman" w:hAnsi="Times New Roman" w:eastAsia="宋体" w:cs="Times New Roman"/>
                <w:b/>
                <w:bCs/>
                <w:color w:val="000000"/>
                <w:kern w:val="0"/>
                <w:sz w:val="21"/>
                <w:szCs w:val="21"/>
                <w:lang w:val="en-US" w:eastAsia="zh-CN" w:bidi="ar"/>
              </w:rPr>
              <w:t>4-3</w:t>
            </w:r>
            <w:r>
              <w:rPr>
                <w:rFonts w:ascii="Times New Roman" w:hAnsi="Times New Roman" w:eastAsia="宋体" w:cs="Times New Roman"/>
                <w:b/>
                <w:bCs/>
                <w:color w:val="000000"/>
                <w:kern w:val="0"/>
                <w:sz w:val="21"/>
                <w:szCs w:val="21"/>
                <w:lang w:bidi="ar"/>
              </w:rPr>
              <w:t xml:space="preserve">                          </w:t>
            </w:r>
            <w:r>
              <w:rPr>
                <w:rFonts w:hint="eastAsia" w:ascii="Times New Roman" w:hAnsi="Times New Roman" w:eastAsia="宋体" w:cs="Times New Roman"/>
                <w:b/>
                <w:bCs/>
                <w:color w:val="000000"/>
                <w:kern w:val="0"/>
                <w:sz w:val="21"/>
                <w:szCs w:val="21"/>
                <w:lang w:bidi="ar"/>
              </w:rPr>
              <w:t>废气监测计划</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0"/>
              <w:gridCol w:w="765"/>
              <w:gridCol w:w="1138"/>
              <w:gridCol w:w="521"/>
              <w:gridCol w:w="5623"/>
            </w:tblGrid>
            <w:tr w14:paraId="705AA5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91" w:type="pct"/>
                  <w:noWrap w:val="0"/>
                  <w:vAlign w:val="center"/>
                </w:tcPr>
                <w:p w14:paraId="4B6E28BB">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类别</w:t>
                  </w:r>
                </w:p>
              </w:tc>
              <w:tc>
                <w:tcPr>
                  <w:tcW w:w="457" w:type="pct"/>
                  <w:noWrap w:val="0"/>
                  <w:vAlign w:val="center"/>
                </w:tcPr>
                <w:p w14:paraId="56A37CBC">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监测位置</w:t>
                  </w:r>
                </w:p>
              </w:tc>
              <w:tc>
                <w:tcPr>
                  <w:tcW w:w="680" w:type="pct"/>
                  <w:noWrap w:val="0"/>
                  <w:vAlign w:val="center"/>
                </w:tcPr>
                <w:p w14:paraId="1ED35410">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监测项目</w:t>
                  </w:r>
                </w:p>
              </w:tc>
              <w:tc>
                <w:tcPr>
                  <w:tcW w:w="311" w:type="pct"/>
                  <w:noWrap w:val="0"/>
                  <w:vAlign w:val="center"/>
                </w:tcPr>
                <w:p w14:paraId="6DD9A7AC">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监测频次</w:t>
                  </w:r>
                </w:p>
              </w:tc>
              <w:tc>
                <w:tcPr>
                  <w:tcW w:w="3359" w:type="pct"/>
                  <w:noWrap w:val="0"/>
                  <w:vAlign w:val="center"/>
                </w:tcPr>
                <w:p w14:paraId="6C28236D">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执行标准</w:t>
                  </w:r>
                </w:p>
              </w:tc>
            </w:tr>
            <w:tr w14:paraId="6C150B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91" w:type="pct"/>
                  <w:vMerge w:val="restart"/>
                  <w:noWrap w:val="0"/>
                  <w:vAlign w:val="center"/>
                </w:tcPr>
                <w:p w14:paraId="0CA654F1">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废气</w:t>
                  </w:r>
                </w:p>
              </w:tc>
              <w:tc>
                <w:tcPr>
                  <w:tcW w:w="457" w:type="pct"/>
                  <w:noWrap w:val="0"/>
                  <w:vAlign w:val="center"/>
                </w:tcPr>
                <w:p w14:paraId="706D698A">
                  <w:pPr>
                    <w:widowControl w:val="0"/>
                    <w:adjustRightInd w:val="0"/>
                    <w:snapToGrid w:val="0"/>
                    <w:spacing w:line="240" w:lineRule="auto"/>
                    <w:ind w:left="0" w:leftChars="0"/>
                    <w:jc w:val="center"/>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DA001</w:t>
                  </w:r>
                </w:p>
              </w:tc>
              <w:tc>
                <w:tcPr>
                  <w:tcW w:w="680" w:type="pct"/>
                  <w:noWrap w:val="0"/>
                  <w:vAlign w:val="center"/>
                </w:tcPr>
                <w:p w14:paraId="5FA618FD">
                  <w:pPr>
                    <w:adjustRightInd w:val="0"/>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颗粒物</w:t>
                  </w:r>
                </w:p>
              </w:tc>
              <w:tc>
                <w:tcPr>
                  <w:tcW w:w="311" w:type="pct"/>
                  <w:noWrap w:val="0"/>
                  <w:vAlign w:val="center"/>
                </w:tcPr>
                <w:p w14:paraId="54596223">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1次/年</w:t>
                  </w:r>
                </w:p>
              </w:tc>
              <w:tc>
                <w:tcPr>
                  <w:tcW w:w="3359" w:type="pct"/>
                  <w:noWrap w:val="0"/>
                  <w:vAlign w:val="center"/>
                </w:tcPr>
                <w:p w14:paraId="430E2FF0">
                  <w:pPr>
                    <w:adjustRightInd w:val="0"/>
                    <w:snapToGrid w:val="0"/>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《大气污染物综合排放标准》（GB16297-1996）表2中新污染源大气污染物排放限值</w:t>
                  </w:r>
                </w:p>
              </w:tc>
            </w:tr>
            <w:tr w14:paraId="21E367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91" w:type="pct"/>
                  <w:vMerge w:val="continue"/>
                  <w:noWrap w:val="0"/>
                  <w:vAlign w:val="center"/>
                </w:tcPr>
                <w:p w14:paraId="14849213">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c>
                <w:tcPr>
                  <w:tcW w:w="457" w:type="pct"/>
                  <w:vMerge w:val="restart"/>
                  <w:noWrap w:val="0"/>
                  <w:vAlign w:val="center"/>
                </w:tcPr>
                <w:p w14:paraId="380C0FBF">
                  <w:pPr>
                    <w:widowControl w:val="0"/>
                    <w:adjustRightInd w:val="0"/>
                    <w:snapToGrid w:val="0"/>
                    <w:spacing w:line="240" w:lineRule="auto"/>
                    <w:ind w:left="0" w:leftChars="0"/>
                    <w:jc w:val="center"/>
                    <w:rPr>
                      <w:rFonts w:ascii="Times New Roman" w:hAnsi="Times New Roman" w:eastAsia="宋体" w:cs="Times New Roman"/>
                      <w:color w:val="000000"/>
                      <w:kern w:val="0"/>
                      <w:sz w:val="21"/>
                      <w:szCs w:val="21"/>
                      <w:lang w:val="en-US" w:eastAsia="zh-CN" w:bidi="ar-SA"/>
                    </w:rPr>
                  </w:pPr>
                  <w:r>
                    <w:rPr>
                      <w:rFonts w:ascii="Times New Roman" w:hAnsi="Times New Roman" w:eastAsia="宋体" w:cs="Times New Roman"/>
                      <w:color w:val="000000"/>
                      <w:kern w:val="0"/>
                      <w:sz w:val="21"/>
                      <w:szCs w:val="21"/>
                      <w:lang w:val="en-US" w:eastAsia="zh-CN" w:bidi="ar-SA"/>
                    </w:rPr>
                    <w:t>DA002</w:t>
                  </w:r>
                </w:p>
              </w:tc>
              <w:tc>
                <w:tcPr>
                  <w:tcW w:w="680" w:type="pct"/>
                  <w:noWrap w:val="0"/>
                  <w:vAlign w:val="center"/>
                </w:tcPr>
                <w:p w14:paraId="02122F82">
                  <w:pPr>
                    <w:adjustRightInd w:val="0"/>
                    <w:snapToGrid w:val="0"/>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颗粒物</w:t>
                  </w:r>
                </w:p>
              </w:tc>
              <w:tc>
                <w:tcPr>
                  <w:tcW w:w="311" w:type="pct"/>
                  <w:noWrap w:val="0"/>
                  <w:vAlign w:val="center"/>
                </w:tcPr>
                <w:p w14:paraId="0C3FCA34">
                  <w:pPr>
                    <w:adjustRightInd w:val="0"/>
                    <w:snapToGrid w:val="0"/>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1次/年</w:t>
                  </w:r>
                </w:p>
              </w:tc>
              <w:tc>
                <w:tcPr>
                  <w:tcW w:w="3359" w:type="pct"/>
                  <w:noWrap w:val="0"/>
                  <w:vAlign w:val="center"/>
                </w:tcPr>
                <w:p w14:paraId="4504E344">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《合成树脂工业污染物排放标准》（GB31572-2015，含2024年修改单）</w:t>
                  </w:r>
                  <w:r>
                    <w:rPr>
                      <w:rFonts w:ascii="Times New Roman" w:hAnsi="Times New Roman" w:eastAsia="宋体" w:cs="Times New Roman"/>
                      <w:color w:val="000000"/>
                      <w:kern w:val="2"/>
                      <w:sz w:val="21"/>
                      <w:szCs w:val="21"/>
                      <w:lang w:val="en-US" w:eastAsia="zh-CN" w:bidi="ar-SA"/>
                    </w:rPr>
                    <w:t>中表4大气污染物排放限值要求</w:t>
                  </w:r>
                </w:p>
              </w:tc>
            </w:tr>
            <w:tr w14:paraId="09CBFB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91" w:type="pct"/>
                  <w:vMerge w:val="continue"/>
                  <w:noWrap w:val="0"/>
                  <w:vAlign w:val="center"/>
                </w:tcPr>
                <w:p w14:paraId="7E959448">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c>
                <w:tcPr>
                  <w:tcW w:w="457" w:type="pct"/>
                  <w:vMerge w:val="continue"/>
                  <w:noWrap w:val="0"/>
                  <w:vAlign w:val="center"/>
                </w:tcPr>
                <w:p w14:paraId="39755EDD">
                  <w:pPr>
                    <w:widowControl w:val="0"/>
                    <w:adjustRightInd w:val="0"/>
                    <w:snapToGrid w:val="0"/>
                    <w:spacing w:line="240" w:lineRule="auto"/>
                    <w:ind w:left="0" w:leftChars="0"/>
                    <w:jc w:val="center"/>
                    <w:rPr>
                      <w:rFonts w:ascii="Times New Roman" w:hAnsi="Times New Roman" w:eastAsia="宋体" w:cs="Times New Roman"/>
                      <w:color w:val="000000"/>
                      <w:kern w:val="0"/>
                      <w:sz w:val="21"/>
                      <w:szCs w:val="21"/>
                      <w:lang w:val="en-US" w:eastAsia="zh-CN" w:bidi="ar-SA"/>
                    </w:rPr>
                  </w:pPr>
                </w:p>
              </w:tc>
              <w:tc>
                <w:tcPr>
                  <w:tcW w:w="680" w:type="pct"/>
                  <w:noWrap w:val="0"/>
                  <w:vAlign w:val="center"/>
                </w:tcPr>
                <w:p w14:paraId="11A89EC4">
                  <w:pPr>
                    <w:adjustRightInd w:val="0"/>
                    <w:snapToGrid w:val="0"/>
                    <w:spacing w:line="240" w:lineRule="auto"/>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非甲烷总烃</w:t>
                  </w:r>
                </w:p>
              </w:tc>
              <w:tc>
                <w:tcPr>
                  <w:tcW w:w="311" w:type="pct"/>
                  <w:noWrap w:val="0"/>
                  <w:vAlign w:val="center"/>
                </w:tcPr>
                <w:p w14:paraId="7BF71919">
                  <w:pPr>
                    <w:adjustRightInd w:val="0"/>
                    <w:snapToGrid w:val="0"/>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1次/年</w:t>
                  </w:r>
                </w:p>
              </w:tc>
              <w:tc>
                <w:tcPr>
                  <w:tcW w:w="3359" w:type="pct"/>
                  <w:noWrap w:val="0"/>
                  <w:vAlign w:val="center"/>
                </w:tcPr>
                <w:p w14:paraId="283BD25A">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《合成树脂工业污染物排放标准》（GB31572-2015，含2024年修改单）</w:t>
                  </w:r>
                  <w:r>
                    <w:rPr>
                      <w:rFonts w:ascii="Times New Roman" w:hAnsi="Times New Roman" w:eastAsia="宋体" w:cs="Times New Roman"/>
                      <w:color w:val="000000"/>
                      <w:kern w:val="2"/>
                      <w:sz w:val="21"/>
                      <w:szCs w:val="21"/>
                      <w:lang w:val="en-US" w:eastAsia="zh-CN" w:bidi="ar-SA"/>
                    </w:rPr>
                    <w:t>中表4大气污染物排放限值要求</w:t>
                  </w:r>
                </w:p>
              </w:tc>
            </w:tr>
            <w:tr w14:paraId="40B1CE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91" w:type="pct"/>
                  <w:vMerge w:val="continue"/>
                  <w:noWrap w:val="0"/>
                  <w:vAlign w:val="center"/>
                </w:tcPr>
                <w:p w14:paraId="00E19F1A">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c>
                <w:tcPr>
                  <w:tcW w:w="457" w:type="pct"/>
                  <w:noWrap w:val="0"/>
                  <w:vAlign w:val="center"/>
                </w:tcPr>
                <w:p w14:paraId="7D346BC4">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厂界</w:t>
                  </w:r>
                  <w:r>
                    <w:rPr>
                      <w:rFonts w:hint="eastAsia" w:ascii="Times New Roman" w:hAnsi="Times New Roman" w:eastAsia="宋体" w:cs="Times New Roman"/>
                      <w:color w:val="000000"/>
                      <w:kern w:val="2"/>
                      <w:sz w:val="21"/>
                      <w:szCs w:val="21"/>
                      <w:lang w:val="en-US" w:eastAsia="zh-CN" w:bidi="ar-SA"/>
                    </w:rPr>
                    <w:t>处</w:t>
                  </w:r>
                </w:p>
              </w:tc>
              <w:tc>
                <w:tcPr>
                  <w:tcW w:w="680" w:type="pct"/>
                  <w:noWrap w:val="0"/>
                  <w:vAlign w:val="center"/>
                </w:tcPr>
                <w:p w14:paraId="7451A9E4">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颗粒物、非甲烷总烃</w:t>
                  </w:r>
                </w:p>
              </w:tc>
              <w:tc>
                <w:tcPr>
                  <w:tcW w:w="311" w:type="pct"/>
                  <w:noWrap w:val="0"/>
                  <w:vAlign w:val="center"/>
                </w:tcPr>
                <w:p w14:paraId="510E0B2B">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1次/年</w:t>
                  </w:r>
                </w:p>
              </w:tc>
              <w:tc>
                <w:tcPr>
                  <w:tcW w:w="3359" w:type="pct"/>
                  <w:noWrap w:val="0"/>
                  <w:vAlign w:val="center"/>
                </w:tcPr>
                <w:p w14:paraId="34B6750C">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《合成树脂工业污染物排放标准》（GB31572-2015，含2024年修改单）</w:t>
                  </w:r>
                  <w:r>
                    <w:rPr>
                      <w:rFonts w:ascii="Times New Roman" w:hAnsi="Times New Roman" w:eastAsia="宋体" w:cs="Times New Roman"/>
                      <w:color w:val="000000"/>
                      <w:kern w:val="2"/>
                      <w:sz w:val="21"/>
                      <w:szCs w:val="21"/>
                      <w:lang w:val="en-US" w:eastAsia="zh-CN" w:bidi="ar-SA"/>
                    </w:rPr>
                    <w:t>中表9中企业边界大气污染物浓度限值</w:t>
                  </w:r>
                </w:p>
              </w:tc>
            </w:tr>
            <w:tr w14:paraId="4EDBF0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91" w:type="pct"/>
                  <w:vMerge w:val="continue"/>
                  <w:noWrap w:val="0"/>
                  <w:vAlign w:val="center"/>
                </w:tcPr>
                <w:p w14:paraId="4F502491">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c>
                <w:tcPr>
                  <w:tcW w:w="457" w:type="pct"/>
                  <w:noWrap w:val="0"/>
                  <w:vAlign w:val="center"/>
                </w:tcPr>
                <w:p w14:paraId="018071DC">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厂界内</w:t>
                  </w:r>
                </w:p>
              </w:tc>
              <w:tc>
                <w:tcPr>
                  <w:tcW w:w="680" w:type="pct"/>
                  <w:noWrap w:val="0"/>
                  <w:vAlign w:val="center"/>
                </w:tcPr>
                <w:p w14:paraId="5494FAE5">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非甲烷总烃</w:t>
                  </w:r>
                </w:p>
              </w:tc>
              <w:tc>
                <w:tcPr>
                  <w:tcW w:w="311" w:type="pct"/>
                  <w:noWrap w:val="0"/>
                  <w:vAlign w:val="center"/>
                </w:tcPr>
                <w:p w14:paraId="7D132D3D">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1次/年</w:t>
                  </w:r>
                </w:p>
              </w:tc>
              <w:tc>
                <w:tcPr>
                  <w:tcW w:w="3359" w:type="pct"/>
                  <w:noWrap w:val="0"/>
                  <w:vAlign w:val="center"/>
                </w:tcPr>
                <w:p w14:paraId="38255F3B">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《挥发性有机物无组织排放控制标准》（GB 37822-2019）附录A中</w:t>
                  </w:r>
                  <w:r>
                    <w:rPr>
                      <w:rFonts w:hint="eastAsia" w:ascii="Times New Roman" w:hAnsi="Times New Roman" w:eastAsia="宋体" w:cs="Times New Roman"/>
                      <w:color w:val="000000"/>
                      <w:kern w:val="2"/>
                      <w:sz w:val="21"/>
                      <w:szCs w:val="21"/>
                      <w:lang w:val="en-US" w:eastAsia="zh-CN" w:bidi="ar-SA"/>
                    </w:rPr>
                    <w:t>非甲烷总烃</w:t>
                  </w:r>
                  <w:r>
                    <w:rPr>
                      <w:rFonts w:ascii="Times New Roman" w:hAnsi="Times New Roman" w:eastAsia="宋体" w:cs="Times New Roman"/>
                      <w:color w:val="000000"/>
                      <w:kern w:val="2"/>
                      <w:sz w:val="21"/>
                      <w:szCs w:val="21"/>
                      <w:lang w:val="en-US" w:eastAsia="zh-CN" w:bidi="ar-SA"/>
                    </w:rPr>
                    <w:t>排放限值</w:t>
                  </w:r>
                </w:p>
              </w:tc>
            </w:tr>
          </w:tbl>
          <w:p w14:paraId="2A5E2BF1">
            <w:pPr>
              <w:adjustRightInd w:val="0"/>
              <w:snapToGrid w:val="0"/>
              <w:rPr>
                <w:rFonts w:ascii="Times New Roman" w:hAnsi="Times New Roman" w:eastAsia="宋体" w:cs="Times New Roman"/>
                <w:b/>
                <w:bCs/>
                <w:color w:val="000000"/>
              </w:rPr>
            </w:pPr>
            <w:r>
              <w:rPr>
                <w:rFonts w:ascii="Times New Roman" w:hAnsi="Times New Roman" w:eastAsia="宋体" w:cs="Times New Roman"/>
                <w:b/>
                <w:bCs/>
                <w:color w:val="000000"/>
              </w:rPr>
              <w:t>2废水</w:t>
            </w:r>
          </w:p>
          <w:p w14:paraId="02E9CB15">
            <w:pPr>
              <w:keepLines w:val="0"/>
              <w:pageBreakBefore w:val="0"/>
              <w:widowControl/>
              <w:kinsoku/>
              <w:wordWrap/>
              <w:overflowPunct/>
              <w:bidi w:val="0"/>
              <w:ind w:firstLine="482" w:firstLineChars="200"/>
              <w:rPr>
                <w:rFonts w:hint="eastAsia" w:ascii="Times New Roman" w:hAnsi="Times New Roman" w:eastAsia="宋体" w:cs="Times New Roman"/>
                <w:color w:val="000000"/>
                <w:spacing w:val="0"/>
                <w:kern w:val="0"/>
              </w:rPr>
            </w:pPr>
            <w:r>
              <w:rPr>
                <w:rFonts w:ascii="Times New Roman" w:hAnsi="Times New Roman" w:eastAsia="宋体" w:cs="Times New Roman"/>
                <w:b/>
                <w:bCs/>
                <w:color w:val="000000"/>
                <w:spacing w:val="0"/>
                <w:kern w:val="0"/>
              </w:rPr>
              <w:t>2.1水污染源分析</w:t>
            </w:r>
          </w:p>
          <w:p w14:paraId="028972EA">
            <w:pPr>
              <w:keepLines w:val="0"/>
              <w:pageBreakBefore w:val="0"/>
              <w:widowControl/>
              <w:kinsoku/>
              <w:wordWrap/>
              <w:overflowPunct/>
              <w:bidi w:val="0"/>
              <w:spacing w:line="360" w:lineRule="auto"/>
              <w:ind w:firstLine="480" w:firstLineChars="200"/>
              <w:jc w:val="both"/>
              <w:rPr>
                <w:rFonts w:ascii="宋体" w:hAnsi="宋体" w:eastAsia="宋体" w:cs="宋体"/>
                <w:bCs/>
                <w:color w:val="000000"/>
                <w:kern w:val="24"/>
                <w:sz w:val="24"/>
                <w:szCs w:val="24"/>
                <w:lang w:val="en-US" w:eastAsia="zh-CN" w:bidi="ar-SA"/>
              </w:rPr>
            </w:pPr>
            <w:r>
              <w:rPr>
                <w:rFonts w:hint="eastAsia" w:ascii="Times New Roman" w:hAnsi="Times New Roman" w:eastAsia="宋体" w:cs="Times New Roman"/>
                <w:bCs/>
                <w:color w:val="000000"/>
                <w:kern w:val="24"/>
                <w:sz w:val="24"/>
                <w:szCs w:val="24"/>
                <w:lang w:val="en-US" w:eastAsia="zh-CN" w:bidi="ar-SA"/>
              </w:rPr>
              <w:t>生产废水：循环冷却水循环使用定期补充损耗，循环水定期排水属于清净下水，用于周边绿化。</w:t>
            </w:r>
          </w:p>
          <w:p w14:paraId="711B1EC1">
            <w:pPr>
              <w:keepLines w:val="0"/>
              <w:pageBreakBefore w:val="0"/>
              <w:widowControl/>
              <w:kinsoku/>
              <w:wordWrap/>
              <w:overflowPunct/>
              <w:autoSpaceDE w:val="0"/>
              <w:autoSpaceDN w:val="0"/>
              <w:bidi w:val="0"/>
              <w:adjustRightInd w:val="0"/>
              <w:snapToGrid w:val="0"/>
              <w:spacing w:line="360" w:lineRule="auto"/>
              <w:ind w:firstLine="480" w:firstLineChars="200"/>
              <w:rPr>
                <w:rFonts w:ascii="宋体" w:hAnsi="宋体" w:eastAsia="宋体" w:cs="宋体"/>
                <w:sz w:val="24"/>
              </w:rPr>
            </w:pPr>
            <w:r>
              <w:rPr>
                <w:rFonts w:ascii="Times New Roman" w:hAnsi="Times New Roman" w:eastAsia="宋体" w:cs="Times New Roman"/>
                <w:sz w:val="24"/>
              </w:rPr>
              <w:t>生活污水：</w:t>
            </w:r>
            <w:r>
              <w:rPr>
                <w:rFonts w:hint="eastAsia" w:ascii="Times New Roman" w:hAnsi="Times New Roman" w:eastAsia="宋体" w:cs="Times New Roman"/>
                <w:color w:val="000000"/>
                <w:kern w:val="0"/>
                <w:sz w:val="24"/>
                <w:lang w:bidi="ar"/>
              </w:rPr>
              <w:t>生活污水经防渗化粪池</w:t>
            </w:r>
            <w:r>
              <w:rPr>
                <w:rFonts w:hint="eastAsia" w:ascii="Times New Roman" w:hAnsi="Times New Roman" w:eastAsia="宋体" w:cs="Times New Roman"/>
                <w:color w:val="000000"/>
                <w:kern w:val="0"/>
                <w:sz w:val="24"/>
                <w:lang w:val="en-US" w:eastAsia="zh-CN" w:bidi="ar"/>
              </w:rPr>
              <w:t>收集</w:t>
            </w:r>
            <w:r>
              <w:rPr>
                <w:rFonts w:ascii="Times New Roman" w:hAnsi="Times New Roman" w:eastAsia="宋体" w:cs="Times New Roman"/>
                <w:color w:val="000000"/>
                <w:kern w:val="0"/>
                <w:sz w:val="24"/>
                <w:lang w:bidi="ar"/>
              </w:rPr>
              <w:t>，收集量为</w:t>
            </w:r>
            <w:r>
              <w:rPr>
                <w:rFonts w:hint="eastAsia" w:ascii="Times New Roman" w:hAnsi="Times New Roman" w:eastAsia="宋体" w:cs="Times New Roman"/>
                <w:color w:val="000000"/>
                <w:kern w:val="0"/>
                <w:sz w:val="24"/>
                <w:lang w:val="en-US" w:eastAsia="zh-CN" w:bidi="ar"/>
              </w:rPr>
              <w:t>576</w:t>
            </w:r>
            <w:r>
              <w:rPr>
                <w:rFonts w:ascii="Times New Roman" w:hAnsi="Times New Roman" w:eastAsia="宋体" w:cs="Times New Roman"/>
                <w:color w:val="000000"/>
                <w:kern w:val="0"/>
                <w:sz w:val="24"/>
                <w:lang w:bidi="ar"/>
              </w:rPr>
              <w:t>m</w:t>
            </w:r>
            <w:r>
              <w:rPr>
                <w:rFonts w:ascii="Times New Roman" w:hAnsi="Times New Roman" w:eastAsia="宋体" w:cs="Times New Roman"/>
                <w:color w:val="000000"/>
                <w:kern w:val="0"/>
                <w:sz w:val="24"/>
                <w:vertAlign w:val="superscript"/>
                <w:lang w:bidi="ar"/>
              </w:rPr>
              <w:t>3</w:t>
            </w:r>
            <w:r>
              <w:rPr>
                <w:rFonts w:ascii="Times New Roman" w:hAnsi="Times New Roman" w:eastAsia="宋体" w:cs="Times New Roman"/>
                <w:color w:val="000000"/>
                <w:kern w:val="0"/>
                <w:sz w:val="24"/>
                <w:lang w:bidi="ar"/>
              </w:rPr>
              <w:t>/a，后</w:t>
            </w:r>
            <w:r>
              <w:rPr>
                <w:rFonts w:hint="eastAsia" w:ascii="Times New Roman" w:hAnsi="Times New Roman" w:eastAsia="宋体" w:cs="Times New Roman"/>
                <w:color w:val="000000"/>
                <w:kern w:val="0"/>
                <w:sz w:val="24"/>
                <w:lang w:val="en-US" w:eastAsia="zh-CN" w:bidi="ar"/>
              </w:rPr>
              <w:t>由吸污车清运</w:t>
            </w:r>
            <w:r>
              <w:rPr>
                <w:rFonts w:ascii="Times New Roman" w:hAnsi="Times New Roman" w:eastAsia="宋体" w:cs="Times New Roman"/>
                <w:color w:val="000000"/>
                <w:kern w:val="0"/>
                <w:sz w:val="24"/>
                <w:lang w:bidi="ar"/>
              </w:rPr>
              <w:t>至</w:t>
            </w:r>
            <w:r>
              <w:rPr>
                <w:rFonts w:hint="eastAsia" w:ascii="Times New Roman" w:hAnsi="Times New Roman" w:eastAsia="宋体" w:cs="Times New Roman"/>
                <w:color w:val="000000"/>
                <w:kern w:val="0"/>
                <w:sz w:val="24"/>
                <w:lang w:val="en-US" w:eastAsia="zh-CN" w:bidi="ar"/>
              </w:rPr>
              <w:t>轮台县新城区污水处理厂进行处理</w:t>
            </w:r>
            <w:r>
              <w:rPr>
                <w:rFonts w:hint="eastAsia" w:ascii="Times New Roman" w:hAnsi="Times New Roman" w:eastAsia="宋体" w:cs="Times New Roman"/>
                <w:bCs/>
                <w:sz w:val="24"/>
              </w:rPr>
              <w:t>。</w:t>
            </w:r>
            <w:r>
              <w:rPr>
                <w:rFonts w:ascii="Times New Roman" w:hAnsi="Times New Roman" w:eastAsia="宋体" w:cs="Times New Roman"/>
                <w:bCs/>
                <w:sz w:val="24"/>
              </w:rPr>
              <w:t>各类排水污染物浓度及排放量见表</w:t>
            </w:r>
            <w:r>
              <w:rPr>
                <w:rFonts w:hint="eastAsia" w:ascii="Times New Roman" w:hAnsi="Times New Roman" w:eastAsia="宋体" w:cs="Times New Roman"/>
                <w:bCs/>
                <w:sz w:val="24"/>
                <w:lang w:val="en-US" w:eastAsia="zh-CN"/>
              </w:rPr>
              <w:t>4-4</w:t>
            </w:r>
            <w:r>
              <w:rPr>
                <w:rFonts w:ascii="Times New Roman" w:hAnsi="Times New Roman" w:eastAsia="宋体" w:cs="Times New Roman"/>
                <w:bCs/>
                <w:sz w:val="24"/>
              </w:rPr>
              <w:t>。</w:t>
            </w:r>
          </w:p>
          <w:p w14:paraId="79749127">
            <w:pPr>
              <w:keepLines w:val="0"/>
              <w:pageBreakBefore w:val="0"/>
              <w:widowControl/>
              <w:kinsoku/>
              <w:wordWrap/>
              <w:overflowPunct/>
              <w:bidi w:val="0"/>
              <w:adjustRightInd w:val="0"/>
              <w:snapToGrid w:val="0"/>
              <w:spacing w:line="240" w:lineRule="auto"/>
              <w:ind w:firstLine="422" w:firstLineChars="200"/>
              <w:jc w:val="left"/>
              <w:rPr>
                <w:rFonts w:hint="default" w:ascii="Times New Roman" w:hAnsi="Times New Roman" w:eastAsia="宋体" w:cs="Times New Roman"/>
                <w:b/>
                <w:bCs w:val="0"/>
                <w:color w:val="000000"/>
                <w:kern w:val="24"/>
                <w:sz w:val="21"/>
                <w:szCs w:val="21"/>
                <w:lang w:val="en-US" w:eastAsia="zh-CN" w:bidi="ar-SA"/>
              </w:rPr>
            </w:pPr>
            <w:r>
              <w:rPr>
                <w:rFonts w:hint="default" w:ascii="Times New Roman" w:hAnsi="Times New Roman" w:eastAsia="宋体" w:cs="Times New Roman"/>
                <w:b/>
                <w:bCs w:val="0"/>
                <w:color w:val="000000"/>
                <w:kern w:val="24"/>
                <w:sz w:val="21"/>
                <w:szCs w:val="21"/>
                <w:lang w:val="en-US" w:eastAsia="zh-CN" w:bidi="ar-SA"/>
              </w:rPr>
              <w:t>表4-4              本项目废水污染产生排放情况一览表</w:t>
            </w:r>
          </w:p>
          <w:tbl>
            <w:tblPr>
              <w:tblStyle w:val="24"/>
              <w:tblW w:w="4998" w:type="pct"/>
              <w:tblInd w:w="0" w:type="dxa"/>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67"/>
              <w:gridCol w:w="1060"/>
              <w:gridCol w:w="2068"/>
              <w:gridCol w:w="1084"/>
              <w:gridCol w:w="1084"/>
              <w:gridCol w:w="1084"/>
              <w:gridCol w:w="1117"/>
            </w:tblGrid>
            <w:tr w14:paraId="25AC78B6">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dxa"/>
                  <w:vMerge w:val="restart"/>
                  <w:tcBorders>
                    <w:tl2br w:val="nil"/>
                    <w:tr2bl w:val="nil"/>
                  </w:tcBorders>
                  <w:noWrap w:val="0"/>
                  <w:vAlign w:val="center"/>
                </w:tcPr>
                <w:p w14:paraId="25F28A0A">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废水类别</w:t>
                  </w:r>
                </w:p>
              </w:tc>
              <w:tc>
                <w:tcPr>
                  <w:tcW w:w="1009" w:type="dxa"/>
                  <w:vMerge w:val="restart"/>
                  <w:tcBorders>
                    <w:tl2br w:val="nil"/>
                    <w:tr2bl w:val="nil"/>
                  </w:tcBorders>
                  <w:noWrap w:val="0"/>
                  <w:vAlign w:val="center"/>
                </w:tcPr>
                <w:p w14:paraId="5CBAE1C8">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废水量m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/a</w:t>
                  </w:r>
                </w:p>
              </w:tc>
              <w:tc>
                <w:tcPr>
                  <w:tcW w:w="1968" w:type="dxa"/>
                  <w:vMerge w:val="restart"/>
                  <w:tcBorders>
                    <w:tl2br w:val="nil"/>
                    <w:tr2bl w:val="nil"/>
                  </w:tcBorders>
                  <w:noWrap w:val="0"/>
                  <w:vAlign w:val="center"/>
                </w:tcPr>
                <w:p w14:paraId="35AFCBB0">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w:t>
                  </w:r>
                </w:p>
              </w:tc>
              <w:tc>
                <w:tcPr>
                  <w:tcW w:w="4158" w:type="dxa"/>
                  <w:gridSpan w:val="4"/>
                  <w:tcBorders>
                    <w:tl2br w:val="nil"/>
                    <w:tr2bl w:val="nil"/>
                  </w:tcBorders>
                  <w:noWrap w:val="0"/>
                  <w:vAlign w:val="center"/>
                </w:tcPr>
                <w:p w14:paraId="07BCFB30">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水质组成</w:t>
                  </w:r>
                </w:p>
              </w:tc>
            </w:tr>
            <w:tr w14:paraId="7DA1B534">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dxa"/>
                  <w:vMerge w:val="continue"/>
                  <w:tcBorders>
                    <w:tl2br w:val="nil"/>
                    <w:tr2bl w:val="nil"/>
                  </w:tcBorders>
                  <w:noWrap w:val="0"/>
                  <w:vAlign w:val="center"/>
                </w:tcPr>
                <w:p w14:paraId="3BBFA57B">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p>
              </w:tc>
              <w:tc>
                <w:tcPr>
                  <w:tcW w:w="1009" w:type="dxa"/>
                  <w:vMerge w:val="continue"/>
                  <w:tcBorders>
                    <w:tl2br w:val="nil"/>
                    <w:tr2bl w:val="nil"/>
                  </w:tcBorders>
                  <w:noWrap w:val="0"/>
                  <w:vAlign w:val="center"/>
                </w:tcPr>
                <w:p w14:paraId="4720072A">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p>
              </w:tc>
              <w:tc>
                <w:tcPr>
                  <w:tcW w:w="1968" w:type="dxa"/>
                  <w:vMerge w:val="continue"/>
                  <w:tcBorders>
                    <w:tl2br w:val="nil"/>
                    <w:tr2bl w:val="nil"/>
                  </w:tcBorders>
                  <w:noWrap w:val="0"/>
                  <w:vAlign w:val="center"/>
                </w:tcPr>
                <w:p w14:paraId="4CC7A49A">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p>
              </w:tc>
              <w:tc>
                <w:tcPr>
                  <w:tcW w:w="1032" w:type="dxa"/>
                  <w:tcBorders>
                    <w:tl2br w:val="nil"/>
                    <w:tr2bl w:val="nil"/>
                  </w:tcBorders>
                  <w:noWrap w:val="0"/>
                  <w:vAlign w:val="center"/>
                </w:tcPr>
                <w:p w14:paraId="2E1BC9E3">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COD</w:t>
                  </w:r>
                </w:p>
              </w:tc>
              <w:tc>
                <w:tcPr>
                  <w:tcW w:w="1032" w:type="dxa"/>
                  <w:tcBorders>
                    <w:tl2br w:val="nil"/>
                    <w:tr2bl w:val="nil"/>
                  </w:tcBorders>
                  <w:noWrap w:val="0"/>
                  <w:vAlign w:val="center"/>
                </w:tcPr>
                <w:p w14:paraId="4BB67944">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p>
              </w:tc>
              <w:tc>
                <w:tcPr>
                  <w:tcW w:w="1032" w:type="dxa"/>
                  <w:tcBorders>
                    <w:tl2br w:val="nil"/>
                    <w:tr2bl w:val="nil"/>
                  </w:tcBorders>
                  <w:noWrap w:val="0"/>
                  <w:vAlign w:val="center"/>
                </w:tcPr>
                <w:p w14:paraId="418673D6">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氨氮</w:t>
                  </w:r>
                </w:p>
              </w:tc>
              <w:tc>
                <w:tcPr>
                  <w:tcW w:w="1062" w:type="dxa"/>
                  <w:tcBorders>
                    <w:tl2br w:val="nil"/>
                    <w:tr2bl w:val="nil"/>
                  </w:tcBorders>
                  <w:noWrap w:val="0"/>
                  <w:vAlign w:val="center"/>
                </w:tcPr>
                <w:p w14:paraId="61B24D48">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SS</w:t>
                  </w:r>
                </w:p>
              </w:tc>
            </w:tr>
            <w:tr w14:paraId="4F100B02">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dxa"/>
                  <w:vMerge w:val="restart"/>
                  <w:tcBorders>
                    <w:tl2br w:val="nil"/>
                    <w:tr2bl w:val="nil"/>
                  </w:tcBorders>
                  <w:noWrap w:val="0"/>
                  <w:vAlign w:val="center"/>
                </w:tcPr>
                <w:p w14:paraId="6AA277B5">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生活污水</w:t>
                  </w:r>
                </w:p>
              </w:tc>
              <w:tc>
                <w:tcPr>
                  <w:tcW w:w="1009" w:type="dxa"/>
                  <w:vMerge w:val="restart"/>
                  <w:tcBorders>
                    <w:tl2br w:val="nil"/>
                    <w:tr2bl w:val="nil"/>
                  </w:tcBorders>
                  <w:noWrap w:val="0"/>
                  <w:vAlign w:val="center"/>
                </w:tcPr>
                <w:p w14:paraId="0C206A4B">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576</w:t>
                  </w:r>
                </w:p>
              </w:tc>
              <w:tc>
                <w:tcPr>
                  <w:tcW w:w="1968" w:type="dxa"/>
                  <w:tcBorders>
                    <w:tl2br w:val="nil"/>
                    <w:tr2bl w:val="nil"/>
                  </w:tcBorders>
                  <w:noWrap w:val="0"/>
                  <w:vAlign w:val="center"/>
                </w:tcPr>
                <w:p w14:paraId="2367E90D">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产生浓度（mg/L）</w:t>
                  </w:r>
                </w:p>
              </w:tc>
              <w:tc>
                <w:tcPr>
                  <w:tcW w:w="1032" w:type="dxa"/>
                  <w:tcBorders>
                    <w:tl2br w:val="nil"/>
                    <w:tr2bl w:val="nil"/>
                  </w:tcBorders>
                  <w:noWrap w:val="0"/>
                  <w:vAlign w:val="center"/>
                </w:tcPr>
                <w:p w14:paraId="0B011FCC">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313.4</w:t>
                  </w:r>
                </w:p>
              </w:tc>
              <w:tc>
                <w:tcPr>
                  <w:tcW w:w="1032" w:type="dxa"/>
                  <w:tcBorders>
                    <w:tl2br w:val="nil"/>
                    <w:tr2bl w:val="nil"/>
                  </w:tcBorders>
                  <w:noWrap w:val="0"/>
                  <w:vAlign w:val="center"/>
                </w:tcPr>
                <w:p w14:paraId="2E9807C5">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114.2</w:t>
                  </w:r>
                </w:p>
              </w:tc>
              <w:tc>
                <w:tcPr>
                  <w:tcW w:w="1032" w:type="dxa"/>
                  <w:tcBorders>
                    <w:tl2br w:val="nil"/>
                    <w:tr2bl w:val="nil"/>
                  </w:tcBorders>
                  <w:noWrap w:val="0"/>
                  <w:vAlign w:val="center"/>
                </w:tcPr>
                <w:p w14:paraId="28E582B7">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47.7</w:t>
                  </w:r>
                </w:p>
              </w:tc>
              <w:tc>
                <w:tcPr>
                  <w:tcW w:w="1062" w:type="dxa"/>
                  <w:tcBorders>
                    <w:tl2br w:val="nil"/>
                    <w:tr2bl w:val="nil"/>
                  </w:tcBorders>
                  <w:noWrap w:val="0"/>
                  <w:vAlign w:val="center"/>
                </w:tcPr>
                <w:p w14:paraId="4BF20540">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194.7</w:t>
                  </w:r>
                </w:p>
              </w:tc>
            </w:tr>
            <w:tr w14:paraId="1E85D3CC">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825" w:type="dxa"/>
                  <w:vMerge w:val="continue"/>
                  <w:tcBorders>
                    <w:tl2br w:val="nil"/>
                    <w:tr2bl w:val="nil"/>
                  </w:tcBorders>
                  <w:noWrap w:val="0"/>
                  <w:vAlign w:val="center"/>
                </w:tcPr>
                <w:p w14:paraId="5A3CCE83">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rPr>
                  </w:pPr>
                </w:p>
              </w:tc>
              <w:tc>
                <w:tcPr>
                  <w:tcW w:w="1009" w:type="dxa"/>
                  <w:vMerge w:val="continue"/>
                  <w:tcBorders>
                    <w:tl2br w:val="nil"/>
                    <w:tr2bl w:val="nil"/>
                  </w:tcBorders>
                  <w:noWrap w:val="0"/>
                  <w:vAlign w:val="center"/>
                </w:tcPr>
                <w:p w14:paraId="122FB885">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rPr>
                  </w:pPr>
                </w:p>
              </w:tc>
              <w:tc>
                <w:tcPr>
                  <w:tcW w:w="1968" w:type="dxa"/>
                  <w:tcBorders>
                    <w:tl2br w:val="nil"/>
                    <w:tr2bl w:val="nil"/>
                  </w:tcBorders>
                  <w:noWrap w:val="0"/>
                  <w:vAlign w:val="center"/>
                </w:tcPr>
                <w:p w14:paraId="1313E9F7">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产生量（t/a）</w:t>
                  </w:r>
                </w:p>
              </w:tc>
              <w:tc>
                <w:tcPr>
                  <w:tcW w:w="1032" w:type="dxa"/>
                  <w:tcBorders>
                    <w:tl2br w:val="nil"/>
                    <w:tr2bl w:val="nil"/>
                  </w:tcBorders>
                  <w:noWrap w:val="0"/>
                  <w:vAlign w:val="center"/>
                </w:tcPr>
                <w:p w14:paraId="266111FC">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0.181</w:t>
                  </w:r>
                </w:p>
              </w:tc>
              <w:tc>
                <w:tcPr>
                  <w:tcW w:w="1032" w:type="dxa"/>
                  <w:tcBorders>
                    <w:tl2br w:val="nil"/>
                    <w:tr2bl w:val="nil"/>
                  </w:tcBorders>
                  <w:noWrap w:val="0"/>
                  <w:vAlign w:val="center"/>
                </w:tcPr>
                <w:p w14:paraId="424BE968">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0.066</w:t>
                  </w:r>
                </w:p>
              </w:tc>
              <w:tc>
                <w:tcPr>
                  <w:tcW w:w="1032" w:type="dxa"/>
                  <w:tcBorders>
                    <w:tl2br w:val="nil"/>
                    <w:tr2bl w:val="nil"/>
                  </w:tcBorders>
                  <w:noWrap w:val="0"/>
                  <w:vAlign w:val="center"/>
                </w:tcPr>
                <w:p w14:paraId="079FD68E">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0.027</w:t>
                  </w:r>
                </w:p>
              </w:tc>
              <w:tc>
                <w:tcPr>
                  <w:tcW w:w="1062" w:type="dxa"/>
                  <w:tcBorders>
                    <w:tl2br w:val="nil"/>
                    <w:tr2bl w:val="nil"/>
                  </w:tcBorders>
                  <w:noWrap w:val="0"/>
                  <w:vAlign w:val="center"/>
                </w:tcPr>
                <w:p w14:paraId="7B2F3530">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0.112</w:t>
                  </w:r>
                </w:p>
              </w:tc>
            </w:tr>
            <w:tr w14:paraId="7B98C15B">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60" w:type="dxa"/>
                  <w:gridSpan w:val="7"/>
                  <w:tcBorders>
                    <w:tl2br w:val="nil"/>
                    <w:tr2bl w:val="nil"/>
                  </w:tcBorders>
                  <w:noWrap w:val="0"/>
                  <w:vAlign w:val="center"/>
                </w:tcPr>
                <w:p w14:paraId="7F8923BA">
                  <w:pPr>
                    <w:keepNext/>
                    <w:keepLines w:val="0"/>
                    <w:pageBreakBefore w:val="0"/>
                    <w:widowControl/>
                    <w:kinsoku/>
                    <w:wordWrap/>
                    <w:overflowPunct/>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SS产生浓度参考《社会区域类影响评价/环境影响评价工程师职业资格登记培训教材》中房地产项目取值；CODcr、</w:t>
                  </w:r>
                  <w:r>
                    <w:rPr>
                      <w:rFonts w:hint="default" w:ascii="Times New Roman" w:hAnsi="Times New Roman" w:eastAsia="宋体" w:cs="Times New Roman"/>
                      <w:sz w:val="21"/>
                      <w:szCs w:val="21"/>
                      <w:highlight w:val="no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eastAsia" w:ascii="Times New Roman" w:hAnsi="Times New Roman" w:eastAsia="宋体" w:cs="Times New Roman"/>
                      <w:sz w:val="21"/>
                      <w:szCs w:val="21"/>
                      <w:highlight w:val="none"/>
                      <w:vertAlign w:val="baseline"/>
                      <w:lang w:val="en-US" w:eastAsia="zh-CN"/>
                    </w:rPr>
                    <w:t>、氨氮参考《排放源统计调查产排污核算方法和系数手册》中“集中式污染治理设施产排污系数手册”巴音郭楞蒙古自治州污水处理厂进水水质浓度</w:t>
                  </w:r>
                </w:p>
              </w:tc>
            </w:tr>
          </w:tbl>
          <w:p w14:paraId="1ED1E956">
            <w:pPr>
              <w:keepLines w:val="0"/>
              <w:pageBreakBefore w:val="0"/>
              <w:widowControl/>
              <w:kinsoku/>
              <w:wordWrap/>
              <w:overflowPunct/>
              <w:bidi w:val="0"/>
              <w:spacing w:line="360" w:lineRule="auto"/>
              <w:ind w:left="480" w:leftChars="200" w:firstLine="0" w:firstLineChars="0"/>
              <w:jc w:val="both"/>
              <w:rPr>
                <w:rFonts w:hint="eastAsia" w:ascii="宋体" w:hAnsi="宋体" w:eastAsia="宋体" w:cs="宋体"/>
                <w:b/>
                <w:bCs w:val="0"/>
                <w:color w:val="000000"/>
                <w:spacing w:val="0"/>
                <w:kern w:val="0"/>
                <w:sz w:val="24"/>
                <w:szCs w:val="24"/>
                <w:lang w:val="en-US" w:eastAsia="zh-CN" w:bidi="ar-SA"/>
              </w:rPr>
            </w:pPr>
            <w:r>
              <w:rPr>
                <w:rFonts w:hint="eastAsia" w:ascii="Times New Roman" w:hAnsi="Times New Roman" w:eastAsia="宋体" w:cs="Times New Roman"/>
                <w:b/>
                <w:bCs w:val="0"/>
                <w:color w:val="000000"/>
                <w:spacing w:val="0"/>
                <w:kern w:val="0"/>
                <w:sz w:val="24"/>
                <w:szCs w:val="24"/>
                <w:lang w:val="en-US" w:eastAsia="zh-CN" w:bidi="ar-SA"/>
              </w:rPr>
              <w:t>2.2</w:t>
            </w:r>
            <w:r>
              <w:rPr>
                <w:rFonts w:hint="eastAsia" w:ascii="宋体" w:hAnsi="宋体" w:eastAsia="宋体" w:cs="宋体"/>
                <w:b/>
                <w:bCs w:val="0"/>
                <w:color w:val="000000"/>
                <w:spacing w:val="0"/>
                <w:kern w:val="0"/>
                <w:sz w:val="24"/>
                <w:szCs w:val="24"/>
                <w:lang w:val="en-US" w:eastAsia="zh-CN" w:bidi="ar-SA"/>
              </w:rPr>
              <w:t>依托污水处理可行性分析</w:t>
            </w:r>
          </w:p>
          <w:p w14:paraId="2C079E4F">
            <w:pPr>
              <w:widowControl w:val="0"/>
              <w:spacing w:line="360" w:lineRule="auto"/>
              <w:ind w:firstLine="480" w:firstLineChars="200"/>
              <w:jc w:val="both"/>
              <w:rPr>
                <w:rFonts w:hint="default" w:ascii="Times New Roman" w:hAnsi="Times New Roman" w:eastAsia="宋体" w:cs="Times New Roman"/>
                <w:bCs/>
                <w:color w:val="000000"/>
                <w:kern w:val="24"/>
                <w:sz w:val="24"/>
                <w:szCs w:val="24"/>
                <w:lang w:val="en-US" w:eastAsia="zh-CN" w:bidi="ar-SA"/>
              </w:rPr>
            </w:pPr>
            <w:r>
              <w:rPr>
                <w:rFonts w:hint="default" w:ascii="Times New Roman" w:hAnsi="Times New Roman" w:eastAsia="宋体" w:cs="Times New Roman"/>
                <w:bCs/>
                <w:color w:val="000000"/>
                <w:kern w:val="24"/>
                <w:sz w:val="24"/>
                <w:szCs w:val="24"/>
                <w:lang w:val="en-US" w:eastAsia="zh-CN" w:bidi="ar-SA"/>
              </w:rPr>
              <w:t>轮台县新城区污水处理厂位于轮台县南环路以南5km处，中心地理坐标为东经84°19′47″，北纬41°47′04″。</w:t>
            </w:r>
            <w:r>
              <w:rPr>
                <w:rFonts w:hint="eastAsia" w:cs="Times New Roman"/>
                <w:bCs/>
                <w:color w:val="000000"/>
                <w:kern w:val="24"/>
                <w:sz w:val="24"/>
                <w:szCs w:val="24"/>
                <w:lang w:val="en-US" w:eastAsia="zh-CN" w:bidi="ar-SA"/>
              </w:rPr>
              <w:t>位于本项目区北侧52km左右。</w:t>
            </w:r>
            <w:r>
              <w:rPr>
                <w:rFonts w:hint="default" w:ascii="Times New Roman" w:hAnsi="Times New Roman" w:eastAsia="宋体" w:cs="Times New Roman"/>
                <w:bCs/>
                <w:color w:val="000000"/>
                <w:kern w:val="24"/>
                <w:sz w:val="24"/>
                <w:szCs w:val="24"/>
                <w:lang w:val="en-US" w:eastAsia="zh-CN" w:bidi="ar-SA"/>
              </w:rPr>
              <w:t>污水处理厂设计处理规模为1万m</w:t>
            </w:r>
            <w:r>
              <w:rPr>
                <w:rFonts w:hint="default" w:ascii="Times New Roman" w:hAnsi="Times New Roman" w:eastAsia="宋体" w:cs="Times New Roman"/>
                <w:bCs/>
                <w:color w:val="000000"/>
                <w:kern w:val="24"/>
                <w:sz w:val="24"/>
                <w:szCs w:val="24"/>
                <w:vertAlign w:val="superscript"/>
                <w:lang w:val="en-US" w:eastAsia="zh-CN" w:bidi="ar-SA"/>
              </w:rPr>
              <w:t>3</w:t>
            </w:r>
            <w:r>
              <w:rPr>
                <w:rFonts w:hint="default" w:ascii="Times New Roman" w:hAnsi="Times New Roman" w:eastAsia="宋体" w:cs="Times New Roman"/>
                <w:bCs/>
                <w:color w:val="000000"/>
                <w:kern w:val="24"/>
                <w:sz w:val="24"/>
                <w:szCs w:val="24"/>
                <w:lang w:val="en-US" w:eastAsia="zh-CN" w:bidi="ar-SA"/>
              </w:rPr>
              <w:t>/d，工艺采用改良型氧化沟+生物滤池工艺，出水满足《城镇污水处理厂污染物排放标准》（GB18918-2002）中一级A标准后排入污水处理厂南侧灌溉荒漠植被。轮台县新城区污水处理厂于2010年2月4日取得了新疆维吾尔自治区环境保护厅出具的《关于轮台县新城区南环路污水处理厂建设工程环境影响报告表的批复》（新环评审函﹝2010﹞15号），2018年8月进行了自主竣工环境保护验收。2019年6月13日取得排污许可证，证书编号：91652822754587338B001Y。污水处理厂设计处理能力为1万m</w:t>
            </w:r>
            <w:r>
              <w:rPr>
                <w:rFonts w:hint="default" w:ascii="Times New Roman" w:hAnsi="Times New Roman" w:eastAsia="宋体" w:cs="Times New Roman"/>
                <w:bCs/>
                <w:color w:val="000000"/>
                <w:kern w:val="24"/>
                <w:sz w:val="24"/>
                <w:szCs w:val="24"/>
                <w:vertAlign w:val="superscript"/>
                <w:lang w:val="en-US" w:eastAsia="zh-CN" w:bidi="ar-SA"/>
              </w:rPr>
              <w:t>3</w:t>
            </w:r>
            <w:r>
              <w:rPr>
                <w:rFonts w:hint="default" w:ascii="Times New Roman" w:hAnsi="Times New Roman" w:eastAsia="宋体" w:cs="Times New Roman"/>
                <w:bCs/>
                <w:color w:val="000000"/>
                <w:kern w:val="24"/>
                <w:sz w:val="24"/>
                <w:szCs w:val="24"/>
                <w:lang w:val="en-US" w:eastAsia="zh-CN" w:bidi="ar-SA"/>
              </w:rPr>
              <w:t>/d，目前实际进水量为4000-5000m</w:t>
            </w:r>
            <w:r>
              <w:rPr>
                <w:rFonts w:hint="default" w:ascii="Times New Roman" w:hAnsi="Times New Roman" w:eastAsia="宋体" w:cs="Times New Roman"/>
                <w:bCs/>
                <w:color w:val="000000"/>
                <w:kern w:val="24"/>
                <w:sz w:val="24"/>
                <w:szCs w:val="24"/>
                <w:vertAlign w:val="superscript"/>
                <w:lang w:val="en-US" w:eastAsia="zh-CN" w:bidi="ar-SA"/>
              </w:rPr>
              <w:t>3</w:t>
            </w:r>
            <w:r>
              <w:rPr>
                <w:rFonts w:hint="default" w:ascii="Times New Roman" w:hAnsi="Times New Roman" w:eastAsia="宋体" w:cs="Times New Roman"/>
                <w:bCs/>
                <w:color w:val="000000"/>
                <w:kern w:val="24"/>
                <w:sz w:val="24"/>
                <w:szCs w:val="24"/>
                <w:lang w:val="en-US" w:eastAsia="zh-CN" w:bidi="ar-SA"/>
              </w:rPr>
              <w:t>/d，污水处理厂余量充足，可收纳本项目排水。目前污水处理厂运行正常，出水水质稳定可做到达标排放。</w:t>
            </w:r>
          </w:p>
          <w:p w14:paraId="5BA75025">
            <w:pPr>
              <w:rPr>
                <w:rFonts w:ascii="Times New Roman" w:hAnsi="Times New Roman" w:eastAsia="宋体" w:cs="Times New Roman"/>
                <w:b/>
                <w:bCs/>
                <w:color w:val="000000"/>
              </w:rPr>
            </w:pPr>
            <w:r>
              <w:rPr>
                <w:rFonts w:ascii="Times New Roman" w:hAnsi="Times New Roman" w:eastAsia="宋体" w:cs="Times New Roman"/>
                <w:b/>
                <w:bCs/>
                <w:color w:val="000000"/>
              </w:rPr>
              <w:t>3噪声</w:t>
            </w:r>
          </w:p>
          <w:p w14:paraId="453AEA87">
            <w:pPr>
              <w:ind w:firstLine="482" w:firstLineChars="200"/>
              <w:rPr>
                <w:rFonts w:ascii="Times New Roman" w:hAnsi="Times New Roman" w:eastAsia="宋体" w:cs="Times New Roman"/>
                <w:b/>
                <w:bCs/>
                <w:color w:val="000000"/>
              </w:rPr>
            </w:pPr>
            <w:r>
              <w:rPr>
                <w:rFonts w:ascii="Times New Roman" w:hAnsi="Times New Roman" w:eastAsia="宋体" w:cs="Times New Roman"/>
                <w:b/>
                <w:bCs/>
                <w:color w:val="000000"/>
              </w:rPr>
              <w:t>3.1噪声源强</w:t>
            </w:r>
          </w:p>
          <w:p w14:paraId="3103C0F6">
            <w:pPr>
              <w:pStyle w:val="33"/>
              <w:rPr>
                <w:vertAlign w:val="baseline"/>
              </w:rPr>
            </w:pPr>
            <w:r>
              <w:rPr>
                <w:rFonts w:ascii="Times New Roman" w:hAnsi="Times New Roman" w:eastAsia="宋体" w:cs="Times New Roman"/>
                <w:bCs/>
                <w:color w:val="000000"/>
                <w:kern w:val="24"/>
                <w:sz w:val="24"/>
                <w:szCs w:val="24"/>
                <w:lang w:val="en-US" w:eastAsia="zh-CN" w:bidi="ar-SA"/>
              </w:rPr>
              <w:t>本项目运营期噪声主要为</w:t>
            </w:r>
            <w:r>
              <w:rPr>
                <w:rFonts w:hint="default" w:ascii="Times New Roman" w:hAnsi="Times New Roman" w:eastAsia="宋体" w:cs="Times New Roman"/>
                <w:bCs/>
                <w:color w:val="000000"/>
                <w:kern w:val="24"/>
                <w:sz w:val="24"/>
                <w:szCs w:val="24"/>
                <w:lang w:val="en-US" w:eastAsia="zh-CN" w:bidi="ar-SA"/>
              </w:rPr>
              <w:t>高效螺杆挤出机</w:t>
            </w:r>
            <w:r>
              <w:rPr>
                <w:rFonts w:hint="eastAsia" w:ascii="Times New Roman" w:hAnsi="Times New Roman" w:eastAsia="宋体" w:cs="Times New Roman"/>
                <w:bCs/>
                <w:color w:val="000000"/>
                <w:kern w:val="24"/>
                <w:sz w:val="24"/>
                <w:szCs w:val="24"/>
                <w:lang w:val="en-US" w:eastAsia="zh-CN" w:bidi="ar-SA"/>
              </w:rPr>
              <w:t>、多管抛丸除锈作业线、钢制管道外壁静电喷涂</w:t>
            </w:r>
            <w:r>
              <w:rPr>
                <w:rFonts w:ascii="Times New Roman" w:hAnsi="Times New Roman" w:eastAsia="宋体" w:cs="Times New Roman"/>
                <w:bCs/>
                <w:color w:val="000000"/>
                <w:kern w:val="24"/>
                <w:sz w:val="24"/>
                <w:szCs w:val="24"/>
                <w:lang w:val="en-US" w:eastAsia="zh-CN" w:bidi="ar-SA"/>
              </w:rPr>
              <w:t>等生产设备产生的噪声，本项目通过选用低</w:t>
            </w:r>
            <w:r>
              <w:rPr>
                <w:rFonts w:hint="eastAsia" w:ascii="Times New Roman" w:hAnsi="Times New Roman" w:eastAsia="宋体" w:cs="Times New Roman"/>
                <w:bCs/>
                <w:color w:val="000000"/>
                <w:kern w:val="24"/>
                <w:sz w:val="24"/>
                <w:szCs w:val="24"/>
                <w:lang w:val="en-US" w:eastAsia="zh-CN" w:bidi="ar-SA"/>
              </w:rPr>
              <w:t>噪声</w:t>
            </w:r>
            <w:r>
              <w:rPr>
                <w:rFonts w:ascii="Times New Roman" w:hAnsi="Times New Roman" w:eastAsia="宋体" w:cs="Times New Roman"/>
                <w:bCs/>
                <w:color w:val="000000"/>
                <w:kern w:val="24"/>
                <w:sz w:val="24"/>
                <w:szCs w:val="24"/>
                <w:lang w:val="en-US" w:eastAsia="zh-CN" w:bidi="ar-SA"/>
              </w:rPr>
              <w:t>设备，对设备安装减震垫，生产设备布置在车间内，利用房间进行隔声，对高噪声设备设置专门的隔声间等措施降噪。本项目设备噪声源强详见表</w:t>
            </w:r>
            <w:r>
              <w:rPr>
                <w:rFonts w:hint="eastAsia" w:ascii="Times New Roman" w:hAnsi="Times New Roman" w:eastAsia="宋体" w:cs="Times New Roman"/>
                <w:bCs/>
                <w:color w:val="000000"/>
                <w:kern w:val="24"/>
                <w:sz w:val="24"/>
                <w:szCs w:val="24"/>
                <w:lang w:val="en-US" w:eastAsia="zh-CN" w:bidi="ar-SA"/>
              </w:rPr>
              <w:t>20。</w:t>
            </w:r>
          </w:p>
        </w:tc>
      </w:tr>
    </w:tbl>
    <w:p w14:paraId="787A2179">
      <w:pPr>
        <w:pStyle w:val="33"/>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Layout w:type="autofit"/>
        <w:tblCellMar>
          <w:top w:w="0" w:type="dxa"/>
          <w:left w:w="108" w:type="dxa"/>
          <w:bottom w:w="0" w:type="dxa"/>
          <w:right w:w="108" w:type="dxa"/>
        </w:tblCellMar>
      </w:tblPr>
      <w:tblGrid>
        <w:gridCol w:w="518"/>
        <w:gridCol w:w="12710"/>
      </w:tblGrid>
      <w:tr w14:paraId="3AF185BB">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108" w:type="dxa"/>
            <w:bottom w:w="0" w:type="dxa"/>
            <w:right w:w="108" w:type="dxa"/>
          </w:tblCellMar>
        </w:tblPrEx>
        <w:trPr>
          <w:trHeight w:val="8748" w:hRule="atLeast"/>
        </w:trPr>
        <w:tc>
          <w:tcPr>
            <w:tcW w:w="196" w:type="pct"/>
            <w:tcBorders>
              <w:tl2br w:val="nil"/>
              <w:tr2bl w:val="nil"/>
            </w:tcBorders>
          </w:tcPr>
          <w:p w14:paraId="1E66EBEE">
            <w:pPr>
              <w:rPr>
                <w:vertAlign w:val="baseline"/>
              </w:rPr>
            </w:pPr>
            <w:r>
              <w:rPr>
                <w:b/>
                <w:bCs/>
                <w:vertAlign w:val="baseline"/>
              </w:rPr>
              <w:t>运营期环境影响和保护措施</w:t>
            </w:r>
          </w:p>
        </w:tc>
        <w:tc>
          <w:tcPr>
            <w:tcW w:w="4803" w:type="pct"/>
            <w:tcBorders>
              <w:tl2br w:val="nil"/>
              <w:tr2bl w:val="nil"/>
            </w:tcBorders>
          </w:tcPr>
          <w:tbl>
            <w:tblPr>
              <w:tblStyle w:val="24"/>
              <w:tblpPr w:leftFromText="180" w:rightFromText="180" w:vertAnchor="text" w:horzAnchor="page" w:tblpXSpec="center" w:tblpY="323"/>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79"/>
              <w:gridCol w:w="649"/>
              <w:gridCol w:w="876"/>
              <w:gridCol w:w="830"/>
              <w:gridCol w:w="822"/>
              <w:gridCol w:w="512"/>
              <w:gridCol w:w="432"/>
              <w:gridCol w:w="312"/>
              <w:gridCol w:w="412"/>
              <w:gridCol w:w="412"/>
              <w:gridCol w:w="412"/>
              <w:gridCol w:w="302"/>
              <w:gridCol w:w="415"/>
              <w:gridCol w:w="415"/>
              <w:gridCol w:w="415"/>
              <w:gridCol w:w="417"/>
              <w:gridCol w:w="595"/>
              <w:gridCol w:w="440"/>
              <w:gridCol w:w="440"/>
              <w:gridCol w:w="440"/>
              <w:gridCol w:w="440"/>
              <w:gridCol w:w="378"/>
              <w:gridCol w:w="378"/>
              <w:gridCol w:w="378"/>
              <w:gridCol w:w="378"/>
              <w:gridCol w:w="515"/>
            </w:tblGrid>
            <w:tr w14:paraId="0E020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92" w:type="pct"/>
                  <w:vMerge w:val="restart"/>
                  <w:tcBorders>
                    <w:tl2br w:val="nil"/>
                    <w:tr2bl w:val="nil"/>
                  </w:tcBorders>
                  <w:shd w:val="clear" w:color="auto" w:fill="auto"/>
                  <w:vAlign w:val="center"/>
                </w:tcPr>
                <w:p w14:paraId="1174FD9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bookmarkStart w:id="14" w:name="PT_6"/>
                  <w:r>
                    <w:rPr>
                      <w:rFonts w:hint="default" w:ascii="Times New Roman" w:hAnsi="Times New Roman" w:eastAsia="宋体" w:cs="Times New Roman"/>
                      <w:b w:val="0"/>
                      <w:bCs w:val="0"/>
                      <w:color w:val="000000"/>
                      <w:sz w:val="21"/>
                      <w:szCs w:val="21"/>
                    </w:rPr>
                    <w:t>序号</w:t>
                  </w:r>
                </w:p>
              </w:tc>
              <w:tc>
                <w:tcPr>
                  <w:tcW w:w="260" w:type="pct"/>
                  <w:vMerge w:val="restart"/>
                  <w:tcBorders>
                    <w:tl2br w:val="nil"/>
                    <w:tr2bl w:val="nil"/>
                  </w:tcBorders>
                  <w:shd w:val="clear" w:color="auto" w:fill="auto"/>
                  <w:vAlign w:val="center"/>
                </w:tcPr>
                <w:p w14:paraId="165E3B6E">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建筑物名称</w:t>
                  </w:r>
                </w:p>
              </w:tc>
              <w:tc>
                <w:tcPr>
                  <w:tcW w:w="351" w:type="pct"/>
                  <w:vMerge w:val="restart"/>
                  <w:tcBorders>
                    <w:tl2br w:val="nil"/>
                    <w:tr2bl w:val="nil"/>
                  </w:tcBorders>
                  <w:shd w:val="clear" w:color="auto" w:fill="auto"/>
                  <w:vAlign w:val="center"/>
                </w:tcPr>
                <w:p w14:paraId="4B31823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声源名称</w:t>
                  </w:r>
                </w:p>
              </w:tc>
              <w:tc>
                <w:tcPr>
                  <w:tcW w:w="332" w:type="pct"/>
                  <w:tcBorders>
                    <w:tl2br w:val="nil"/>
                    <w:tr2bl w:val="nil"/>
                  </w:tcBorders>
                  <w:shd w:val="clear" w:color="auto" w:fill="auto"/>
                  <w:vAlign w:val="center"/>
                </w:tcPr>
                <w:p w14:paraId="4DFABD9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声源源强</w:t>
                  </w:r>
                </w:p>
              </w:tc>
              <w:tc>
                <w:tcPr>
                  <w:tcW w:w="329" w:type="pct"/>
                  <w:vMerge w:val="restart"/>
                  <w:tcBorders>
                    <w:tl2br w:val="nil"/>
                    <w:tr2bl w:val="nil"/>
                  </w:tcBorders>
                  <w:shd w:val="clear" w:color="auto" w:fill="auto"/>
                  <w:vAlign w:val="center"/>
                </w:tcPr>
                <w:p w14:paraId="315ADBC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声源控制措施</w:t>
                  </w:r>
                </w:p>
              </w:tc>
              <w:tc>
                <w:tcPr>
                  <w:tcW w:w="503" w:type="pct"/>
                  <w:gridSpan w:val="3"/>
                  <w:tcBorders>
                    <w:tl2br w:val="nil"/>
                    <w:tr2bl w:val="nil"/>
                  </w:tcBorders>
                  <w:shd w:val="clear" w:color="auto" w:fill="auto"/>
                  <w:vAlign w:val="center"/>
                </w:tcPr>
                <w:p w14:paraId="29943A2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空间相对位置/m</w:t>
                  </w:r>
                </w:p>
              </w:tc>
              <w:tc>
                <w:tcPr>
                  <w:tcW w:w="616" w:type="pct"/>
                  <w:gridSpan w:val="4"/>
                  <w:tcBorders>
                    <w:tl2br w:val="nil"/>
                    <w:tr2bl w:val="nil"/>
                  </w:tcBorders>
                  <w:shd w:val="clear" w:color="auto" w:fill="auto"/>
                  <w:vAlign w:val="center"/>
                </w:tcPr>
                <w:p w14:paraId="6787B30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距室内边界距离/m</w:t>
                  </w:r>
                </w:p>
              </w:tc>
              <w:tc>
                <w:tcPr>
                  <w:tcW w:w="665" w:type="pct"/>
                  <w:gridSpan w:val="4"/>
                  <w:tcBorders>
                    <w:tl2br w:val="nil"/>
                    <w:tr2bl w:val="nil"/>
                  </w:tcBorders>
                  <w:shd w:val="clear" w:color="auto" w:fill="auto"/>
                  <w:vAlign w:val="center"/>
                </w:tcPr>
                <w:p w14:paraId="37FE8BE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室内边界声级/dB(A)</w:t>
                  </w:r>
                </w:p>
              </w:tc>
              <w:tc>
                <w:tcPr>
                  <w:tcW w:w="238" w:type="pct"/>
                  <w:vMerge w:val="restart"/>
                  <w:tcBorders>
                    <w:tl2br w:val="nil"/>
                    <w:tr2bl w:val="nil"/>
                  </w:tcBorders>
                  <w:shd w:val="clear" w:color="auto" w:fill="auto"/>
                  <w:vAlign w:val="center"/>
                </w:tcPr>
                <w:p w14:paraId="5D8397A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运行时段</w:t>
                  </w:r>
                </w:p>
              </w:tc>
              <w:tc>
                <w:tcPr>
                  <w:tcW w:w="704" w:type="pct"/>
                  <w:gridSpan w:val="4"/>
                  <w:tcBorders>
                    <w:tl2br w:val="nil"/>
                    <w:tr2bl w:val="nil"/>
                  </w:tcBorders>
                  <w:shd w:val="clear" w:color="auto" w:fill="auto"/>
                  <w:vAlign w:val="center"/>
                </w:tcPr>
                <w:p w14:paraId="27B84A8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建筑物插入损失 / dB(A)</w:t>
                  </w:r>
                  <w:bookmarkStart w:id="15" w:name="PT_10"/>
                  <w:bookmarkEnd w:id="15"/>
                </w:p>
              </w:tc>
              <w:tc>
                <w:tcPr>
                  <w:tcW w:w="804" w:type="pct"/>
                  <w:gridSpan w:val="5"/>
                  <w:tcBorders>
                    <w:tl2br w:val="nil"/>
                    <w:tr2bl w:val="nil"/>
                  </w:tcBorders>
                  <w:shd w:val="clear" w:color="auto" w:fill="auto"/>
                  <w:vAlign w:val="center"/>
                </w:tcPr>
                <w:p w14:paraId="6BD6899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建筑物外噪声声压级/dB(A)</w:t>
                  </w:r>
                </w:p>
              </w:tc>
            </w:tr>
            <w:tr w14:paraId="1DBF2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 w:type="pct"/>
                  <w:vMerge w:val="continue"/>
                  <w:tcBorders>
                    <w:tl2br w:val="nil"/>
                    <w:tr2bl w:val="nil"/>
                  </w:tcBorders>
                  <w:shd w:val="clear" w:color="auto" w:fill="auto"/>
                  <w:tcMar>
                    <w:top w:w="0" w:type="dxa"/>
                    <w:left w:w="0" w:type="dxa"/>
                    <w:bottom w:w="0" w:type="dxa"/>
                    <w:right w:w="0" w:type="dxa"/>
                  </w:tcMar>
                  <w:vAlign w:val="center"/>
                </w:tcPr>
                <w:p w14:paraId="3703FD7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p>
              </w:tc>
              <w:tc>
                <w:tcPr>
                  <w:tcW w:w="260" w:type="pct"/>
                  <w:vMerge w:val="continue"/>
                  <w:tcBorders>
                    <w:tl2br w:val="nil"/>
                    <w:tr2bl w:val="nil"/>
                  </w:tcBorders>
                  <w:shd w:val="clear" w:color="auto" w:fill="auto"/>
                  <w:tcMar>
                    <w:top w:w="0" w:type="dxa"/>
                    <w:left w:w="0" w:type="dxa"/>
                    <w:bottom w:w="0" w:type="dxa"/>
                    <w:right w:w="0" w:type="dxa"/>
                  </w:tcMar>
                  <w:vAlign w:val="center"/>
                </w:tcPr>
                <w:p w14:paraId="78B4735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351" w:type="pct"/>
                  <w:vMerge w:val="continue"/>
                  <w:tcBorders>
                    <w:tl2br w:val="nil"/>
                    <w:tr2bl w:val="nil"/>
                  </w:tcBorders>
                  <w:shd w:val="clear" w:color="auto" w:fill="auto"/>
                  <w:tcMar>
                    <w:top w:w="0" w:type="dxa"/>
                    <w:left w:w="0" w:type="dxa"/>
                    <w:bottom w:w="0" w:type="dxa"/>
                    <w:right w:w="0" w:type="dxa"/>
                  </w:tcMar>
                  <w:vAlign w:val="center"/>
                </w:tcPr>
                <w:p w14:paraId="0E8B281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332" w:type="pct"/>
                  <w:tcBorders>
                    <w:tl2br w:val="nil"/>
                    <w:tr2bl w:val="nil"/>
                  </w:tcBorders>
                  <w:shd w:val="clear" w:color="auto" w:fill="auto"/>
                  <w:tcMar>
                    <w:top w:w="0" w:type="dxa"/>
                    <w:left w:w="0" w:type="dxa"/>
                    <w:bottom w:w="0" w:type="dxa"/>
                    <w:right w:w="0" w:type="dxa"/>
                  </w:tcMar>
                  <w:vAlign w:val="center"/>
                </w:tcPr>
                <w:p w14:paraId="6D2B5D4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声功率级/dB(A)</w:t>
                  </w:r>
                </w:p>
              </w:tc>
              <w:tc>
                <w:tcPr>
                  <w:tcW w:w="329" w:type="pct"/>
                  <w:vMerge w:val="continue"/>
                  <w:tcBorders>
                    <w:tl2br w:val="nil"/>
                    <w:tr2bl w:val="nil"/>
                  </w:tcBorders>
                  <w:shd w:val="clear" w:color="auto" w:fill="auto"/>
                  <w:tcMar>
                    <w:top w:w="0" w:type="dxa"/>
                    <w:left w:w="0" w:type="dxa"/>
                    <w:bottom w:w="0" w:type="dxa"/>
                    <w:right w:w="0" w:type="dxa"/>
                  </w:tcMar>
                  <w:vAlign w:val="center"/>
                </w:tcPr>
                <w:p w14:paraId="3659FED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205" w:type="pct"/>
                  <w:tcBorders>
                    <w:tl2br w:val="nil"/>
                    <w:tr2bl w:val="nil"/>
                  </w:tcBorders>
                  <w:shd w:val="clear" w:color="auto" w:fill="auto"/>
                  <w:tcMar>
                    <w:top w:w="0" w:type="dxa"/>
                    <w:left w:w="0" w:type="dxa"/>
                    <w:bottom w:w="0" w:type="dxa"/>
                    <w:right w:w="0" w:type="dxa"/>
                  </w:tcMar>
                  <w:vAlign w:val="center"/>
                </w:tcPr>
                <w:p w14:paraId="6DA4D92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X</w:t>
                  </w:r>
                </w:p>
              </w:tc>
              <w:tc>
                <w:tcPr>
                  <w:tcW w:w="173" w:type="pct"/>
                  <w:tcBorders>
                    <w:tl2br w:val="nil"/>
                    <w:tr2bl w:val="nil"/>
                  </w:tcBorders>
                  <w:shd w:val="clear" w:color="auto" w:fill="auto"/>
                  <w:tcMar>
                    <w:top w:w="0" w:type="dxa"/>
                    <w:left w:w="0" w:type="dxa"/>
                    <w:bottom w:w="0" w:type="dxa"/>
                    <w:right w:w="0" w:type="dxa"/>
                  </w:tcMar>
                  <w:vAlign w:val="center"/>
                </w:tcPr>
                <w:p w14:paraId="7890D9C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Y</w:t>
                  </w:r>
                </w:p>
              </w:tc>
              <w:tc>
                <w:tcPr>
                  <w:tcW w:w="125" w:type="pct"/>
                  <w:tcBorders>
                    <w:tl2br w:val="nil"/>
                    <w:tr2bl w:val="nil"/>
                  </w:tcBorders>
                  <w:shd w:val="clear" w:color="auto" w:fill="auto"/>
                  <w:tcMar>
                    <w:top w:w="0" w:type="dxa"/>
                    <w:left w:w="0" w:type="dxa"/>
                    <w:bottom w:w="0" w:type="dxa"/>
                    <w:right w:w="0" w:type="dxa"/>
                  </w:tcMar>
                  <w:vAlign w:val="center"/>
                </w:tcPr>
                <w:p w14:paraId="097CE57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Z</w:t>
                  </w:r>
                </w:p>
              </w:tc>
              <w:tc>
                <w:tcPr>
                  <w:tcW w:w="165" w:type="pct"/>
                  <w:tcBorders>
                    <w:tl2br w:val="nil"/>
                    <w:tr2bl w:val="nil"/>
                  </w:tcBorders>
                  <w:shd w:val="clear" w:color="auto" w:fill="auto"/>
                  <w:tcMar>
                    <w:top w:w="0" w:type="dxa"/>
                    <w:left w:w="0" w:type="dxa"/>
                    <w:bottom w:w="0" w:type="dxa"/>
                    <w:right w:w="0" w:type="dxa"/>
                  </w:tcMar>
                  <w:vAlign w:val="center"/>
                </w:tcPr>
                <w:p w14:paraId="1BF67A2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东</w:t>
                  </w:r>
                </w:p>
              </w:tc>
              <w:tc>
                <w:tcPr>
                  <w:tcW w:w="165" w:type="pct"/>
                  <w:tcBorders>
                    <w:tl2br w:val="nil"/>
                    <w:tr2bl w:val="nil"/>
                  </w:tcBorders>
                  <w:shd w:val="clear" w:color="auto" w:fill="auto"/>
                  <w:tcMar>
                    <w:top w:w="0" w:type="dxa"/>
                    <w:left w:w="0" w:type="dxa"/>
                    <w:bottom w:w="0" w:type="dxa"/>
                    <w:right w:w="0" w:type="dxa"/>
                  </w:tcMar>
                  <w:vAlign w:val="center"/>
                </w:tcPr>
                <w:p w14:paraId="7982387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南</w:t>
                  </w:r>
                </w:p>
              </w:tc>
              <w:tc>
                <w:tcPr>
                  <w:tcW w:w="165" w:type="pct"/>
                  <w:tcBorders>
                    <w:tl2br w:val="nil"/>
                    <w:tr2bl w:val="nil"/>
                  </w:tcBorders>
                  <w:shd w:val="clear" w:color="auto" w:fill="auto"/>
                  <w:tcMar>
                    <w:top w:w="0" w:type="dxa"/>
                    <w:left w:w="0" w:type="dxa"/>
                    <w:bottom w:w="0" w:type="dxa"/>
                    <w:right w:w="0" w:type="dxa"/>
                  </w:tcMar>
                  <w:vAlign w:val="center"/>
                </w:tcPr>
                <w:p w14:paraId="7CC8757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西</w:t>
                  </w:r>
                </w:p>
              </w:tc>
              <w:tc>
                <w:tcPr>
                  <w:tcW w:w="119" w:type="pct"/>
                  <w:tcBorders>
                    <w:tl2br w:val="nil"/>
                    <w:tr2bl w:val="nil"/>
                  </w:tcBorders>
                  <w:shd w:val="clear" w:color="auto" w:fill="auto"/>
                  <w:tcMar>
                    <w:top w:w="0" w:type="dxa"/>
                    <w:left w:w="0" w:type="dxa"/>
                    <w:bottom w:w="0" w:type="dxa"/>
                    <w:right w:w="0" w:type="dxa"/>
                  </w:tcMar>
                  <w:vAlign w:val="center"/>
                </w:tcPr>
                <w:p w14:paraId="59DD408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北</w:t>
                  </w:r>
                </w:p>
              </w:tc>
              <w:tc>
                <w:tcPr>
                  <w:tcW w:w="166" w:type="pct"/>
                  <w:tcBorders>
                    <w:tl2br w:val="nil"/>
                    <w:tr2bl w:val="nil"/>
                  </w:tcBorders>
                  <w:shd w:val="clear" w:color="auto" w:fill="auto"/>
                  <w:tcMar>
                    <w:top w:w="0" w:type="dxa"/>
                    <w:left w:w="0" w:type="dxa"/>
                    <w:bottom w:w="0" w:type="dxa"/>
                    <w:right w:w="0" w:type="dxa"/>
                  </w:tcMar>
                  <w:vAlign w:val="center"/>
                </w:tcPr>
                <w:p w14:paraId="6F6763B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东</w:t>
                  </w:r>
                </w:p>
              </w:tc>
              <w:tc>
                <w:tcPr>
                  <w:tcW w:w="166" w:type="pct"/>
                  <w:tcBorders>
                    <w:tl2br w:val="nil"/>
                    <w:tr2bl w:val="nil"/>
                  </w:tcBorders>
                  <w:shd w:val="clear" w:color="auto" w:fill="auto"/>
                  <w:tcMar>
                    <w:top w:w="0" w:type="dxa"/>
                    <w:left w:w="0" w:type="dxa"/>
                    <w:bottom w:w="0" w:type="dxa"/>
                    <w:right w:w="0" w:type="dxa"/>
                  </w:tcMar>
                  <w:vAlign w:val="center"/>
                </w:tcPr>
                <w:p w14:paraId="22D1C16E">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南</w:t>
                  </w:r>
                </w:p>
              </w:tc>
              <w:tc>
                <w:tcPr>
                  <w:tcW w:w="166" w:type="pct"/>
                  <w:tcBorders>
                    <w:tl2br w:val="nil"/>
                    <w:tr2bl w:val="nil"/>
                  </w:tcBorders>
                  <w:shd w:val="clear" w:color="auto" w:fill="auto"/>
                  <w:tcMar>
                    <w:top w:w="0" w:type="dxa"/>
                    <w:left w:w="0" w:type="dxa"/>
                    <w:bottom w:w="0" w:type="dxa"/>
                    <w:right w:w="0" w:type="dxa"/>
                  </w:tcMar>
                  <w:vAlign w:val="center"/>
                </w:tcPr>
                <w:p w14:paraId="6FBB2EC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西</w:t>
                  </w:r>
                </w:p>
              </w:tc>
              <w:tc>
                <w:tcPr>
                  <w:tcW w:w="166" w:type="pct"/>
                  <w:tcBorders>
                    <w:tl2br w:val="nil"/>
                    <w:tr2bl w:val="nil"/>
                  </w:tcBorders>
                  <w:shd w:val="clear" w:color="auto" w:fill="auto"/>
                  <w:tcMar>
                    <w:top w:w="0" w:type="dxa"/>
                    <w:left w:w="0" w:type="dxa"/>
                    <w:bottom w:w="0" w:type="dxa"/>
                    <w:right w:w="0" w:type="dxa"/>
                  </w:tcMar>
                  <w:vAlign w:val="center"/>
                </w:tcPr>
                <w:p w14:paraId="4A770E0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北</w:t>
                  </w:r>
                </w:p>
              </w:tc>
              <w:tc>
                <w:tcPr>
                  <w:tcW w:w="238" w:type="pct"/>
                  <w:vMerge w:val="continue"/>
                  <w:tcBorders>
                    <w:tl2br w:val="nil"/>
                    <w:tr2bl w:val="nil"/>
                  </w:tcBorders>
                  <w:shd w:val="clear" w:color="auto" w:fill="auto"/>
                  <w:tcMar>
                    <w:top w:w="0" w:type="dxa"/>
                    <w:left w:w="0" w:type="dxa"/>
                    <w:bottom w:w="0" w:type="dxa"/>
                    <w:right w:w="0" w:type="dxa"/>
                  </w:tcMar>
                  <w:vAlign w:val="center"/>
                </w:tcPr>
                <w:p w14:paraId="74665B2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76" w:type="pct"/>
                  <w:tcBorders>
                    <w:tl2br w:val="nil"/>
                    <w:tr2bl w:val="nil"/>
                  </w:tcBorders>
                  <w:shd w:val="clear" w:color="auto" w:fill="auto"/>
                  <w:tcMar>
                    <w:top w:w="0" w:type="dxa"/>
                    <w:left w:w="0" w:type="dxa"/>
                    <w:bottom w:w="0" w:type="dxa"/>
                    <w:right w:w="0" w:type="dxa"/>
                  </w:tcMar>
                  <w:vAlign w:val="center"/>
                </w:tcPr>
                <w:p w14:paraId="2E55F90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东</w:t>
                  </w:r>
                </w:p>
              </w:tc>
              <w:tc>
                <w:tcPr>
                  <w:tcW w:w="176" w:type="pct"/>
                  <w:tcBorders>
                    <w:tl2br w:val="nil"/>
                    <w:tr2bl w:val="nil"/>
                  </w:tcBorders>
                  <w:shd w:val="clear" w:color="auto" w:fill="auto"/>
                  <w:tcMar>
                    <w:top w:w="0" w:type="dxa"/>
                    <w:left w:w="0" w:type="dxa"/>
                    <w:bottom w:w="0" w:type="dxa"/>
                    <w:right w:w="0" w:type="dxa"/>
                  </w:tcMar>
                  <w:vAlign w:val="center"/>
                </w:tcPr>
                <w:p w14:paraId="37AAE8F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南</w:t>
                  </w:r>
                </w:p>
              </w:tc>
              <w:tc>
                <w:tcPr>
                  <w:tcW w:w="176" w:type="pct"/>
                  <w:tcBorders>
                    <w:tl2br w:val="nil"/>
                    <w:tr2bl w:val="nil"/>
                  </w:tcBorders>
                  <w:shd w:val="clear" w:color="auto" w:fill="auto"/>
                  <w:tcMar>
                    <w:top w:w="0" w:type="dxa"/>
                    <w:left w:w="0" w:type="dxa"/>
                    <w:bottom w:w="0" w:type="dxa"/>
                    <w:right w:w="0" w:type="dxa"/>
                  </w:tcMar>
                  <w:vAlign w:val="center"/>
                </w:tcPr>
                <w:p w14:paraId="0DE794A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西</w:t>
                  </w:r>
                </w:p>
              </w:tc>
              <w:tc>
                <w:tcPr>
                  <w:tcW w:w="176" w:type="pct"/>
                  <w:tcBorders>
                    <w:tl2br w:val="nil"/>
                    <w:tr2bl w:val="nil"/>
                  </w:tcBorders>
                  <w:shd w:val="clear" w:color="auto" w:fill="auto"/>
                  <w:tcMar>
                    <w:top w:w="0" w:type="dxa"/>
                    <w:left w:w="0" w:type="dxa"/>
                    <w:bottom w:w="0" w:type="dxa"/>
                    <w:right w:w="0" w:type="dxa"/>
                  </w:tcMar>
                  <w:vAlign w:val="center"/>
                </w:tcPr>
                <w:p w14:paraId="685D3AA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北</w:t>
                  </w:r>
                </w:p>
              </w:tc>
              <w:tc>
                <w:tcPr>
                  <w:tcW w:w="151" w:type="pct"/>
                  <w:tcBorders>
                    <w:tl2br w:val="nil"/>
                    <w:tr2bl w:val="nil"/>
                  </w:tcBorders>
                  <w:shd w:val="clear" w:color="auto" w:fill="auto"/>
                  <w:tcMar>
                    <w:top w:w="0" w:type="dxa"/>
                    <w:left w:w="0" w:type="dxa"/>
                    <w:bottom w:w="0" w:type="dxa"/>
                    <w:right w:w="0" w:type="dxa"/>
                  </w:tcMar>
                  <w:vAlign w:val="center"/>
                </w:tcPr>
                <w:p w14:paraId="3B56CD2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东</w:t>
                  </w:r>
                </w:p>
              </w:tc>
              <w:tc>
                <w:tcPr>
                  <w:tcW w:w="151" w:type="pct"/>
                  <w:tcBorders>
                    <w:tl2br w:val="nil"/>
                    <w:tr2bl w:val="nil"/>
                  </w:tcBorders>
                  <w:shd w:val="clear" w:color="auto" w:fill="auto"/>
                  <w:tcMar>
                    <w:top w:w="0" w:type="dxa"/>
                    <w:left w:w="0" w:type="dxa"/>
                    <w:bottom w:w="0" w:type="dxa"/>
                    <w:right w:w="0" w:type="dxa"/>
                  </w:tcMar>
                  <w:vAlign w:val="center"/>
                </w:tcPr>
                <w:p w14:paraId="5FD464A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南</w:t>
                  </w:r>
                </w:p>
              </w:tc>
              <w:tc>
                <w:tcPr>
                  <w:tcW w:w="151" w:type="pct"/>
                  <w:tcBorders>
                    <w:tl2br w:val="nil"/>
                    <w:tr2bl w:val="nil"/>
                  </w:tcBorders>
                  <w:shd w:val="clear" w:color="auto" w:fill="auto"/>
                  <w:tcMar>
                    <w:top w:w="0" w:type="dxa"/>
                    <w:left w:w="0" w:type="dxa"/>
                    <w:bottom w:w="0" w:type="dxa"/>
                    <w:right w:w="0" w:type="dxa"/>
                  </w:tcMar>
                  <w:vAlign w:val="center"/>
                </w:tcPr>
                <w:p w14:paraId="3A370F3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西</w:t>
                  </w:r>
                </w:p>
              </w:tc>
              <w:tc>
                <w:tcPr>
                  <w:tcW w:w="151" w:type="pct"/>
                  <w:tcBorders>
                    <w:tl2br w:val="nil"/>
                    <w:tr2bl w:val="nil"/>
                  </w:tcBorders>
                  <w:shd w:val="clear" w:color="auto" w:fill="auto"/>
                  <w:tcMar>
                    <w:top w:w="0" w:type="dxa"/>
                    <w:left w:w="0" w:type="dxa"/>
                    <w:bottom w:w="0" w:type="dxa"/>
                    <w:right w:w="0" w:type="dxa"/>
                  </w:tcMar>
                  <w:vAlign w:val="center"/>
                </w:tcPr>
                <w:p w14:paraId="5C4F654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北</w:t>
                  </w:r>
                </w:p>
              </w:tc>
              <w:tc>
                <w:tcPr>
                  <w:tcW w:w="199" w:type="pct"/>
                  <w:tcBorders>
                    <w:tl2br w:val="nil"/>
                    <w:tr2bl w:val="nil"/>
                  </w:tcBorders>
                  <w:shd w:val="clear" w:color="auto" w:fill="auto"/>
                  <w:tcMar>
                    <w:top w:w="0" w:type="dxa"/>
                    <w:left w:w="0" w:type="dxa"/>
                    <w:bottom w:w="0" w:type="dxa"/>
                    <w:right w:w="0" w:type="dxa"/>
                  </w:tcMar>
                  <w:vAlign w:val="center"/>
                </w:tcPr>
                <w:p w14:paraId="2C6D653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建筑物外距离</w:t>
                  </w:r>
                </w:p>
              </w:tc>
            </w:tr>
            <w:tr w14:paraId="46C27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2" w:type="pct"/>
                  <w:tcBorders>
                    <w:tl2br w:val="nil"/>
                    <w:tr2bl w:val="nil"/>
                  </w:tcBorders>
                  <w:shd w:val="clear" w:color="auto" w:fill="auto"/>
                  <w:tcMar>
                    <w:top w:w="0" w:type="dxa"/>
                    <w:left w:w="0" w:type="dxa"/>
                    <w:bottom w:w="0" w:type="dxa"/>
                    <w:right w:w="0" w:type="dxa"/>
                  </w:tcMar>
                  <w:vAlign w:val="center"/>
                </w:tcPr>
                <w:p w14:paraId="7475206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w:t>
                  </w:r>
                </w:p>
              </w:tc>
              <w:tc>
                <w:tcPr>
                  <w:tcW w:w="260" w:type="pct"/>
                  <w:vMerge w:val="restart"/>
                  <w:tcBorders>
                    <w:tl2br w:val="nil"/>
                    <w:tr2bl w:val="nil"/>
                  </w:tcBorders>
                  <w:shd w:val="clear" w:color="auto" w:fill="auto"/>
                  <w:tcMar>
                    <w:top w:w="0" w:type="dxa"/>
                    <w:left w:w="0" w:type="dxa"/>
                    <w:bottom w:w="0" w:type="dxa"/>
                    <w:right w:w="0" w:type="dxa"/>
                  </w:tcMar>
                  <w:vAlign w:val="center"/>
                </w:tcPr>
                <w:p w14:paraId="5646EC7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厂房</w:t>
                  </w:r>
                </w:p>
              </w:tc>
              <w:tc>
                <w:tcPr>
                  <w:tcW w:w="351" w:type="pct"/>
                  <w:tcBorders>
                    <w:tl2br w:val="nil"/>
                    <w:tr2bl w:val="nil"/>
                  </w:tcBorders>
                  <w:shd w:val="clear" w:color="auto" w:fill="auto"/>
                  <w:tcMar>
                    <w:top w:w="0" w:type="dxa"/>
                    <w:left w:w="0" w:type="dxa"/>
                    <w:bottom w:w="0" w:type="dxa"/>
                    <w:right w:w="0" w:type="dxa"/>
                  </w:tcMar>
                  <w:vAlign w:val="center"/>
                </w:tcPr>
                <w:p w14:paraId="5BCEF32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高效螺杆挤出机</w:t>
                  </w:r>
                </w:p>
              </w:tc>
              <w:tc>
                <w:tcPr>
                  <w:tcW w:w="332" w:type="pct"/>
                  <w:tcBorders>
                    <w:tl2br w:val="nil"/>
                    <w:tr2bl w:val="nil"/>
                  </w:tcBorders>
                  <w:shd w:val="clear" w:color="auto" w:fill="auto"/>
                  <w:tcMar>
                    <w:top w:w="0" w:type="dxa"/>
                    <w:left w:w="0" w:type="dxa"/>
                    <w:bottom w:w="0" w:type="dxa"/>
                    <w:right w:w="0" w:type="dxa"/>
                  </w:tcMar>
                  <w:vAlign w:val="center"/>
                </w:tcPr>
                <w:p w14:paraId="0B6291D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85</w:t>
                  </w:r>
                </w:p>
              </w:tc>
              <w:tc>
                <w:tcPr>
                  <w:tcW w:w="329" w:type="pct"/>
                  <w:vMerge w:val="restart"/>
                  <w:tcBorders>
                    <w:tl2br w:val="nil"/>
                    <w:tr2bl w:val="nil"/>
                  </w:tcBorders>
                  <w:shd w:val="clear" w:color="auto" w:fill="auto"/>
                  <w:tcMar>
                    <w:top w:w="0" w:type="dxa"/>
                    <w:left w:w="0" w:type="dxa"/>
                    <w:bottom w:w="0" w:type="dxa"/>
                    <w:right w:w="0" w:type="dxa"/>
                  </w:tcMar>
                  <w:vAlign w:val="center"/>
                </w:tcPr>
                <w:p w14:paraId="38F8DB7E">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基础减振，厂房隔声</w:t>
                  </w:r>
                </w:p>
              </w:tc>
              <w:tc>
                <w:tcPr>
                  <w:tcW w:w="205" w:type="pct"/>
                  <w:tcBorders>
                    <w:tl2br w:val="nil"/>
                    <w:tr2bl w:val="nil"/>
                  </w:tcBorders>
                  <w:shd w:val="clear" w:color="auto" w:fill="auto"/>
                  <w:tcMar>
                    <w:top w:w="0" w:type="dxa"/>
                    <w:left w:w="0" w:type="dxa"/>
                    <w:bottom w:w="0" w:type="dxa"/>
                    <w:right w:w="0" w:type="dxa"/>
                  </w:tcMar>
                  <w:vAlign w:val="center"/>
                </w:tcPr>
                <w:p w14:paraId="2240996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-11.8</w:t>
                  </w:r>
                </w:p>
              </w:tc>
              <w:tc>
                <w:tcPr>
                  <w:tcW w:w="173" w:type="pct"/>
                  <w:tcBorders>
                    <w:tl2br w:val="nil"/>
                    <w:tr2bl w:val="nil"/>
                  </w:tcBorders>
                  <w:shd w:val="clear" w:color="auto" w:fill="auto"/>
                  <w:tcMar>
                    <w:top w:w="0" w:type="dxa"/>
                    <w:left w:w="0" w:type="dxa"/>
                    <w:bottom w:w="0" w:type="dxa"/>
                    <w:right w:w="0" w:type="dxa"/>
                  </w:tcMar>
                  <w:vAlign w:val="center"/>
                </w:tcPr>
                <w:p w14:paraId="7F38F2D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30.6</w:t>
                  </w:r>
                </w:p>
              </w:tc>
              <w:tc>
                <w:tcPr>
                  <w:tcW w:w="125" w:type="pct"/>
                  <w:tcBorders>
                    <w:tl2br w:val="nil"/>
                    <w:tr2bl w:val="nil"/>
                  </w:tcBorders>
                  <w:shd w:val="clear" w:color="auto" w:fill="auto"/>
                  <w:tcMar>
                    <w:top w:w="0" w:type="dxa"/>
                    <w:left w:w="0" w:type="dxa"/>
                    <w:bottom w:w="0" w:type="dxa"/>
                    <w:right w:w="0" w:type="dxa"/>
                  </w:tcMar>
                  <w:vAlign w:val="center"/>
                </w:tcPr>
                <w:p w14:paraId="4E583EA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w:t>
                  </w:r>
                </w:p>
              </w:tc>
              <w:tc>
                <w:tcPr>
                  <w:tcW w:w="165" w:type="pct"/>
                  <w:tcBorders>
                    <w:tl2br w:val="nil"/>
                    <w:tr2bl w:val="nil"/>
                  </w:tcBorders>
                  <w:shd w:val="clear" w:color="auto" w:fill="auto"/>
                  <w:tcMar>
                    <w:top w:w="0" w:type="dxa"/>
                    <w:left w:w="0" w:type="dxa"/>
                    <w:bottom w:w="0" w:type="dxa"/>
                    <w:right w:w="0" w:type="dxa"/>
                  </w:tcMar>
                  <w:vAlign w:val="center"/>
                </w:tcPr>
                <w:p w14:paraId="4D0F2EA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15.1</w:t>
                  </w:r>
                </w:p>
              </w:tc>
              <w:tc>
                <w:tcPr>
                  <w:tcW w:w="165" w:type="pct"/>
                  <w:tcBorders>
                    <w:tl2br w:val="nil"/>
                    <w:tr2bl w:val="nil"/>
                  </w:tcBorders>
                  <w:shd w:val="clear" w:color="auto" w:fill="auto"/>
                  <w:tcMar>
                    <w:top w:w="0" w:type="dxa"/>
                    <w:left w:w="0" w:type="dxa"/>
                    <w:bottom w:w="0" w:type="dxa"/>
                    <w:right w:w="0" w:type="dxa"/>
                  </w:tcMar>
                  <w:vAlign w:val="center"/>
                </w:tcPr>
                <w:p w14:paraId="5E1FEAF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13.2</w:t>
                  </w:r>
                </w:p>
              </w:tc>
              <w:tc>
                <w:tcPr>
                  <w:tcW w:w="165" w:type="pct"/>
                  <w:tcBorders>
                    <w:tl2br w:val="nil"/>
                    <w:tr2bl w:val="nil"/>
                  </w:tcBorders>
                  <w:shd w:val="clear" w:color="auto" w:fill="auto"/>
                  <w:tcMar>
                    <w:top w:w="0" w:type="dxa"/>
                    <w:left w:w="0" w:type="dxa"/>
                    <w:bottom w:w="0" w:type="dxa"/>
                    <w:right w:w="0" w:type="dxa"/>
                  </w:tcMar>
                  <w:vAlign w:val="center"/>
                </w:tcPr>
                <w:p w14:paraId="75C46F2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9.5</w:t>
                  </w:r>
                </w:p>
              </w:tc>
              <w:tc>
                <w:tcPr>
                  <w:tcW w:w="119" w:type="pct"/>
                  <w:tcBorders>
                    <w:tl2br w:val="nil"/>
                    <w:tr2bl w:val="nil"/>
                  </w:tcBorders>
                  <w:shd w:val="clear" w:color="auto" w:fill="auto"/>
                  <w:tcMar>
                    <w:top w:w="0" w:type="dxa"/>
                    <w:left w:w="0" w:type="dxa"/>
                    <w:bottom w:w="0" w:type="dxa"/>
                    <w:right w:w="0" w:type="dxa"/>
                  </w:tcMar>
                  <w:vAlign w:val="center"/>
                </w:tcPr>
                <w:p w14:paraId="54917DC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8.8</w:t>
                  </w:r>
                </w:p>
              </w:tc>
              <w:tc>
                <w:tcPr>
                  <w:tcW w:w="166" w:type="pct"/>
                  <w:tcBorders>
                    <w:tl2br w:val="nil"/>
                    <w:tr2bl w:val="nil"/>
                  </w:tcBorders>
                  <w:shd w:val="clear" w:color="auto" w:fill="auto"/>
                  <w:tcMar>
                    <w:top w:w="0" w:type="dxa"/>
                    <w:left w:w="0" w:type="dxa"/>
                    <w:bottom w:w="0" w:type="dxa"/>
                    <w:right w:w="0" w:type="dxa"/>
                  </w:tcMar>
                  <w:vAlign w:val="center"/>
                </w:tcPr>
                <w:p w14:paraId="3950961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2E2135F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17148CC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3EC69B2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238" w:type="pct"/>
                  <w:vMerge w:val="restart"/>
                  <w:tcBorders>
                    <w:tl2br w:val="nil"/>
                    <w:tr2bl w:val="nil"/>
                  </w:tcBorders>
                  <w:shd w:val="clear" w:color="auto" w:fill="auto"/>
                  <w:tcMar>
                    <w:top w:w="0" w:type="dxa"/>
                    <w:left w:w="0" w:type="dxa"/>
                    <w:bottom w:w="0" w:type="dxa"/>
                    <w:right w:w="0" w:type="dxa"/>
                  </w:tcMar>
                  <w:vAlign w:val="center"/>
                </w:tcPr>
                <w:p w14:paraId="62557F3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昼间</w:t>
                  </w:r>
                </w:p>
              </w:tc>
              <w:tc>
                <w:tcPr>
                  <w:tcW w:w="176" w:type="pct"/>
                  <w:tcBorders>
                    <w:tl2br w:val="nil"/>
                    <w:tr2bl w:val="nil"/>
                  </w:tcBorders>
                  <w:shd w:val="clear" w:color="auto" w:fill="auto"/>
                  <w:tcMar>
                    <w:top w:w="0" w:type="dxa"/>
                    <w:left w:w="0" w:type="dxa"/>
                    <w:bottom w:w="0" w:type="dxa"/>
                    <w:right w:w="0" w:type="dxa"/>
                  </w:tcMar>
                  <w:vAlign w:val="center"/>
                </w:tcPr>
                <w:p w14:paraId="58C50D1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1AB89CE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1BE1BC4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6B9887B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51" w:type="pct"/>
                  <w:tcBorders>
                    <w:tl2br w:val="nil"/>
                    <w:tr2bl w:val="nil"/>
                  </w:tcBorders>
                  <w:shd w:val="clear" w:color="auto" w:fill="auto"/>
                  <w:tcMar>
                    <w:top w:w="0" w:type="dxa"/>
                    <w:left w:w="0" w:type="dxa"/>
                    <w:bottom w:w="0" w:type="dxa"/>
                    <w:right w:w="0" w:type="dxa"/>
                  </w:tcMar>
                  <w:vAlign w:val="center"/>
                </w:tcPr>
                <w:p w14:paraId="74FD73F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23E566D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7FE4CB5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783B172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99" w:type="pct"/>
                  <w:tcBorders>
                    <w:tl2br w:val="nil"/>
                    <w:tr2bl w:val="nil"/>
                  </w:tcBorders>
                  <w:shd w:val="clear" w:color="auto" w:fill="auto"/>
                  <w:tcMar>
                    <w:top w:w="0" w:type="dxa"/>
                    <w:left w:w="0" w:type="dxa"/>
                    <w:bottom w:w="0" w:type="dxa"/>
                    <w:right w:w="0" w:type="dxa"/>
                  </w:tcMar>
                  <w:vAlign w:val="center"/>
                </w:tcPr>
                <w:p w14:paraId="0D5D735E">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w:t>
                  </w:r>
                </w:p>
              </w:tc>
            </w:tr>
            <w:tr w14:paraId="73A5E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92" w:type="pct"/>
                  <w:tcBorders>
                    <w:tl2br w:val="nil"/>
                    <w:tr2bl w:val="nil"/>
                  </w:tcBorders>
                  <w:shd w:val="clear" w:color="auto" w:fill="auto"/>
                  <w:tcMar>
                    <w:top w:w="0" w:type="dxa"/>
                    <w:left w:w="0" w:type="dxa"/>
                    <w:bottom w:w="0" w:type="dxa"/>
                    <w:right w:w="0" w:type="dxa"/>
                  </w:tcMar>
                  <w:vAlign w:val="center"/>
                </w:tcPr>
                <w:p w14:paraId="28006DF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w:t>
                  </w:r>
                </w:p>
              </w:tc>
              <w:tc>
                <w:tcPr>
                  <w:tcW w:w="260" w:type="pct"/>
                  <w:vMerge w:val="continue"/>
                  <w:tcBorders>
                    <w:tl2br w:val="nil"/>
                    <w:tr2bl w:val="nil"/>
                  </w:tcBorders>
                  <w:shd w:val="clear" w:color="auto" w:fill="auto"/>
                  <w:tcMar>
                    <w:top w:w="0" w:type="dxa"/>
                    <w:left w:w="0" w:type="dxa"/>
                    <w:bottom w:w="0" w:type="dxa"/>
                    <w:right w:w="0" w:type="dxa"/>
                  </w:tcMar>
                  <w:vAlign w:val="center"/>
                </w:tcPr>
                <w:p w14:paraId="1255822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351" w:type="pct"/>
                  <w:tcBorders>
                    <w:tl2br w:val="nil"/>
                    <w:tr2bl w:val="nil"/>
                  </w:tcBorders>
                  <w:shd w:val="clear" w:color="auto" w:fill="auto"/>
                  <w:tcMar>
                    <w:top w:w="0" w:type="dxa"/>
                    <w:left w:w="0" w:type="dxa"/>
                    <w:bottom w:w="0" w:type="dxa"/>
                    <w:right w:w="0" w:type="dxa"/>
                  </w:tcMar>
                  <w:vAlign w:val="center"/>
                </w:tcPr>
                <w:p w14:paraId="1E325B0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高效螺杆挤出机</w:t>
                  </w:r>
                </w:p>
              </w:tc>
              <w:tc>
                <w:tcPr>
                  <w:tcW w:w="332" w:type="pct"/>
                  <w:tcBorders>
                    <w:tl2br w:val="nil"/>
                    <w:tr2bl w:val="nil"/>
                  </w:tcBorders>
                  <w:shd w:val="clear" w:color="auto" w:fill="auto"/>
                  <w:tcMar>
                    <w:top w:w="0" w:type="dxa"/>
                    <w:left w:w="0" w:type="dxa"/>
                    <w:bottom w:w="0" w:type="dxa"/>
                    <w:right w:w="0" w:type="dxa"/>
                  </w:tcMar>
                  <w:vAlign w:val="center"/>
                </w:tcPr>
                <w:p w14:paraId="2F04D57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85</w:t>
                  </w:r>
                </w:p>
              </w:tc>
              <w:tc>
                <w:tcPr>
                  <w:tcW w:w="329" w:type="pct"/>
                  <w:vMerge w:val="continue"/>
                  <w:tcBorders>
                    <w:tl2br w:val="nil"/>
                    <w:tr2bl w:val="nil"/>
                  </w:tcBorders>
                  <w:shd w:val="clear" w:color="auto" w:fill="auto"/>
                  <w:tcMar>
                    <w:top w:w="0" w:type="dxa"/>
                    <w:left w:w="0" w:type="dxa"/>
                    <w:bottom w:w="0" w:type="dxa"/>
                    <w:right w:w="0" w:type="dxa"/>
                  </w:tcMar>
                  <w:vAlign w:val="center"/>
                </w:tcPr>
                <w:p w14:paraId="3A14A4D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205" w:type="pct"/>
                  <w:tcBorders>
                    <w:tl2br w:val="nil"/>
                    <w:tr2bl w:val="nil"/>
                  </w:tcBorders>
                  <w:shd w:val="clear" w:color="auto" w:fill="auto"/>
                  <w:tcMar>
                    <w:top w:w="0" w:type="dxa"/>
                    <w:left w:w="0" w:type="dxa"/>
                    <w:bottom w:w="0" w:type="dxa"/>
                    <w:right w:w="0" w:type="dxa"/>
                  </w:tcMar>
                  <w:vAlign w:val="center"/>
                </w:tcPr>
                <w:p w14:paraId="5B03787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-9.1</w:t>
                  </w:r>
                </w:p>
              </w:tc>
              <w:tc>
                <w:tcPr>
                  <w:tcW w:w="173" w:type="pct"/>
                  <w:tcBorders>
                    <w:tl2br w:val="nil"/>
                    <w:tr2bl w:val="nil"/>
                  </w:tcBorders>
                  <w:shd w:val="clear" w:color="auto" w:fill="auto"/>
                  <w:tcMar>
                    <w:top w:w="0" w:type="dxa"/>
                    <w:left w:w="0" w:type="dxa"/>
                    <w:bottom w:w="0" w:type="dxa"/>
                    <w:right w:w="0" w:type="dxa"/>
                  </w:tcMar>
                  <w:vAlign w:val="center"/>
                </w:tcPr>
                <w:p w14:paraId="62F9EB5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29.4</w:t>
                  </w:r>
                </w:p>
              </w:tc>
              <w:tc>
                <w:tcPr>
                  <w:tcW w:w="125" w:type="pct"/>
                  <w:tcBorders>
                    <w:tl2br w:val="nil"/>
                    <w:tr2bl w:val="nil"/>
                  </w:tcBorders>
                  <w:shd w:val="clear" w:color="auto" w:fill="auto"/>
                  <w:tcMar>
                    <w:top w:w="0" w:type="dxa"/>
                    <w:left w:w="0" w:type="dxa"/>
                    <w:bottom w:w="0" w:type="dxa"/>
                    <w:right w:w="0" w:type="dxa"/>
                  </w:tcMar>
                  <w:vAlign w:val="center"/>
                </w:tcPr>
                <w:p w14:paraId="2AAEFF8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w:t>
                  </w:r>
                </w:p>
              </w:tc>
              <w:tc>
                <w:tcPr>
                  <w:tcW w:w="165" w:type="pct"/>
                  <w:tcBorders>
                    <w:tl2br w:val="nil"/>
                    <w:tr2bl w:val="nil"/>
                  </w:tcBorders>
                  <w:shd w:val="clear" w:color="auto" w:fill="auto"/>
                  <w:tcMar>
                    <w:top w:w="0" w:type="dxa"/>
                    <w:left w:w="0" w:type="dxa"/>
                    <w:bottom w:w="0" w:type="dxa"/>
                    <w:right w:w="0" w:type="dxa"/>
                  </w:tcMar>
                  <w:vAlign w:val="center"/>
                </w:tcPr>
                <w:p w14:paraId="38061F3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12.2</w:t>
                  </w:r>
                </w:p>
              </w:tc>
              <w:tc>
                <w:tcPr>
                  <w:tcW w:w="165" w:type="pct"/>
                  <w:tcBorders>
                    <w:tl2br w:val="nil"/>
                    <w:tr2bl w:val="nil"/>
                  </w:tcBorders>
                  <w:shd w:val="clear" w:color="auto" w:fill="auto"/>
                  <w:tcMar>
                    <w:top w:w="0" w:type="dxa"/>
                    <w:left w:w="0" w:type="dxa"/>
                    <w:bottom w:w="0" w:type="dxa"/>
                    <w:right w:w="0" w:type="dxa"/>
                  </w:tcMar>
                  <w:vAlign w:val="center"/>
                </w:tcPr>
                <w:p w14:paraId="074D841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12.9</w:t>
                  </w:r>
                </w:p>
              </w:tc>
              <w:tc>
                <w:tcPr>
                  <w:tcW w:w="165" w:type="pct"/>
                  <w:tcBorders>
                    <w:tl2br w:val="nil"/>
                    <w:tr2bl w:val="nil"/>
                  </w:tcBorders>
                  <w:shd w:val="clear" w:color="auto" w:fill="auto"/>
                  <w:tcMar>
                    <w:top w:w="0" w:type="dxa"/>
                    <w:left w:w="0" w:type="dxa"/>
                    <w:bottom w:w="0" w:type="dxa"/>
                    <w:right w:w="0" w:type="dxa"/>
                  </w:tcMar>
                  <w:vAlign w:val="center"/>
                </w:tcPr>
                <w:p w14:paraId="5745A51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12.5</w:t>
                  </w:r>
                </w:p>
              </w:tc>
              <w:tc>
                <w:tcPr>
                  <w:tcW w:w="119" w:type="pct"/>
                  <w:tcBorders>
                    <w:tl2br w:val="nil"/>
                    <w:tr2bl w:val="nil"/>
                  </w:tcBorders>
                  <w:shd w:val="clear" w:color="auto" w:fill="auto"/>
                  <w:tcMar>
                    <w:top w:w="0" w:type="dxa"/>
                    <w:left w:w="0" w:type="dxa"/>
                    <w:bottom w:w="0" w:type="dxa"/>
                    <w:right w:w="0" w:type="dxa"/>
                  </w:tcMar>
                  <w:vAlign w:val="center"/>
                </w:tcPr>
                <w:p w14:paraId="7CFB900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9.2</w:t>
                  </w:r>
                </w:p>
              </w:tc>
              <w:tc>
                <w:tcPr>
                  <w:tcW w:w="166" w:type="pct"/>
                  <w:tcBorders>
                    <w:tl2br w:val="nil"/>
                    <w:tr2bl w:val="nil"/>
                  </w:tcBorders>
                  <w:shd w:val="clear" w:color="auto" w:fill="auto"/>
                  <w:tcMar>
                    <w:top w:w="0" w:type="dxa"/>
                    <w:left w:w="0" w:type="dxa"/>
                    <w:bottom w:w="0" w:type="dxa"/>
                    <w:right w:w="0" w:type="dxa"/>
                  </w:tcMar>
                  <w:vAlign w:val="center"/>
                </w:tcPr>
                <w:p w14:paraId="45D8BBF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20A3DDF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43762E6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548A3F2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238" w:type="pct"/>
                  <w:vMerge w:val="continue"/>
                  <w:tcBorders>
                    <w:tl2br w:val="nil"/>
                    <w:tr2bl w:val="nil"/>
                  </w:tcBorders>
                  <w:shd w:val="clear" w:color="auto" w:fill="auto"/>
                  <w:tcMar>
                    <w:top w:w="0" w:type="dxa"/>
                    <w:left w:w="0" w:type="dxa"/>
                    <w:bottom w:w="0" w:type="dxa"/>
                    <w:right w:w="0" w:type="dxa"/>
                  </w:tcMar>
                  <w:vAlign w:val="center"/>
                </w:tcPr>
                <w:p w14:paraId="1CDA300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76" w:type="pct"/>
                  <w:tcBorders>
                    <w:tl2br w:val="nil"/>
                    <w:tr2bl w:val="nil"/>
                  </w:tcBorders>
                  <w:shd w:val="clear" w:color="auto" w:fill="auto"/>
                  <w:tcMar>
                    <w:top w:w="0" w:type="dxa"/>
                    <w:left w:w="0" w:type="dxa"/>
                    <w:bottom w:w="0" w:type="dxa"/>
                    <w:right w:w="0" w:type="dxa"/>
                  </w:tcMar>
                  <w:vAlign w:val="center"/>
                </w:tcPr>
                <w:p w14:paraId="29F02C6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5E65A88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4691CF3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66F41B3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51" w:type="pct"/>
                  <w:tcBorders>
                    <w:tl2br w:val="nil"/>
                    <w:tr2bl w:val="nil"/>
                  </w:tcBorders>
                  <w:shd w:val="clear" w:color="auto" w:fill="auto"/>
                  <w:tcMar>
                    <w:top w:w="0" w:type="dxa"/>
                    <w:left w:w="0" w:type="dxa"/>
                    <w:bottom w:w="0" w:type="dxa"/>
                    <w:right w:w="0" w:type="dxa"/>
                  </w:tcMar>
                  <w:vAlign w:val="center"/>
                </w:tcPr>
                <w:p w14:paraId="1682828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42C467B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369242F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582E0B2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99" w:type="pct"/>
                  <w:tcBorders>
                    <w:tl2br w:val="nil"/>
                    <w:tr2bl w:val="nil"/>
                  </w:tcBorders>
                  <w:shd w:val="clear" w:color="auto" w:fill="auto"/>
                  <w:tcMar>
                    <w:top w:w="0" w:type="dxa"/>
                    <w:left w:w="0" w:type="dxa"/>
                    <w:bottom w:w="0" w:type="dxa"/>
                    <w:right w:w="0" w:type="dxa"/>
                  </w:tcMar>
                  <w:vAlign w:val="center"/>
                </w:tcPr>
                <w:p w14:paraId="1AD1A3B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w:t>
                  </w:r>
                </w:p>
              </w:tc>
            </w:tr>
            <w:tr w14:paraId="5C509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92" w:type="pct"/>
                  <w:tcBorders>
                    <w:tl2br w:val="nil"/>
                    <w:tr2bl w:val="nil"/>
                  </w:tcBorders>
                  <w:shd w:val="clear" w:color="auto" w:fill="auto"/>
                  <w:tcMar>
                    <w:top w:w="0" w:type="dxa"/>
                    <w:left w:w="0" w:type="dxa"/>
                    <w:bottom w:w="0" w:type="dxa"/>
                    <w:right w:w="0" w:type="dxa"/>
                  </w:tcMar>
                  <w:vAlign w:val="center"/>
                </w:tcPr>
                <w:p w14:paraId="794C438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w:t>
                  </w:r>
                </w:p>
              </w:tc>
              <w:tc>
                <w:tcPr>
                  <w:tcW w:w="260" w:type="pct"/>
                  <w:vMerge w:val="continue"/>
                  <w:tcBorders>
                    <w:tl2br w:val="nil"/>
                    <w:tr2bl w:val="nil"/>
                  </w:tcBorders>
                  <w:shd w:val="clear" w:color="auto" w:fill="auto"/>
                  <w:tcMar>
                    <w:top w:w="0" w:type="dxa"/>
                    <w:left w:w="0" w:type="dxa"/>
                    <w:bottom w:w="0" w:type="dxa"/>
                    <w:right w:w="0" w:type="dxa"/>
                  </w:tcMar>
                  <w:vAlign w:val="center"/>
                </w:tcPr>
                <w:p w14:paraId="238B111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351" w:type="pct"/>
                  <w:tcBorders>
                    <w:tl2br w:val="nil"/>
                    <w:tr2bl w:val="nil"/>
                  </w:tcBorders>
                  <w:shd w:val="clear" w:color="auto" w:fill="auto"/>
                  <w:tcMar>
                    <w:top w:w="0" w:type="dxa"/>
                    <w:left w:w="0" w:type="dxa"/>
                    <w:bottom w:w="0" w:type="dxa"/>
                    <w:right w:w="0" w:type="dxa"/>
                  </w:tcMar>
                  <w:vAlign w:val="center"/>
                </w:tcPr>
                <w:p w14:paraId="14A1CA3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中频加热装置</w:t>
                  </w:r>
                </w:p>
              </w:tc>
              <w:tc>
                <w:tcPr>
                  <w:tcW w:w="332" w:type="pct"/>
                  <w:tcBorders>
                    <w:tl2br w:val="nil"/>
                    <w:tr2bl w:val="nil"/>
                  </w:tcBorders>
                  <w:shd w:val="clear" w:color="auto" w:fill="auto"/>
                  <w:tcMar>
                    <w:top w:w="0" w:type="dxa"/>
                    <w:left w:w="0" w:type="dxa"/>
                    <w:bottom w:w="0" w:type="dxa"/>
                    <w:right w:w="0" w:type="dxa"/>
                  </w:tcMar>
                  <w:vAlign w:val="center"/>
                </w:tcPr>
                <w:p w14:paraId="6B9DFEC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w:t>
                  </w:r>
                </w:p>
              </w:tc>
              <w:tc>
                <w:tcPr>
                  <w:tcW w:w="329" w:type="pct"/>
                  <w:vMerge w:val="continue"/>
                  <w:tcBorders>
                    <w:tl2br w:val="nil"/>
                    <w:tr2bl w:val="nil"/>
                  </w:tcBorders>
                  <w:shd w:val="clear" w:color="auto" w:fill="auto"/>
                  <w:tcMar>
                    <w:top w:w="0" w:type="dxa"/>
                    <w:left w:w="0" w:type="dxa"/>
                    <w:bottom w:w="0" w:type="dxa"/>
                    <w:right w:w="0" w:type="dxa"/>
                  </w:tcMar>
                  <w:vAlign w:val="center"/>
                </w:tcPr>
                <w:p w14:paraId="12C19A5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205" w:type="pct"/>
                  <w:tcBorders>
                    <w:tl2br w:val="nil"/>
                    <w:tr2bl w:val="nil"/>
                  </w:tcBorders>
                  <w:shd w:val="clear" w:color="auto" w:fill="auto"/>
                  <w:tcMar>
                    <w:top w:w="0" w:type="dxa"/>
                    <w:left w:w="0" w:type="dxa"/>
                    <w:bottom w:w="0" w:type="dxa"/>
                    <w:right w:w="0" w:type="dxa"/>
                  </w:tcMar>
                  <w:vAlign w:val="center"/>
                </w:tcPr>
                <w:p w14:paraId="0BA906D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-14.6</w:t>
                  </w:r>
                </w:p>
              </w:tc>
              <w:tc>
                <w:tcPr>
                  <w:tcW w:w="173" w:type="pct"/>
                  <w:tcBorders>
                    <w:tl2br w:val="nil"/>
                    <w:tr2bl w:val="nil"/>
                  </w:tcBorders>
                  <w:shd w:val="clear" w:color="auto" w:fill="auto"/>
                  <w:tcMar>
                    <w:top w:w="0" w:type="dxa"/>
                    <w:left w:w="0" w:type="dxa"/>
                    <w:bottom w:w="0" w:type="dxa"/>
                    <w:right w:w="0" w:type="dxa"/>
                  </w:tcMar>
                  <w:vAlign w:val="center"/>
                </w:tcPr>
                <w:p w14:paraId="4273533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31.3</w:t>
                  </w:r>
                </w:p>
              </w:tc>
              <w:tc>
                <w:tcPr>
                  <w:tcW w:w="125" w:type="pct"/>
                  <w:tcBorders>
                    <w:tl2br w:val="nil"/>
                    <w:tr2bl w:val="nil"/>
                  </w:tcBorders>
                  <w:shd w:val="clear" w:color="auto" w:fill="auto"/>
                  <w:tcMar>
                    <w:top w:w="0" w:type="dxa"/>
                    <w:left w:w="0" w:type="dxa"/>
                    <w:bottom w:w="0" w:type="dxa"/>
                    <w:right w:w="0" w:type="dxa"/>
                  </w:tcMar>
                  <w:vAlign w:val="center"/>
                </w:tcPr>
                <w:p w14:paraId="226ED70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w:t>
                  </w:r>
                </w:p>
              </w:tc>
              <w:tc>
                <w:tcPr>
                  <w:tcW w:w="165" w:type="pct"/>
                  <w:tcBorders>
                    <w:tl2br w:val="nil"/>
                    <w:tr2bl w:val="nil"/>
                  </w:tcBorders>
                  <w:shd w:val="clear" w:color="auto" w:fill="auto"/>
                  <w:tcMar>
                    <w:top w:w="0" w:type="dxa"/>
                    <w:left w:w="0" w:type="dxa"/>
                    <w:bottom w:w="0" w:type="dxa"/>
                    <w:right w:w="0" w:type="dxa"/>
                  </w:tcMar>
                  <w:vAlign w:val="center"/>
                </w:tcPr>
                <w:p w14:paraId="686B498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18.0</w:t>
                  </w:r>
                </w:p>
              </w:tc>
              <w:tc>
                <w:tcPr>
                  <w:tcW w:w="165" w:type="pct"/>
                  <w:tcBorders>
                    <w:tl2br w:val="nil"/>
                    <w:tr2bl w:val="nil"/>
                  </w:tcBorders>
                  <w:shd w:val="clear" w:color="auto" w:fill="auto"/>
                  <w:tcMar>
                    <w:top w:w="0" w:type="dxa"/>
                    <w:left w:w="0" w:type="dxa"/>
                    <w:bottom w:w="0" w:type="dxa"/>
                    <w:right w:w="0" w:type="dxa"/>
                  </w:tcMar>
                  <w:vAlign w:val="center"/>
                </w:tcPr>
                <w:p w14:paraId="6E4C4F4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13.0</w:t>
                  </w:r>
                </w:p>
              </w:tc>
              <w:tc>
                <w:tcPr>
                  <w:tcW w:w="165" w:type="pct"/>
                  <w:tcBorders>
                    <w:tl2br w:val="nil"/>
                    <w:tr2bl w:val="nil"/>
                  </w:tcBorders>
                  <w:shd w:val="clear" w:color="auto" w:fill="auto"/>
                  <w:tcMar>
                    <w:top w:w="0" w:type="dxa"/>
                    <w:left w:w="0" w:type="dxa"/>
                    <w:bottom w:w="0" w:type="dxa"/>
                    <w:right w:w="0" w:type="dxa"/>
                  </w:tcMar>
                  <w:vAlign w:val="center"/>
                </w:tcPr>
                <w:p w14:paraId="2B0DB3F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6.6</w:t>
                  </w:r>
                </w:p>
              </w:tc>
              <w:tc>
                <w:tcPr>
                  <w:tcW w:w="119" w:type="pct"/>
                  <w:tcBorders>
                    <w:tl2br w:val="nil"/>
                    <w:tr2bl w:val="nil"/>
                  </w:tcBorders>
                  <w:shd w:val="clear" w:color="auto" w:fill="auto"/>
                  <w:tcMar>
                    <w:top w:w="0" w:type="dxa"/>
                    <w:left w:w="0" w:type="dxa"/>
                    <w:bottom w:w="0" w:type="dxa"/>
                    <w:right w:w="0" w:type="dxa"/>
                  </w:tcMar>
                  <w:vAlign w:val="center"/>
                </w:tcPr>
                <w:p w14:paraId="5DC7542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8.8</w:t>
                  </w:r>
                </w:p>
              </w:tc>
              <w:tc>
                <w:tcPr>
                  <w:tcW w:w="166" w:type="pct"/>
                  <w:tcBorders>
                    <w:tl2br w:val="nil"/>
                    <w:tr2bl w:val="nil"/>
                  </w:tcBorders>
                  <w:shd w:val="clear" w:color="auto" w:fill="auto"/>
                  <w:tcMar>
                    <w:top w:w="0" w:type="dxa"/>
                    <w:left w:w="0" w:type="dxa"/>
                    <w:bottom w:w="0" w:type="dxa"/>
                    <w:right w:w="0" w:type="dxa"/>
                  </w:tcMar>
                  <w:vAlign w:val="center"/>
                </w:tcPr>
                <w:p w14:paraId="26003D0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65.5</w:t>
                  </w:r>
                </w:p>
              </w:tc>
              <w:tc>
                <w:tcPr>
                  <w:tcW w:w="166" w:type="pct"/>
                  <w:tcBorders>
                    <w:tl2br w:val="nil"/>
                    <w:tr2bl w:val="nil"/>
                  </w:tcBorders>
                  <w:shd w:val="clear" w:color="auto" w:fill="auto"/>
                  <w:tcMar>
                    <w:top w:w="0" w:type="dxa"/>
                    <w:left w:w="0" w:type="dxa"/>
                    <w:bottom w:w="0" w:type="dxa"/>
                    <w:right w:w="0" w:type="dxa"/>
                  </w:tcMar>
                  <w:vAlign w:val="center"/>
                </w:tcPr>
                <w:p w14:paraId="2A7A687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65.5</w:t>
                  </w:r>
                </w:p>
              </w:tc>
              <w:tc>
                <w:tcPr>
                  <w:tcW w:w="166" w:type="pct"/>
                  <w:tcBorders>
                    <w:tl2br w:val="nil"/>
                    <w:tr2bl w:val="nil"/>
                  </w:tcBorders>
                  <w:shd w:val="clear" w:color="auto" w:fill="auto"/>
                  <w:tcMar>
                    <w:top w:w="0" w:type="dxa"/>
                    <w:left w:w="0" w:type="dxa"/>
                    <w:bottom w:w="0" w:type="dxa"/>
                    <w:right w:w="0" w:type="dxa"/>
                  </w:tcMar>
                  <w:vAlign w:val="center"/>
                </w:tcPr>
                <w:p w14:paraId="2D6CFC6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65.5</w:t>
                  </w:r>
                </w:p>
              </w:tc>
              <w:tc>
                <w:tcPr>
                  <w:tcW w:w="166" w:type="pct"/>
                  <w:tcBorders>
                    <w:tl2br w:val="nil"/>
                    <w:tr2bl w:val="nil"/>
                  </w:tcBorders>
                  <w:shd w:val="clear" w:color="auto" w:fill="auto"/>
                  <w:tcMar>
                    <w:top w:w="0" w:type="dxa"/>
                    <w:left w:w="0" w:type="dxa"/>
                    <w:bottom w:w="0" w:type="dxa"/>
                    <w:right w:w="0" w:type="dxa"/>
                  </w:tcMar>
                  <w:vAlign w:val="center"/>
                </w:tcPr>
                <w:p w14:paraId="2A739F9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65.5</w:t>
                  </w:r>
                </w:p>
              </w:tc>
              <w:tc>
                <w:tcPr>
                  <w:tcW w:w="238" w:type="pct"/>
                  <w:vMerge w:val="continue"/>
                  <w:tcBorders>
                    <w:tl2br w:val="nil"/>
                    <w:tr2bl w:val="nil"/>
                  </w:tcBorders>
                  <w:shd w:val="clear" w:color="auto" w:fill="auto"/>
                  <w:tcMar>
                    <w:top w:w="0" w:type="dxa"/>
                    <w:left w:w="0" w:type="dxa"/>
                    <w:bottom w:w="0" w:type="dxa"/>
                    <w:right w:w="0" w:type="dxa"/>
                  </w:tcMar>
                  <w:vAlign w:val="center"/>
                </w:tcPr>
                <w:p w14:paraId="5C9DA50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76" w:type="pct"/>
                  <w:tcBorders>
                    <w:tl2br w:val="nil"/>
                    <w:tr2bl w:val="nil"/>
                  </w:tcBorders>
                  <w:shd w:val="clear" w:color="auto" w:fill="auto"/>
                  <w:tcMar>
                    <w:top w:w="0" w:type="dxa"/>
                    <w:left w:w="0" w:type="dxa"/>
                    <w:bottom w:w="0" w:type="dxa"/>
                    <w:right w:w="0" w:type="dxa"/>
                  </w:tcMar>
                  <w:vAlign w:val="center"/>
                </w:tcPr>
                <w:p w14:paraId="35718AC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2CA02F8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720BF3A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0F04880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51" w:type="pct"/>
                  <w:tcBorders>
                    <w:tl2br w:val="nil"/>
                    <w:tr2bl w:val="nil"/>
                  </w:tcBorders>
                  <w:shd w:val="clear" w:color="auto" w:fill="auto"/>
                  <w:tcMar>
                    <w:top w:w="0" w:type="dxa"/>
                    <w:left w:w="0" w:type="dxa"/>
                    <w:bottom w:w="0" w:type="dxa"/>
                    <w:right w:w="0" w:type="dxa"/>
                  </w:tcMar>
                  <w:vAlign w:val="center"/>
                </w:tcPr>
                <w:p w14:paraId="68BB0E2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49.5</w:t>
                  </w:r>
                </w:p>
              </w:tc>
              <w:tc>
                <w:tcPr>
                  <w:tcW w:w="151" w:type="pct"/>
                  <w:tcBorders>
                    <w:tl2br w:val="nil"/>
                    <w:tr2bl w:val="nil"/>
                  </w:tcBorders>
                  <w:shd w:val="clear" w:color="auto" w:fill="auto"/>
                  <w:tcMar>
                    <w:top w:w="0" w:type="dxa"/>
                    <w:left w:w="0" w:type="dxa"/>
                    <w:bottom w:w="0" w:type="dxa"/>
                    <w:right w:w="0" w:type="dxa"/>
                  </w:tcMar>
                  <w:vAlign w:val="center"/>
                </w:tcPr>
                <w:p w14:paraId="12E9FA1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49.5</w:t>
                  </w:r>
                </w:p>
              </w:tc>
              <w:tc>
                <w:tcPr>
                  <w:tcW w:w="151" w:type="pct"/>
                  <w:tcBorders>
                    <w:tl2br w:val="nil"/>
                    <w:tr2bl w:val="nil"/>
                  </w:tcBorders>
                  <w:shd w:val="clear" w:color="auto" w:fill="auto"/>
                  <w:tcMar>
                    <w:top w:w="0" w:type="dxa"/>
                    <w:left w:w="0" w:type="dxa"/>
                    <w:bottom w:w="0" w:type="dxa"/>
                    <w:right w:w="0" w:type="dxa"/>
                  </w:tcMar>
                  <w:vAlign w:val="center"/>
                </w:tcPr>
                <w:p w14:paraId="1733E65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49.5</w:t>
                  </w:r>
                </w:p>
              </w:tc>
              <w:tc>
                <w:tcPr>
                  <w:tcW w:w="151" w:type="pct"/>
                  <w:tcBorders>
                    <w:tl2br w:val="nil"/>
                    <w:tr2bl w:val="nil"/>
                  </w:tcBorders>
                  <w:shd w:val="clear" w:color="auto" w:fill="auto"/>
                  <w:tcMar>
                    <w:top w:w="0" w:type="dxa"/>
                    <w:left w:w="0" w:type="dxa"/>
                    <w:bottom w:w="0" w:type="dxa"/>
                    <w:right w:w="0" w:type="dxa"/>
                  </w:tcMar>
                  <w:vAlign w:val="center"/>
                </w:tcPr>
                <w:p w14:paraId="3B3FFF2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49.5</w:t>
                  </w:r>
                </w:p>
              </w:tc>
              <w:tc>
                <w:tcPr>
                  <w:tcW w:w="199" w:type="pct"/>
                  <w:tcBorders>
                    <w:tl2br w:val="nil"/>
                    <w:tr2bl w:val="nil"/>
                  </w:tcBorders>
                  <w:shd w:val="clear" w:color="auto" w:fill="auto"/>
                  <w:tcMar>
                    <w:top w:w="0" w:type="dxa"/>
                    <w:left w:w="0" w:type="dxa"/>
                    <w:bottom w:w="0" w:type="dxa"/>
                    <w:right w:w="0" w:type="dxa"/>
                  </w:tcMar>
                  <w:vAlign w:val="center"/>
                </w:tcPr>
                <w:p w14:paraId="77E2BEF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w:t>
                  </w:r>
                </w:p>
              </w:tc>
            </w:tr>
            <w:tr w14:paraId="298C9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92" w:type="pct"/>
                  <w:tcBorders>
                    <w:tl2br w:val="nil"/>
                    <w:tr2bl w:val="nil"/>
                  </w:tcBorders>
                  <w:shd w:val="clear" w:color="auto" w:fill="auto"/>
                  <w:tcMar>
                    <w:top w:w="0" w:type="dxa"/>
                    <w:left w:w="0" w:type="dxa"/>
                    <w:bottom w:w="0" w:type="dxa"/>
                    <w:right w:w="0" w:type="dxa"/>
                  </w:tcMar>
                  <w:vAlign w:val="center"/>
                </w:tcPr>
                <w:p w14:paraId="493DECF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w:t>
                  </w:r>
                </w:p>
              </w:tc>
              <w:tc>
                <w:tcPr>
                  <w:tcW w:w="260" w:type="pct"/>
                  <w:vMerge w:val="continue"/>
                  <w:tcBorders>
                    <w:tl2br w:val="nil"/>
                    <w:tr2bl w:val="nil"/>
                  </w:tcBorders>
                  <w:shd w:val="clear" w:color="auto" w:fill="auto"/>
                  <w:tcMar>
                    <w:top w:w="0" w:type="dxa"/>
                    <w:left w:w="0" w:type="dxa"/>
                    <w:bottom w:w="0" w:type="dxa"/>
                    <w:right w:w="0" w:type="dxa"/>
                  </w:tcMar>
                  <w:vAlign w:val="center"/>
                </w:tcPr>
                <w:p w14:paraId="0240D08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351" w:type="pct"/>
                  <w:tcBorders>
                    <w:tl2br w:val="nil"/>
                    <w:tr2bl w:val="nil"/>
                  </w:tcBorders>
                  <w:shd w:val="clear" w:color="auto" w:fill="auto"/>
                  <w:tcMar>
                    <w:top w:w="0" w:type="dxa"/>
                    <w:left w:w="0" w:type="dxa"/>
                    <w:bottom w:w="0" w:type="dxa"/>
                    <w:right w:w="0" w:type="dxa"/>
                  </w:tcMar>
                  <w:vAlign w:val="center"/>
                </w:tcPr>
                <w:p w14:paraId="7807B78E">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多管抛丸除锈作业线</w:t>
                  </w:r>
                </w:p>
              </w:tc>
              <w:tc>
                <w:tcPr>
                  <w:tcW w:w="332" w:type="pct"/>
                  <w:tcBorders>
                    <w:tl2br w:val="nil"/>
                    <w:tr2bl w:val="nil"/>
                  </w:tcBorders>
                  <w:shd w:val="clear" w:color="auto" w:fill="auto"/>
                  <w:tcMar>
                    <w:top w:w="0" w:type="dxa"/>
                    <w:left w:w="0" w:type="dxa"/>
                    <w:bottom w:w="0" w:type="dxa"/>
                    <w:right w:w="0" w:type="dxa"/>
                  </w:tcMar>
                  <w:vAlign w:val="center"/>
                </w:tcPr>
                <w:p w14:paraId="7D7301A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85</w:t>
                  </w:r>
                </w:p>
              </w:tc>
              <w:tc>
                <w:tcPr>
                  <w:tcW w:w="329" w:type="pct"/>
                  <w:vMerge w:val="continue"/>
                  <w:tcBorders>
                    <w:tl2br w:val="nil"/>
                    <w:tr2bl w:val="nil"/>
                  </w:tcBorders>
                  <w:shd w:val="clear" w:color="auto" w:fill="auto"/>
                  <w:tcMar>
                    <w:top w:w="0" w:type="dxa"/>
                    <w:left w:w="0" w:type="dxa"/>
                    <w:bottom w:w="0" w:type="dxa"/>
                    <w:right w:w="0" w:type="dxa"/>
                  </w:tcMar>
                  <w:vAlign w:val="center"/>
                </w:tcPr>
                <w:p w14:paraId="09E1F25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205" w:type="pct"/>
                  <w:tcBorders>
                    <w:tl2br w:val="nil"/>
                    <w:tr2bl w:val="nil"/>
                  </w:tcBorders>
                  <w:shd w:val="clear" w:color="auto" w:fill="auto"/>
                  <w:tcMar>
                    <w:top w:w="0" w:type="dxa"/>
                    <w:left w:w="0" w:type="dxa"/>
                    <w:bottom w:w="0" w:type="dxa"/>
                    <w:right w:w="0" w:type="dxa"/>
                  </w:tcMar>
                  <w:vAlign w:val="center"/>
                </w:tcPr>
                <w:p w14:paraId="402443A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-18.9</w:t>
                  </w:r>
                </w:p>
              </w:tc>
              <w:tc>
                <w:tcPr>
                  <w:tcW w:w="173" w:type="pct"/>
                  <w:tcBorders>
                    <w:tl2br w:val="nil"/>
                    <w:tr2bl w:val="nil"/>
                  </w:tcBorders>
                  <w:shd w:val="clear" w:color="auto" w:fill="auto"/>
                  <w:tcMar>
                    <w:top w:w="0" w:type="dxa"/>
                    <w:left w:w="0" w:type="dxa"/>
                    <w:bottom w:w="0" w:type="dxa"/>
                    <w:right w:w="0" w:type="dxa"/>
                  </w:tcMar>
                  <w:vAlign w:val="center"/>
                </w:tcPr>
                <w:p w14:paraId="2DD9C89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32.1</w:t>
                  </w:r>
                </w:p>
              </w:tc>
              <w:tc>
                <w:tcPr>
                  <w:tcW w:w="125" w:type="pct"/>
                  <w:tcBorders>
                    <w:tl2br w:val="nil"/>
                    <w:tr2bl w:val="nil"/>
                  </w:tcBorders>
                  <w:shd w:val="clear" w:color="auto" w:fill="auto"/>
                  <w:tcMar>
                    <w:top w:w="0" w:type="dxa"/>
                    <w:left w:w="0" w:type="dxa"/>
                    <w:bottom w:w="0" w:type="dxa"/>
                    <w:right w:w="0" w:type="dxa"/>
                  </w:tcMar>
                  <w:vAlign w:val="center"/>
                </w:tcPr>
                <w:p w14:paraId="4E1188FC">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w:t>
                  </w:r>
                </w:p>
              </w:tc>
              <w:tc>
                <w:tcPr>
                  <w:tcW w:w="165" w:type="pct"/>
                  <w:tcBorders>
                    <w:tl2br w:val="nil"/>
                    <w:tr2bl w:val="nil"/>
                  </w:tcBorders>
                  <w:shd w:val="clear" w:color="auto" w:fill="auto"/>
                  <w:tcMar>
                    <w:top w:w="0" w:type="dxa"/>
                    <w:left w:w="0" w:type="dxa"/>
                    <w:bottom w:w="0" w:type="dxa"/>
                    <w:right w:w="0" w:type="dxa"/>
                  </w:tcMar>
                  <w:vAlign w:val="center"/>
                </w:tcPr>
                <w:p w14:paraId="475A508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22.4</w:t>
                  </w:r>
                </w:p>
              </w:tc>
              <w:tc>
                <w:tcPr>
                  <w:tcW w:w="165" w:type="pct"/>
                  <w:tcBorders>
                    <w:tl2br w:val="nil"/>
                    <w:tr2bl w:val="nil"/>
                  </w:tcBorders>
                  <w:shd w:val="clear" w:color="auto" w:fill="auto"/>
                  <w:tcMar>
                    <w:top w:w="0" w:type="dxa"/>
                    <w:left w:w="0" w:type="dxa"/>
                    <w:bottom w:w="0" w:type="dxa"/>
                    <w:right w:w="0" w:type="dxa"/>
                  </w:tcMar>
                  <w:vAlign w:val="center"/>
                </w:tcPr>
                <w:p w14:paraId="28935E9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12.4</w:t>
                  </w:r>
                </w:p>
              </w:tc>
              <w:tc>
                <w:tcPr>
                  <w:tcW w:w="165" w:type="pct"/>
                  <w:tcBorders>
                    <w:tl2br w:val="nil"/>
                    <w:tr2bl w:val="nil"/>
                  </w:tcBorders>
                  <w:shd w:val="clear" w:color="auto" w:fill="auto"/>
                  <w:tcMar>
                    <w:top w:w="0" w:type="dxa"/>
                    <w:left w:w="0" w:type="dxa"/>
                    <w:bottom w:w="0" w:type="dxa"/>
                    <w:right w:w="0" w:type="dxa"/>
                  </w:tcMar>
                  <w:vAlign w:val="center"/>
                </w:tcPr>
                <w:p w14:paraId="254C407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2.3</w:t>
                  </w:r>
                </w:p>
              </w:tc>
              <w:tc>
                <w:tcPr>
                  <w:tcW w:w="119" w:type="pct"/>
                  <w:tcBorders>
                    <w:tl2br w:val="nil"/>
                    <w:tr2bl w:val="nil"/>
                  </w:tcBorders>
                  <w:shd w:val="clear" w:color="auto" w:fill="auto"/>
                  <w:tcMar>
                    <w:top w:w="0" w:type="dxa"/>
                    <w:left w:w="0" w:type="dxa"/>
                    <w:bottom w:w="0" w:type="dxa"/>
                    <w:right w:w="0" w:type="dxa"/>
                  </w:tcMar>
                  <w:vAlign w:val="center"/>
                </w:tcPr>
                <w:p w14:paraId="6598D38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9.1</w:t>
                  </w:r>
                </w:p>
              </w:tc>
              <w:tc>
                <w:tcPr>
                  <w:tcW w:w="166" w:type="pct"/>
                  <w:tcBorders>
                    <w:tl2br w:val="nil"/>
                    <w:tr2bl w:val="nil"/>
                  </w:tcBorders>
                  <w:shd w:val="clear" w:color="auto" w:fill="auto"/>
                  <w:tcMar>
                    <w:top w:w="0" w:type="dxa"/>
                    <w:left w:w="0" w:type="dxa"/>
                    <w:bottom w:w="0" w:type="dxa"/>
                    <w:right w:w="0" w:type="dxa"/>
                  </w:tcMar>
                  <w:vAlign w:val="center"/>
                </w:tcPr>
                <w:p w14:paraId="42B1F77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0199FC3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166" w:type="pct"/>
                  <w:tcBorders>
                    <w:tl2br w:val="nil"/>
                    <w:tr2bl w:val="nil"/>
                  </w:tcBorders>
                  <w:shd w:val="clear" w:color="auto" w:fill="auto"/>
                  <w:tcMar>
                    <w:top w:w="0" w:type="dxa"/>
                    <w:left w:w="0" w:type="dxa"/>
                    <w:bottom w:w="0" w:type="dxa"/>
                    <w:right w:w="0" w:type="dxa"/>
                  </w:tcMar>
                  <w:vAlign w:val="center"/>
                </w:tcPr>
                <w:p w14:paraId="40909B8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76.0</w:t>
                  </w:r>
                </w:p>
              </w:tc>
              <w:tc>
                <w:tcPr>
                  <w:tcW w:w="166" w:type="pct"/>
                  <w:tcBorders>
                    <w:tl2br w:val="nil"/>
                    <w:tr2bl w:val="nil"/>
                  </w:tcBorders>
                  <w:shd w:val="clear" w:color="auto" w:fill="auto"/>
                  <w:tcMar>
                    <w:top w:w="0" w:type="dxa"/>
                    <w:left w:w="0" w:type="dxa"/>
                    <w:bottom w:w="0" w:type="dxa"/>
                    <w:right w:w="0" w:type="dxa"/>
                  </w:tcMar>
                  <w:vAlign w:val="center"/>
                </w:tcPr>
                <w:p w14:paraId="573296F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75.5</w:t>
                  </w:r>
                </w:p>
              </w:tc>
              <w:tc>
                <w:tcPr>
                  <w:tcW w:w="238" w:type="pct"/>
                  <w:vMerge w:val="continue"/>
                  <w:tcBorders>
                    <w:tl2br w:val="nil"/>
                    <w:tr2bl w:val="nil"/>
                  </w:tcBorders>
                  <w:shd w:val="clear" w:color="auto" w:fill="auto"/>
                  <w:tcMar>
                    <w:top w:w="0" w:type="dxa"/>
                    <w:left w:w="0" w:type="dxa"/>
                    <w:bottom w:w="0" w:type="dxa"/>
                    <w:right w:w="0" w:type="dxa"/>
                  </w:tcMar>
                  <w:vAlign w:val="center"/>
                </w:tcPr>
                <w:p w14:paraId="7BC8D47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76" w:type="pct"/>
                  <w:tcBorders>
                    <w:tl2br w:val="nil"/>
                    <w:tr2bl w:val="nil"/>
                  </w:tcBorders>
                  <w:shd w:val="clear" w:color="auto" w:fill="auto"/>
                  <w:tcMar>
                    <w:top w:w="0" w:type="dxa"/>
                    <w:left w:w="0" w:type="dxa"/>
                    <w:bottom w:w="0" w:type="dxa"/>
                    <w:right w:w="0" w:type="dxa"/>
                  </w:tcMar>
                  <w:vAlign w:val="center"/>
                </w:tcPr>
                <w:p w14:paraId="2CE465F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63C6829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054B4E7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1C166BD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51" w:type="pct"/>
                  <w:tcBorders>
                    <w:tl2br w:val="nil"/>
                    <w:tr2bl w:val="nil"/>
                  </w:tcBorders>
                  <w:shd w:val="clear" w:color="auto" w:fill="auto"/>
                  <w:tcMar>
                    <w:top w:w="0" w:type="dxa"/>
                    <w:left w:w="0" w:type="dxa"/>
                    <w:bottom w:w="0" w:type="dxa"/>
                    <w:right w:w="0" w:type="dxa"/>
                  </w:tcMar>
                  <w:vAlign w:val="center"/>
                </w:tcPr>
                <w:p w14:paraId="1FAF0AB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02ECE2D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51" w:type="pct"/>
                  <w:tcBorders>
                    <w:tl2br w:val="nil"/>
                    <w:tr2bl w:val="nil"/>
                  </w:tcBorders>
                  <w:shd w:val="clear" w:color="auto" w:fill="auto"/>
                  <w:tcMar>
                    <w:top w:w="0" w:type="dxa"/>
                    <w:left w:w="0" w:type="dxa"/>
                    <w:bottom w:w="0" w:type="dxa"/>
                    <w:right w:w="0" w:type="dxa"/>
                  </w:tcMar>
                  <w:vAlign w:val="center"/>
                </w:tcPr>
                <w:p w14:paraId="4751D41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60.0</w:t>
                  </w:r>
                </w:p>
              </w:tc>
              <w:tc>
                <w:tcPr>
                  <w:tcW w:w="151" w:type="pct"/>
                  <w:tcBorders>
                    <w:tl2br w:val="nil"/>
                    <w:tr2bl w:val="nil"/>
                  </w:tcBorders>
                  <w:shd w:val="clear" w:color="auto" w:fill="auto"/>
                  <w:tcMar>
                    <w:top w:w="0" w:type="dxa"/>
                    <w:left w:w="0" w:type="dxa"/>
                    <w:bottom w:w="0" w:type="dxa"/>
                    <w:right w:w="0" w:type="dxa"/>
                  </w:tcMar>
                  <w:vAlign w:val="center"/>
                </w:tcPr>
                <w:p w14:paraId="1FCB090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59.5</w:t>
                  </w:r>
                </w:p>
              </w:tc>
              <w:tc>
                <w:tcPr>
                  <w:tcW w:w="199" w:type="pct"/>
                  <w:tcBorders>
                    <w:tl2br w:val="nil"/>
                    <w:tr2bl w:val="nil"/>
                  </w:tcBorders>
                  <w:shd w:val="clear" w:color="auto" w:fill="auto"/>
                  <w:tcMar>
                    <w:top w:w="0" w:type="dxa"/>
                    <w:left w:w="0" w:type="dxa"/>
                    <w:bottom w:w="0" w:type="dxa"/>
                    <w:right w:w="0" w:type="dxa"/>
                  </w:tcMar>
                  <w:vAlign w:val="center"/>
                </w:tcPr>
                <w:p w14:paraId="1E9F78D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w:t>
                  </w:r>
                </w:p>
              </w:tc>
            </w:tr>
            <w:tr w14:paraId="64C64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92" w:type="pct"/>
                  <w:tcBorders>
                    <w:tl2br w:val="nil"/>
                    <w:tr2bl w:val="nil"/>
                  </w:tcBorders>
                  <w:shd w:val="clear" w:color="auto" w:fill="auto"/>
                  <w:tcMar>
                    <w:top w:w="0" w:type="dxa"/>
                    <w:left w:w="0" w:type="dxa"/>
                    <w:bottom w:w="0" w:type="dxa"/>
                    <w:right w:w="0" w:type="dxa"/>
                  </w:tcMar>
                  <w:vAlign w:val="center"/>
                </w:tcPr>
                <w:p w14:paraId="467FE2E8">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w:t>
                  </w:r>
                </w:p>
              </w:tc>
              <w:tc>
                <w:tcPr>
                  <w:tcW w:w="260" w:type="pct"/>
                  <w:vMerge w:val="continue"/>
                  <w:tcBorders>
                    <w:tl2br w:val="nil"/>
                    <w:tr2bl w:val="nil"/>
                  </w:tcBorders>
                  <w:shd w:val="clear" w:color="auto" w:fill="auto"/>
                  <w:tcMar>
                    <w:top w:w="0" w:type="dxa"/>
                    <w:left w:w="0" w:type="dxa"/>
                    <w:bottom w:w="0" w:type="dxa"/>
                    <w:right w:w="0" w:type="dxa"/>
                  </w:tcMar>
                  <w:vAlign w:val="center"/>
                </w:tcPr>
                <w:p w14:paraId="0AD17D9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351" w:type="pct"/>
                  <w:tcBorders>
                    <w:tl2br w:val="nil"/>
                    <w:tr2bl w:val="nil"/>
                  </w:tcBorders>
                  <w:shd w:val="clear" w:color="auto" w:fill="auto"/>
                  <w:tcMar>
                    <w:top w:w="0" w:type="dxa"/>
                    <w:left w:w="0" w:type="dxa"/>
                    <w:bottom w:w="0" w:type="dxa"/>
                    <w:right w:w="0" w:type="dxa"/>
                  </w:tcMar>
                  <w:vAlign w:val="center"/>
                </w:tcPr>
                <w:p w14:paraId="345BDF3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钢制管道外壁静电喷涂</w:t>
                  </w:r>
                </w:p>
              </w:tc>
              <w:tc>
                <w:tcPr>
                  <w:tcW w:w="332" w:type="pct"/>
                  <w:tcBorders>
                    <w:tl2br w:val="nil"/>
                    <w:tr2bl w:val="nil"/>
                  </w:tcBorders>
                  <w:shd w:val="clear" w:color="auto" w:fill="auto"/>
                  <w:tcMar>
                    <w:top w:w="0" w:type="dxa"/>
                    <w:left w:w="0" w:type="dxa"/>
                    <w:bottom w:w="0" w:type="dxa"/>
                    <w:right w:w="0" w:type="dxa"/>
                  </w:tcMar>
                  <w:vAlign w:val="center"/>
                </w:tcPr>
                <w:p w14:paraId="62E9DAA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80</w:t>
                  </w:r>
                </w:p>
              </w:tc>
              <w:tc>
                <w:tcPr>
                  <w:tcW w:w="329" w:type="pct"/>
                  <w:vMerge w:val="continue"/>
                  <w:tcBorders>
                    <w:tl2br w:val="nil"/>
                    <w:tr2bl w:val="nil"/>
                  </w:tcBorders>
                  <w:shd w:val="clear" w:color="auto" w:fill="auto"/>
                  <w:tcMar>
                    <w:top w:w="0" w:type="dxa"/>
                    <w:left w:w="0" w:type="dxa"/>
                    <w:bottom w:w="0" w:type="dxa"/>
                    <w:right w:w="0" w:type="dxa"/>
                  </w:tcMar>
                  <w:vAlign w:val="center"/>
                </w:tcPr>
                <w:p w14:paraId="21BE1A8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205" w:type="pct"/>
                  <w:tcBorders>
                    <w:tl2br w:val="nil"/>
                    <w:tr2bl w:val="nil"/>
                  </w:tcBorders>
                  <w:shd w:val="clear" w:color="auto" w:fill="auto"/>
                  <w:tcMar>
                    <w:top w:w="0" w:type="dxa"/>
                    <w:left w:w="0" w:type="dxa"/>
                    <w:bottom w:w="0" w:type="dxa"/>
                    <w:right w:w="0" w:type="dxa"/>
                  </w:tcMar>
                  <w:vAlign w:val="center"/>
                </w:tcPr>
                <w:p w14:paraId="4CB3113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-16.8</w:t>
                  </w:r>
                </w:p>
              </w:tc>
              <w:tc>
                <w:tcPr>
                  <w:tcW w:w="173" w:type="pct"/>
                  <w:tcBorders>
                    <w:tl2br w:val="nil"/>
                    <w:tr2bl w:val="nil"/>
                  </w:tcBorders>
                  <w:shd w:val="clear" w:color="auto" w:fill="auto"/>
                  <w:tcMar>
                    <w:top w:w="0" w:type="dxa"/>
                    <w:left w:w="0" w:type="dxa"/>
                    <w:bottom w:w="0" w:type="dxa"/>
                    <w:right w:w="0" w:type="dxa"/>
                  </w:tcMar>
                  <w:vAlign w:val="center"/>
                </w:tcPr>
                <w:p w14:paraId="43293B4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31.8</w:t>
                  </w:r>
                </w:p>
              </w:tc>
              <w:tc>
                <w:tcPr>
                  <w:tcW w:w="125" w:type="pct"/>
                  <w:tcBorders>
                    <w:tl2br w:val="nil"/>
                    <w:tr2bl w:val="nil"/>
                  </w:tcBorders>
                  <w:shd w:val="clear" w:color="auto" w:fill="auto"/>
                  <w:tcMar>
                    <w:top w:w="0" w:type="dxa"/>
                    <w:left w:w="0" w:type="dxa"/>
                    <w:bottom w:w="0" w:type="dxa"/>
                    <w:right w:w="0" w:type="dxa"/>
                  </w:tcMar>
                  <w:vAlign w:val="center"/>
                </w:tcPr>
                <w:p w14:paraId="05566153">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w:t>
                  </w:r>
                </w:p>
              </w:tc>
              <w:tc>
                <w:tcPr>
                  <w:tcW w:w="165" w:type="pct"/>
                  <w:tcBorders>
                    <w:tl2br w:val="nil"/>
                    <w:tr2bl w:val="nil"/>
                  </w:tcBorders>
                  <w:shd w:val="clear" w:color="auto" w:fill="auto"/>
                  <w:tcMar>
                    <w:top w:w="0" w:type="dxa"/>
                    <w:left w:w="0" w:type="dxa"/>
                    <w:bottom w:w="0" w:type="dxa"/>
                    <w:right w:w="0" w:type="dxa"/>
                  </w:tcMar>
                  <w:vAlign w:val="center"/>
                </w:tcPr>
                <w:p w14:paraId="2A039F9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20.3</w:t>
                  </w:r>
                </w:p>
              </w:tc>
              <w:tc>
                <w:tcPr>
                  <w:tcW w:w="165" w:type="pct"/>
                  <w:tcBorders>
                    <w:tl2br w:val="nil"/>
                    <w:tr2bl w:val="nil"/>
                  </w:tcBorders>
                  <w:shd w:val="clear" w:color="auto" w:fill="auto"/>
                  <w:tcMar>
                    <w:top w:w="0" w:type="dxa"/>
                    <w:left w:w="0" w:type="dxa"/>
                    <w:bottom w:w="0" w:type="dxa"/>
                    <w:right w:w="0" w:type="dxa"/>
                  </w:tcMar>
                  <w:vAlign w:val="center"/>
                </w:tcPr>
                <w:p w14:paraId="140F91D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12.8</w:t>
                  </w:r>
                </w:p>
              </w:tc>
              <w:tc>
                <w:tcPr>
                  <w:tcW w:w="165" w:type="pct"/>
                  <w:tcBorders>
                    <w:tl2br w:val="nil"/>
                    <w:tr2bl w:val="nil"/>
                  </w:tcBorders>
                  <w:shd w:val="clear" w:color="auto" w:fill="auto"/>
                  <w:tcMar>
                    <w:top w:w="0" w:type="dxa"/>
                    <w:left w:w="0" w:type="dxa"/>
                    <w:bottom w:w="0" w:type="dxa"/>
                    <w:right w:w="0" w:type="dxa"/>
                  </w:tcMar>
                  <w:vAlign w:val="center"/>
                </w:tcPr>
                <w:p w14:paraId="5D477862">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4.4</w:t>
                  </w:r>
                </w:p>
              </w:tc>
              <w:tc>
                <w:tcPr>
                  <w:tcW w:w="119" w:type="pct"/>
                  <w:tcBorders>
                    <w:tl2br w:val="nil"/>
                    <w:tr2bl w:val="nil"/>
                  </w:tcBorders>
                  <w:shd w:val="clear" w:color="auto" w:fill="auto"/>
                  <w:tcMar>
                    <w:top w:w="0" w:type="dxa"/>
                    <w:left w:w="0" w:type="dxa"/>
                    <w:bottom w:w="0" w:type="dxa"/>
                    <w:right w:w="0" w:type="dxa"/>
                  </w:tcMar>
                  <w:vAlign w:val="center"/>
                </w:tcPr>
                <w:p w14:paraId="2A2134D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8.9</w:t>
                  </w:r>
                </w:p>
              </w:tc>
              <w:tc>
                <w:tcPr>
                  <w:tcW w:w="166" w:type="pct"/>
                  <w:tcBorders>
                    <w:tl2br w:val="nil"/>
                    <w:tr2bl w:val="nil"/>
                  </w:tcBorders>
                  <w:shd w:val="clear" w:color="auto" w:fill="auto"/>
                  <w:tcMar>
                    <w:top w:w="0" w:type="dxa"/>
                    <w:left w:w="0" w:type="dxa"/>
                    <w:bottom w:w="0" w:type="dxa"/>
                    <w:right w:w="0" w:type="dxa"/>
                  </w:tcMar>
                  <w:vAlign w:val="center"/>
                </w:tcPr>
                <w:p w14:paraId="6D165A11">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70.5</w:t>
                  </w:r>
                </w:p>
              </w:tc>
              <w:tc>
                <w:tcPr>
                  <w:tcW w:w="166" w:type="pct"/>
                  <w:tcBorders>
                    <w:tl2br w:val="nil"/>
                    <w:tr2bl w:val="nil"/>
                  </w:tcBorders>
                  <w:shd w:val="clear" w:color="auto" w:fill="auto"/>
                  <w:tcMar>
                    <w:top w:w="0" w:type="dxa"/>
                    <w:left w:w="0" w:type="dxa"/>
                    <w:bottom w:w="0" w:type="dxa"/>
                    <w:right w:w="0" w:type="dxa"/>
                  </w:tcMar>
                  <w:vAlign w:val="center"/>
                </w:tcPr>
                <w:p w14:paraId="053EC549">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70.5</w:t>
                  </w:r>
                </w:p>
              </w:tc>
              <w:tc>
                <w:tcPr>
                  <w:tcW w:w="166" w:type="pct"/>
                  <w:tcBorders>
                    <w:tl2br w:val="nil"/>
                    <w:tr2bl w:val="nil"/>
                  </w:tcBorders>
                  <w:shd w:val="clear" w:color="auto" w:fill="auto"/>
                  <w:tcMar>
                    <w:top w:w="0" w:type="dxa"/>
                    <w:left w:w="0" w:type="dxa"/>
                    <w:bottom w:w="0" w:type="dxa"/>
                    <w:right w:w="0" w:type="dxa"/>
                  </w:tcMar>
                  <w:vAlign w:val="center"/>
                </w:tcPr>
                <w:p w14:paraId="5A8EB7B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70.6</w:t>
                  </w:r>
                </w:p>
              </w:tc>
              <w:tc>
                <w:tcPr>
                  <w:tcW w:w="166" w:type="pct"/>
                  <w:tcBorders>
                    <w:tl2br w:val="nil"/>
                    <w:tr2bl w:val="nil"/>
                  </w:tcBorders>
                  <w:shd w:val="clear" w:color="auto" w:fill="auto"/>
                  <w:tcMar>
                    <w:top w:w="0" w:type="dxa"/>
                    <w:left w:w="0" w:type="dxa"/>
                    <w:bottom w:w="0" w:type="dxa"/>
                    <w:right w:w="0" w:type="dxa"/>
                  </w:tcMar>
                  <w:vAlign w:val="center"/>
                </w:tcPr>
                <w:p w14:paraId="2C0A2BF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70.5</w:t>
                  </w:r>
                </w:p>
              </w:tc>
              <w:tc>
                <w:tcPr>
                  <w:tcW w:w="238" w:type="pct"/>
                  <w:vMerge w:val="continue"/>
                  <w:tcBorders>
                    <w:tl2br w:val="nil"/>
                    <w:tr2bl w:val="nil"/>
                  </w:tcBorders>
                  <w:shd w:val="clear" w:color="auto" w:fill="auto"/>
                  <w:tcMar>
                    <w:top w:w="0" w:type="dxa"/>
                    <w:left w:w="0" w:type="dxa"/>
                    <w:bottom w:w="0" w:type="dxa"/>
                    <w:right w:w="0" w:type="dxa"/>
                  </w:tcMar>
                  <w:vAlign w:val="center"/>
                </w:tcPr>
                <w:p w14:paraId="46AE78FF">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76" w:type="pct"/>
                  <w:tcBorders>
                    <w:tl2br w:val="nil"/>
                    <w:tr2bl w:val="nil"/>
                  </w:tcBorders>
                  <w:shd w:val="clear" w:color="auto" w:fill="auto"/>
                  <w:tcMar>
                    <w:top w:w="0" w:type="dxa"/>
                    <w:left w:w="0" w:type="dxa"/>
                    <w:bottom w:w="0" w:type="dxa"/>
                    <w:right w:w="0" w:type="dxa"/>
                  </w:tcMar>
                  <w:vAlign w:val="center"/>
                </w:tcPr>
                <w:p w14:paraId="2848F3FA">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1CA859AB">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108FEDC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76" w:type="pct"/>
                  <w:tcBorders>
                    <w:tl2br w:val="nil"/>
                    <w:tr2bl w:val="nil"/>
                  </w:tcBorders>
                  <w:shd w:val="clear" w:color="auto" w:fill="auto"/>
                  <w:tcMar>
                    <w:top w:w="0" w:type="dxa"/>
                    <w:left w:w="0" w:type="dxa"/>
                    <w:bottom w:w="0" w:type="dxa"/>
                    <w:right w:w="0" w:type="dxa"/>
                  </w:tcMar>
                  <w:vAlign w:val="center"/>
                </w:tcPr>
                <w:p w14:paraId="716C9F3D">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16.0</w:t>
                  </w:r>
                </w:p>
              </w:tc>
              <w:tc>
                <w:tcPr>
                  <w:tcW w:w="151" w:type="pct"/>
                  <w:tcBorders>
                    <w:tl2br w:val="nil"/>
                    <w:tr2bl w:val="nil"/>
                  </w:tcBorders>
                  <w:shd w:val="clear" w:color="auto" w:fill="auto"/>
                  <w:tcMar>
                    <w:top w:w="0" w:type="dxa"/>
                    <w:left w:w="0" w:type="dxa"/>
                    <w:bottom w:w="0" w:type="dxa"/>
                    <w:right w:w="0" w:type="dxa"/>
                  </w:tcMar>
                  <w:vAlign w:val="center"/>
                </w:tcPr>
                <w:p w14:paraId="66A5389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54.5</w:t>
                  </w:r>
                </w:p>
              </w:tc>
              <w:tc>
                <w:tcPr>
                  <w:tcW w:w="151" w:type="pct"/>
                  <w:tcBorders>
                    <w:tl2br w:val="nil"/>
                    <w:tr2bl w:val="nil"/>
                  </w:tcBorders>
                  <w:shd w:val="clear" w:color="auto" w:fill="auto"/>
                  <w:tcMar>
                    <w:top w:w="0" w:type="dxa"/>
                    <w:left w:w="0" w:type="dxa"/>
                    <w:bottom w:w="0" w:type="dxa"/>
                    <w:right w:w="0" w:type="dxa"/>
                  </w:tcMar>
                  <w:vAlign w:val="center"/>
                </w:tcPr>
                <w:p w14:paraId="74F9A904">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54.5</w:t>
                  </w:r>
                </w:p>
              </w:tc>
              <w:tc>
                <w:tcPr>
                  <w:tcW w:w="151" w:type="pct"/>
                  <w:tcBorders>
                    <w:tl2br w:val="nil"/>
                    <w:tr2bl w:val="nil"/>
                  </w:tcBorders>
                  <w:shd w:val="clear" w:color="auto" w:fill="auto"/>
                  <w:tcMar>
                    <w:top w:w="0" w:type="dxa"/>
                    <w:left w:w="0" w:type="dxa"/>
                    <w:bottom w:w="0" w:type="dxa"/>
                    <w:right w:w="0" w:type="dxa"/>
                  </w:tcMar>
                  <w:vAlign w:val="center"/>
                </w:tcPr>
                <w:p w14:paraId="686EE085">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54.6</w:t>
                  </w:r>
                </w:p>
              </w:tc>
              <w:tc>
                <w:tcPr>
                  <w:tcW w:w="151" w:type="pct"/>
                  <w:tcBorders>
                    <w:tl2br w:val="nil"/>
                    <w:tr2bl w:val="nil"/>
                  </w:tcBorders>
                  <w:shd w:val="clear" w:color="auto" w:fill="auto"/>
                  <w:tcMar>
                    <w:top w:w="0" w:type="dxa"/>
                    <w:left w:w="0" w:type="dxa"/>
                    <w:bottom w:w="0" w:type="dxa"/>
                    <w:right w:w="0" w:type="dxa"/>
                  </w:tcMar>
                  <w:vAlign w:val="center"/>
                </w:tcPr>
                <w:p w14:paraId="75638A47">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54.5</w:t>
                  </w:r>
                </w:p>
              </w:tc>
              <w:tc>
                <w:tcPr>
                  <w:tcW w:w="199" w:type="pct"/>
                  <w:tcBorders>
                    <w:tl2br w:val="nil"/>
                    <w:tr2bl w:val="nil"/>
                  </w:tcBorders>
                  <w:shd w:val="clear" w:color="auto" w:fill="auto"/>
                  <w:tcMar>
                    <w:top w:w="0" w:type="dxa"/>
                    <w:left w:w="0" w:type="dxa"/>
                    <w:bottom w:w="0" w:type="dxa"/>
                    <w:right w:w="0" w:type="dxa"/>
                  </w:tcMar>
                  <w:vAlign w:val="center"/>
                </w:tcPr>
                <w:p w14:paraId="5D8F0B26">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1</w:t>
                  </w:r>
                </w:p>
              </w:tc>
            </w:tr>
            <w:tr w14:paraId="49961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000" w:type="pct"/>
                  <w:gridSpan w:val="26"/>
                  <w:tcBorders>
                    <w:tl2br w:val="nil"/>
                    <w:tr2bl w:val="nil"/>
                  </w:tcBorders>
                  <w:shd w:val="clear" w:color="auto" w:fill="auto"/>
                  <w:tcMar>
                    <w:top w:w="0" w:type="dxa"/>
                    <w:left w:w="0" w:type="dxa"/>
                    <w:bottom w:w="0" w:type="dxa"/>
                    <w:right w:w="0" w:type="dxa"/>
                  </w:tcMar>
                  <w:vAlign w:val="center"/>
                </w:tcPr>
                <w:p w14:paraId="43BAE5D0">
                  <w:pPr>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cs="Times New Roman" w:eastAsiaTheme="minorEastAsia"/>
                      <w:b w:val="0"/>
                      <w:bCs/>
                      <w:sz w:val="21"/>
                      <w:szCs w:val="21"/>
                      <w:lang w:val="en-US" w:eastAsia="zh-CN"/>
                    </w:rPr>
                    <w:t>坐标原点为（</w:t>
                  </w:r>
                  <w:bookmarkStart w:id="16" w:name="PO_7"/>
                  <w:r>
                    <w:rPr>
                      <w:rFonts w:hint="default" w:ascii="Times New Roman" w:hAnsi="Times New Roman" w:cs="Times New Roman" w:eastAsiaTheme="minorEastAsia"/>
                      <w:b w:val="0"/>
                      <w:bCs/>
                      <w:sz w:val="21"/>
                      <w:szCs w:val="21"/>
                      <w:lang w:val="en-US" w:eastAsia="zh-CN"/>
                    </w:rPr>
                    <w:t>84.0429611,41.346981</w:t>
                  </w:r>
                  <w:bookmarkEnd w:id="16"/>
                  <w:r>
                    <w:rPr>
                      <w:rFonts w:hint="default" w:ascii="Times New Roman" w:hAnsi="Times New Roman" w:cs="Times New Roman" w:eastAsiaTheme="minorEastAsia"/>
                      <w:b w:val="0"/>
                      <w:bCs/>
                      <w:sz w:val="21"/>
                      <w:szCs w:val="21"/>
                      <w:lang w:val="en-US" w:eastAsia="zh-CN"/>
                    </w:rPr>
                    <w:t>），正东向为X轴正方向，正北向为Y轴正方向</w:t>
                  </w:r>
                </w:p>
              </w:tc>
            </w:tr>
            <w:bookmarkEnd w:id="14"/>
          </w:tbl>
          <w:p w14:paraId="67345DD3">
            <w:pPr>
              <w:rPr>
                <w:vertAlign w:val="baseline"/>
              </w:rPr>
            </w:pPr>
            <w:r>
              <w:rPr>
                <w:sz w:val="21"/>
              </w:rPr>
              <mc:AlternateContent>
                <mc:Choice Requires="wps">
                  <w:drawing>
                    <wp:anchor distT="0" distB="0" distL="114300" distR="114300" simplePos="0" relativeHeight="251660288" behindDoc="0" locked="0" layoutInCell="1" allowOverlap="1">
                      <wp:simplePos x="0" y="0"/>
                      <wp:positionH relativeFrom="column">
                        <wp:posOffset>525780</wp:posOffset>
                      </wp:positionH>
                      <wp:positionV relativeFrom="paragraph">
                        <wp:posOffset>-38735</wp:posOffset>
                      </wp:positionV>
                      <wp:extent cx="4327525" cy="292100"/>
                      <wp:effectExtent l="0" t="0" r="0" b="0"/>
                      <wp:wrapNone/>
                      <wp:docPr id="7" name="文本框 7"/>
                      <wp:cNvGraphicFramePr/>
                      <a:graphic xmlns:a="http://schemas.openxmlformats.org/drawingml/2006/main">
                        <a:graphicData uri="http://schemas.microsoft.com/office/word/2010/wordprocessingShape">
                          <wps:wsp>
                            <wps:cNvSpPr txBox="1"/>
                            <wps:spPr>
                              <a:xfrm>
                                <a:off x="3728720" y="995680"/>
                                <a:ext cx="432752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9A46A">
                                  <w:pPr>
                                    <w:rPr>
                                      <w:b/>
                                      <w:bCs/>
                                    </w:rPr>
                                  </w:pPr>
                                  <w:r>
                                    <w:rPr>
                                      <w:rFonts w:hint="eastAsia"/>
                                      <w:b/>
                                      <w:bCs/>
                                      <w:lang w:val="en-US" w:eastAsia="zh-CN"/>
                                    </w:rPr>
                                    <w:t xml:space="preserve">表4-5   </w:t>
                                  </w:r>
                                  <w:r>
                                    <w:rPr>
                                      <w:b/>
                                      <w:bCs/>
                                      <w:lang w:val="en-US" w:eastAsia="zh-CN"/>
                                    </w:rPr>
                                    <w:t>工业企业噪声源强调查清单（室内声源）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4pt;margin-top:-3.05pt;height:23pt;width:340.75pt;z-index:251660288;mso-width-relative:page;mso-height-relative:page;" filled="f" stroked="f" coordsize="21600,21600" o:gfxdata="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ALe19oAAAAIAQAADwAAAAAAAAAB&#10;ACAAAAAiAAAAZHJzL2Rvd25yZXYueG1sUEsBAhQAFAAAAAgAh07iQIdyZCNHAgAAcQQAAA4AAAAA&#10;AAAAAQAgAAAAKQEAAGRycy9lMm9Eb2MueG1sUEsFBgAAAAAGAAYAWQEAAOIFAAAAAA==&#10;">
                      <v:fill on="f" focussize="0,0"/>
                      <v:stroke on="f" weight="0.5pt"/>
                      <v:imagedata o:title=""/>
                      <o:lock v:ext="edit" aspectratio="f"/>
                      <v:textbox>
                        <w:txbxContent>
                          <w:p w14:paraId="5029A46A">
                            <w:pPr>
                              <w:rPr>
                                <w:b/>
                                <w:bCs/>
                              </w:rPr>
                            </w:pPr>
                            <w:r>
                              <w:rPr>
                                <w:rFonts w:hint="eastAsia"/>
                                <w:b/>
                                <w:bCs/>
                                <w:lang w:val="en-US" w:eastAsia="zh-CN"/>
                              </w:rPr>
                              <w:t xml:space="preserve">表4-5   </w:t>
                            </w:r>
                            <w:r>
                              <w:rPr>
                                <w:b/>
                                <w:bCs/>
                                <w:lang w:val="en-US" w:eastAsia="zh-CN"/>
                              </w:rPr>
                              <w:t>工业企业噪声源强调查清单（室内声源）</w:t>
                            </w:r>
                          </w:p>
                        </w:txbxContent>
                      </v:textbox>
                    </v:shape>
                  </w:pict>
                </mc:Fallback>
              </mc:AlternateContent>
            </w:r>
          </w:p>
        </w:tc>
      </w:tr>
    </w:tbl>
    <w:p w14:paraId="53C7CBD1">
      <w:p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Layout w:type="autofit"/>
        <w:tblCellMar>
          <w:top w:w="0" w:type="dxa"/>
          <w:left w:w="108" w:type="dxa"/>
          <w:bottom w:w="0" w:type="dxa"/>
          <w:right w:w="108" w:type="dxa"/>
        </w:tblCellMar>
      </w:tblPr>
      <w:tblGrid>
        <w:gridCol w:w="294"/>
        <w:gridCol w:w="8687"/>
      </w:tblGrid>
      <w:tr w14:paraId="7C7D9F6F">
        <w:tblPrEx>
          <w:tblBorders>
            <w:top w:val="single" w:color="auto" w:sz="12" w:space="0"/>
            <w:left w:val="single" w:color="auto" w:sz="12" w:space="0"/>
            <w:bottom w:val="single" w:color="auto" w:sz="12" w:space="0"/>
            <w:right w:val="single" w:color="auto" w:sz="12" w:space="0"/>
            <w:insideH w:val="single" w:color="auto" w:sz="12" w:space="0"/>
            <w:insideV w:val="single" w:color="auto" w:sz="8"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tcMar>
              <w:left w:w="28" w:type="dxa"/>
              <w:right w:w="28" w:type="dxa"/>
            </w:tcMar>
            <w:vAlign w:val="center"/>
          </w:tcPr>
          <w:p w14:paraId="60745C89">
            <w:pPr>
              <w:adjustRightInd w:val="0"/>
              <w:snapToGrid w:val="0"/>
              <w:jc w:val="center"/>
              <w:rPr>
                <w:b/>
                <w:bCs w:val="0"/>
                <w:color w:val="000000"/>
                <w:szCs w:val="21"/>
              </w:rPr>
            </w:pPr>
            <w:r>
              <w:rPr>
                <w:b/>
                <w:bCs w:val="0"/>
                <w:color w:val="000000"/>
                <w:szCs w:val="21"/>
              </w:rPr>
              <w:t>运营期环</w:t>
            </w:r>
          </w:p>
          <w:p w14:paraId="0026F531">
            <w:pPr>
              <w:adjustRightInd w:val="0"/>
              <w:snapToGrid w:val="0"/>
              <w:jc w:val="center"/>
              <w:rPr>
                <w:b/>
                <w:bCs w:val="0"/>
                <w:color w:val="000000"/>
                <w:szCs w:val="21"/>
              </w:rPr>
            </w:pPr>
            <w:r>
              <w:rPr>
                <w:b/>
                <w:bCs w:val="0"/>
                <w:color w:val="000000"/>
                <w:szCs w:val="21"/>
              </w:rPr>
              <w:t>境影</w:t>
            </w:r>
          </w:p>
          <w:p w14:paraId="50DD45A7">
            <w:pPr>
              <w:adjustRightInd w:val="0"/>
              <w:snapToGrid w:val="0"/>
              <w:jc w:val="center"/>
              <w:rPr>
                <w:bCs/>
                <w:color w:val="000000"/>
                <w:szCs w:val="21"/>
              </w:rPr>
            </w:pPr>
            <w:r>
              <w:rPr>
                <w:b/>
                <w:bCs w:val="0"/>
                <w:color w:val="000000"/>
                <w:szCs w:val="21"/>
              </w:rPr>
              <w:t>响和保护措施</w:t>
            </w:r>
          </w:p>
        </w:tc>
        <w:tc>
          <w:tcPr>
            <w:tcW w:w="0" w:type="auto"/>
            <w:tcBorders>
              <w:tl2br w:val="nil"/>
              <w:tr2bl w:val="nil"/>
            </w:tcBorders>
            <w:noWrap w:val="0"/>
            <w:vAlign w:val="center"/>
          </w:tcPr>
          <w:p w14:paraId="198C7DF0">
            <w:pPr>
              <w:pStyle w:val="4"/>
              <w:adjustRightInd w:val="0"/>
              <w:snapToGrid w:val="0"/>
              <w:ind w:firstLine="482" w:firstLineChars="200"/>
              <w:rPr>
                <w:color w:val="000000"/>
              </w:rPr>
            </w:pPr>
            <w:r>
              <w:rPr>
                <w:color w:val="000000"/>
              </w:rPr>
              <w:t>3.2</w:t>
            </w:r>
            <w:r>
              <w:rPr>
                <w:rFonts w:hint="eastAsia"/>
                <w:color w:val="000000"/>
              </w:rPr>
              <w:t>预测模式选用</w:t>
            </w:r>
          </w:p>
          <w:p w14:paraId="4191B09A">
            <w:pPr>
              <w:pStyle w:val="33"/>
              <w:adjustRightInd w:val="0"/>
              <w:snapToGrid w:val="0"/>
              <w:ind w:firstLine="480" w:firstLineChars="200"/>
              <w:rPr>
                <w:rFonts w:hint="eastAsia"/>
                <w:color w:val="000000"/>
                <w:szCs w:val="24"/>
              </w:rPr>
            </w:pPr>
            <w:r>
              <w:rPr>
                <w:rFonts w:hint="eastAsia"/>
                <w:color w:val="000000"/>
                <w:szCs w:val="24"/>
              </w:rPr>
              <w:t>采用《环境影响评价技术导则 声环境》(HJ2.4-2021)中推荐的模式进行计算。</w:t>
            </w:r>
          </w:p>
          <w:p w14:paraId="4C439F38">
            <w:pPr>
              <w:pStyle w:val="4"/>
              <w:adjustRightInd w:val="0"/>
              <w:snapToGrid w:val="0"/>
              <w:ind w:firstLine="482" w:firstLineChars="200"/>
              <w:rPr>
                <w:color w:val="000000"/>
              </w:rPr>
            </w:pPr>
            <w:r>
              <w:rPr>
                <w:color w:val="000000"/>
              </w:rPr>
              <w:t>3.3</w:t>
            </w:r>
            <w:r>
              <w:rPr>
                <w:rFonts w:hint="eastAsia"/>
                <w:color w:val="000000"/>
              </w:rPr>
              <w:t>降噪措施</w:t>
            </w:r>
          </w:p>
          <w:p w14:paraId="53238A87">
            <w:pPr>
              <w:autoSpaceDE w:val="0"/>
              <w:autoSpaceDN w:val="0"/>
              <w:adjustRightInd w:val="0"/>
              <w:snapToGrid w:val="0"/>
              <w:ind w:firstLine="480" w:firstLineChars="200"/>
              <w:rPr>
                <w:color w:val="000000"/>
              </w:rPr>
            </w:pPr>
            <w:r>
              <w:rPr>
                <w:rFonts w:hint="eastAsia"/>
                <w:color w:val="000000"/>
              </w:rPr>
              <w:t>为减少噪声对周边环境的影响，本次提出噪声治理措施如下：</w:t>
            </w:r>
          </w:p>
          <w:p w14:paraId="0F3B5594">
            <w:pPr>
              <w:adjustRightInd w:val="0"/>
              <w:snapToGrid w:val="0"/>
              <w:ind w:firstLine="480" w:firstLineChars="200"/>
              <w:rPr>
                <w:rFonts w:hint="eastAsia"/>
                <w:color w:val="000000"/>
              </w:rPr>
            </w:pPr>
            <w:r>
              <w:rPr>
                <w:rFonts w:hint="eastAsia"/>
                <w:color w:val="000000"/>
              </w:rPr>
              <w:t>（1）对噪声的防治采用综合治理方法，首先从声源上加以控制，在设备选型上，尽量选用低噪</w:t>
            </w:r>
            <w:r>
              <w:rPr>
                <w:rFonts w:hint="eastAsia"/>
                <w:color w:val="000000"/>
                <w:lang w:val="en-US" w:eastAsia="zh-CN"/>
              </w:rPr>
              <w:t>声</w:t>
            </w:r>
            <w:r>
              <w:rPr>
                <w:rFonts w:hint="eastAsia"/>
                <w:color w:val="000000"/>
              </w:rPr>
              <w:t>设备或振动小的设备；对振动大的设备在主体与基础之间安装减振装置；</w:t>
            </w:r>
          </w:p>
          <w:p w14:paraId="774D87DA">
            <w:pPr>
              <w:adjustRightInd w:val="0"/>
              <w:snapToGrid w:val="0"/>
              <w:ind w:firstLine="480" w:firstLineChars="200"/>
              <w:rPr>
                <w:rFonts w:hint="eastAsia"/>
                <w:color w:val="000000"/>
              </w:rPr>
            </w:pPr>
            <w:r>
              <w:rPr>
                <w:rFonts w:hint="eastAsia"/>
                <w:color w:val="000000"/>
              </w:rPr>
              <w:t>（2）生产设备均位于生产车间内，有效降低噪声；</w:t>
            </w:r>
          </w:p>
          <w:p w14:paraId="12B0B598">
            <w:pPr>
              <w:adjustRightInd w:val="0"/>
              <w:snapToGrid w:val="0"/>
              <w:ind w:firstLine="480" w:firstLineChars="200"/>
              <w:rPr>
                <w:rFonts w:hint="eastAsia"/>
                <w:color w:val="000000"/>
              </w:rPr>
            </w:pPr>
            <w:r>
              <w:rPr>
                <w:rFonts w:hint="eastAsia"/>
                <w:color w:val="000000"/>
              </w:rPr>
              <w:t>（3）定期对设备噪声进行检查，掌握其变化规律；加强生产设备的日常维护、更新，确保所有设备尤其是噪声污染防治设备处于正常工况；</w:t>
            </w:r>
          </w:p>
          <w:p w14:paraId="2A7F2D3E">
            <w:pPr>
              <w:adjustRightInd w:val="0"/>
              <w:snapToGrid w:val="0"/>
              <w:ind w:firstLine="480" w:firstLineChars="200"/>
              <w:rPr>
                <w:rFonts w:hint="eastAsia"/>
                <w:color w:val="000000"/>
              </w:rPr>
            </w:pPr>
            <w:r>
              <w:rPr>
                <w:rFonts w:hint="eastAsia"/>
                <w:color w:val="000000"/>
              </w:rPr>
              <w:t>（4）加强对工作人员的个人防护和保护，如采用隔声耳罩等。</w:t>
            </w:r>
          </w:p>
          <w:p w14:paraId="2126370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3"/>
              <w:rPr>
                <w:rFonts w:hint="eastAsia" w:ascii="Times New Roman" w:hAnsi="Times New Roman" w:eastAsia="宋体" w:cs="Times New Roman"/>
                <w:b/>
                <w:bCs/>
                <w:color w:val="000000"/>
                <w:sz w:val="24"/>
                <w:highlight w:val="none"/>
                <w:lang w:val="en-US" w:eastAsia="zh-CN"/>
              </w:rPr>
            </w:pPr>
            <w:r>
              <w:rPr>
                <w:rFonts w:hint="eastAsia"/>
                <w:b/>
                <w:bCs/>
                <w:color w:val="000000"/>
              </w:rPr>
              <w:t>3.4</w:t>
            </w:r>
            <w:r>
              <w:rPr>
                <w:rFonts w:hint="eastAsia" w:ascii="Times New Roman" w:hAnsi="Times New Roman" w:eastAsia="宋体" w:cs="Times New Roman"/>
                <w:b/>
                <w:bCs/>
                <w:color w:val="000000"/>
                <w:sz w:val="24"/>
                <w:highlight w:val="none"/>
                <w:lang w:val="en-US" w:eastAsia="zh-CN"/>
              </w:rPr>
              <w:t>预测模式</w:t>
            </w:r>
          </w:p>
          <w:p w14:paraId="2CC4666E">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lang w:val="zh-CN"/>
              </w:rPr>
              <w:t>由于</w:t>
            </w:r>
            <w:r>
              <w:rPr>
                <w:rFonts w:hint="eastAsia" w:cs="Times New Roman"/>
                <w:color w:val="000000"/>
                <w:sz w:val="24"/>
                <w:highlight w:val="none"/>
                <w:lang w:val="en-US" w:eastAsia="zh-CN"/>
              </w:rPr>
              <w:t>厂</w:t>
            </w:r>
            <w:r>
              <w:rPr>
                <w:rFonts w:ascii="Times New Roman" w:hAnsi="Times New Roman" w:eastAsia="宋体" w:cs="Times New Roman"/>
                <w:color w:val="000000"/>
                <w:sz w:val="24"/>
                <w:highlight w:val="none"/>
                <w:lang w:val="zh-CN"/>
              </w:rPr>
              <w:t>界</w:t>
            </w:r>
            <w:r>
              <w:rPr>
                <w:rFonts w:hint="eastAsia" w:cs="Times New Roman"/>
                <w:color w:val="000000"/>
                <w:sz w:val="24"/>
                <w:highlight w:val="none"/>
                <w:lang w:val="en-US" w:eastAsia="zh-CN"/>
              </w:rPr>
              <w:t>5</w:t>
            </w:r>
            <w:r>
              <w:rPr>
                <w:rFonts w:ascii="Times New Roman" w:hAnsi="Times New Roman" w:eastAsia="宋体" w:cs="Times New Roman"/>
                <w:color w:val="000000"/>
                <w:sz w:val="24"/>
                <w:highlight w:val="none"/>
                <w:lang w:val="zh-CN"/>
              </w:rPr>
              <w:t>0m范围内无声环境敏感目标，所以预测范围主要为项目厂界区域。本项目</w:t>
            </w:r>
            <w:r>
              <w:rPr>
                <w:rFonts w:ascii="Times New Roman" w:hAnsi="Times New Roman" w:eastAsia="宋体" w:cs="Times New Roman"/>
                <w:color w:val="000000"/>
                <w:sz w:val="24"/>
                <w:highlight w:val="none"/>
              </w:rPr>
              <w:t>所用</w:t>
            </w:r>
            <w:r>
              <w:rPr>
                <w:rFonts w:ascii="Times New Roman" w:hAnsi="Times New Roman" w:eastAsia="宋体" w:cs="Times New Roman"/>
                <w:color w:val="000000"/>
                <w:sz w:val="24"/>
                <w:highlight w:val="none"/>
                <w:lang w:val="zh-CN"/>
              </w:rPr>
              <w:t>设备在运行时产生的噪声，通过所在车间（包括其他围护结构）的屏蔽效应、声源至受声点的距离衰减以及空气吸收衰减后到达受声点，受声点噪声值的预测应考虑以上三个主要因素。</w:t>
            </w:r>
            <w:r>
              <w:rPr>
                <w:rFonts w:ascii="Times New Roman" w:hAnsi="Times New Roman" w:eastAsia="宋体" w:cs="Times New Roman"/>
                <w:color w:val="000000"/>
                <w:sz w:val="24"/>
                <w:highlight w:val="none"/>
              </w:rPr>
              <w:t>根据运营期各声源噪声排放特点，结合《环境影响评价技术导则 声环境》（HJ2.4-</w:t>
            </w:r>
            <w:r>
              <w:rPr>
                <w:rFonts w:hint="eastAsia" w:ascii="Times New Roman" w:hAnsi="Times New Roman" w:eastAsia="宋体" w:cs="Times New Roman"/>
                <w:color w:val="000000"/>
                <w:sz w:val="24"/>
                <w:highlight w:val="none"/>
                <w:lang w:val="en-US" w:eastAsia="zh-CN"/>
              </w:rPr>
              <w:t>2021</w:t>
            </w:r>
            <w:r>
              <w:rPr>
                <w:rFonts w:ascii="Times New Roman" w:hAnsi="Times New Roman" w:eastAsia="宋体" w:cs="Times New Roman"/>
                <w:color w:val="000000"/>
                <w:sz w:val="24"/>
                <w:highlight w:val="none"/>
              </w:rPr>
              <w:t>）的要求，可选择点声源预测模式来模拟预测这些声源排放噪声随距离衰减变化规律。</w:t>
            </w:r>
          </w:p>
          <w:p w14:paraId="59DFCF8C">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① 点声源衰减公式</w:t>
            </w:r>
          </w:p>
          <w:p w14:paraId="5BE77D83">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预测采用《环境影响评价技术导则 声环境》（HJ2.4-2</w:t>
            </w:r>
            <w:r>
              <w:rPr>
                <w:rFonts w:hint="eastAsia" w:ascii="Times New Roman" w:hAnsi="Times New Roman" w:eastAsia="宋体" w:cs="Times New Roman"/>
                <w:color w:val="000000"/>
                <w:sz w:val="24"/>
                <w:highlight w:val="none"/>
                <w:lang w:val="en-US" w:eastAsia="zh-CN"/>
              </w:rPr>
              <w:t>021</w:t>
            </w:r>
            <w:r>
              <w:rPr>
                <w:rFonts w:ascii="Times New Roman" w:hAnsi="Times New Roman" w:eastAsia="宋体" w:cs="Times New Roman"/>
                <w:color w:val="000000"/>
                <w:sz w:val="24"/>
                <w:highlight w:val="none"/>
              </w:rPr>
              <w:t>）中推荐的点声源衰减模式，计算公式如下：</w:t>
            </w:r>
          </w:p>
          <w:p w14:paraId="36B47B56">
            <w:pPr>
              <w:adjustRightInd w:val="0"/>
              <w:snapToGrid w:val="0"/>
              <w:spacing w:line="360" w:lineRule="auto"/>
              <w:ind w:firstLine="480" w:firstLineChars="200"/>
              <w:jc w:val="center"/>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L(r)=L(r</w:t>
            </w:r>
            <w:r>
              <w:rPr>
                <w:rFonts w:ascii="Times New Roman" w:hAnsi="Times New Roman" w:eastAsia="宋体" w:cs="Times New Roman"/>
                <w:color w:val="000000"/>
                <w:sz w:val="24"/>
                <w:highlight w:val="none"/>
                <w:vertAlign w:val="subscript"/>
              </w:rPr>
              <w:t>0</w:t>
            </w:r>
            <w:r>
              <w:rPr>
                <w:rFonts w:ascii="Times New Roman" w:hAnsi="Times New Roman" w:eastAsia="宋体" w:cs="Times New Roman"/>
                <w:color w:val="000000"/>
                <w:sz w:val="24"/>
                <w:highlight w:val="none"/>
              </w:rPr>
              <w:t>)-20lg(r/r</w:t>
            </w:r>
            <w:r>
              <w:rPr>
                <w:rFonts w:ascii="Times New Roman" w:hAnsi="Times New Roman" w:eastAsia="宋体" w:cs="Times New Roman"/>
                <w:color w:val="000000"/>
                <w:sz w:val="24"/>
                <w:highlight w:val="none"/>
                <w:vertAlign w:val="subscript"/>
              </w:rPr>
              <w:t>0</w:t>
            </w:r>
            <w:r>
              <w:rPr>
                <w:rFonts w:ascii="Times New Roman" w:hAnsi="Times New Roman" w:eastAsia="宋体" w:cs="Times New Roman"/>
                <w:color w:val="000000"/>
                <w:sz w:val="24"/>
                <w:highlight w:val="none"/>
              </w:rPr>
              <w:t>)-ΔL</w:t>
            </w:r>
          </w:p>
          <w:p w14:paraId="5F7F7A6B">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式中：L(r)——距声源r处的A声级，dB(A)；</w:t>
            </w:r>
          </w:p>
          <w:p w14:paraId="180E3EE8">
            <w:pPr>
              <w:adjustRightInd w:val="0"/>
              <w:snapToGrid w:val="0"/>
              <w:spacing w:line="360" w:lineRule="auto"/>
              <w:ind w:firstLine="1200" w:firstLineChars="5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L(r</w:t>
            </w:r>
            <w:r>
              <w:rPr>
                <w:rFonts w:ascii="Times New Roman" w:hAnsi="Times New Roman" w:eastAsia="宋体" w:cs="Times New Roman"/>
                <w:color w:val="000000"/>
                <w:sz w:val="24"/>
                <w:highlight w:val="none"/>
                <w:vertAlign w:val="subscript"/>
              </w:rPr>
              <w:t>0</w:t>
            </w:r>
            <w:r>
              <w:rPr>
                <w:rFonts w:ascii="Times New Roman" w:hAnsi="Times New Roman" w:eastAsia="宋体" w:cs="Times New Roman"/>
                <w:color w:val="000000"/>
                <w:sz w:val="24"/>
                <w:highlight w:val="none"/>
              </w:rPr>
              <w:t>)——距声源r</w:t>
            </w:r>
            <w:r>
              <w:rPr>
                <w:rFonts w:ascii="Times New Roman" w:hAnsi="Times New Roman" w:eastAsia="宋体" w:cs="Times New Roman"/>
                <w:color w:val="000000"/>
                <w:sz w:val="24"/>
                <w:highlight w:val="none"/>
                <w:vertAlign w:val="subscript"/>
              </w:rPr>
              <w:t>0</w:t>
            </w:r>
            <w:r>
              <w:rPr>
                <w:rFonts w:ascii="Times New Roman" w:hAnsi="Times New Roman" w:eastAsia="宋体" w:cs="Times New Roman"/>
                <w:color w:val="000000"/>
                <w:sz w:val="24"/>
                <w:highlight w:val="none"/>
              </w:rPr>
              <w:t>处的A声级，dB(A)；</w:t>
            </w:r>
          </w:p>
          <w:p w14:paraId="25FFE893">
            <w:pPr>
              <w:adjustRightInd w:val="0"/>
              <w:snapToGrid w:val="0"/>
              <w:spacing w:line="360" w:lineRule="auto"/>
              <w:ind w:firstLine="1200" w:firstLineChars="5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ΔL——声屏障、遮挡物、空气吸收地面效应引起的衰减量，dB(A)；</w:t>
            </w:r>
          </w:p>
          <w:p w14:paraId="007F899E">
            <w:pPr>
              <w:adjustRightInd w:val="0"/>
              <w:snapToGrid w:val="0"/>
              <w:spacing w:line="360" w:lineRule="auto"/>
              <w:ind w:firstLine="1200" w:firstLineChars="5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r、r</w:t>
            </w:r>
            <w:r>
              <w:rPr>
                <w:rFonts w:ascii="Times New Roman" w:hAnsi="Times New Roman" w:eastAsia="宋体" w:cs="Times New Roman"/>
                <w:color w:val="000000"/>
                <w:sz w:val="24"/>
                <w:highlight w:val="none"/>
                <w:vertAlign w:val="subscript"/>
              </w:rPr>
              <w:t>0</w:t>
            </w:r>
            <w:r>
              <w:rPr>
                <w:rFonts w:ascii="Times New Roman" w:hAnsi="Times New Roman" w:eastAsia="宋体" w:cs="Times New Roman"/>
                <w:color w:val="000000"/>
                <w:sz w:val="24"/>
                <w:highlight w:val="none"/>
              </w:rPr>
              <w:t>——距声源距离，m。</w:t>
            </w:r>
          </w:p>
          <w:p w14:paraId="7B0504C1">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② 多声源叠加公式</w:t>
            </w:r>
          </w:p>
          <w:p w14:paraId="211A4E06">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drawing>
                <wp:anchor distT="0" distB="0" distL="114300" distR="114300" simplePos="0" relativeHeight="251659264" behindDoc="0" locked="0" layoutInCell="1" allowOverlap="1">
                  <wp:simplePos x="0" y="0"/>
                  <wp:positionH relativeFrom="column">
                    <wp:posOffset>1905635</wp:posOffset>
                  </wp:positionH>
                  <wp:positionV relativeFrom="paragraph">
                    <wp:posOffset>295910</wp:posOffset>
                  </wp:positionV>
                  <wp:extent cx="1485900" cy="428625"/>
                  <wp:effectExtent l="0" t="0" r="0" b="8255"/>
                  <wp:wrapNone/>
                  <wp:docPr id="1"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2"/>
                          <pic:cNvPicPr>
                            <a:picLocks noChangeAspect="1"/>
                          </pic:cNvPicPr>
                        </pic:nvPicPr>
                        <pic:blipFill>
                          <a:blip r:embed="rId12"/>
                          <a:stretch>
                            <a:fillRect/>
                          </a:stretch>
                        </pic:blipFill>
                        <pic:spPr>
                          <a:xfrm>
                            <a:off x="0" y="0"/>
                            <a:ext cx="1485900" cy="428625"/>
                          </a:xfrm>
                          <a:prstGeom prst="rect">
                            <a:avLst/>
                          </a:prstGeom>
                          <a:noFill/>
                          <a:ln>
                            <a:noFill/>
                          </a:ln>
                        </pic:spPr>
                      </pic:pic>
                    </a:graphicData>
                  </a:graphic>
                </wp:anchor>
              </w:drawing>
            </w:r>
            <w:r>
              <w:rPr>
                <w:rFonts w:ascii="Times New Roman" w:hAnsi="Times New Roman" w:eastAsia="宋体" w:cs="Times New Roman"/>
                <w:color w:val="000000"/>
                <w:sz w:val="24"/>
                <w:highlight w:val="none"/>
              </w:rPr>
              <w:t>各受声点上受多个声源的影响叠加，计算公式如下：</w:t>
            </w:r>
          </w:p>
          <w:p w14:paraId="2BCB53BA">
            <w:pPr>
              <w:adjustRightInd w:val="0"/>
              <w:snapToGrid w:val="0"/>
              <w:spacing w:line="360" w:lineRule="auto"/>
              <w:ind w:firstLine="480" w:firstLineChars="200"/>
              <w:rPr>
                <w:rFonts w:ascii="Times New Roman" w:hAnsi="Times New Roman" w:eastAsia="宋体" w:cs="Times New Roman"/>
                <w:color w:val="000000"/>
                <w:sz w:val="24"/>
                <w:highlight w:val="none"/>
              </w:rPr>
            </w:pPr>
          </w:p>
          <w:p w14:paraId="2CD17781">
            <w:pPr>
              <w:adjustRightInd w:val="0"/>
              <w:snapToGrid w:val="0"/>
              <w:spacing w:line="360" w:lineRule="auto"/>
              <w:ind w:firstLine="480" w:firstLineChars="200"/>
              <w:rPr>
                <w:rFonts w:ascii="Times New Roman" w:hAnsi="Times New Roman" w:eastAsia="宋体" w:cs="Times New Roman"/>
                <w:color w:val="000000"/>
                <w:sz w:val="24"/>
                <w:highlight w:val="none"/>
              </w:rPr>
            </w:pPr>
          </w:p>
          <w:p w14:paraId="62496139">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式中：L</w:t>
            </w:r>
            <w:r>
              <w:rPr>
                <w:rFonts w:ascii="Times New Roman" w:hAnsi="Times New Roman" w:eastAsia="宋体" w:cs="Times New Roman"/>
                <w:color w:val="000000"/>
                <w:sz w:val="24"/>
                <w:highlight w:val="none"/>
                <w:vertAlign w:val="subscript"/>
              </w:rPr>
              <w:t>eq</w:t>
            </w:r>
            <w:r>
              <w:rPr>
                <w:rFonts w:ascii="Times New Roman" w:hAnsi="Times New Roman" w:eastAsia="宋体" w:cs="Times New Roman"/>
                <w:color w:val="000000"/>
                <w:sz w:val="24"/>
                <w:highlight w:val="none"/>
              </w:rPr>
              <w:t>——总等效声级，dB(A)；</w:t>
            </w:r>
          </w:p>
          <w:p w14:paraId="4AFA56FF">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 xml:space="preserve">      L</w:t>
            </w:r>
            <w:r>
              <w:rPr>
                <w:rFonts w:ascii="Times New Roman" w:hAnsi="Times New Roman" w:eastAsia="宋体" w:cs="Times New Roman"/>
                <w:color w:val="000000"/>
                <w:sz w:val="24"/>
                <w:highlight w:val="none"/>
                <w:vertAlign w:val="subscript"/>
              </w:rPr>
              <w:t>eqi</w:t>
            </w:r>
            <w:r>
              <w:rPr>
                <w:rFonts w:ascii="Times New Roman" w:hAnsi="Times New Roman" w:eastAsia="宋体" w:cs="Times New Roman"/>
                <w:color w:val="000000"/>
                <w:sz w:val="24"/>
                <w:highlight w:val="none"/>
              </w:rPr>
              <w:t>——第i声源对某预测点的等效声级，dB(A)；</w:t>
            </w:r>
          </w:p>
          <w:p w14:paraId="3BAE36E1">
            <w:pPr>
              <w:adjustRightInd w:val="0"/>
              <w:snapToGrid w:val="0"/>
              <w:spacing w:line="360" w:lineRule="auto"/>
              <w:ind w:firstLine="480" w:firstLineChars="20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 xml:space="preserve">      n——声源总数。</w:t>
            </w:r>
          </w:p>
          <w:p w14:paraId="6150EE88">
            <w:pPr>
              <w:pStyle w:val="4"/>
              <w:adjustRightInd w:val="0"/>
              <w:snapToGrid w:val="0"/>
              <w:ind w:firstLine="482" w:firstLineChars="200"/>
              <w:rPr>
                <w:color w:val="000000"/>
              </w:rPr>
            </w:pPr>
            <w:r>
              <w:rPr>
                <w:rFonts w:hint="eastAsia"/>
                <w:color w:val="000000"/>
                <w:lang w:val="en-US" w:eastAsia="zh-CN"/>
              </w:rPr>
              <w:t>3.5</w:t>
            </w:r>
            <w:r>
              <w:rPr>
                <w:rFonts w:hint="eastAsia"/>
                <w:color w:val="000000"/>
              </w:rPr>
              <w:t>噪声影响分析</w:t>
            </w:r>
          </w:p>
          <w:p w14:paraId="2B880369">
            <w:pPr>
              <w:pStyle w:val="33"/>
              <w:adjustRightInd w:val="0"/>
              <w:snapToGrid w:val="0"/>
              <w:ind w:firstLine="480" w:firstLineChars="200"/>
              <w:rPr>
                <w:rFonts w:hint="eastAsia"/>
                <w:color w:val="000000"/>
                <w:szCs w:val="24"/>
              </w:rPr>
            </w:pPr>
            <w:r>
              <w:rPr>
                <w:rFonts w:hint="eastAsia"/>
                <w:color w:val="000000"/>
                <w:szCs w:val="24"/>
              </w:rPr>
              <w:t>本项目所有设备均置于车间内，采用基础减振，厂房门窗隔音及距离衰减等措施治理后，预测结果见图7、表21。</w:t>
            </w:r>
          </w:p>
          <w:p w14:paraId="13E3E188">
            <w:pPr>
              <w:adjustRightInd w:val="0"/>
              <w:snapToGrid w:val="0"/>
              <w:spacing w:line="240" w:lineRule="auto"/>
              <w:jc w:val="center"/>
              <w:rPr>
                <w:rFonts w:hint="eastAsia" w:eastAsia="宋体"/>
                <w:b/>
                <w:bCs/>
                <w:color w:val="000000"/>
                <w:sz w:val="21"/>
                <w:szCs w:val="21"/>
                <w:lang w:eastAsia="zh-CN"/>
              </w:rPr>
            </w:pPr>
            <w:r>
              <w:rPr>
                <w:rFonts w:hint="eastAsia"/>
                <w:b/>
                <w:bCs/>
                <w:color w:val="000000"/>
                <w:sz w:val="21"/>
                <w:szCs w:val="21"/>
                <w:lang w:eastAsia="zh-CN"/>
              </w:rPr>
              <w:drawing>
                <wp:inline distT="0" distB="0" distL="114300" distR="114300">
                  <wp:extent cx="5396865" cy="3514090"/>
                  <wp:effectExtent l="19050" t="19050" r="32385" b="29210"/>
                  <wp:docPr id="2" name="图片 8" descr="174425587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1744255872244"/>
                          <pic:cNvPicPr>
                            <a:picLocks noChangeAspect="1"/>
                          </pic:cNvPicPr>
                        </pic:nvPicPr>
                        <pic:blipFill>
                          <a:blip r:embed="rId13"/>
                          <a:stretch>
                            <a:fillRect/>
                          </a:stretch>
                        </pic:blipFill>
                        <pic:spPr>
                          <a:xfrm>
                            <a:off x="0" y="0"/>
                            <a:ext cx="5396865" cy="3514090"/>
                          </a:xfrm>
                          <a:prstGeom prst="rect">
                            <a:avLst/>
                          </a:prstGeom>
                          <a:noFill/>
                          <a:ln w="19050" cap="flat" cmpd="sng">
                            <a:solidFill>
                              <a:srgbClr val="000000"/>
                            </a:solidFill>
                            <a:prstDash val="solid"/>
                            <a:miter/>
                            <a:headEnd type="none" w="med" len="med"/>
                            <a:tailEnd type="none" w="med" len="med"/>
                          </a:ln>
                        </pic:spPr>
                      </pic:pic>
                    </a:graphicData>
                  </a:graphic>
                </wp:inline>
              </w:drawing>
            </w:r>
          </w:p>
          <w:p w14:paraId="221112F6">
            <w:pPr>
              <w:adjustRightInd w:val="0"/>
              <w:snapToGrid w:val="0"/>
              <w:spacing w:line="240" w:lineRule="auto"/>
              <w:ind w:firstLine="422" w:firstLineChars="200"/>
              <w:jc w:val="center"/>
              <w:rPr>
                <w:b/>
                <w:bCs/>
                <w:color w:val="000000"/>
                <w:sz w:val="21"/>
                <w:szCs w:val="21"/>
              </w:rPr>
            </w:pPr>
            <w:r>
              <w:rPr>
                <w:rFonts w:hint="eastAsia"/>
                <w:b/>
                <w:bCs/>
                <w:color w:val="000000"/>
                <w:sz w:val="21"/>
                <w:szCs w:val="21"/>
              </w:rPr>
              <w:t>图</w:t>
            </w:r>
            <w:r>
              <w:rPr>
                <w:rFonts w:hint="eastAsia"/>
                <w:b/>
                <w:bCs/>
                <w:color w:val="000000"/>
                <w:sz w:val="21"/>
                <w:szCs w:val="21"/>
                <w:lang w:val="en-US" w:eastAsia="zh-CN"/>
              </w:rPr>
              <w:t>4-1</w:t>
            </w:r>
            <w:r>
              <w:rPr>
                <w:rFonts w:hint="eastAsia"/>
                <w:b/>
                <w:bCs/>
                <w:color w:val="000000"/>
                <w:sz w:val="21"/>
                <w:szCs w:val="21"/>
              </w:rPr>
              <w:t xml:space="preserve">              噪声预测结果图</w:t>
            </w:r>
          </w:p>
          <w:p w14:paraId="20559578">
            <w:pPr>
              <w:adjustRightInd w:val="0"/>
              <w:snapToGrid w:val="0"/>
              <w:spacing w:line="240" w:lineRule="auto"/>
              <w:ind w:firstLine="422" w:firstLineChars="200"/>
              <w:rPr>
                <w:b/>
                <w:bCs/>
                <w:color w:val="000000"/>
                <w:sz w:val="21"/>
                <w:szCs w:val="21"/>
              </w:rPr>
            </w:pPr>
            <w:r>
              <w:rPr>
                <w:b/>
                <w:bCs/>
                <w:color w:val="000000"/>
                <w:sz w:val="21"/>
                <w:szCs w:val="21"/>
              </w:rPr>
              <w:t>表</w:t>
            </w:r>
            <w:r>
              <w:rPr>
                <w:rFonts w:hint="eastAsia"/>
                <w:b/>
                <w:bCs/>
                <w:color w:val="000000"/>
                <w:sz w:val="21"/>
                <w:szCs w:val="21"/>
                <w:lang w:val="en-US" w:eastAsia="zh-CN"/>
              </w:rPr>
              <w:t>4-6</w:t>
            </w:r>
            <w:r>
              <w:rPr>
                <w:b/>
                <w:bCs/>
                <w:color w:val="000000"/>
                <w:sz w:val="21"/>
                <w:szCs w:val="21"/>
              </w:rPr>
              <w:t xml:space="preserve">                   噪声预测结果一览表   </w:t>
            </w:r>
            <w:r>
              <w:rPr>
                <w:rFonts w:hint="eastAsia"/>
                <w:b/>
                <w:bCs/>
                <w:color w:val="000000"/>
                <w:sz w:val="21"/>
                <w:szCs w:val="21"/>
              </w:rPr>
              <w:t xml:space="preserve">         </w:t>
            </w:r>
            <w:r>
              <w:rPr>
                <w:b/>
                <w:bCs/>
                <w:color w:val="000000"/>
                <w:sz w:val="21"/>
                <w:szCs w:val="21"/>
              </w:rPr>
              <w:t xml:space="preserve">  单位：dB（A）</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4"/>
              <w:gridCol w:w="1093"/>
              <w:gridCol w:w="1091"/>
              <w:gridCol w:w="807"/>
              <w:gridCol w:w="749"/>
              <w:gridCol w:w="996"/>
              <w:gridCol w:w="1244"/>
              <w:gridCol w:w="1244"/>
            </w:tblGrid>
            <w:tr w14:paraId="34207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34" w:type="pct"/>
                  <w:vMerge w:val="restart"/>
                  <w:tcBorders>
                    <w:tl2br w:val="nil"/>
                    <w:tr2bl w:val="nil"/>
                  </w:tcBorders>
                  <w:shd w:val="clear" w:color="auto" w:fill="auto"/>
                  <w:vAlign w:val="center"/>
                </w:tcPr>
                <w:p w14:paraId="24C95F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预测方位</w:t>
                  </w:r>
                </w:p>
              </w:tc>
              <w:tc>
                <w:tcPr>
                  <w:tcW w:w="1765" w:type="pct"/>
                  <w:gridSpan w:val="3"/>
                  <w:tcBorders>
                    <w:tl2br w:val="nil"/>
                    <w:tr2bl w:val="nil"/>
                  </w:tcBorders>
                  <w:shd w:val="clear" w:color="auto" w:fill="auto"/>
                  <w:vAlign w:val="center"/>
                </w:tcPr>
                <w:p w14:paraId="65446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最大值点</w:t>
                  </w:r>
                  <w:r>
                    <w:rPr>
                      <w:rFonts w:hint="default" w:ascii="Times New Roman" w:hAnsi="Times New Roman" w:eastAsia="宋体" w:cs="Times New Roman"/>
                      <w:b w:val="0"/>
                      <w:bCs/>
                      <w:sz w:val="21"/>
                      <w:szCs w:val="21"/>
                    </w:rPr>
                    <w:t>空间相对位置/m</w:t>
                  </w:r>
                </w:p>
              </w:tc>
              <w:tc>
                <w:tcPr>
                  <w:tcW w:w="442" w:type="pct"/>
                  <w:vMerge w:val="restart"/>
                  <w:tcBorders>
                    <w:tl2br w:val="nil"/>
                    <w:tr2bl w:val="nil"/>
                  </w:tcBorders>
                  <w:shd w:val="clear" w:color="auto" w:fill="auto"/>
                  <w:vAlign w:val="center"/>
                </w:tcPr>
                <w:p w14:paraId="78D8E0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时段</w:t>
                  </w:r>
                </w:p>
              </w:tc>
              <w:tc>
                <w:tcPr>
                  <w:tcW w:w="588" w:type="pct"/>
                  <w:vMerge w:val="restart"/>
                  <w:tcBorders>
                    <w:tl2br w:val="nil"/>
                    <w:tr2bl w:val="nil"/>
                  </w:tcBorders>
                  <w:shd w:val="clear" w:color="auto" w:fill="auto"/>
                  <w:vAlign w:val="center"/>
                </w:tcPr>
                <w:p w14:paraId="14B07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贡献值</w:t>
                  </w:r>
                </w:p>
              </w:tc>
              <w:tc>
                <w:tcPr>
                  <w:tcW w:w="734" w:type="pct"/>
                  <w:vMerge w:val="restart"/>
                  <w:tcBorders>
                    <w:tl2br w:val="nil"/>
                    <w:tr2bl w:val="nil"/>
                  </w:tcBorders>
                  <w:shd w:val="clear" w:color="auto" w:fill="auto"/>
                  <w:vAlign w:val="center"/>
                </w:tcPr>
                <w:p w14:paraId="7D9AE6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标准限值</w:t>
                  </w:r>
                </w:p>
              </w:tc>
              <w:tc>
                <w:tcPr>
                  <w:tcW w:w="734" w:type="pct"/>
                  <w:vMerge w:val="restart"/>
                  <w:tcBorders>
                    <w:tl2br w:val="nil"/>
                    <w:tr2bl w:val="nil"/>
                  </w:tcBorders>
                  <w:shd w:val="clear" w:color="auto" w:fill="auto"/>
                  <w:vAlign w:val="center"/>
                </w:tcPr>
                <w:p w14:paraId="0E845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14:paraId="44C5A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34" w:type="pct"/>
                  <w:vMerge w:val="continue"/>
                  <w:tcBorders>
                    <w:tl2br w:val="nil"/>
                    <w:tr2bl w:val="nil"/>
                  </w:tcBorders>
                  <w:shd w:val="clear" w:color="auto" w:fill="auto"/>
                  <w:vAlign w:val="center"/>
                </w:tcPr>
                <w:p w14:paraId="7710A0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645" w:type="pct"/>
                  <w:tcBorders>
                    <w:tl2br w:val="nil"/>
                    <w:tr2bl w:val="nil"/>
                  </w:tcBorders>
                  <w:shd w:val="clear" w:color="auto" w:fill="auto"/>
                  <w:vAlign w:val="center"/>
                </w:tcPr>
                <w:p w14:paraId="34A364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X</w:t>
                  </w:r>
                </w:p>
              </w:tc>
              <w:tc>
                <w:tcPr>
                  <w:tcW w:w="644" w:type="pct"/>
                  <w:tcBorders>
                    <w:tl2br w:val="nil"/>
                    <w:tr2bl w:val="nil"/>
                  </w:tcBorders>
                  <w:shd w:val="clear" w:color="auto" w:fill="auto"/>
                  <w:vAlign w:val="center"/>
                </w:tcPr>
                <w:p w14:paraId="6629C8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Y</w:t>
                  </w:r>
                </w:p>
              </w:tc>
              <w:tc>
                <w:tcPr>
                  <w:tcW w:w="475" w:type="pct"/>
                  <w:tcBorders>
                    <w:tl2br w:val="nil"/>
                    <w:tr2bl w:val="nil"/>
                  </w:tcBorders>
                  <w:shd w:val="clear" w:color="auto" w:fill="auto"/>
                  <w:vAlign w:val="center"/>
                </w:tcPr>
                <w:p w14:paraId="18CD3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Z</w:t>
                  </w:r>
                </w:p>
              </w:tc>
              <w:tc>
                <w:tcPr>
                  <w:tcW w:w="442" w:type="pct"/>
                  <w:vMerge w:val="continue"/>
                  <w:tcBorders>
                    <w:tl2br w:val="nil"/>
                    <w:tr2bl w:val="nil"/>
                  </w:tcBorders>
                  <w:shd w:val="clear" w:color="auto" w:fill="auto"/>
                  <w:vAlign w:val="center"/>
                </w:tcPr>
                <w:p w14:paraId="12980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588" w:type="pct"/>
                  <w:vMerge w:val="continue"/>
                  <w:tcBorders>
                    <w:tl2br w:val="nil"/>
                    <w:tr2bl w:val="nil"/>
                  </w:tcBorders>
                  <w:shd w:val="clear" w:color="auto" w:fill="auto"/>
                  <w:vAlign w:val="center"/>
                </w:tcPr>
                <w:p w14:paraId="389C7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734" w:type="pct"/>
                  <w:vMerge w:val="continue"/>
                  <w:tcBorders>
                    <w:tl2br w:val="nil"/>
                    <w:tr2bl w:val="nil"/>
                  </w:tcBorders>
                  <w:shd w:val="clear" w:color="auto" w:fill="auto"/>
                  <w:vAlign w:val="center"/>
                </w:tcPr>
                <w:p w14:paraId="5F6F77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c>
                <w:tcPr>
                  <w:tcW w:w="734" w:type="pct"/>
                  <w:vMerge w:val="continue"/>
                  <w:tcBorders>
                    <w:tl2br w:val="nil"/>
                    <w:tr2bl w:val="nil"/>
                  </w:tcBorders>
                  <w:shd w:val="clear" w:color="auto" w:fill="auto"/>
                  <w:vAlign w:val="center"/>
                </w:tcPr>
                <w:p w14:paraId="57C49A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sz w:val="21"/>
                      <w:szCs w:val="21"/>
                    </w:rPr>
                  </w:pPr>
                </w:p>
              </w:tc>
            </w:tr>
            <w:tr w14:paraId="344DC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34" w:type="pct"/>
                  <w:tcBorders>
                    <w:tl2br w:val="nil"/>
                    <w:tr2bl w:val="nil"/>
                  </w:tcBorders>
                  <w:shd w:val="clear" w:color="auto" w:fill="auto"/>
                  <w:vAlign w:val="center"/>
                </w:tcPr>
                <w:p w14:paraId="6510BC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东侧</w:t>
                  </w:r>
                </w:p>
              </w:tc>
              <w:tc>
                <w:tcPr>
                  <w:tcW w:w="645" w:type="pct"/>
                  <w:tcBorders>
                    <w:tl2br w:val="nil"/>
                    <w:tr2bl w:val="nil"/>
                  </w:tcBorders>
                  <w:shd w:val="clear" w:color="auto" w:fill="auto"/>
                  <w:vAlign w:val="center"/>
                </w:tcPr>
                <w:p w14:paraId="0D9B5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70.7</w:t>
                  </w:r>
                </w:p>
              </w:tc>
              <w:tc>
                <w:tcPr>
                  <w:tcW w:w="644" w:type="pct"/>
                  <w:tcBorders>
                    <w:tl2br w:val="nil"/>
                    <w:tr2bl w:val="nil"/>
                  </w:tcBorders>
                  <w:shd w:val="clear" w:color="auto" w:fill="auto"/>
                  <w:vAlign w:val="center"/>
                </w:tcPr>
                <w:p w14:paraId="1FF40F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27.9</w:t>
                  </w:r>
                </w:p>
              </w:tc>
              <w:tc>
                <w:tcPr>
                  <w:tcW w:w="475" w:type="pct"/>
                  <w:tcBorders>
                    <w:tl2br w:val="nil"/>
                    <w:tr2bl w:val="nil"/>
                  </w:tcBorders>
                  <w:shd w:val="clear" w:color="auto" w:fill="auto"/>
                  <w:vAlign w:val="center"/>
                </w:tcPr>
                <w:p w14:paraId="57421A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1.2</w:t>
                  </w:r>
                </w:p>
              </w:tc>
              <w:tc>
                <w:tcPr>
                  <w:tcW w:w="442" w:type="pct"/>
                  <w:tcBorders>
                    <w:tl2br w:val="nil"/>
                    <w:tr2bl w:val="nil"/>
                  </w:tcBorders>
                  <w:shd w:val="clear" w:color="auto" w:fill="auto"/>
                  <w:vAlign w:val="center"/>
                </w:tcPr>
                <w:p w14:paraId="2138AC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昼间</w:t>
                  </w:r>
                </w:p>
              </w:tc>
              <w:tc>
                <w:tcPr>
                  <w:tcW w:w="588" w:type="pct"/>
                  <w:tcBorders>
                    <w:tl2br w:val="nil"/>
                    <w:tr2bl w:val="nil"/>
                  </w:tcBorders>
                  <w:shd w:val="clear" w:color="auto" w:fill="auto"/>
                  <w:vAlign w:val="center"/>
                </w:tcPr>
                <w:p w14:paraId="125BE5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41.8</w:t>
                  </w:r>
                </w:p>
              </w:tc>
              <w:tc>
                <w:tcPr>
                  <w:tcW w:w="734" w:type="pct"/>
                  <w:tcBorders>
                    <w:tl2br w:val="nil"/>
                    <w:tr2bl w:val="nil"/>
                  </w:tcBorders>
                  <w:shd w:val="clear" w:color="auto" w:fill="auto"/>
                  <w:vAlign w:val="center"/>
                </w:tcPr>
                <w:p w14:paraId="6CD29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60</w:t>
                  </w:r>
                </w:p>
              </w:tc>
              <w:tc>
                <w:tcPr>
                  <w:tcW w:w="734" w:type="pct"/>
                  <w:tcBorders>
                    <w:tl2br w:val="nil"/>
                    <w:tr2bl w:val="nil"/>
                  </w:tcBorders>
                  <w:shd w:val="clear" w:color="auto" w:fill="auto"/>
                  <w:vAlign w:val="center"/>
                </w:tcPr>
                <w:p w14:paraId="11822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达标</w:t>
                  </w:r>
                </w:p>
              </w:tc>
            </w:tr>
            <w:tr w14:paraId="47DA8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34" w:type="pct"/>
                  <w:tcBorders>
                    <w:tl2br w:val="nil"/>
                    <w:tr2bl w:val="nil"/>
                  </w:tcBorders>
                  <w:shd w:val="clear" w:color="auto" w:fill="auto"/>
                  <w:vAlign w:val="center"/>
                </w:tcPr>
                <w:p w14:paraId="43304C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南侧</w:t>
                  </w:r>
                </w:p>
              </w:tc>
              <w:tc>
                <w:tcPr>
                  <w:tcW w:w="645" w:type="pct"/>
                  <w:tcBorders>
                    <w:tl2br w:val="nil"/>
                    <w:tr2bl w:val="nil"/>
                  </w:tcBorders>
                  <w:shd w:val="clear" w:color="auto" w:fill="auto"/>
                  <w:vAlign w:val="center"/>
                </w:tcPr>
                <w:p w14:paraId="0A86D1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-63.7</w:t>
                  </w:r>
                </w:p>
              </w:tc>
              <w:tc>
                <w:tcPr>
                  <w:tcW w:w="644" w:type="pct"/>
                  <w:tcBorders>
                    <w:tl2br w:val="nil"/>
                    <w:tr2bl w:val="nil"/>
                  </w:tcBorders>
                  <w:shd w:val="clear" w:color="auto" w:fill="auto"/>
                  <w:vAlign w:val="center"/>
                </w:tcPr>
                <w:p w14:paraId="185E9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-79.8</w:t>
                  </w:r>
                </w:p>
              </w:tc>
              <w:tc>
                <w:tcPr>
                  <w:tcW w:w="475" w:type="pct"/>
                  <w:tcBorders>
                    <w:tl2br w:val="nil"/>
                    <w:tr2bl w:val="nil"/>
                  </w:tcBorders>
                  <w:shd w:val="clear" w:color="auto" w:fill="auto"/>
                  <w:vAlign w:val="center"/>
                </w:tcPr>
                <w:p w14:paraId="53508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1.2</w:t>
                  </w:r>
                </w:p>
              </w:tc>
              <w:tc>
                <w:tcPr>
                  <w:tcW w:w="442" w:type="pct"/>
                  <w:tcBorders>
                    <w:tl2br w:val="nil"/>
                    <w:tr2bl w:val="nil"/>
                  </w:tcBorders>
                  <w:shd w:val="clear" w:color="auto" w:fill="auto"/>
                  <w:vAlign w:val="center"/>
                </w:tcPr>
                <w:p w14:paraId="7B3FED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昼间</w:t>
                  </w:r>
                </w:p>
              </w:tc>
              <w:tc>
                <w:tcPr>
                  <w:tcW w:w="588" w:type="pct"/>
                  <w:tcBorders>
                    <w:tl2br w:val="nil"/>
                    <w:tr2bl w:val="nil"/>
                  </w:tcBorders>
                  <w:shd w:val="clear" w:color="auto" w:fill="auto"/>
                  <w:vAlign w:val="center"/>
                </w:tcPr>
                <w:p w14:paraId="56C9B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37.5</w:t>
                  </w:r>
                </w:p>
              </w:tc>
              <w:tc>
                <w:tcPr>
                  <w:tcW w:w="734" w:type="pct"/>
                  <w:tcBorders>
                    <w:tl2br w:val="nil"/>
                    <w:tr2bl w:val="nil"/>
                  </w:tcBorders>
                  <w:shd w:val="clear" w:color="auto" w:fill="auto"/>
                  <w:vAlign w:val="center"/>
                </w:tcPr>
                <w:p w14:paraId="0BABAD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60</w:t>
                  </w:r>
                </w:p>
              </w:tc>
              <w:tc>
                <w:tcPr>
                  <w:tcW w:w="734" w:type="pct"/>
                  <w:tcBorders>
                    <w:tl2br w:val="nil"/>
                    <w:tr2bl w:val="nil"/>
                  </w:tcBorders>
                  <w:shd w:val="clear" w:color="auto" w:fill="auto"/>
                  <w:vAlign w:val="center"/>
                </w:tcPr>
                <w:p w14:paraId="1BE662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达标</w:t>
                  </w:r>
                </w:p>
              </w:tc>
            </w:tr>
            <w:tr w14:paraId="07C64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734" w:type="pct"/>
                  <w:tcBorders>
                    <w:tl2br w:val="nil"/>
                    <w:tr2bl w:val="nil"/>
                  </w:tcBorders>
                  <w:shd w:val="clear" w:color="auto" w:fill="auto"/>
                  <w:vAlign w:val="center"/>
                </w:tcPr>
                <w:p w14:paraId="6C4B2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西侧</w:t>
                  </w:r>
                </w:p>
              </w:tc>
              <w:tc>
                <w:tcPr>
                  <w:tcW w:w="645" w:type="pct"/>
                  <w:tcBorders>
                    <w:tl2br w:val="nil"/>
                    <w:tr2bl w:val="nil"/>
                  </w:tcBorders>
                  <w:shd w:val="clear" w:color="auto" w:fill="auto"/>
                  <w:vAlign w:val="center"/>
                </w:tcPr>
                <w:p w14:paraId="4DD5C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-55.8</w:t>
                  </w:r>
                </w:p>
              </w:tc>
              <w:tc>
                <w:tcPr>
                  <w:tcW w:w="644" w:type="pct"/>
                  <w:tcBorders>
                    <w:tl2br w:val="nil"/>
                    <w:tr2bl w:val="nil"/>
                  </w:tcBorders>
                  <w:shd w:val="clear" w:color="auto" w:fill="auto"/>
                  <w:vAlign w:val="center"/>
                </w:tcPr>
                <w:p w14:paraId="5E7155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38.6</w:t>
                  </w:r>
                </w:p>
              </w:tc>
              <w:tc>
                <w:tcPr>
                  <w:tcW w:w="475" w:type="pct"/>
                  <w:tcBorders>
                    <w:tl2br w:val="nil"/>
                    <w:tr2bl w:val="nil"/>
                  </w:tcBorders>
                  <w:shd w:val="clear" w:color="auto" w:fill="auto"/>
                  <w:vAlign w:val="center"/>
                </w:tcPr>
                <w:p w14:paraId="7CE6C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1.2</w:t>
                  </w:r>
                </w:p>
              </w:tc>
              <w:tc>
                <w:tcPr>
                  <w:tcW w:w="442" w:type="pct"/>
                  <w:tcBorders>
                    <w:tl2br w:val="nil"/>
                    <w:tr2bl w:val="nil"/>
                  </w:tcBorders>
                  <w:shd w:val="clear" w:color="auto" w:fill="auto"/>
                  <w:vAlign w:val="center"/>
                </w:tcPr>
                <w:p w14:paraId="0D9EB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昼间</w:t>
                  </w:r>
                </w:p>
              </w:tc>
              <w:tc>
                <w:tcPr>
                  <w:tcW w:w="588" w:type="pct"/>
                  <w:tcBorders>
                    <w:tl2br w:val="nil"/>
                    <w:tr2bl w:val="nil"/>
                  </w:tcBorders>
                  <w:shd w:val="clear" w:color="auto" w:fill="auto"/>
                  <w:vAlign w:val="center"/>
                </w:tcPr>
                <w:p w14:paraId="5FA99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52.6</w:t>
                  </w:r>
                </w:p>
              </w:tc>
              <w:tc>
                <w:tcPr>
                  <w:tcW w:w="734" w:type="pct"/>
                  <w:tcBorders>
                    <w:tl2br w:val="nil"/>
                    <w:tr2bl w:val="nil"/>
                  </w:tcBorders>
                  <w:shd w:val="clear" w:color="auto" w:fill="auto"/>
                  <w:vAlign w:val="center"/>
                </w:tcPr>
                <w:p w14:paraId="12FCE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60</w:t>
                  </w:r>
                </w:p>
              </w:tc>
              <w:tc>
                <w:tcPr>
                  <w:tcW w:w="734" w:type="pct"/>
                  <w:tcBorders>
                    <w:tl2br w:val="nil"/>
                    <w:tr2bl w:val="nil"/>
                  </w:tcBorders>
                  <w:shd w:val="clear" w:color="auto" w:fill="auto"/>
                  <w:vAlign w:val="center"/>
                </w:tcPr>
                <w:p w14:paraId="63E2B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达标</w:t>
                  </w:r>
                </w:p>
              </w:tc>
            </w:tr>
            <w:tr w14:paraId="1EFFC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4" w:type="pct"/>
                  <w:tcBorders>
                    <w:tl2br w:val="nil"/>
                    <w:tr2bl w:val="nil"/>
                  </w:tcBorders>
                  <w:shd w:val="clear" w:color="auto" w:fill="auto"/>
                  <w:vAlign w:val="center"/>
                </w:tcPr>
                <w:p w14:paraId="5E334D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北侧</w:t>
                  </w:r>
                </w:p>
              </w:tc>
              <w:tc>
                <w:tcPr>
                  <w:tcW w:w="645" w:type="pct"/>
                  <w:tcBorders>
                    <w:tl2br w:val="nil"/>
                    <w:tr2bl w:val="nil"/>
                  </w:tcBorders>
                  <w:shd w:val="clear" w:color="auto" w:fill="auto"/>
                  <w:vAlign w:val="center"/>
                </w:tcPr>
                <w:p w14:paraId="195AC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-10.6</w:t>
                  </w:r>
                </w:p>
              </w:tc>
              <w:tc>
                <w:tcPr>
                  <w:tcW w:w="644" w:type="pct"/>
                  <w:tcBorders>
                    <w:tl2br w:val="nil"/>
                    <w:tr2bl w:val="nil"/>
                  </w:tcBorders>
                  <w:shd w:val="clear" w:color="auto" w:fill="auto"/>
                  <w:vAlign w:val="center"/>
                </w:tcPr>
                <w:p w14:paraId="58BB32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98.2</w:t>
                  </w:r>
                </w:p>
              </w:tc>
              <w:tc>
                <w:tcPr>
                  <w:tcW w:w="475" w:type="pct"/>
                  <w:tcBorders>
                    <w:tl2br w:val="nil"/>
                    <w:tr2bl w:val="nil"/>
                  </w:tcBorders>
                  <w:shd w:val="clear" w:color="auto" w:fill="auto"/>
                  <w:vAlign w:val="center"/>
                </w:tcPr>
                <w:p w14:paraId="39837B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1.2</w:t>
                  </w:r>
                </w:p>
              </w:tc>
              <w:tc>
                <w:tcPr>
                  <w:tcW w:w="442" w:type="pct"/>
                  <w:tcBorders>
                    <w:tl2br w:val="nil"/>
                    <w:tr2bl w:val="nil"/>
                  </w:tcBorders>
                  <w:shd w:val="clear" w:color="auto" w:fill="auto"/>
                  <w:vAlign w:val="center"/>
                </w:tcPr>
                <w:p w14:paraId="59BB7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昼间</w:t>
                  </w:r>
                </w:p>
              </w:tc>
              <w:tc>
                <w:tcPr>
                  <w:tcW w:w="588" w:type="pct"/>
                  <w:tcBorders>
                    <w:tl2br w:val="nil"/>
                    <w:tr2bl w:val="nil"/>
                  </w:tcBorders>
                  <w:shd w:val="clear" w:color="auto" w:fill="auto"/>
                  <w:vAlign w:val="center"/>
                </w:tcPr>
                <w:p w14:paraId="713831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46.4</w:t>
                  </w:r>
                </w:p>
              </w:tc>
              <w:tc>
                <w:tcPr>
                  <w:tcW w:w="734" w:type="pct"/>
                  <w:tcBorders>
                    <w:tl2br w:val="nil"/>
                    <w:tr2bl w:val="nil"/>
                  </w:tcBorders>
                  <w:shd w:val="clear" w:color="auto" w:fill="auto"/>
                  <w:vAlign w:val="center"/>
                </w:tcPr>
                <w:p w14:paraId="1DFDF7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60</w:t>
                  </w:r>
                </w:p>
              </w:tc>
              <w:tc>
                <w:tcPr>
                  <w:tcW w:w="734" w:type="pct"/>
                  <w:tcBorders>
                    <w:tl2br w:val="nil"/>
                    <w:tr2bl w:val="nil"/>
                  </w:tcBorders>
                  <w:shd w:val="clear" w:color="auto" w:fill="auto"/>
                  <w:vAlign w:val="center"/>
                </w:tcPr>
                <w:p w14:paraId="21F84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rPr>
                  </w:pPr>
                  <w:r>
                    <w:rPr>
                      <w:rFonts w:hint="default" w:ascii="Times New Roman" w:hAnsi="Times New Roman" w:eastAsia="宋体" w:cs="Times New Roman"/>
                      <w:b w:val="0"/>
                      <w:bCs/>
                      <w:sz w:val="20"/>
                    </w:rPr>
                    <w:t>达标</w:t>
                  </w:r>
                </w:p>
              </w:tc>
            </w:tr>
          </w:tbl>
          <w:p w14:paraId="7E46FAC4">
            <w:pPr>
              <w:autoSpaceDE w:val="0"/>
              <w:autoSpaceDN w:val="0"/>
              <w:adjustRightInd w:val="0"/>
              <w:snapToGrid w:val="0"/>
              <w:ind w:firstLine="480" w:firstLineChars="200"/>
              <w:rPr>
                <w:rFonts w:hint="eastAsia"/>
                <w:color w:val="000000"/>
                <w:kern w:val="0"/>
              </w:rPr>
            </w:pPr>
            <w:r>
              <w:rPr>
                <w:rFonts w:hint="eastAsia"/>
                <w:color w:val="000000"/>
                <w:kern w:val="0"/>
              </w:rPr>
              <w:t>据表21预测结果可知，项目厂界四周边界噪声经建筑物隔声降噪及距离衰减后，厂界噪声满足《工业企业厂界环境噪声排放标准》（</w:t>
            </w:r>
            <w:r>
              <w:rPr>
                <w:color w:val="000000"/>
                <w:kern w:val="0"/>
              </w:rPr>
              <w:t>GB12348-2008</w:t>
            </w:r>
            <w:r>
              <w:rPr>
                <w:rFonts w:hint="eastAsia"/>
                <w:color w:val="000000"/>
                <w:kern w:val="0"/>
              </w:rPr>
              <w:t>）</w:t>
            </w:r>
            <w:r>
              <w:rPr>
                <w:rFonts w:hint="eastAsia"/>
                <w:color w:val="000000"/>
                <w:kern w:val="0"/>
                <w:lang w:val="en-US" w:eastAsia="zh-CN"/>
              </w:rPr>
              <w:t>2</w:t>
            </w:r>
            <w:r>
              <w:rPr>
                <w:rFonts w:hint="eastAsia"/>
                <w:color w:val="000000"/>
                <w:kern w:val="0"/>
              </w:rPr>
              <w:t>类区标准中（昼间</w:t>
            </w:r>
            <w:r>
              <w:rPr>
                <w:color w:val="000000"/>
                <w:kern w:val="0"/>
              </w:rPr>
              <w:t>6</w:t>
            </w:r>
            <w:r>
              <w:rPr>
                <w:rFonts w:hint="eastAsia"/>
                <w:color w:val="000000"/>
                <w:kern w:val="0"/>
                <w:lang w:val="en-US" w:eastAsia="zh-CN"/>
              </w:rPr>
              <w:t>0</w:t>
            </w:r>
            <w:r>
              <w:rPr>
                <w:color w:val="000000"/>
                <w:kern w:val="0"/>
              </w:rPr>
              <w:t>dB</w:t>
            </w:r>
            <w:r>
              <w:rPr>
                <w:rFonts w:hint="eastAsia"/>
                <w:color w:val="000000"/>
                <w:kern w:val="0"/>
              </w:rPr>
              <w:t>（</w:t>
            </w:r>
            <w:r>
              <w:rPr>
                <w:color w:val="000000"/>
                <w:kern w:val="0"/>
              </w:rPr>
              <w:t>A</w:t>
            </w:r>
            <w:r>
              <w:rPr>
                <w:rFonts w:hint="eastAsia"/>
                <w:color w:val="000000"/>
                <w:kern w:val="0"/>
              </w:rPr>
              <w:t>）</w:t>
            </w:r>
            <w:r>
              <w:rPr>
                <w:rFonts w:hint="eastAsia"/>
                <w:color w:val="000000"/>
                <w:kern w:val="0"/>
                <w:lang w:eastAsia="zh-CN"/>
              </w:rPr>
              <w:t>，</w:t>
            </w:r>
            <w:r>
              <w:rPr>
                <w:rFonts w:hint="eastAsia"/>
                <w:color w:val="000000"/>
                <w:kern w:val="0"/>
                <w:lang w:val="en-US" w:eastAsia="zh-CN"/>
              </w:rPr>
              <w:t>夜间不生产</w:t>
            </w:r>
            <w:r>
              <w:rPr>
                <w:rFonts w:hint="eastAsia"/>
                <w:color w:val="000000"/>
                <w:kern w:val="0"/>
              </w:rPr>
              <w:t>）的排放要求。</w:t>
            </w:r>
          </w:p>
          <w:p w14:paraId="65125EAE">
            <w:pPr>
              <w:rPr>
                <w:rFonts w:hint="eastAsia"/>
                <w:b/>
                <w:bCs/>
                <w:color w:val="000000"/>
              </w:rPr>
            </w:pPr>
            <w:r>
              <w:rPr>
                <w:b/>
                <w:bCs/>
                <w:color w:val="000000"/>
              </w:rPr>
              <w:t>3.</w:t>
            </w:r>
            <w:r>
              <w:rPr>
                <w:rFonts w:hint="eastAsia"/>
                <w:b/>
                <w:bCs/>
                <w:color w:val="000000"/>
                <w:lang w:val="en-US" w:eastAsia="zh-CN"/>
              </w:rPr>
              <w:t>6</w:t>
            </w:r>
            <w:r>
              <w:rPr>
                <w:rFonts w:hint="eastAsia"/>
                <w:b/>
                <w:bCs/>
                <w:color w:val="000000"/>
              </w:rPr>
              <w:t>监测计划</w:t>
            </w:r>
          </w:p>
          <w:p w14:paraId="55C35954">
            <w:pPr>
              <w:autoSpaceDE w:val="0"/>
              <w:autoSpaceDN w:val="0"/>
              <w:adjustRightInd w:val="0"/>
              <w:snapToGrid w:val="0"/>
              <w:ind w:firstLine="480" w:firstLineChars="200"/>
              <w:rPr>
                <w:rFonts w:hint="eastAsia"/>
                <w:color w:val="000000"/>
              </w:rPr>
            </w:pPr>
            <w:r>
              <w:rPr>
                <w:rFonts w:hint="eastAsia"/>
                <w:color w:val="000000"/>
              </w:rPr>
              <w:t>本项目运营后监测计划如下表</w:t>
            </w:r>
            <w:r>
              <w:rPr>
                <w:rFonts w:hint="eastAsia"/>
                <w:color w:val="000000"/>
                <w:lang w:val="en-US" w:eastAsia="zh-CN"/>
              </w:rPr>
              <w:t>4-7</w:t>
            </w:r>
            <w:r>
              <w:rPr>
                <w:rFonts w:hint="eastAsia"/>
                <w:color w:val="000000"/>
              </w:rPr>
              <w:t>：</w:t>
            </w:r>
          </w:p>
          <w:p w14:paraId="636D5AC7">
            <w:pPr>
              <w:pStyle w:val="6"/>
              <w:adjustRightInd w:val="0"/>
              <w:snapToGrid w:val="0"/>
              <w:ind w:firstLine="422"/>
              <w:rPr>
                <w:color w:val="000000"/>
                <w:szCs w:val="21"/>
              </w:rPr>
            </w:pPr>
            <w:r>
              <w:rPr>
                <w:rFonts w:hint="eastAsia"/>
                <w:color w:val="000000"/>
                <w:szCs w:val="21"/>
              </w:rPr>
              <w:t>表</w:t>
            </w:r>
            <w:r>
              <w:rPr>
                <w:rFonts w:hint="eastAsia"/>
                <w:color w:val="000000"/>
                <w:szCs w:val="21"/>
                <w:lang w:val="en-US" w:eastAsia="zh-CN"/>
              </w:rPr>
              <w:t>4-7</w:t>
            </w:r>
            <w:r>
              <w:rPr>
                <w:color w:val="000000"/>
                <w:szCs w:val="21"/>
              </w:rPr>
              <w:t xml:space="preserve">       </w:t>
            </w:r>
            <w:r>
              <w:rPr>
                <w:rFonts w:hint="eastAsia"/>
                <w:color w:val="000000"/>
                <w:szCs w:val="21"/>
              </w:rPr>
              <w:t xml:space="preserve">   </w:t>
            </w:r>
            <w:r>
              <w:rPr>
                <w:color w:val="000000"/>
                <w:szCs w:val="21"/>
              </w:rPr>
              <w:t xml:space="preserve">                </w:t>
            </w:r>
            <w:r>
              <w:rPr>
                <w:rFonts w:hint="eastAsia"/>
                <w:color w:val="000000"/>
                <w:szCs w:val="21"/>
              </w:rPr>
              <w:t>声环境监测计划</w:t>
            </w:r>
          </w:p>
          <w:tbl>
            <w:tblPr>
              <w:tblStyle w:val="24"/>
              <w:tblW w:w="4998" w:type="pct"/>
              <w:tblInd w:w="0"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autofit"/>
              <w:tblCellMar>
                <w:top w:w="0" w:type="dxa"/>
                <w:left w:w="0" w:type="dxa"/>
                <w:bottom w:w="0" w:type="dxa"/>
                <w:right w:w="0" w:type="dxa"/>
              </w:tblCellMar>
            </w:tblPr>
            <w:tblGrid>
              <w:gridCol w:w="889"/>
              <w:gridCol w:w="1310"/>
              <w:gridCol w:w="1715"/>
              <w:gridCol w:w="1061"/>
              <w:gridCol w:w="3493"/>
            </w:tblGrid>
            <w:tr w14:paraId="1F6B3776">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c>
                <w:tcPr>
                  <w:tcW w:w="525" w:type="pct"/>
                  <w:tcBorders>
                    <w:top w:val="single" w:color="000000" w:sz="12" w:space="0"/>
                    <w:left w:val="nil"/>
                    <w:bottom w:val="single" w:color="000000" w:sz="4" w:space="0"/>
                    <w:right w:val="single" w:color="000000" w:sz="4" w:space="0"/>
                  </w:tcBorders>
                  <w:noWrap w:val="0"/>
                  <w:vAlign w:val="center"/>
                </w:tcPr>
                <w:p w14:paraId="0D050C35">
                  <w:pPr>
                    <w:pStyle w:val="2"/>
                    <w:adjustRightInd w:val="0"/>
                    <w:snapToGrid w:val="0"/>
                    <w:spacing w:line="240" w:lineRule="auto"/>
                    <w:ind w:firstLine="0" w:firstLineChars="0"/>
                    <w:jc w:val="center"/>
                    <w:rPr>
                      <w:color w:val="000000"/>
                      <w:sz w:val="21"/>
                      <w:szCs w:val="21"/>
                    </w:rPr>
                  </w:pPr>
                  <w:r>
                    <w:rPr>
                      <w:rFonts w:hint="eastAsia"/>
                      <w:color w:val="000000"/>
                      <w:sz w:val="21"/>
                      <w:szCs w:val="21"/>
                    </w:rPr>
                    <w:t>项目</w:t>
                  </w:r>
                </w:p>
              </w:tc>
              <w:tc>
                <w:tcPr>
                  <w:tcW w:w="773" w:type="pct"/>
                  <w:tcBorders>
                    <w:top w:val="single" w:color="000000" w:sz="12" w:space="0"/>
                    <w:left w:val="single" w:color="000000" w:sz="4" w:space="0"/>
                    <w:bottom w:val="single" w:color="000000" w:sz="4" w:space="0"/>
                    <w:right w:val="single" w:color="000000" w:sz="4" w:space="0"/>
                  </w:tcBorders>
                  <w:noWrap w:val="0"/>
                  <w:vAlign w:val="center"/>
                </w:tcPr>
                <w:p w14:paraId="18B11B09">
                  <w:pPr>
                    <w:pStyle w:val="2"/>
                    <w:adjustRightInd w:val="0"/>
                    <w:snapToGrid w:val="0"/>
                    <w:spacing w:line="240" w:lineRule="auto"/>
                    <w:ind w:firstLine="0" w:firstLineChars="0"/>
                    <w:jc w:val="center"/>
                    <w:rPr>
                      <w:color w:val="000000"/>
                      <w:sz w:val="21"/>
                      <w:szCs w:val="21"/>
                    </w:rPr>
                  </w:pPr>
                  <w:r>
                    <w:rPr>
                      <w:rFonts w:hint="eastAsia"/>
                      <w:color w:val="000000"/>
                      <w:sz w:val="21"/>
                      <w:szCs w:val="21"/>
                    </w:rPr>
                    <w:t>监测点位</w:t>
                  </w:r>
                </w:p>
              </w:tc>
              <w:tc>
                <w:tcPr>
                  <w:tcW w:w="1012" w:type="pct"/>
                  <w:tcBorders>
                    <w:top w:val="single" w:color="000000" w:sz="12" w:space="0"/>
                    <w:left w:val="single" w:color="000000" w:sz="4" w:space="0"/>
                    <w:bottom w:val="single" w:color="000000" w:sz="4" w:space="0"/>
                    <w:right w:val="single" w:color="000000" w:sz="4" w:space="0"/>
                  </w:tcBorders>
                  <w:noWrap w:val="0"/>
                  <w:vAlign w:val="center"/>
                </w:tcPr>
                <w:p w14:paraId="6B45C02A">
                  <w:pPr>
                    <w:pStyle w:val="2"/>
                    <w:adjustRightInd w:val="0"/>
                    <w:snapToGrid w:val="0"/>
                    <w:spacing w:line="240" w:lineRule="auto"/>
                    <w:ind w:firstLine="0" w:firstLineChars="0"/>
                    <w:jc w:val="center"/>
                    <w:rPr>
                      <w:color w:val="000000"/>
                      <w:sz w:val="21"/>
                      <w:szCs w:val="21"/>
                    </w:rPr>
                  </w:pPr>
                  <w:r>
                    <w:rPr>
                      <w:rFonts w:hint="eastAsia"/>
                      <w:color w:val="000000"/>
                      <w:sz w:val="21"/>
                      <w:szCs w:val="21"/>
                    </w:rPr>
                    <w:t>监测项目</w:t>
                  </w:r>
                </w:p>
              </w:tc>
              <w:tc>
                <w:tcPr>
                  <w:tcW w:w="626" w:type="pct"/>
                  <w:tcBorders>
                    <w:top w:val="single" w:color="000000" w:sz="12" w:space="0"/>
                    <w:left w:val="single" w:color="000000" w:sz="4" w:space="0"/>
                    <w:bottom w:val="single" w:color="000000" w:sz="4" w:space="0"/>
                    <w:right w:val="single" w:color="000000" w:sz="4" w:space="0"/>
                  </w:tcBorders>
                  <w:noWrap w:val="0"/>
                  <w:vAlign w:val="center"/>
                </w:tcPr>
                <w:p w14:paraId="2BFC849F">
                  <w:pPr>
                    <w:pStyle w:val="2"/>
                    <w:adjustRightInd w:val="0"/>
                    <w:snapToGrid w:val="0"/>
                    <w:spacing w:line="240" w:lineRule="auto"/>
                    <w:ind w:firstLine="0" w:firstLineChars="0"/>
                    <w:jc w:val="center"/>
                    <w:rPr>
                      <w:color w:val="000000"/>
                      <w:sz w:val="21"/>
                      <w:szCs w:val="21"/>
                    </w:rPr>
                  </w:pPr>
                  <w:r>
                    <w:rPr>
                      <w:rFonts w:hint="eastAsia"/>
                      <w:color w:val="000000"/>
                      <w:sz w:val="21"/>
                      <w:szCs w:val="21"/>
                    </w:rPr>
                    <w:t>监测频率</w:t>
                  </w:r>
                </w:p>
              </w:tc>
              <w:tc>
                <w:tcPr>
                  <w:tcW w:w="2062" w:type="pct"/>
                  <w:tcBorders>
                    <w:top w:val="single" w:color="000000" w:sz="12" w:space="0"/>
                    <w:left w:val="single" w:color="000000" w:sz="4" w:space="0"/>
                    <w:bottom w:val="single" w:color="000000" w:sz="4" w:space="0"/>
                    <w:right w:val="nil"/>
                  </w:tcBorders>
                  <w:noWrap w:val="0"/>
                  <w:vAlign w:val="center"/>
                </w:tcPr>
                <w:p w14:paraId="03AB40E9">
                  <w:pPr>
                    <w:pStyle w:val="2"/>
                    <w:adjustRightInd w:val="0"/>
                    <w:snapToGrid w:val="0"/>
                    <w:spacing w:line="240" w:lineRule="auto"/>
                    <w:ind w:firstLine="0" w:firstLineChars="0"/>
                    <w:jc w:val="center"/>
                    <w:rPr>
                      <w:color w:val="000000"/>
                      <w:sz w:val="21"/>
                      <w:szCs w:val="21"/>
                    </w:rPr>
                  </w:pPr>
                  <w:r>
                    <w:rPr>
                      <w:rFonts w:hint="eastAsia"/>
                      <w:color w:val="000000"/>
                      <w:sz w:val="21"/>
                      <w:szCs w:val="21"/>
                    </w:rPr>
                    <w:t>排放标准</w:t>
                  </w:r>
                </w:p>
              </w:tc>
            </w:tr>
            <w:tr w14:paraId="1A175C2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c>
                <w:tcPr>
                  <w:tcW w:w="525" w:type="pct"/>
                  <w:tcBorders>
                    <w:top w:val="single" w:color="000000" w:sz="4" w:space="0"/>
                    <w:left w:val="nil"/>
                    <w:bottom w:val="single" w:color="000000" w:sz="12" w:space="0"/>
                    <w:right w:val="single" w:color="000000" w:sz="4" w:space="0"/>
                  </w:tcBorders>
                  <w:noWrap w:val="0"/>
                  <w:vAlign w:val="center"/>
                </w:tcPr>
                <w:p w14:paraId="3EDC2C8D">
                  <w:pPr>
                    <w:pStyle w:val="2"/>
                    <w:adjustRightInd w:val="0"/>
                    <w:snapToGrid w:val="0"/>
                    <w:spacing w:line="240" w:lineRule="auto"/>
                    <w:ind w:firstLine="0" w:firstLineChars="0"/>
                    <w:jc w:val="center"/>
                    <w:rPr>
                      <w:color w:val="000000"/>
                      <w:sz w:val="21"/>
                      <w:szCs w:val="21"/>
                    </w:rPr>
                  </w:pPr>
                  <w:r>
                    <w:rPr>
                      <w:rFonts w:hint="eastAsia"/>
                      <w:color w:val="000000"/>
                      <w:sz w:val="21"/>
                      <w:szCs w:val="21"/>
                    </w:rPr>
                    <w:t>噪声</w:t>
                  </w:r>
                </w:p>
              </w:tc>
              <w:tc>
                <w:tcPr>
                  <w:tcW w:w="773" w:type="pct"/>
                  <w:tcBorders>
                    <w:top w:val="single" w:color="000000" w:sz="4" w:space="0"/>
                    <w:left w:val="single" w:color="000000" w:sz="4" w:space="0"/>
                    <w:bottom w:val="single" w:color="000000" w:sz="12" w:space="0"/>
                    <w:right w:val="single" w:color="000000" w:sz="4" w:space="0"/>
                  </w:tcBorders>
                  <w:noWrap w:val="0"/>
                  <w:vAlign w:val="center"/>
                </w:tcPr>
                <w:p w14:paraId="02499F3F">
                  <w:pPr>
                    <w:pStyle w:val="2"/>
                    <w:adjustRightInd w:val="0"/>
                    <w:snapToGrid w:val="0"/>
                    <w:spacing w:line="240" w:lineRule="auto"/>
                    <w:ind w:firstLine="0" w:firstLineChars="0"/>
                    <w:jc w:val="center"/>
                    <w:rPr>
                      <w:color w:val="000000"/>
                      <w:sz w:val="21"/>
                      <w:szCs w:val="21"/>
                    </w:rPr>
                  </w:pPr>
                  <w:r>
                    <w:rPr>
                      <w:rFonts w:hint="eastAsia"/>
                      <w:color w:val="000000"/>
                      <w:sz w:val="21"/>
                      <w:szCs w:val="21"/>
                    </w:rPr>
                    <w:t>厂界</w:t>
                  </w:r>
                </w:p>
              </w:tc>
              <w:tc>
                <w:tcPr>
                  <w:tcW w:w="1012" w:type="pct"/>
                  <w:tcBorders>
                    <w:top w:val="single" w:color="000000" w:sz="4" w:space="0"/>
                    <w:left w:val="single" w:color="000000" w:sz="4" w:space="0"/>
                    <w:bottom w:val="single" w:color="000000" w:sz="12" w:space="0"/>
                    <w:right w:val="single" w:color="000000" w:sz="4" w:space="0"/>
                  </w:tcBorders>
                  <w:noWrap w:val="0"/>
                  <w:vAlign w:val="center"/>
                </w:tcPr>
                <w:p w14:paraId="373272EC">
                  <w:pPr>
                    <w:pStyle w:val="2"/>
                    <w:adjustRightInd w:val="0"/>
                    <w:snapToGrid w:val="0"/>
                    <w:spacing w:line="240" w:lineRule="auto"/>
                    <w:ind w:firstLine="0" w:firstLineChars="0"/>
                    <w:jc w:val="center"/>
                    <w:rPr>
                      <w:color w:val="000000"/>
                      <w:sz w:val="21"/>
                      <w:szCs w:val="21"/>
                    </w:rPr>
                  </w:pPr>
                  <w:r>
                    <w:rPr>
                      <w:rFonts w:hint="eastAsia"/>
                      <w:color w:val="000000"/>
                      <w:sz w:val="21"/>
                      <w:szCs w:val="21"/>
                    </w:rPr>
                    <w:t>等效连续</w:t>
                  </w:r>
                  <w:r>
                    <w:rPr>
                      <w:color w:val="000000"/>
                      <w:sz w:val="21"/>
                      <w:szCs w:val="21"/>
                    </w:rPr>
                    <w:t>A</w:t>
                  </w:r>
                  <w:r>
                    <w:rPr>
                      <w:rFonts w:hint="eastAsia"/>
                      <w:color w:val="000000"/>
                      <w:sz w:val="21"/>
                      <w:szCs w:val="21"/>
                    </w:rPr>
                    <w:t>声级</w:t>
                  </w:r>
                </w:p>
              </w:tc>
              <w:tc>
                <w:tcPr>
                  <w:tcW w:w="626" w:type="pct"/>
                  <w:tcBorders>
                    <w:top w:val="single" w:color="000000" w:sz="4" w:space="0"/>
                    <w:left w:val="single" w:color="000000" w:sz="4" w:space="0"/>
                    <w:bottom w:val="single" w:color="000000" w:sz="12" w:space="0"/>
                    <w:right w:val="single" w:color="000000" w:sz="4" w:space="0"/>
                  </w:tcBorders>
                  <w:noWrap w:val="0"/>
                  <w:vAlign w:val="center"/>
                </w:tcPr>
                <w:p w14:paraId="67794D38">
                  <w:pPr>
                    <w:pStyle w:val="2"/>
                    <w:adjustRightInd w:val="0"/>
                    <w:snapToGrid w:val="0"/>
                    <w:spacing w:line="240" w:lineRule="auto"/>
                    <w:ind w:firstLine="0" w:firstLineChars="0"/>
                    <w:jc w:val="center"/>
                    <w:rPr>
                      <w:rFonts w:hint="eastAsia"/>
                      <w:color w:val="000000"/>
                      <w:sz w:val="21"/>
                      <w:szCs w:val="21"/>
                    </w:rPr>
                  </w:pPr>
                  <w:r>
                    <w:rPr>
                      <w:rFonts w:hint="eastAsia"/>
                      <w:color w:val="000000"/>
                      <w:sz w:val="21"/>
                      <w:szCs w:val="21"/>
                    </w:rPr>
                    <w:t>季度</w:t>
                  </w:r>
                </w:p>
              </w:tc>
              <w:tc>
                <w:tcPr>
                  <w:tcW w:w="2062" w:type="pct"/>
                  <w:tcBorders>
                    <w:top w:val="single" w:color="000000" w:sz="4" w:space="0"/>
                    <w:left w:val="single" w:color="000000" w:sz="4" w:space="0"/>
                    <w:bottom w:val="single" w:color="000000" w:sz="12" w:space="0"/>
                    <w:right w:val="nil"/>
                  </w:tcBorders>
                  <w:noWrap w:val="0"/>
                  <w:vAlign w:val="center"/>
                </w:tcPr>
                <w:p w14:paraId="22FE5724">
                  <w:pPr>
                    <w:pStyle w:val="2"/>
                    <w:adjustRightInd w:val="0"/>
                    <w:snapToGrid w:val="0"/>
                    <w:spacing w:line="240" w:lineRule="auto"/>
                    <w:ind w:firstLine="0" w:firstLineChars="0"/>
                    <w:jc w:val="center"/>
                    <w:rPr>
                      <w:rFonts w:hint="eastAsia"/>
                      <w:color w:val="000000"/>
                      <w:sz w:val="21"/>
                      <w:szCs w:val="21"/>
                    </w:rPr>
                  </w:pPr>
                  <w:r>
                    <w:rPr>
                      <w:rFonts w:hint="eastAsia"/>
                      <w:color w:val="000000"/>
                      <w:sz w:val="21"/>
                      <w:szCs w:val="21"/>
                    </w:rPr>
                    <w:t>《工业企业厂界环境噪声排放标准》</w:t>
                  </w:r>
                  <w:r>
                    <w:rPr>
                      <w:color w:val="000000"/>
                      <w:sz w:val="21"/>
                      <w:szCs w:val="21"/>
                    </w:rPr>
                    <w:t>(GB12348-2008)</w:t>
                  </w:r>
                  <w:r>
                    <w:rPr>
                      <w:rFonts w:hint="eastAsia"/>
                      <w:color w:val="000000"/>
                      <w:sz w:val="21"/>
                      <w:szCs w:val="21"/>
                      <w:lang w:eastAsia="zh-CN"/>
                    </w:rPr>
                    <w:t>2类</w:t>
                  </w:r>
                  <w:r>
                    <w:rPr>
                      <w:rFonts w:hint="eastAsia"/>
                      <w:color w:val="000000"/>
                      <w:sz w:val="21"/>
                      <w:szCs w:val="21"/>
                    </w:rPr>
                    <w:t>区排放标准</w:t>
                  </w:r>
                </w:p>
              </w:tc>
            </w:tr>
          </w:tbl>
          <w:p w14:paraId="6097BE87">
            <w:pPr>
              <w:rPr>
                <w:b/>
                <w:bCs/>
                <w:color w:val="000000"/>
              </w:rPr>
            </w:pPr>
            <w:r>
              <w:rPr>
                <w:b/>
                <w:bCs/>
                <w:color w:val="000000"/>
              </w:rPr>
              <w:t>4固废</w:t>
            </w:r>
          </w:p>
          <w:p w14:paraId="2C7DBDEA">
            <w:pPr>
              <w:ind w:firstLine="480" w:firstLineChars="200"/>
              <w:rPr>
                <w:color w:val="000000"/>
              </w:rPr>
            </w:pPr>
            <w:r>
              <w:rPr>
                <w:color w:val="000000"/>
              </w:rPr>
              <w:t>本项目产生的固体废物主要</w:t>
            </w:r>
            <w:r>
              <w:rPr>
                <w:rFonts w:hint="eastAsia"/>
                <w:color w:val="000000"/>
              </w:rPr>
              <w:t>为一般工业固废和危险废物。</w:t>
            </w:r>
          </w:p>
          <w:p w14:paraId="2DBD3D46">
            <w:pPr>
              <w:ind w:firstLine="482" w:firstLineChars="200"/>
              <w:rPr>
                <w:b/>
                <w:bCs/>
                <w:color w:val="000000"/>
              </w:rPr>
            </w:pPr>
            <w:r>
              <w:rPr>
                <w:b/>
                <w:bCs/>
                <w:color w:val="000000"/>
              </w:rPr>
              <w:t>4.1生活垃圾</w:t>
            </w:r>
          </w:p>
          <w:p w14:paraId="68F02178">
            <w:pPr>
              <w:ind w:firstLine="480" w:firstLineChars="200"/>
              <w:rPr>
                <w:rFonts w:hint="eastAsia"/>
                <w:color w:val="000000"/>
                <w:lang w:val="en-US" w:eastAsia="zh-CN"/>
              </w:rPr>
            </w:pPr>
            <w:r>
              <w:rPr>
                <w:rFonts w:hint="eastAsia"/>
                <w:color w:val="000000"/>
                <w:lang w:val="en-US" w:eastAsia="zh-CN"/>
              </w:rPr>
              <w:t>本次项目无人员新增，故无生活垃圾新增。</w:t>
            </w:r>
          </w:p>
          <w:p w14:paraId="55506545">
            <w:pPr>
              <w:ind w:firstLine="482" w:firstLineChars="200"/>
              <w:rPr>
                <w:b/>
                <w:bCs/>
                <w:color w:val="000000"/>
              </w:rPr>
            </w:pPr>
            <w:r>
              <w:rPr>
                <w:b/>
                <w:bCs/>
                <w:color w:val="000000"/>
              </w:rPr>
              <w:t>4.2一般工业固体废物</w:t>
            </w:r>
          </w:p>
          <w:p w14:paraId="205495F0">
            <w:pPr>
              <w:ind w:firstLine="480" w:firstLineChars="200"/>
              <w:rPr>
                <w:color w:val="000000"/>
              </w:rPr>
            </w:pPr>
            <w:r>
              <w:rPr>
                <w:color w:val="000000"/>
              </w:rPr>
              <w:t>（1）除尘器收集粉尘</w:t>
            </w:r>
          </w:p>
          <w:p w14:paraId="7DBA0EC6">
            <w:pPr>
              <w:ind w:firstLine="480" w:firstLineChars="200"/>
              <w:rPr>
                <w:rFonts w:hint="eastAsia"/>
                <w:color w:val="000000"/>
              </w:rPr>
            </w:pPr>
            <w:r>
              <w:rPr>
                <w:color w:val="000000"/>
              </w:rPr>
              <w:t>依据核算，本项目</w:t>
            </w:r>
            <w:r>
              <w:rPr>
                <w:rFonts w:hint="eastAsia"/>
                <w:color w:val="000000"/>
              </w:rPr>
              <w:t>抛丸过程</w:t>
            </w:r>
            <w:r>
              <w:rPr>
                <w:color w:val="000000"/>
              </w:rPr>
              <w:t>除尘器共收集粉尘</w:t>
            </w:r>
            <w:r>
              <w:rPr>
                <w:rFonts w:hint="eastAsia"/>
                <w:color w:val="000000"/>
                <w:lang w:val="en-US" w:eastAsia="zh-CN"/>
              </w:rPr>
              <w:t>2.668</w:t>
            </w:r>
            <w:r>
              <w:rPr>
                <w:rFonts w:hint="eastAsia"/>
                <w:color w:val="000000"/>
              </w:rPr>
              <w:t>t</w:t>
            </w:r>
            <w:r>
              <w:rPr>
                <w:color w:val="000000"/>
              </w:rPr>
              <w:t>/a，</w:t>
            </w:r>
            <w:r>
              <w:rPr>
                <w:rFonts w:hint="eastAsia"/>
                <w:color w:val="000000"/>
              </w:rPr>
              <w:t>其主要成分为钢粉，集中收集后定期交由</w:t>
            </w:r>
            <w:r>
              <w:rPr>
                <w:rFonts w:hint="eastAsia"/>
                <w:color w:val="000000"/>
                <w:lang w:val="en-US" w:eastAsia="zh-CN"/>
              </w:rPr>
              <w:t>一般固废处置单位进行处置</w:t>
            </w:r>
            <w:r>
              <w:rPr>
                <w:rFonts w:hint="eastAsia"/>
                <w:color w:val="000000"/>
              </w:rPr>
              <w:t>。</w:t>
            </w:r>
          </w:p>
          <w:p w14:paraId="53B8CAF6">
            <w:pPr>
              <w:ind w:firstLine="480" w:firstLineChars="200"/>
              <w:rPr>
                <w:rFonts w:hint="eastAsia"/>
                <w:color w:val="000000"/>
              </w:rPr>
            </w:pPr>
            <w:r>
              <w:rPr>
                <w:rFonts w:hint="eastAsia"/>
                <w:color w:val="000000"/>
              </w:rPr>
              <w:t>喷粉过程除尘器收集的粉尘其主要成分为塑粉，集中收集后作为喷粉原料继续使用。</w:t>
            </w:r>
          </w:p>
          <w:p w14:paraId="32BDFC77">
            <w:pPr>
              <w:ind w:firstLine="480" w:firstLineChars="200"/>
              <w:rPr>
                <w:color w:val="000000"/>
              </w:rPr>
            </w:pPr>
            <w:r>
              <w:rPr>
                <w:color w:val="000000"/>
              </w:rPr>
              <w:t>（2）</w:t>
            </w:r>
            <w:r>
              <w:rPr>
                <w:rFonts w:hint="eastAsia"/>
                <w:color w:val="000000"/>
              </w:rPr>
              <w:t>沉降粉尘</w:t>
            </w:r>
          </w:p>
          <w:p w14:paraId="0C0384A1">
            <w:pPr>
              <w:ind w:firstLine="480" w:firstLineChars="200"/>
              <w:rPr>
                <w:color w:val="000000"/>
              </w:rPr>
            </w:pPr>
            <w:r>
              <w:rPr>
                <w:color w:val="000000"/>
              </w:rPr>
              <w:t>本项目</w:t>
            </w:r>
            <w:r>
              <w:rPr>
                <w:rFonts w:hint="eastAsia"/>
                <w:color w:val="000000"/>
              </w:rPr>
              <w:t>抛丸过程及喷粉过程均会产生少量的粉尘沉降在厂房内，依据核算沉降粉尘量为</w:t>
            </w:r>
            <w:r>
              <w:rPr>
                <w:rFonts w:hint="eastAsia"/>
                <w:color w:val="000000"/>
                <w:lang w:val="en-US" w:eastAsia="zh-CN"/>
              </w:rPr>
              <w:t>0.524</w:t>
            </w:r>
            <w:r>
              <w:rPr>
                <w:rFonts w:hint="eastAsia"/>
                <w:color w:val="000000"/>
              </w:rPr>
              <w:t>t/a，主要成分为钢粉及塑粉的混合物。集中收集后定期交由</w:t>
            </w:r>
            <w:r>
              <w:rPr>
                <w:rFonts w:hint="eastAsia"/>
                <w:color w:val="000000"/>
                <w:lang w:val="en-US" w:eastAsia="zh-CN"/>
              </w:rPr>
              <w:t>一般固废处置单位进行处置</w:t>
            </w:r>
            <w:r>
              <w:rPr>
                <w:rFonts w:hint="eastAsia"/>
                <w:color w:val="000000"/>
              </w:rPr>
              <w:t>。</w:t>
            </w:r>
          </w:p>
          <w:p w14:paraId="1B6E813D">
            <w:pPr>
              <w:ind w:firstLine="480" w:firstLineChars="200"/>
              <w:rPr>
                <w:rFonts w:hint="eastAsia"/>
                <w:color w:val="000000"/>
              </w:rPr>
            </w:pPr>
            <w:r>
              <w:rPr>
                <w:rFonts w:hint="eastAsia"/>
                <w:color w:val="000000"/>
              </w:rPr>
              <w:t>（3）废包装袋</w:t>
            </w:r>
          </w:p>
          <w:p w14:paraId="708DDDD9">
            <w:pPr>
              <w:ind w:firstLine="480" w:firstLineChars="200"/>
              <w:rPr>
                <w:color w:val="000000"/>
              </w:rPr>
            </w:pPr>
            <w:r>
              <w:rPr>
                <w:rFonts w:hint="eastAsia"/>
                <w:color w:val="000000"/>
              </w:rPr>
              <w:t>本项目生产过程中会产生少量原料废包装袋，其产生量约为</w:t>
            </w:r>
            <w:r>
              <w:rPr>
                <w:rFonts w:hint="eastAsia"/>
                <w:color w:val="000000"/>
                <w:lang w:val="en-US" w:eastAsia="zh-CN"/>
              </w:rPr>
              <w:t>1</w:t>
            </w:r>
            <w:r>
              <w:rPr>
                <w:rFonts w:hint="eastAsia"/>
                <w:color w:val="000000"/>
              </w:rPr>
              <w:t>.0t/a，集中收集后定期交由物资回收单位回收处理。</w:t>
            </w:r>
          </w:p>
          <w:p w14:paraId="6FE9C162">
            <w:pPr>
              <w:ind w:firstLine="480" w:firstLineChars="200"/>
              <w:rPr>
                <w:rFonts w:hint="default" w:eastAsia="宋体"/>
                <w:color w:val="000000"/>
                <w:lang w:val="en-US" w:eastAsia="zh-CN"/>
              </w:rPr>
            </w:pPr>
            <w:r>
              <w:rPr>
                <w:rFonts w:hint="eastAsia"/>
                <w:color w:val="000000"/>
              </w:rPr>
              <w:t>（4）抛丸机中的</w:t>
            </w:r>
            <w:r>
              <w:rPr>
                <w:rFonts w:hint="eastAsia"/>
                <w:color w:val="000000"/>
                <w:lang w:val="en-US" w:eastAsia="zh-CN"/>
              </w:rPr>
              <w:t>废钢丸</w:t>
            </w:r>
          </w:p>
          <w:p w14:paraId="254E5D7E">
            <w:pPr>
              <w:ind w:firstLine="480" w:firstLineChars="200"/>
              <w:rPr>
                <w:rFonts w:hint="eastAsia"/>
                <w:color w:val="000000"/>
              </w:rPr>
            </w:pPr>
            <w:r>
              <w:rPr>
                <w:rFonts w:hint="eastAsia"/>
                <w:color w:val="000000"/>
              </w:rPr>
              <w:t>根据建设单位提供的资料及实际生产资料，抛丸机中的</w:t>
            </w:r>
            <w:r>
              <w:rPr>
                <w:rFonts w:hint="eastAsia"/>
                <w:color w:val="000000"/>
                <w:lang w:val="en-US" w:eastAsia="zh-CN"/>
              </w:rPr>
              <w:t>废钢丸</w:t>
            </w:r>
            <w:r>
              <w:rPr>
                <w:rFonts w:hint="eastAsia"/>
                <w:color w:val="000000"/>
              </w:rPr>
              <w:t>产生量为</w:t>
            </w:r>
            <w:r>
              <w:rPr>
                <w:rFonts w:hint="eastAsia"/>
                <w:color w:val="000000"/>
                <w:lang w:val="en-US" w:eastAsia="zh-CN"/>
              </w:rPr>
              <w:t>0.2</w:t>
            </w:r>
            <w:r>
              <w:rPr>
                <w:color w:val="000000"/>
              </w:rPr>
              <w:t>t/a</w:t>
            </w:r>
            <w:r>
              <w:rPr>
                <w:rFonts w:hint="eastAsia"/>
                <w:color w:val="000000"/>
              </w:rPr>
              <w:t>，集中收集后定期交由</w:t>
            </w:r>
            <w:r>
              <w:rPr>
                <w:rFonts w:hint="eastAsia"/>
                <w:color w:val="000000"/>
                <w:lang w:val="en-US" w:eastAsia="zh-CN"/>
              </w:rPr>
              <w:t>一般固废处置单位进行处置</w:t>
            </w:r>
            <w:r>
              <w:rPr>
                <w:rFonts w:hint="eastAsia"/>
                <w:color w:val="000000"/>
              </w:rPr>
              <w:t>。</w:t>
            </w:r>
          </w:p>
          <w:p w14:paraId="16DC470B">
            <w:pPr>
              <w:ind w:firstLine="480" w:firstLineChars="200"/>
              <w:rPr>
                <w:rFonts w:hint="eastAsia" w:eastAsia="宋体"/>
                <w:color w:val="000000"/>
                <w:lang w:val="en-US" w:eastAsia="zh-CN"/>
              </w:rPr>
            </w:pPr>
            <w:r>
              <w:rPr>
                <w:rFonts w:hint="eastAsia"/>
                <w:color w:val="000000"/>
              </w:rPr>
              <w:t>（5）废</w:t>
            </w:r>
            <w:r>
              <w:rPr>
                <w:rFonts w:hint="eastAsia"/>
                <w:color w:val="000000"/>
                <w:lang w:val="en-US" w:eastAsia="zh-CN"/>
              </w:rPr>
              <w:t>边角料</w:t>
            </w:r>
          </w:p>
          <w:p w14:paraId="5023C751">
            <w:pPr>
              <w:ind w:firstLine="480" w:firstLineChars="200"/>
              <w:rPr>
                <w:rFonts w:hint="eastAsia"/>
                <w:color w:val="000000"/>
              </w:rPr>
            </w:pPr>
            <w:r>
              <w:rPr>
                <w:rFonts w:hint="eastAsia"/>
                <w:color w:val="000000"/>
              </w:rPr>
              <w:t>根据建设单位提供的资料，废</w:t>
            </w:r>
            <w:r>
              <w:rPr>
                <w:rFonts w:hint="eastAsia"/>
                <w:color w:val="000000"/>
                <w:lang w:val="en-US" w:eastAsia="zh-CN"/>
              </w:rPr>
              <w:t>边角料</w:t>
            </w:r>
            <w:r>
              <w:rPr>
                <w:rFonts w:hint="eastAsia"/>
                <w:color w:val="000000"/>
              </w:rPr>
              <w:t>产生量为</w:t>
            </w:r>
            <w:r>
              <w:rPr>
                <w:rFonts w:hint="eastAsia"/>
                <w:color w:val="000000"/>
                <w:lang w:val="en-US" w:eastAsia="zh-CN"/>
              </w:rPr>
              <w:t>0.5</w:t>
            </w:r>
            <w:r>
              <w:rPr>
                <w:color w:val="000000"/>
              </w:rPr>
              <w:t>t/a</w:t>
            </w:r>
            <w:r>
              <w:rPr>
                <w:rFonts w:hint="eastAsia"/>
                <w:color w:val="000000"/>
              </w:rPr>
              <w:t>，集中收集后定期交由</w:t>
            </w:r>
            <w:r>
              <w:rPr>
                <w:rFonts w:hint="eastAsia"/>
                <w:color w:val="000000"/>
                <w:lang w:val="en-US" w:eastAsia="zh-CN"/>
              </w:rPr>
              <w:t>一般固废处置单位进行处置</w:t>
            </w:r>
            <w:r>
              <w:rPr>
                <w:rFonts w:hint="eastAsia"/>
                <w:color w:val="000000"/>
              </w:rPr>
              <w:t>。</w:t>
            </w:r>
          </w:p>
          <w:p w14:paraId="20D97C2F">
            <w:pPr>
              <w:numPr>
                <w:ilvl w:val="0"/>
                <w:numId w:val="4"/>
              </w:numPr>
              <w:ind w:left="480" w:leftChars="200"/>
              <w:rPr>
                <w:rFonts w:hint="eastAsia"/>
                <w:color w:val="000000"/>
              </w:rPr>
            </w:pPr>
            <w:r>
              <w:rPr>
                <w:rFonts w:hint="eastAsia"/>
                <w:color w:val="000000"/>
              </w:rPr>
              <w:t>废布袋</w:t>
            </w:r>
            <w:r>
              <w:rPr>
                <w:rFonts w:hint="eastAsia"/>
                <w:color w:val="000000"/>
                <w:lang w:eastAsia="zh-CN"/>
              </w:rPr>
              <w:t>（</w:t>
            </w:r>
            <w:r>
              <w:rPr>
                <w:rFonts w:hint="eastAsia"/>
                <w:color w:val="000000"/>
                <w:lang w:val="en-US" w:eastAsia="zh-CN"/>
              </w:rPr>
              <w:t>滤芯</w:t>
            </w:r>
            <w:r>
              <w:rPr>
                <w:rFonts w:hint="eastAsia"/>
                <w:color w:val="000000"/>
                <w:lang w:eastAsia="zh-CN"/>
              </w:rPr>
              <w:t>）</w:t>
            </w:r>
          </w:p>
          <w:p w14:paraId="4C0CEFD1">
            <w:pPr>
              <w:ind w:firstLine="480" w:firstLineChars="200"/>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本项目使用的布袋除尘器及滤芯除尘器需定期更换布袋和滤芯，产生量约为0.1t/a，集中收集后定期交由一般固废处置单位进行处置</w:t>
            </w:r>
          </w:p>
          <w:p w14:paraId="1334459C">
            <w:pPr>
              <w:ind w:firstLine="480" w:firstLineChars="200"/>
              <w:rPr>
                <w:rFonts w:hint="eastAsia"/>
                <w:color w:val="000000"/>
              </w:rPr>
            </w:pPr>
            <w:r>
              <w:rPr>
                <w:rFonts w:hint="eastAsia"/>
                <w:color w:val="000000"/>
              </w:rPr>
              <w:t>本项目一般工业固废临时储存场所设置应遵照以下规定：</w:t>
            </w:r>
          </w:p>
          <w:p w14:paraId="46E16AAD">
            <w:pPr>
              <w:ind w:firstLine="480" w:firstLineChars="200"/>
              <w:rPr>
                <w:color w:val="000000"/>
              </w:rPr>
            </w:pPr>
            <w:r>
              <w:rPr>
                <w:rFonts w:hint="eastAsia" w:ascii="宋体" w:hAnsi="宋体" w:cs="宋体"/>
                <w:color w:val="000000"/>
              </w:rPr>
              <w:t>①</w:t>
            </w:r>
            <w:r>
              <w:rPr>
                <w:color w:val="000000"/>
              </w:rPr>
              <w:t>不得露天堆放。</w:t>
            </w:r>
          </w:p>
          <w:p w14:paraId="193F60EF">
            <w:pPr>
              <w:ind w:firstLine="480" w:firstLineChars="200"/>
              <w:rPr>
                <w:color w:val="000000"/>
              </w:rPr>
            </w:pPr>
            <w:r>
              <w:rPr>
                <w:rFonts w:hint="eastAsia" w:ascii="宋体" w:hAnsi="宋体" w:cs="宋体"/>
                <w:color w:val="000000"/>
              </w:rPr>
              <w:t>②</w:t>
            </w:r>
            <w:r>
              <w:rPr>
                <w:color w:val="000000"/>
              </w:rPr>
              <w:t>对暂时不利用或者不能利用的，应当按照国务院生态环境等主管部门的规定建设贮存设施、场所，安全分类存放，或者采取无害化处置措施。贮存工业固体废物应当采取符合国家环境保护标准的防护措施。</w:t>
            </w:r>
          </w:p>
          <w:p w14:paraId="0AD1791B">
            <w:pPr>
              <w:ind w:firstLine="480" w:firstLineChars="200"/>
              <w:rPr>
                <w:color w:val="000000"/>
              </w:rPr>
            </w:pPr>
            <w:r>
              <w:rPr>
                <w:rFonts w:hint="eastAsia" w:ascii="宋体" w:hAnsi="宋体" w:cs="宋体"/>
                <w:color w:val="000000"/>
              </w:rPr>
              <w:t>③</w:t>
            </w:r>
            <w:r>
              <w:rPr>
                <w:color w:val="000000"/>
              </w:rPr>
              <w:t>张贴一般固废贮存场所标牌。</w:t>
            </w:r>
          </w:p>
          <w:p w14:paraId="5C60BC62">
            <w:pPr>
              <w:ind w:firstLine="480" w:firstLineChars="200"/>
              <w:rPr>
                <w:color w:val="000000"/>
              </w:rPr>
            </w:pPr>
            <w:r>
              <w:rPr>
                <w:rFonts w:hint="eastAsia" w:ascii="宋体" w:hAnsi="宋体" w:cs="宋体"/>
                <w:color w:val="000000"/>
              </w:rPr>
              <w:t>④</w:t>
            </w:r>
            <w:r>
              <w:rPr>
                <w:color w:val="000000"/>
              </w:rPr>
              <w:t>产生工业固体废物的单位终止的，应当在终止前对工业固体废物的贮存、处置的设施、场所采取污染防治措施，并对未处置的工业固体废物作出妥善处置，防止污染环境。</w:t>
            </w:r>
          </w:p>
          <w:p w14:paraId="596A4047">
            <w:pPr>
              <w:ind w:firstLine="482" w:firstLineChars="200"/>
              <w:rPr>
                <w:color w:val="000000"/>
              </w:rPr>
            </w:pPr>
            <w:r>
              <w:rPr>
                <w:b/>
                <w:bCs/>
                <w:color w:val="000000"/>
              </w:rPr>
              <w:t>4.3危险废物</w:t>
            </w:r>
          </w:p>
          <w:p w14:paraId="5482152F">
            <w:pPr>
              <w:adjustRightInd w:val="0"/>
              <w:snapToGrid w:val="0"/>
              <w:ind w:firstLine="480" w:firstLineChars="200"/>
              <w:rPr>
                <w:color w:val="000000"/>
              </w:rPr>
            </w:pPr>
            <w:r>
              <w:rPr>
                <w:color w:val="000000"/>
              </w:rPr>
              <w:t>（1）废润滑油</w:t>
            </w:r>
          </w:p>
          <w:p w14:paraId="498C10B3">
            <w:pPr>
              <w:adjustRightInd w:val="0"/>
              <w:snapToGrid w:val="0"/>
              <w:ind w:firstLine="480" w:firstLineChars="200"/>
              <w:rPr>
                <w:color w:val="000000"/>
              </w:rPr>
            </w:pPr>
            <w:r>
              <w:rPr>
                <w:color w:val="000000"/>
              </w:rPr>
              <w:t>项目设备较多在设备运行维护过程中，会产生少量废润滑油（HW08 900-217-08），产生量约为0.</w:t>
            </w:r>
            <w:r>
              <w:rPr>
                <w:rFonts w:hint="eastAsia"/>
                <w:color w:val="000000"/>
              </w:rPr>
              <w:t>2</w:t>
            </w:r>
            <w:r>
              <w:rPr>
                <w:color w:val="000000"/>
              </w:rPr>
              <w:t>t/a，经收集暂存于危废暂存间，定期交由有资质单位进行无害化处置。</w:t>
            </w:r>
          </w:p>
          <w:p w14:paraId="321C04A7">
            <w:pPr>
              <w:numPr>
                <w:ilvl w:val="0"/>
                <w:numId w:val="5"/>
              </w:numPr>
              <w:adjustRightInd w:val="0"/>
              <w:snapToGrid w:val="0"/>
              <w:ind w:firstLine="480" w:firstLineChars="200"/>
              <w:rPr>
                <w:rFonts w:hint="eastAsia"/>
                <w:color w:val="000000"/>
                <w:lang w:val="en-US" w:eastAsia="zh-CN"/>
              </w:rPr>
            </w:pPr>
            <w:r>
              <w:rPr>
                <w:rFonts w:hint="eastAsia"/>
                <w:color w:val="000000"/>
                <w:lang w:val="en-US" w:eastAsia="zh-CN"/>
              </w:rPr>
              <w:t>废活性炭</w:t>
            </w:r>
          </w:p>
          <w:p w14:paraId="03D188E7">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color w:val="000000"/>
                <w:lang w:val="en-US" w:eastAsia="zh-CN"/>
              </w:rPr>
            </w:pPr>
            <w:r>
              <w:rPr>
                <w:rFonts w:hint="default"/>
                <w:color w:val="000000"/>
                <w:lang w:val="en-US" w:eastAsia="zh-CN"/>
              </w:rPr>
              <w:t>活性炭吸附装置处理中的活性炭需要进行更换，按照1kg活性炭可吸附0.3kgVOCs计算，废活性炭产生量约为</w:t>
            </w:r>
            <w:r>
              <w:rPr>
                <w:rFonts w:hint="eastAsia"/>
                <w:color w:val="000000"/>
                <w:lang w:val="en-US" w:eastAsia="zh-CN"/>
              </w:rPr>
              <w:t>0.210</w:t>
            </w:r>
            <w:r>
              <w:rPr>
                <w:rFonts w:hint="default"/>
                <w:color w:val="000000"/>
                <w:lang w:val="en-US" w:eastAsia="zh-CN"/>
              </w:rPr>
              <w:t>t/a。根据《国家危险废物名录（2025版）》，废活性炭属于危险废物，废物类别为HW49其他废物中VOCs 治理过程（不包括餐饮行业油烟治理过程）产生的废活性炭（900-039-49）经收集后放入专用的储存桶内暂存于项目危废暂存间，定期交有资质的单位进行处理。</w:t>
            </w:r>
          </w:p>
          <w:p w14:paraId="2B7FE6C5">
            <w:pPr>
              <w:pStyle w:val="58"/>
              <w:adjustRightInd w:val="0"/>
              <w:snapToGrid w:val="0"/>
              <w:spacing w:line="240" w:lineRule="auto"/>
              <w:ind w:firstLine="422"/>
              <w:rPr>
                <w:b/>
                <w:bCs w:val="0"/>
                <w:sz w:val="21"/>
                <w:szCs w:val="21"/>
              </w:rPr>
            </w:pPr>
            <w:r>
              <w:rPr>
                <w:b/>
                <w:bCs w:val="0"/>
                <w:sz w:val="21"/>
                <w:szCs w:val="21"/>
              </w:rPr>
              <w:t>表</w:t>
            </w:r>
            <w:r>
              <w:rPr>
                <w:rFonts w:hint="eastAsia"/>
                <w:b/>
                <w:bCs w:val="0"/>
                <w:sz w:val="21"/>
                <w:szCs w:val="21"/>
                <w:lang w:val="en-US" w:eastAsia="zh-CN"/>
              </w:rPr>
              <w:t>4-8</w:t>
            </w:r>
            <w:r>
              <w:rPr>
                <w:b/>
                <w:bCs w:val="0"/>
                <w:sz w:val="21"/>
                <w:szCs w:val="21"/>
              </w:rPr>
              <w:t xml:space="preserve">             危险废物产生及处置情况一览表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791"/>
              <w:gridCol w:w="1199"/>
              <w:gridCol w:w="920"/>
              <w:gridCol w:w="458"/>
              <w:gridCol w:w="429"/>
              <w:gridCol w:w="718"/>
              <w:gridCol w:w="441"/>
              <w:gridCol w:w="487"/>
              <w:gridCol w:w="541"/>
              <w:gridCol w:w="451"/>
            </w:tblGrid>
            <w:tr w14:paraId="7A9CC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noWrap w:val="0"/>
                  <w:vAlign w:val="center"/>
                </w:tcPr>
                <w:p w14:paraId="1FA328C7">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危险废物名称</w:t>
                  </w:r>
                </w:p>
              </w:tc>
              <w:tc>
                <w:tcPr>
                  <w:tcW w:w="466" w:type="pct"/>
                  <w:noWrap w:val="0"/>
                  <w:vAlign w:val="center"/>
                </w:tcPr>
                <w:p w14:paraId="1697B939">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危险废物类别</w:t>
                  </w:r>
                </w:p>
              </w:tc>
              <w:tc>
                <w:tcPr>
                  <w:tcW w:w="707" w:type="pct"/>
                  <w:noWrap w:val="0"/>
                  <w:vAlign w:val="center"/>
                </w:tcPr>
                <w:p w14:paraId="747A68C6">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危险废物代码</w:t>
                  </w:r>
                </w:p>
              </w:tc>
              <w:tc>
                <w:tcPr>
                  <w:tcW w:w="542" w:type="pct"/>
                  <w:noWrap w:val="0"/>
                  <w:vAlign w:val="center"/>
                </w:tcPr>
                <w:p w14:paraId="0EC06332">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产生量（吨/年）</w:t>
                  </w:r>
                </w:p>
              </w:tc>
              <w:tc>
                <w:tcPr>
                  <w:tcW w:w="270" w:type="pct"/>
                  <w:noWrap w:val="0"/>
                  <w:vAlign w:val="center"/>
                </w:tcPr>
                <w:p w14:paraId="69D2650F">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产生工序及装置</w:t>
                  </w:r>
                </w:p>
              </w:tc>
              <w:tc>
                <w:tcPr>
                  <w:tcW w:w="253" w:type="pct"/>
                  <w:noWrap w:val="0"/>
                  <w:vAlign w:val="center"/>
                </w:tcPr>
                <w:p w14:paraId="7DD20FE6">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形态</w:t>
                  </w:r>
                </w:p>
              </w:tc>
              <w:tc>
                <w:tcPr>
                  <w:tcW w:w="423" w:type="pct"/>
                  <w:noWrap w:val="0"/>
                  <w:vAlign w:val="center"/>
                </w:tcPr>
                <w:p w14:paraId="33B48F56">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主要成分</w:t>
                  </w:r>
                </w:p>
              </w:tc>
              <w:tc>
                <w:tcPr>
                  <w:tcW w:w="260" w:type="pct"/>
                  <w:noWrap w:val="0"/>
                  <w:vAlign w:val="center"/>
                </w:tcPr>
                <w:p w14:paraId="10B0B7F0">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产废周期</w:t>
                  </w:r>
                </w:p>
              </w:tc>
              <w:tc>
                <w:tcPr>
                  <w:tcW w:w="287" w:type="pct"/>
                  <w:noWrap w:val="0"/>
                  <w:vAlign w:val="center"/>
                </w:tcPr>
                <w:p w14:paraId="498F9383">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危险特性</w:t>
                  </w:r>
                </w:p>
              </w:tc>
              <w:tc>
                <w:tcPr>
                  <w:tcW w:w="319" w:type="pct"/>
                  <w:noWrap w:val="0"/>
                  <w:vAlign w:val="center"/>
                </w:tcPr>
                <w:p w14:paraId="27B47480">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color w:val="000000"/>
                      <w:sz w:val="21"/>
                      <w:szCs w:val="21"/>
                    </w:rPr>
                    <w:t>污染防治措施</w:t>
                  </w:r>
                </w:p>
              </w:tc>
              <w:tc>
                <w:tcPr>
                  <w:tcW w:w="266" w:type="pct"/>
                  <w:noWrap w:val="0"/>
                  <w:vAlign w:val="center"/>
                </w:tcPr>
                <w:p w14:paraId="52C67193">
                  <w:pPr>
                    <w:pStyle w:val="23"/>
                    <w:keepNext/>
                    <w:keepLines w:val="0"/>
                    <w:pageBreakBefore w:val="0"/>
                    <w:widowControl/>
                    <w:kinsoku/>
                    <w:wordWrap/>
                    <w:overflowPunct/>
                    <w:topLinePunct/>
                    <w:autoSpaceDE/>
                    <w:autoSpaceDN/>
                    <w:bidi w:val="0"/>
                    <w:adjustRightInd w:val="0"/>
                    <w:snapToGrid w:val="0"/>
                    <w:spacing w:after="0"/>
                    <w:ind w:left="0" w:leftChars="0" w:firstLine="0"/>
                    <w:jc w:val="center"/>
                    <w:textAlignment w:val="auto"/>
                    <w:rPr>
                      <w:color w:val="000000"/>
                      <w:sz w:val="21"/>
                      <w:szCs w:val="21"/>
                    </w:rPr>
                  </w:pPr>
                  <w:r>
                    <w:rPr>
                      <w:rFonts w:hint="eastAsia"/>
                      <w:color w:val="000000"/>
                      <w:sz w:val="21"/>
                      <w:szCs w:val="21"/>
                    </w:rPr>
                    <w:t>转移周期</w:t>
                  </w:r>
                </w:p>
              </w:tc>
            </w:tr>
            <w:tr w14:paraId="3AA18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noWrap w:val="0"/>
                  <w:vAlign w:val="center"/>
                </w:tcPr>
                <w:p w14:paraId="1D02DB99">
                  <w:pPr>
                    <w:keepNext/>
                    <w:keepLines w:val="0"/>
                    <w:pageBreakBefore w:val="0"/>
                    <w:widowControl/>
                    <w:kinsoku/>
                    <w:wordWrap/>
                    <w:overflow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lang w:bidi="ar"/>
                    </w:rPr>
                    <w:t>使用工业齿轮油进行机械设备润滑过程中产生的废润滑油</w:t>
                  </w:r>
                </w:p>
              </w:tc>
              <w:tc>
                <w:tcPr>
                  <w:tcW w:w="466" w:type="pct"/>
                  <w:noWrap w:val="0"/>
                  <w:vAlign w:val="center"/>
                </w:tcPr>
                <w:p w14:paraId="0BAF524F">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rPr>
                    <w:t>HW08</w:t>
                  </w:r>
                </w:p>
                <w:p w14:paraId="1103A0E6">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p>
              </w:tc>
              <w:tc>
                <w:tcPr>
                  <w:tcW w:w="707" w:type="pct"/>
                  <w:noWrap w:val="0"/>
                  <w:vAlign w:val="center"/>
                </w:tcPr>
                <w:p w14:paraId="460C0FE2">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rPr>
                    <w:t>900-217-08</w:t>
                  </w:r>
                </w:p>
              </w:tc>
              <w:tc>
                <w:tcPr>
                  <w:tcW w:w="542" w:type="pct"/>
                  <w:noWrap w:val="0"/>
                  <w:vAlign w:val="center"/>
                </w:tcPr>
                <w:p w14:paraId="6CD90B7D">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rPr>
                    <w:t>0.2</w:t>
                  </w:r>
                  <w:r>
                    <w:rPr>
                      <w:rFonts w:hint="eastAsia"/>
                      <w:color w:val="000000"/>
                      <w:kern w:val="0"/>
                      <w:sz w:val="21"/>
                      <w:szCs w:val="21"/>
                    </w:rPr>
                    <w:t>t</w:t>
                  </w:r>
                  <w:r>
                    <w:rPr>
                      <w:color w:val="000000"/>
                      <w:kern w:val="0"/>
                      <w:sz w:val="21"/>
                      <w:szCs w:val="21"/>
                    </w:rPr>
                    <w:t>/a</w:t>
                  </w:r>
                </w:p>
              </w:tc>
              <w:tc>
                <w:tcPr>
                  <w:tcW w:w="270" w:type="pct"/>
                  <w:noWrap w:val="0"/>
                  <w:vAlign w:val="center"/>
                </w:tcPr>
                <w:p w14:paraId="58C34532">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rPr>
                    <w:t>机器维修工序</w:t>
                  </w:r>
                </w:p>
              </w:tc>
              <w:tc>
                <w:tcPr>
                  <w:tcW w:w="253" w:type="pct"/>
                  <w:noWrap w:val="0"/>
                  <w:vAlign w:val="center"/>
                </w:tcPr>
                <w:p w14:paraId="08BABE6F">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rPr>
                    <w:t>液态</w:t>
                  </w:r>
                </w:p>
              </w:tc>
              <w:tc>
                <w:tcPr>
                  <w:tcW w:w="423" w:type="pct"/>
                  <w:noWrap w:val="0"/>
                  <w:vAlign w:val="center"/>
                </w:tcPr>
                <w:p w14:paraId="5D18A10D">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rPr>
                    <w:t>烷烃、多环芳烃、烯烃、苯系物、酚类</w:t>
                  </w:r>
                </w:p>
              </w:tc>
              <w:tc>
                <w:tcPr>
                  <w:tcW w:w="260" w:type="pct"/>
                  <w:noWrap w:val="0"/>
                  <w:vAlign w:val="center"/>
                </w:tcPr>
                <w:p w14:paraId="30192DB4">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sz w:val="21"/>
                      <w:szCs w:val="21"/>
                    </w:rPr>
                  </w:pPr>
                </w:p>
                <w:p w14:paraId="56793B35">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sz w:val="21"/>
                      <w:szCs w:val="21"/>
                    </w:rPr>
                    <w:t>不定期</w:t>
                  </w:r>
                </w:p>
              </w:tc>
              <w:tc>
                <w:tcPr>
                  <w:tcW w:w="287" w:type="pct"/>
                  <w:noWrap w:val="0"/>
                  <w:vAlign w:val="center"/>
                </w:tcPr>
                <w:p w14:paraId="199FC7F7">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kern w:val="0"/>
                      <w:sz w:val="21"/>
                      <w:szCs w:val="21"/>
                    </w:rPr>
                    <w:t>T/I</w:t>
                  </w:r>
                </w:p>
              </w:tc>
              <w:tc>
                <w:tcPr>
                  <w:tcW w:w="319" w:type="pct"/>
                  <w:vMerge w:val="restart"/>
                  <w:noWrap w:val="0"/>
                  <w:vAlign w:val="center"/>
                </w:tcPr>
                <w:p w14:paraId="12FD226F">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kern w:val="0"/>
                      <w:sz w:val="21"/>
                      <w:szCs w:val="21"/>
                    </w:rPr>
                  </w:pPr>
                  <w:r>
                    <w:rPr>
                      <w:color w:val="000000"/>
                      <w:sz w:val="21"/>
                      <w:szCs w:val="21"/>
                    </w:rPr>
                    <w:t>危险废物暂存于危废间并委托有资质单位定期回收</w:t>
                  </w:r>
                </w:p>
              </w:tc>
              <w:tc>
                <w:tcPr>
                  <w:tcW w:w="266" w:type="pct"/>
                  <w:vMerge w:val="restart"/>
                  <w:noWrap w:val="0"/>
                  <w:vAlign w:val="center"/>
                </w:tcPr>
                <w:p w14:paraId="1CEF4B79">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sz w:val="21"/>
                      <w:szCs w:val="21"/>
                    </w:rPr>
                  </w:pPr>
                  <w:r>
                    <w:rPr>
                      <w:color w:val="000000"/>
                      <w:sz w:val="21"/>
                      <w:szCs w:val="21"/>
                    </w:rPr>
                    <w:t>每年转移一次</w:t>
                  </w:r>
                </w:p>
              </w:tc>
            </w:tr>
            <w:tr w14:paraId="458BA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00" w:type="pct"/>
                  <w:noWrap w:val="0"/>
                  <w:vAlign w:val="center"/>
                </w:tcPr>
                <w:p w14:paraId="75C8330B">
                  <w:pPr>
                    <w:keepNext/>
                    <w:keepLines w:val="0"/>
                    <w:pageBreakBefore w:val="0"/>
                    <w:widowControl/>
                    <w:kinsoku/>
                    <w:wordWrap/>
                    <w:overflowPunct/>
                    <w:autoSpaceDE/>
                    <w:autoSpaceDN/>
                    <w:bidi w:val="0"/>
                    <w:adjustRightInd w:val="0"/>
                    <w:snapToGrid w:val="0"/>
                    <w:spacing w:line="240" w:lineRule="auto"/>
                    <w:jc w:val="center"/>
                    <w:textAlignment w:val="auto"/>
                    <w:rPr>
                      <w:color w:val="000000"/>
                      <w:kern w:val="0"/>
                      <w:sz w:val="21"/>
                      <w:szCs w:val="21"/>
                      <w:lang w:bidi="ar"/>
                    </w:rPr>
                  </w:pPr>
                  <w:r>
                    <w:rPr>
                      <w:rFonts w:hint="eastAsia"/>
                      <w:color w:val="000000"/>
                      <w:kern w:val="0"/>
                      <w:sz w:val="21"/>
                      <w:szCs w:val="21"/>
                      <w:lang w:val="en-US" w:eastAsia="zh-CN" w:bidi="ar"/>
                    </w:rPr>
                    <w:t>烟气、VOCs治理过程（不包括餐饮行业油烟治理过程）产生的废活性炭，化学原料和化学制品脱色（不包括有机合成食品添加剂脱色）、除杂、净化过程产生的废活性炭（不包括900-405-06、772-005-18、261-053-29、265-002-29、384-003-29、387-001-29类危险废物）</w:t>
                  </w:r>
                </w:p>
              </w:tc>
              <w:tc>
                <w:tcPr>
                  <w:tcW w:w="466" w:type="pct"/>
                  <w:shd w:val="clear" w:color="auto" w:fill="auto"/>
                  <w:noWrap w:val="0"/>
                  <w:vAlign w:val="center"/>
                </w:tcPr>
                <w:p w14:paraId="065E8B1B">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eastAsia" w:eastAsia="宋体" w:cs="Times New Roman"/>
                      <w:sz w:val="21"/>
                      <w:szCs w:val="21"/>
                      <w:vertAlign w:val="baseline"/>
                      <w:lang w:val="en-US" w:eastAsia="zh-CN"/>
                    </w:rPr>
                    <w:t>HW49</w:t>
                  </w:r>
                </w:p>
              </w:tc>
              <w:tc>
                <w:tcPr>
                  <w:tcW w:w="707" w:type="pct"/>
                  <w:shd w:val="clear" w:color="auto" w:fill="auto"/>
                  <w:noWrap w:val="0"/>
                  <w:vAlign w:val="center"/>
                </w:tcPr>
                <w:p w14:paraId="38D0B72D">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eastAsia" w:eastAsia="宋体" w:cs="Times New Roman"/>
                      <w:sz w:val="21"/>
                      <w:szCs w:val="21"/>
                      <w:vertAlign w:val="baseline"/>
                      <w:lang w:val="en-US" w:eastAsia="zh-CN"/>
                    </w:rPr>
                    <w:t>900-039-49</w:t>
                  </w:r>
                </w:p>
              </w:tc>
              <w:tc>
                <w:tcPr>
                  <w:tcW w:w="542" w:type="pct"/>
                  <w:shd w:val="clear" w:color="auto" w:fill="auto"/>
                  <w:noWrap w:val="0"/>
                  <w:vAlign w:val="center"/>
                </w:tcPr>
                <w:p w14:paraId="482E6EAD">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eastAsia" w:cs="Times New Roman"/>
                      <w:sz w:val="21"/>
                      <w:szCs w:val="21"/>
                      <w:vertAlign w:val="baseline"/>
                      <w:lang w:val="en-US" w:eastAsia="zh-CN"/>
                    </w:rPr>
                    <w:t>0.210</w:t>
                  </w:r>
                  <w:r>
                    <w:rPr>
                      <w:rFonts w:hint="eastAsia" w:eastAsia="宋体" w:cs="Times New Roman"/>
                      <w:sz w:val="21"/>
                      <w:szCs w:val="21"/>
                      <w:vertAlign w:val="baseline"/>
                      <w:lang w:val="en-US" w:eastAsia="zh-CN"/>
                    </w:rPr>
                    <w:t>t/a</w:t>
                  </w:r>
                </w:p>
              </w:tc>
              <w:tc>
                <w:tcPr>
                  <w:tcW w:w="270" w:type="pct"/>
                  <w:shd w:val="clear" w:color="auto" w:fill="auto"/>
                  <w:noWrap w:val="0"/>
                  <w:vAlign w:val="center"/>
                </w:tcPr>
                <w:p w14:paraId="569C32DD">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eastAsia" w:eastAsia="宋体" w:cs="Times New Roman"/>
                      <w:sz w:val="21"/>
                      <w:szCs w:val="21"/>
                      <w:vertAlign w:val="baseline"/>
                      <w:lang w:val="en-US" w:eastAsia="zh-CN"/>
                    </w:rPr>
                    <w:t>废气治理</w:t>
                  </w:r>
                </w:p>
              </w:tc>
              <w:tc>
                <w:tcPr>
                  <w:tcW w:w="253" w:type="pct"/>
                  <w:shd w:val="clear" w:color="auto" w:fill="auto"/>
                  <w:noWrap w:val="0"/>
                  <w:vAlign w:val="center"/>
                </w:tcPr>
                <w:p w14:paraId="1900C65F">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kern w:val="0"/>
                      <w:sz w:val="21"/>
                      <w:szCs w:val="21"/>
                      <w:vertAlign w:val="baseline"/>
                      <w:lang w:val="en-US" w:eastAsia="zh-CN" w:bidi="ar-SA"/>
                    </w:rPr>
                  </w:pPr>
                  <w:r>
                    <w:rPr>
                      <w:rFonts w:hint="eastAsia" w:eastAsia="宋体" w:cs="Times New Roman"/>
                      <w:sz w:val="21"/>
                      <w:szCs w:val="21"/>
                      <w:vertAlign w:val="baseline"/>
                      <w:lang w:eastAsia="zh-CN"/>
                    </w:rPr>
                    <w:t>固体</w:t>
                  </w:r>
                </w:p>
              </w:tc>
              <w:tc>
                <w:tcPr>
                  <w:tcW w:w="423" w:type="pct"/>
                  <w:shd w:val="clear" w:color="auto" w:fill="auto"/>
                  <w:noWrap w:val="0"/>
                  <w:vAlign w:val="center"/>
                </w:tcPr>
                <w:p w14:paraId="6E17AEE6">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kern w:val="0"/>
                      <w:sz w:val="21"/>
                      <w:szCs w:val="21"/>
                      <w:vertAlign w:val="baseline"/>
                      <w:lang w:val="en-US" w:eastAsia="zh-CN" w:bidi="ar-SA"/>
                    </w:rPr>
                  </w:pPr>
                  <w:r>
                    <w:rPr>
                      <w:rFonts w:hint="eastAsia" w:eastAsia="宋体" w:cs="Times New Roman"/>
                      <w:sz w:val="21"/>
                      <w:szCs w:val="21"/>
                      <w:vertAlign w:val="baseline"/>
                      <w:lang w:eastAsia="zh-CN"/>
                    </w:rPr>
                    <w:t>废活性炭</w:t>
                  </w:r>
                </w:p>
              </w:tc>
              <w:tc>
                <w:tcPr>
                  <w:tcW w:w="260" w:type="pct"/>
                  <w:shd w:val="clear" w:color="auto" w:fill="auto"/>
                  <w:noWrap w:val="0"/>
                  <w:vAlign w:val="center"/>
                </w:tcPr>
                <w:p w14:paraId="644FEC2D">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kern w:val="0"/>
                      <w:sz w:val="21"/>
                      <w:szCs w:val="21"/>
                      <w:vertAlign w:val="baseline"/>
                      <w:lang w:val="en-US" w:eastAsia="zh-CN" w:bidi="ar-SA"/>
                    </w:rPr>
                  </w:pPr>
                  <w:r>
                    <w:rPr>
                      <w:rFonts w:hint="eastAsia" w:eastAsia="宋体" w:cs="Times New Roman"/>
                      <w:sz w:val="21"/>
                      <w:szCs w:val="21"/>
                      <w:vertAlign w:val="baseline"/>
                      <w:lang w:eastAsia="zh-CN"/>
                    </w:rPr>
                    <w:t>不定期</w:t>
                  </w:r>
                </w:p>
              </w:tc>
              <w:tc>
                <w:tcPr>
                  <w:tcW w:w="287" w:type="pct"/>
                  <w:shd w:val="clear" w:color="auto" w:fill="auto"/>
                  <w:noWrap w:val="0"/>
                  <w:vAlign w:val="center"/>
                </w:tcPr>
                <w:p w14:paraId="6DCCDED1">
                  <w:pPr>
                    <w:pStyle w:val="23"/>
                    <w:keepNext/>
                    <w:keepLines w:val="0"/>
                    <w:pageBreakBefore w:val="0"/>
                    <w:widowControl/>
                    <w:kinsoku/>
                    <w:wordWrap/>
                    <w:overflowPunct/>
                    <w:topLinePunct/>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kern w:val="0"/>
                      <w:sz w:val="21"/>
                      <w:szCs w:val="21"/>
                      <w:vertAlign w:val="baseline"/>
                      <w:lang w:val="en-US" w:eastAsia="zh-CN" w:bidi="ar-SA"/>
                    </w:rPr>
                  </w:pPr>
                  <w:r>
                    <w:rPr>
                      <w:rFonts w:hint="eastAsia" w:eastAsia="宋体" w:cs="Times New Roman"/>
                      <w:sz w:val="21"/>
                      <w:szCs w:val="21"/>
                      <w:vertAlign w:val="baseline"/>
                      <w:lang w:val="en-US" w:eastAsia="zh-CN"/>
                    </w:rPr>
                    <w:t>T</w:t>
                  </w:r>
                </w:p>
              </w:tc>
              <w:tc>
                <w:tcPr>
                  <w:tcW w:w="319" w:type="pct"/>
                  <w:vMerge w:val="continue"/>
                  <w:noWrap w:val="0"/>
                  <w:vAlign w:val="center"/>
                </w:tcPr>
                <w:p w14:paraId="35D4042D">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sz w:val="21"/>
                      <w:szCs w:val="21"/>
                    </w:rPr>
                  </w:pPr>
                </w:p>
              </w:tc>
              <w:tc>
                <w:tcPr>
                  <w:tcW w:w="266" w:type="pct"/>
                  <w:vMerge w:val="continue"/>
                  <w:noWrap w:val="0"/>
                  <w:vAlign w:val="center"/>
                </w:tcPr>
                <w:p w14:paraId="2B566079">
                  <w:pPr>
                    <w:keepNext/>
                    <w:keepLines w:val="0"/>
                    <w:pageBreakBefore w:val="0"/>
                    <w:widowControl/>
                    <w:kinsoku/>
                    <w:wordWrap/>
                    <w:overflowPunct/>
                    <w:topLinePunct/>
                    <w:autoSpaceDE/>
                    <w:autoSpaceDN/>
                    <w:bidi w:val="0"/>
                    <w:adjustRightInd w:val="0"/>
                    <w:snapToGrid w:val="0"/>
                    <w:spacing w:line="240" w:lineRule="auto"/>
                    <w:jc w:val="center"/>
                    <w:textAlignment w:val="auto"/>
                    <w:rPr>
                      <w:color w:val="000000"/>
                      <w:sz w:val="21"/>
                      <w:szCs w:val="21"/>
                    </w:rPr>
                  </w:pPr>
                </w:p>
              </w:tc>
            </w:tr>
          </w:tbl>
          <w:p w14:paraId="448A52CB">
            <w:pPr>
              <w:ind w:firstLine="480" w:firstLineChars="200"/>
              <w:rPr>
                <w:color w:val="000000"/>
              </w:rPr>
            </w:pPr>
            <w:r>
              <w:rPr>
                <w:color w:val="000000"/>
              </w:rPr>
              <w:t>本项目危险废物临时贮存场所设置应遵照以下规定：</w:t>
            </w:r>
          </w:p>
          <w:p w14:paraId="6AD041C2">
            <w:pPr>
              <w:ind w:firstLine="482" w:firstLineChars="200"/>
              <w:rPr>
                <w:color w:val="000000"/>
                <w:kern w:val="0"/>
              </w:rPr>
            </w:pPr>
            <w:r>
              <w:rPr>
                <w:b/>
                <w:bCs/>
                <w:color w:val="000000"/>
                <w:kern w:val="0"/>
              </w:rPr>
              <w:t>危废暂存间建设要求：</w:t>
            </w:r>
          </w:p>
          <w:p w14:paraId="0D214C7F">
            <w:pPr>
              <w:ind w:firstLine="480" w:firstLineChars="200"/>
              <w:rPr>
                <w:color w:val="000000"/>
                <w:kern w:val="0"/>
              </w:rPr>
            </w:pPr>
            <w:r>
              <w:rPr>
                <w:color w:val="000000"/>
                <w:kern w:val="0"/>
              </w:rPr>
              <w:t>①</w:t>
            </w:r>
            <w:r>
              <w:rPr>
                <w:rFonts w:hint="eastAsia"/>
                <w:color w:val="000000"/>
                <w:kern w:val="0"/>
              </w:rPr>
              <w:t>贮存设施应根据危险废物的形态、物理化学性质、包装形式和污染物迁移途径，采取必要的防风、防晒、防雨、防漏、防渗、防腐以及其他环境污染防治措施，不应露天堆放危险废物。</w:t>
            </w:r>
          </w:p>
          <w:p w14:paraId="0AF67704">
            <w:pPr>
              <w:ind w:firstLine="480" w:firstLineChars="200"/>
              <w:rPr>
                <w:rFonts w:hint="eastAsia"/>
                <w:color w:val="000000"/>
                <w:kern w:val="0"/>
              </w:rPr>
            </w:pPr>
            <w:r>
              <w:rPr>
                <w:color w:val="000000"/>
                <w:kern w:val="0"/>
              </w:rPr>
              <w:t>②</w:t>
            </w:r>
            <w:r>
              <w:rPr>
                <w:rFonts w:hint="eastAsia"/>
                <w:color w:val="000000"/>
                <w:kern w:val="0"/>
              </w:rPr>
              <w:t>贮存设施应根据危险废物的类别、数量、形态、物理化学性质和污染防治等要求设置必要的贮存分区，避免不相容的危险废物接触、混合。</w:t>
            </w:r>
          </w:p>
          <w:p w14:paraId="42827366">
            <w:pPr>
              <w:ind w:firstLine="480" w:firstLineChars="200"/>
              <w:rPr>
                <w:color w:val="000000"/>
                <w:kern w:val="0"/>
              </w:rPr>
            </w:pPr>
            <w:r>
              <w:rPr>
                <w:color w:val="000000"/>
                <w:kern w:val="0"/>
              </w:rPr>
              <w:t>③</w:t>
            </w:r>
            <w:r>
              <w:rPr>
                <w:rFonts w:hint="eastAsia"/>
                <w:color w:val="000000"/>
                <w:kern w:val="0"/>
              </w:rPr>
              <w:t>贮存设施或贮存分区内地面、墙面裙脚、堵截泄漏的围堰、接触危险废物的隔板和墙体等应采用坚固的材料建造，表面无裂缝。</w:t>
            </w:r>
          </w:p>
          <w:p w14:paraId="33BABDB1">
            <w:pPr>
              <w:ind w:firstLine="480" w:firstLineChars="200"/>
              <w:rPr>
                <w:color w:val="000000"/>
                <w:kern w:val="0"/>
              </w:rPr>
            </w:pPr>
            <w:r>
              <w:rPr>
                <w:color w:val="000000"/>
                <w:kern w:val="0"/>
              </w:rPr>
              <w:t>④</w:t>
            </w:r>
            <w:r>
              <w:rPr>
                <w:rFonts w:hint="eastAsia"/>
                <w:color w:val="000000"/>
                <w:kern w:val="0"/>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color w:val="000000"/>
                <w:kern w:val="0"/>
              </w:rPr>
              <w:t>1m</w:t>
            </w:r>
            <w:r>
              <w:rPr>
                <w:rFonts w:hint="eastAsia"/>
                <w:color w:val="000000"/>
                <w:kern w:val="0"/>
              </w:rPr>
              <w:t>厚黏土层（渗透系数不大于</w:t>
            </w:r>
            <w:r>
              <w:rPr>
                <w:color w:val="000000"/>
                <w:kern w:val="0"/>
              </w:rPr>
              <w:t>10</w:t>
            </w:r>
            <w:r>
              <w:rPr>
                <w:color w:val="000000"/>
                <w:kern w:val="0"/>
                <w:vertAlign w:val="superscript"/>
              </w:rPr>
              <w:t>-7</w:t>
            </w:r>
            <w:r>
              <w:rPr>
                <w:color w:val="000000"/>
                <w:kern w:val="0"/>
              </w:rPr>
              <w:t>cm/s</w:t>
            </w:r>
            <w:r>
              <w:rPr>
                <w:rFonts w:hint="eastAsia"/>
                <w:color w:val="000000"/>
                <w:kern w:val="0"/>
              </w:rPr>
              <w:t>），或至少</w:t>
            </w:r>
            <w:r>
              <w:rPr>
                <w:color w:val="000000"/>
                <w:kern w:val="0"/>
              </w:rPr>
              <w:t>2mm</w:t>
            </w:r>
            <w:r>
              <w:rPr>
                <w:rFonts w:hint="eastAsia"/>
                <w:color w:val="000000"/>
                <w:kern w:val="0"/>
              </w:rPr>
              <w:t>厚高密度聚乙烯膜等人工防渗材料（渗透系数不大于</w:t>
            </w:r>
            <w:r>
              <w:rPr>
                <w:color w:val="000000"/>
                <w:kern w:val="0"/>
              </w:rPr>
              <w:t>10</w:t>
            </w:r>
            <w:r>
              <w:rPr>
                <w:color w:val="000000"/>
                <w:kern w:val="0"/>
                <w:vertAlign w:val="superscript"/>
              </w:rPr>
              <w:t>-10</w:t>
            </w:r>
            <w:r>
              <w:rPr>
                <w:color w:val="000000"/>
                <w:kern w:val="0"/>
              </w:rPr>
              <w:t>cm/s</w:t>
            </w:r>
            <w:r>
              <w:rPr>
                <w:rFonts w:hint="eastAsia"/>
                <w:color w:val="000000"/>
                <w:kern w:val="0"/>
              </w:rPr>
              <w:t>），或其他防渗性能等效的材料。</w:t>
            </w:r>
          </w:p>
          <w:p w14:paraId="0B1175AB">
            <w:pPr>
              <w:ind w:firstLine="480" w:firstLineChars="200"/>
              <w:rPr>
                <w:color w:val="000000"/>
                <w:kern w:val="0"/>
              </w:rPr>
            </w:pPr>
            <w:r>
              <w:rPr>
                <w:color w:val="000000"/>
                <w:kern w:val="0"/>
              </w:rPr>
              <w:t>⑤</w:t>
            </w:r>
            <w:r>
              <w:rPr>
                <w:rFonts w:hint="eastAsia"/>
                <w:color w:val="000000"/>
                <w:kern w:val="0"/>
              </w:rPr>
              <w:t>同一贮存设施宜采用相同的防渗、防腐工艺（包括防渗、防腐结构或材料），防渗、防腐材料应覆盖所有可能与废物及其渗滤液、渗漏液等接触的构筑物表面；采用不同防渗、防腐工艺应分别建设贮存分区</w:t>
            </w:r>
            <w:r>
              <w:rPr>
                <w:color w:val="000000"/>
                <w:kern w:val="0"/>
              </w:rPr>
              <w:t>。</w:t>
            </w:r>
          </w:p>
          <w:p w14:paraId="74D305B9">
            <w:pPr>
              <w:ind w:firstLine="480" w:firstLineChars="200"/>
              <w:rPr>
                <w:color w:val="000000"/>
                <w:kern w:val="0"/>
              </w:rPr>
            </w:pPr>
            <w:r>
              <w:rPr>
                <w:color w:val="000000"/>
                <w:kern w:val="0"/>
              </w:rPr>
              <w:t>⑥</w:t>
            </w:r>
            <w:r>
              <w:rPr>
                <w:rFonts w:hint="eastAsia"/>
                <w:color w:val="000000"/>
                <w:kern w:val="0"/>
              </w:rPr>
              <w:t>贮存设施应采取技术和管理措施防止无关人员进入</w:t>
            </w:r>
            <w:r>
              <w:rPr>
                <w:color w:val="000000"/>
                <w:kern w:val="0"/>
              </w:rPr>
              <w:t>。</w:t>
            </w:r>
          </w:p>
          <w:p w14:paraId="59F7C3B5">
            <w:pPr>
              <w:ind w:firstLine="482" w:firstLineChars="200"/>
              <w:rPr>
                <w:rFonts w:hint="eastAsia"/>
                <w:b/>
                <w:bCs/>
                <w:color w:val="000000"/>
                <w:kern w:val="0"/>
                <w:lang w:bidi="ar"/>
              </w:rPr>
            </w:pPr>
            <w:r>
              <w:rPr>
                <w:rFonts w:hint="eastAsia"/>
                <w:b/>
                <w:bCs/>
                <w:color w:val="000000"/>
                <w:kern w:val="0"/>
                <w:lang w:bidi="ar"/>
              </w:rPr>
              <w:t>容器和包装物污染控制要求：</w:t>
            </w:r>
          </w:p>
          <w:p w14:paraId="6167DE65">
            <w:pPr>
              <w:ind w:firstLine="480" w:firstLineChars="200"/>
              <w:rPr>
                <w:color w:val="000000"/>
                <w:kern w:val="0"/>
              </w:rPr>
            </w:pPr>
            <w:r>
              <w:rPr>
                <w:color w:val="000000"/>
                <w:kern w:val="0"/>
              </w:rPr>
              <w:t>①</w:t>
            </w:r>
            <w:r>
              <w:rPr>
                <w:rFonts w:hint="eastAsia"/>
                <w:color w:val="000000"/>
                <w:kern w:val="0"/>
              </w:rPr>
              <w:t>容器和包装物材质、内衬应与盛装的危险废物相容。</w:t>
            </w:r>
          </w:p>
          <w:p w14:paraId="29E90997">
            <w:pPr>
              <w:ind w:firstLine="480" w:firstLineChars="200"/>
              <w:rPr>
                <w:color w:val="000000"/>
                <w:kern w:val="0"/>
              </w:rPr>
            </w:pPr>
            <w:r>
              <w:rPr>
                <w:color w:val="000000"/>
                <w:kern w:val="0"/>
              </w:rPr>
              <w:t>②</w:t>
            </w:r>
            <w:r>
              <w:rPr>
                <w:rFonts w:hint="eastAsia"/>
                <w:color w:val="000000"/>
                <w:kern w:val="0"/>
              </w:rPr>
              <w:t>针对不同类别、形态、物理化学性质的危险废物，其容器和包装物应满足相应的防渗、防漏、防腐和强度等要求。</w:t>
            </w:r>
          </w:p>
          <w:p w14:paraId="036A91DB">
            <w:pPr>
              <w:ind w:firstLine="480" w:firstLineChars="200"/>
              <w:rPr>
                <w:color w:val="000000"/>
                <w:kern w:val="0"/>
              </w:rPr>
            </w:pPr>
            <w:r>
              <w:rPr>
                <w:color w:val="000000"/>
                <w:kern w:val="0"/>
              </w:rPr>
              <w:t>③</w:t>
            </w:r>
            <w:r>
              <w:rPr>
                <w:rFonts w:hint="eastAsia"/>
                <w:color w:val="000000"/>
                <w:kern w:val="0"/>
              </w:rPr>
              <w:t>硬质容器和包装物及其支护结构堆叠码放时不应有明显变形，无破损泄漏。</w:t>
            </w:r>
          </w:p>
          <w:p w14:paraId="2DEF09AF">
            <w:pPr>
              <w:ind w:firstLine="480" w:firstLineChars="200"/>
              <w:rPr>
                <w:color w:val="000000"/>
                <w:kern w:val="0"/>
              </w:rPr>
            </w:pPr>
            <w:r>
              <w:rPr>
                <w:color w:val="000000"/>
                <w:kern w:val="0"/>
              </w:rPr>
              <w:t>④</w:t>
            </w:r>
            <w:r>
              <w:rPr>
                <w:rFonts w:hint="eastAsia"/>
                <w:color w:val="000000"/>
                <w:kern w:val="0"/>
              </w:rPr>
              <w:t>柔性容器和包装物堆叠码放时应封口严密，无破损泄漏。</w:t>
            </w:r>
          </w:p>
          <w:p w14:paraId="5E3AD3A4">
            <w:pPr>
              <w:ind w:firstLine="480" w:firstLineChars="200"/>
              <w:rPr>
                <w:rFonts w:hint="eastAsia"/>
                <w:color w:val="000000"/>
                <w:kern w:val="0"/>
              </w:rPr>
            </w:pPr>
            <w:r>
              <w:rPr>
                <w:rFonts w:hint="eastAsia"/>
                <w:color w:val="000000"/>
                <w:kern w:val="0"/>
              </w:rPr>
              <w:t>⑤使用容器盛装液态、半固态危险废物时，容器内部应留有适当的空间，以适应因温度变化等可能引发的收缩和膨胀，防止其导致容器渗漏或永久变形。</w:t>
            </w:r>
          </w:p>
          <w:p w14:paraId="13D18D59">
            <w:pPr>
              <w:ind w:firstLine="480" w:firstLineChars="200"/>
              <w:rPr>
                <w:rFonts w:hint="eastAsia"/>
                <w:color w:val="000000"/>
                <w:kern w:val="0"/>
              </w:rPr>
            </w:pPr>
            <w:r>
              <w:rPr>
                <w:rFonts w:hint="eastAsia"/>
                <w:color w:val="000000"/>
                <w:kern w:val="0"/>
              </w:rPr>
              <w:t>⑥容器和包装物外表面应保持清洁。</w:t>
            </w:r>
          </w:p>
          <w:p w14:paraId="50E5E27B">
            <w:pPr>
              <w:ind w:firstLine="482" w:firstLineChars="200"/>
              <w:rPr>
                <w:rFonts w:hint="eastAsia"/>
                <w:b/>
                <w:bCs/>
                <w:color w:val="000000"/>
                <w:kern w:val="0"/>
                <w:lang w:bidi="ar"/>
              </w:rPr>
            </w:pPr>
            <w:r>
              <w:rPr>
                <w:b/>
                <w:bCs/>
                <w:color w:val="000000"/>
                <w:kern w:val="0"/>
                <w:lang w:bidi="ar"/>
              </w:rPr>
              <w:t>危险废物贮存设施的运行与管理要求</w:t>
            </w:r>
            <w:r>
              <w:rPr>
                <w:rFonts w:hint="eastAsia"/>
                <w:b/>
                <w:bCs/>
                <w:color w:val="000000"/>
                <w:kern w:val="0"/>
                <w:lang w:bidi="ar"/>
              </w:rPr>
              <w:t>：</w:t>
            </w:r>
          </w:p>
          <w:p w14:paraId="547DF013">
            <w:pPr>
              <w:ind w:firstLine="480" w:firstLineChars="200"/>
              <w:rPr>
                <w:color w:val="000000"/>
                <w:kern w:val="0"/>
                <w:lang w:bidi="ar"/>
              </w:rPr>
            </w:pPr>
            <w:r>
              <w:rPr>
                <w:color w:val="000000"/>
                <w:kern w:val="0"/>
                <w:lang w:bidi="ar"/>
              </w:rPr>
              <w:t>①危险废物存入贮存设施前应对危险废物类别和特性与危险废物标签等危险废物识别标志的一致性进行核验，不一致的或类别、特性不明的不应存入。</w:t>
            </w:r>
          </w:p>
          <w:p w14:paraId="7DF343A1">
            <w:pPr>
              <w:ind w:firstLine="480" w:firstLineChars="200"/>
              <w:rPr>
                <w:color w:val="000000"/>
                <w:kern w:val="0"/>
                <w:lang w:bidi="ar"/>
              </w:rPr>
            </w:pPr>
            <w:r>
              <w:rPr>
                <w:color w:val="000000"/>
                <w:kern w:val="0"/>
                <w:lang w:bidi="ar"/>
              </w:rPr>
              <w:t>②应定期检查危险废物的贮存状况，及时清理贮存设施地面，更换破损泄漏的危险废物贮存容器和包装物，保证堆存危险废物的防雨、防风、防扬尘等设施功能完好。</w:t>
            </w:r>
          </w:p>
          <w:p w14:paraId="2B2C832D">
            <w:pPr>
              <w:ind w:firstLine="480" w:firstLineChars="200"/>
              <w:rPr>
                <w:color w:val="000000"/>
                <w:kern w:val="0"/>
                <w:lang w:bidi="ar"/>
              </w:rPr>
            </w:pPr>
            <w:r>
              <w:rPr>
                <w:color w:val="000000"/>
                <w:kern w:val="0"/>
                <w:lang w:bidi="ar"/>
              </w:rPr>
              <w:t>③作业设备及车辆等结束作业离开贮存设施时，应对其残留的危险废物进行清理，清理的废物或清洗废水应收集处理。</w:t>
            </w:r>
          </w:p>
          <w:p w14:paraId="21507956">
            <w:pPr>
              <w:ind w:firstLine="480" w:firstLineChars="200"/>
              <w:rPr>
                <w:color w:val="000000"/>
                <w:kern w:val="0"/>
                <w:lang w:bidi="ar"/>
              </w:rPr>
            </w:pPr>
            <w:r>
              <w:rPr>
                <w:color w:val="000000"/>
                <w:kern w:val="0"/>
                <w:lang w:bidi="ar"/>
              </w:rPr>
              <w:t>④贮存设施运行期间，应按国家有关标准和规定建立危险废物管理台账并保存。</w:t>
            </w:r>
          </w:p>
          <w:p w14:paraId="50781B1F">
            <w:pPr>
              <w:ind w:firstLine="480" w:firstLineChars="200"/>
              <w:rPr>
                <w:color w:val="000000"/>
                <w:kern w:val="0"/>
                <w:lang w:bidi="ar"/>
              </w:rPr>
            </w:pPr>
            <w:r>
              <w:rPr>
                <w:color w:val="000000"/>
                <w:kern w:val="0"/>
                <w:lang w:bidi="ar"/>
              </w:rPr>
              <w:t>⑤贮存设施所有者或运营者应建立贮存设施环境管理制度、管理人员岗位职责制度、设施运行操作制度、人员岗位培训制度等。</w:t>
            </w:r>
          </w:p>
          <w:p w14:paraId="23189A0F">
            <w:pPr>
              <w:ind w:firstLine="480" w:firstLineChars="200"/>
              <w:rPr>
                <w:color w:val="000000"/>
                <w:kern w:val="0"/>
                <w:lang w:bidi="ar"/>
              </w:rPr>
            </w:pPr>
            <w:r>
              <w:rPr>
                <w:color w:val="000000"/>
                <w:kern w:val="0"/>
                <w:lang w:bidi="ar"/>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6D807F0A">
            <w:pPr>
              <w:ind w:firstLine="480" w:firstLineChars="200"/>
              <w:rPr>
                <w:color w:val="000000"/>
                <w:kern w:val="0"/>
                <w:lang w:bidi="ar"/>
              </w:rPr>
            </w:pPr>
            <w:r>
              <w:rPr>
                <w:color w:val="000000"/>
                <w:kern w:val="0"/>
                <w:lang w:bidi="ar"/>
              </w:rPr>
              <w:t>⑦贮存设施所有者或运营者应建立贮存设施全部档案，包括设计、施工、验收、运行、监测和环境应急等，应按国家有关档案管理的法律法规进行整理和归档。</w:t>
            </w:r>
          </w:p>
          <w:p w14:paraId="715A3BF1">
            <w:pPr>
              <w:ind w:firstLine="482" w:firstLineChars="200"/>
              <w:rPr>
                <w:rFonts w:hint="eastAsia"/>
                <w:b/>
                <w:bCs/>
                <w:color w:val="000000"/>
                <w:kern w:val="0"/>
                <w:lang w:bidi="ar"/>
              </w:rPr>
            </w:pPr>
            <w:r>
              <w:rPr>
                <w:b/>
                <w:bCs/>
                <w:color w:val="000000"/>
                <w:kern w:val="0"/>
                <w:lang w:bidi="ar"/>
              </w:rPr>
              <w:t>危险废物贮存设施的安全防护要求</w:t>
            </w:r>
            <w:r>
              <w:rPr>
                <w:rFonts w:hint="eastAsia"/>
                <w:b/>
                <w:bCs/>
                <w:color w:val="000000"/>
                <w:kern w:val="0"/>
                <w:lang w:bidi="ar"/>
              </w:rPr>
              <w:t>：</w:t>
            </w:r>
          </w:p>
          <w:p w14:paraId="17294179">
            <w:pPr>
              <w:ind w:firstLine="480" w:firstLineChars="200"/>
              <w:rPr>
                <w:color w:val="000000"/>
                <w:kern w:val="0"/>
                <w:lang w:bidi="ar"/>
              </w:rPr>
            </w:pPr>
            <w:r>
              <w:rPr>
                <w:color w:val="000000"/>
                <w:kern w:val="0"/>
                <w:lang w:bidi="ar"/>
              </w:rPr>
              <w:t>①危险废物贮存设施都必须按GB15562.2的规定设置警示标志。</w:t>
            </w:r>
          </w:p>
          <w:p w14:paraId="4FEC1CAF">
            <w:pPr>
              <w:ind w:firstLine="480" w:firstLineChars="200"/>
              <w:rPr>
                <w:color w:val="000000"/>
                <w:kern w:val="0"/>
                <w:lang w:bidi="ar"/>
              </w:rPr>
            </w:pPr>
            <w:r>
              <w:rPr>
                <w:color w:val="000000"/>
                <w:kern w:val="0"/>
                <w:lang w:bidi="ar"/>
              </w:rPr>
              <w:t>②危险废物贮存设施周围应设置围墙或其</w:t>
            </w:r>
            <w:r>
              <w:rPr>
                <w:rFonts w:hint="eastAsia"/>
                <w:color w:val="000000"/>
                <w:kern w:val="0"/>
                <w:lang w:val="en-US" w:eastAsia="zh-CN" w:bidi="ar"/>
              </w:rPr>
              <w:t>他</w:t>
            </w:r>
            <w:r>
              <w:rPr>
                <w:color w:val="000000"/>
                <w:kern w:val="0"/>
                <w:lang w:bidi="ar"/>
              </w:rPr>
              <w:t>防护栅栏。</w:t>
            </w:r>
          </w:p>
          <w:p w14:paraId="43CA9871">
            <w:pPr>
              <w:ind w:firstLine="480" w:firstLineChars="200"/>
              <w:rPr>
                <w:color w:val="000000"/>
                <w:kern w:val="0"/>
                <w:lang w:bidi="ar"/>
              </w:rPr>
            </w:pPr>
            <w:r>
              <w:rPr>
                <w:color w:val="000000"/>
                <w:kern w:val="0"/>
                <w:lang w:bidi="ar"/>
              </w:rPr>
              <w:t>③危险废物贮存设施应配备通讯设备、照明设施、安全防护服装及工具，并设有应急防护设施。</w:t>
            </w:r>
          </w:p>
          <w:p w14:paraId="496763FF">
            <w:pPr>
              <w:ind w:firstLine="480" w:firstLineChars="200"/>
              <w:rPr>
                <w:color w:val="000000"/>
                <w:kern w:val="0"/>
                <w:lang w:bidi="ar"/>
              </w:rPr>
            </w:pPr>
            <w:r>
              <w:rPr>
                <w:color w:val="000000"/>
                <w:kern w:val="0"/>
                <w:lang w:bidi="ar"/>
              </w:rPr>
              <w:t>④危险废物贮存设施内清理出来的泄漏物，一律按危险废物处理。</w:t>
            </w:r>
          </w:p>
          <w:p w14:paraId="0160EED9">
            <w:pPr>
              <w:ind w:firstLine="482" w:firstLineChars="200"/>
              <w:rPr>
                <w:b/>
                <w:bCs/>
                <w:color w:val="000000"/>
                <w:kern w:val="0"/>
              </w:rPr>
            </w:pPr>
            <w:r>
              <w:rPr>
                <w:b/>
                <w:bCs/>
                <w:color w:val="000000"/>
                <w:kern w:val="0"/>
              </w:rPr>
              <w:t>危险废物的转运要求：</w:t>
            </w:r>
          </w:p>
          <w:p w14:paraId="5DB67854">
            <w:pPr>
              <w:ind w:firstLine="480" w:firstLineChars="200"/>
              <w:rPr>
                <w:color w:val="000000"/>
                <w:kern w:val="0"/>
              </w:rPr>
            </w:pPr>
            <w:r>
              <w:rPr>
                <w:color w:val="000000"/>
                <w:kern w:val="0"/>
              </w:rPr>
              <w:t>危险废物应按照国家有关规定向当地环境保护行政主管部门申报登记，接受当地环境保护行政主管部门监督管理。在危险废物外运至处置单位时必须严格遵守以下要求：</w:t>
            </w:r>
          </w:p>
          <w:p w14:paraId="3FAAA8EA">
            <w:pPr>
              <w:ind w:firstLine="480" w:firstLineChars="200"/>
              <w:rPr>
                <w:color w:val="000000"/>
                <w:kern w:val="0"/>
              </w:rPr>
            </w:pPr>
            <w:r>
              <w:rPr>
                <w:color w:val="000000"/>
                <w:kern w:val="0"/>
              </w:rPr>
              <w:t>①做好每次外运处置废弃物的运输登记，</w:t>
            </w:r>
            <w:r>
              <w:rPr>
                <w:rFonts w:hint="eastAsia"/>
                <w:color w:val="000000"/>
                <w:kern w:val="0"/>
              </w:rPr>
              <w:t>做好危险废物电子转移联单工作</w:t>
            </w:r>
            <w:r>
              <w:rPr>
                <w:color w:val="000000"/>
                <w:kern w:val="0"/>
              </w:rPr>
              <w:t>。</w:t>
            </w:r>
          </w:p>
          <w:p w14:paraId="5466E07B">
            <w:pPr>
              <w:ind w:firstLine="480" w:firstLineChars="200"/>
              <w:rPr>
                <w:color w:val="000000"/>
                <w:kern w:val="0"/>
              </w:rPr>
            </w:pPr>
            <w:r>
              <w:rPr>
                <w:color w:val="000000"/>
                <w:kern w:val="0"/>
              </w:rPr>
              <w:t>②废弃物处置单位的运输人员必须掌握危险化学品运输的安全知识，化学品的性质、危害特性、包装容器的使用特性和发生意外时的应急措施了解所运载的危险。运输车辆必须具有车辆危险货物运输许可证。</w:t>
            </w:r>
          </w:p>
          <w:p w14:paraId="1444AD53">
            <w:pPr>
              <w:ind w:firstLine="480" w:firstLineChars="200"/>
              <w:rPr>
                <w:color w:val="000000"/>
                <w:kern w:val="0"/>
              </w:rPr>
            </w:pPr>
            <w:r>
              <w:rPr>
                <w:color w:val="000000"/>
                <w:kern w:val="0"/>
              </w:rPr>
              <w:t>③处置单位在运输危险废物时必须配备押运人员，并随时处于押运人员的监管之下，不得超装、超载，严格按照所在城市规定的行车时间和行车路线行驶，不得进入危险化学品运输车辆禁止通行的区域。</w:t>
            </w:r>
          </w:p>
          <w:p w14:paraId="27E27812">
            <w:pPr>
              <w:ind w:firstLine="480" w:firstLineChars="200"/>
              <w:rPr>
                <w:color w:val="000000"/>
                <w:kern w:val="0"/>
              </w:rPr>
            </w:pPr>
            <w:r>
              <w:rPr>
                <w:color w:val="000000"/>
                <w:kern w:val="0"/>
              </w:rPr>
              <w:t>④危险废物在运输途中若发生被盗、丢失、流散、泄漏等情况时，公司及押运人员必须立即向当地公安部门报告，并采取一切可能的警示措施。</w:t>
            </w:r>
          </w:p>
          <w:p w14:paraId="182C881B">
            <w:pPr>
              <w:ind w:firstLine="480" w:firstLineChars="200"/>
              <w:rPr>
                <w:color w:val="000000"/>
                <w:kern w:val="0"/>
              </w:rPr>
            </w:pPr>
            <w:r>
              <w:rPr>
                <w:color w:val="000000"/>
                <w:kern w:val="0"/>
              </w:rPr>
              <w:t>⑤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333CDA62">
            <w:pPr>
              <w:spacing w:line="360" w:lineRule="auto"/>
              <w:rPr>
                <w:rFonts w:hint="default" w:ascii="Times New Roman" w:hAnsi="Times New Roman" w:eastAsia="宋体" w:cs="Times New Roman"/>
                <w:b/>
                <w:bCs/>
                <w:color w:val="000000"/>
                <w:spacing w:val="0"/>
                <w:kern w:val="0"/>
                <w:sz w:val="24"/>
              </w:rPr>
            </w:pPr>
            <w:r>
              <w:rPr>
                <w:rFonts w:hint="eastAsia" w:ascii="Times New Roman" w:hAnsi="Times New Roman" w:eastAsia="宋体" w:cs="Times New Roman"/>
                <w:b/>
                <w:bCs/>
                <w:color w:val="000000"/>
                <w:spacing w:val="0"/>
                <w:kern w:val="0"/>
                <w:sz w:val="24"/>
              </w:rPr>
              <w:t>固体废物汇总</w:t>
            </w:r>
          </w:p>
          <w:p w14:paraId="674D9E01">
            <w:pPr>
              <w:spacing w:line="360" w:lineRule="auto"/>
              <w:ind w:firstLine="480" w:firstLineChars="200"/>
              <w:rPr>
                <w:rFonts w:hint="default" w:ascii="Times New Roman" w:hAnsi="Times New Roman" w:eastAsia="宋体" w:cs="Times New Roman"/>
                <w:color w:val="000000"/>
                <w:spacing w:val="0"/>
                <w:kern w:val="0"/>
                <w:sz w:val="24"/>
                <w:lang w:val="en-US" w:eastAsia="zh-CN"/>
              </w:rPr>
            </w:pPr>
            <w:r>
              <w:rPr>
                <w:rFonts w:hint="eastAsia" w:ascii="Times New Roman" w:hAnsi="Times New Roman" w:eastAsia="宋体" w:cs="Times New Roman"/>
                <w:color w:val="000000"/>
                <w:spacing w:val="0"/>
                <w:kern w:val="0"/>
                <w:sz w:val="24"/>
                <w:lang w:val="en-US" w:eastAsia="zh-CN"/>
              </w:rPr>
              <w:t>本项目固体废物汇总表见表</w:t>
            </w:r>
            <w:r>
              <w:rPr>
                <w:rFonts w:hint="eastAsia" w:cs="Times New Roman"/>
                <w:color w:val="000000"/>
                <w:spacing w:val="0"/>
                <w:kern w:val="0"/>
                <w:sz w:val="24"/>
                <w:lang w:val="en-US" w:eastAsia="zh-CN"/>
              </w:rPr>
              <w:t>4-9</w:t>
            </w:r>
            <w:r>
              <w:rPr>
                <w:rFonts w:hint="eastAsia" w:ascii="Times New Roman" w:hAnsi="Times New Roman" w:eastAsia="宋体" w:cs="Times New Roman"/>
                <w:color w:val="000000"/>
                <w:spacing w:val="0"/>
                <w:kern w:val="0"/>
                <w:sz w:val="24"/>
                <w:lang w:val="en-US" w:eastAsia="zh-CN"/>
              </w:rPr>
              <w:t>。</w:t>
            </w:r>
          </w:p>
          <w:p w14:paraId="2912EA14">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ascii="Times New Roman" w:hAnsi="Times New Roman" w:eastAsia="宋体" w:cs="Times New Roman"/>
                <w:b/>
                <w:bCs/>
                <w:color w:val="000000"/>
                <w:spacing w:val="0"/>
                <w:kern w:val="0"/>
                <w:sz w:val="21"/>
                <w:szCs w:val="21"/>
              </w:rPr>
            </w:pPr>
            <w:r>
              <w:rPr>
                <w:rFonts w:ascii="Times New Roman" w:hAnsi="Times New Roman" w:eastAsia="宋体" w:cs="Times New Roman"/>
                <w:b/>
                <w:bCs/>
                <w:color w:val="000000"/>
                <w:spacing w:val="0"/>
                <w:kern w:val="0"/>
                <w:sz w:val="21"/>
                <w:szCs w:val="21"/>
              </w:rPr>
              <w:t>表</w:t>
            </w:r>
            <w:r>
              <w:rPr>
                <w:rFonts w:hint="eastAsia" w:cs="Times New Roman"/>
                <w:b/>
                <w:bCs/>
                <w:color w:val="000000"/>
                <w:spacing w:val="0"/>
                <w:kern w:val="0"/>
                <w:sz w:val="21"/>
                <w:szCs w:val="21"/>
                <w:lang w:val="en-US" w:eastAsia="zh-CN"/>
              </w:rPr>
              <w:t>4-9</w:t>
            </w:r>
            <w:r>
              <w:rPr>
                <w:rFonts w:ascii="Times New Roman" w:hAnsi="Times New Roman" w:eastAsia="宋体" w:cs="Times New Roman"/>
                <w:b/>
                <w:bCs/>
                <w:color w:val="000000"/>
                <w:spacing w:val="0"/>
                <w:kern w:val="0"/>
                <w:sz w:val="21"/>
                <w:szCs w:val="21"/>
              </w:rPr>
              <w:t xml:space="preserve">             </w:t>
            </w:r>
            <w:r>
              <w:rPr>
                <w:rFonts w:hint="eastAsia" w:ascii="Times New Roman" w:hAnsi="Times New Roman" w:eastAsia="宋体" w:cs="Times New Roman"/>
                <w:b/>
                <w:bCs/>
                <w:color w:val="000000"/>
                <w:spacing w:val="0"/>
                <w:kern w:val="0"/>
                <w:sz w:val="21"/>
                <w:szCs w:val="21"/>
                <w:lang w:val="en-US" w:eastAsia="zh-CN"/>
              </w:rPr>
              <w:t>固体</w:t>
            </w:r>
            <w:r>
              <w:rPr>
                <w:rFonts w:ascii="Times New Roman" w:hAnsi="Times New Roman" w:eastAsia="宋体" w:cs="Times New Roman"/>
                <w:b/>
                <w:bCs/>
                <w:color w:val="000000"/>
                <w:spacing w:val="0"/>
                <w:kern w:val="0"/>
                <w:sz w:val="21"/>
                <w:szCs w:val="21"/>
              </w:rPr>
              <w:t>废物产生及处置情况一览表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854"/>
              <w:gridCol w:w="898"/>
              <w:gridCol w:w="555"/>
              <w:gridCol w:w="1313"/>
              <w:gridCol w:w="555"/>
              <w:gridCol w:w="976"/>
              <w:gridCol w:w="821"/>
              <w:gridCol w:w="975"/>
              <w:gridCol w:w="911"/>
            </w:tblGrid>
            <w:tr w14:paraId="23FAB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restart"/>
                  <w:tcBorders>
                    <w:tl2br w:val="nil"/>
                    <w:tr2bl w:val="nil"/>
                  </w:tcBorders>
                  <w:noWrap w:val="0"/>
                  <w:vAlign w:val="center"/>
                </w:tcPr>
                <w:p w14:paraId="5A92CB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工序/生产线</w:t>
                  </w:r>
                </w:p>
              </w:tc>
              <w:tc>
                <w:tcPr>
                  <w:tcW w:w="504" w:type="pct"/>
                  <w:vMerge w:val="restart"/>
                  <w:tcBorders>
                    <w:tl2br w:val="nil"/>
                    <w:tr2bl w:val="nil"/>
                  </w:tcBorders>
                  <w:noWrap w:val="0"/>
                  <w:vAlign w:val="center"/>
                </w:tcPr>
                <w:p w14:paraId="476D4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装置</w:t>
                  </w:r>
                </w:p>
              </w:tc>
              <w:tc>
                <w:tcPr>
                  <w:tcW w:w="530" w:type="pct"/>
                  <w:vMerge w:val="restart"/>
                  <w:tcBorders>
                    <w:tl2br w:val="nil"/>
                    <w:tr2bl w:val="nil"/>
                  </w:tcBorders>
                  <w:noWrap w:val="0"/>
                  <w:vAlign w:val="center"/>
                </w:tcPr>
                <w:p w14:paraId="70267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固体废物名称</w:t>
                  </w:r>
                </w:p>
              </w:tc>
              <w:tc>
                <w:tcPr>
                  <w:tcW w:w="328" w:type="pct"/>
                  <w:vMerge w:val="restart"/>
                  <w:tcBorders>
                    <w:tl2br w:val="nil"/>
                    <w:tr2bl w:val="nil"/>
                  </w:tcBorders>
                  <w:noWrap w:val="0"/>
                  <w:vAlign w:val="center"/>
                </w:tcPr>
                <w:p w14:paraId="3A846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固废属性</w:t>
                  </w:r>
                </w:p>
              </w:tc>
              <w:tc>
                <w:tcPr>
                  <w:tcW w:w="771" w:type="pct"/>
                  <w:vMerge w:val="restart"/>
                  <w:tcBorders>
                    <w:tl2br w:val="nil"/>
                    <w:tr2bl w:val="nil"/>
                  </w:tcBorders>
                  <w:noWrap w:val="0"/>
                  <w:vAlign w:val="center"/>
                </w:tcPr>
                <w:p w14:paraId="43E0AA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固废代码</w:t>
                  </w:r>
                </w:p>
              </w:tc>
              <w:tc>
                <w:tcPr>
                  <w:tcW w:w="904" w:type="pct"/>
                  <w:gridSpan w:val="2"/>
                  <w:tcBorders>
                    <w:tl2br w:val="nil"/>
                    <w:tr2bl w:val="nil"/>
                  </w:tcBorders>
                  <w:noWrap w:val="0"/>
                  <w:vAlign w:val="center"/>
                </w:tcPr>
                <w:p w14:paraId="295A80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产生情况</w:t>
                  </w:r>
                </w:p>
              </w:tc>
              <w:tc>
                <w:tcPr>
                  <w:tcW w:w="1060" w:type="pct"/>
                  <w:gridSpan w:val="2"/>
                  <w:tcBorders>
                    <w:tl2br w:val="nil"/>
                    <w:tr2bl w:val="nil"/>
                  </w:tcBorders>
                  <w:noWrap w:val="0"/>
                  <w:vAlign w:val="center"/>
                </w:tcPr>
                <w:p w14:paraId="6204F1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处置措施</w:t>
                  </w:r>
                </w:p>
              </w:tc>
              <w:tc>
                <w:tcPr>
                  <w:tcW w:w="537" w:type="pct"/>
                  <w:vMerge w:val="restart"/>
                  <w:tcBorders>
                    <w:tl2br w:val="nil"/>
                    <w:tr2bl w:val="nil"/>
                  </w:tcBorders>
                  <w:noWrap w:val="0"/>
                  <w:vAlign w:val="center"/>
                </w:tcPr>
                <w:p w14:paraId="1DB27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最终去向</w:t>
                  </w:r>
                </w:p>
              </w:tc>
            </w:tr>
            <w:tr w14:paraId="33CC3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57BFC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vMerge w:val="continue"/>
                  <w:tcBorders>
                    <w:tl2br w:val="nil"/>
                    <w:tr2bl w:val="nil"/>
                  </w:tcBorders>
                  <w:noWrap w:val="0"/>
                  <w:vAlign w:val="center"/>
                </w:tcPr>
                <w:p w14:paraId="282AAA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30" w:type="pct"/>
                  <w:vMerge w:val="continue"/>
                  <w:tcBorders>
                    <w:tl2br w:val="nil"/>
                    <w:tr2bl w:val="nil"/>
                  </w:tcBorders>
                  <w:noWrap w:val="0"/>
                  <w:vAlign w:val="center"/>
                </w:tcPr>
                <w:p w14:paraId="50A2F9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328" w:type="pct"/>
                  <w:vMerge w:val="continue"/>
                  <w:tcBorders>
                    <w:tl2br w:val="nil"/>
                    <w:tr2bl w:val="nil"/>
                  </w:tcBorders>
                  <w:noWrap w:val="0"/>
                  <w:vAlign w:val="center"/>
                </w:tcPr>
                <w:p w14:paraId="56B048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771" w:type="pct"/>
                  <w:vMerge w:val="continue"/>
                  <w:tcBorders>
                    <w:tl2br w:val="nil"/>
                    <w:tr2bl w:val="nil"/>
                  </w:tcBorders>
                  <w:noWrap w:val="0"/>
                  <w:vAlign w:val="center"/>
                </w:tcPr>
                <w:p w14:paraId="581B8E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328" w:type="pct"/>
                  <w:tcBorders>
                    <w:tl2br w:val="nil"/>
                    <w:tr2bl w:val="nil"/>
                  </w:tcBorders>
                  <w:noWrap w:val="0"/>
                  <w:vAlign w:val="center"/>
                </w:tcPr>
                <w:p w14:paraId="38167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核算方法</w:t>
                  </w:r>
                </w:p>
              </w:tc>
              <w:tc>
                <w:tcPr>
                  <w:tcW w:w="575" w:type="pct"/>
                  <w:tcBorders>
                    <w:tl2br w:val="nil"/>
                    <w:tr2bl w:val="nil"/>
                  </w:tcBorders>
                  <w:noWrap w:val="0"/>
                  <w:vAlign w:val="center"/>
                </w:tcPr>
                <w:p w14:paraId="2BB58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产生量（t/a）</w:t>
                  </w:r>
                </w:p>
              </w:tc>
              <w:tc>
                <w:tcPr>
                  <w:tcW w:w="485" w:type="pct"/>
                  <w:tcBorders>
                    <w:tl2br w:val="nil"/>
                    <w:tr2bl w:val="nil"/>
                  </w:tcBorders>
                  <w:noWrap w:val="0"/>
                  <w:vAlign w:val="center"/>
                </w:tcPr>
                <w:p w14:paraId="25AF45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工艺</w:t>
                  </w:r>
                </w:p>
              </w:tc>
              <w:tc>
                <w:tcPr>
                  <w:tcW w:w="575" w:type="pct"/>
                  <w:tcBorders>
                    <w:tl2br w:val="nil"/>
                    <w:tr2bl w:val="nil"/>
                  </w:tcBorders>
                  <w:noWrap w:val="0"/>
                  <w:vAlign w:val="center"/>
                </w:tcPr>
                <w:p w14:paraId="12935B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处置量（t/a）</w:t>
                  </w:r>
                </w:p>
              </w:tc>
              <w:tc>
                <w:tcPr>
                  <w:tcW w:w="537" w:type="pct"/>
                  <w:vMerge w:val="continue"/>
                  <w:tcBorders>
                    <w:tl2br w:val="nil"/>
                    <w:tr2bl w:val="nil"/>
                  </w:tcBorders>
                  <w:noWrap w:val="0"/>
                  <w:vAlign w:val="center"/>
                </w:tcPr>
                <w:p w14:paraId="09E10F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r>
            <w:tr w14:paraId="0AC8E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restart"/>
                  <w:tcBorders>
                    <w:tl2br w:val="nil"/>
                    <w:tr2bl w:val="nil"/>
                  </w:tcBorders>
                  <w:noWrap w:val="0"/>
                  <w:vAlign w:val="center"/>
                </w:tcPr>
                <w:p w14:paraId="75FDF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生产线</w:t>
                  </w:r>
                </w:p>
              </w:tc>
              <w:tc>
                <w:tcPr>
                  <w:tcW w:w="504" w:type="pct"/>
                  <w:tcBorders>
                    <w:tl2br w:val="nil"/>
                    <w:tr2bl w:val="nil"/>
                  </w:tcBorders>
                  <w:noWrap w:val="0"/>
                  <w:vAlign w:val="center"/>
                </w:tcPr>
                <w:p w14:paraId="47B07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抛丸</w:t>
                  </w:r>
                </w:p>
              </w:tc>
              <w:tc>
                <w:tcPr>
                  <w:tcW w:w="530" w:type="pct"/>
                  <w:tcBorders>
                    <w:tl2br w:val="nil"/>
                    <w:tr2bl w:val="nil"/>
                  </w:tcBorders>
                  <w:noWrap w:val="0"/>
                  <w:vAlign w:val="center"/>
                </w:tcPr>
                <w:p w14:paraId="064793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除尘器收集粉尘</w:t>
                  </w:r>
                </w:p>
              </w:tc>
              <w:tc>
                <w:tcPr>
                  <w:tcW w:w="328" w:type="pct"/>
                  <w:tcBorders>
                    <w:tl2br w:val="nil"/>
                    <w:tr2bl w:val="nil"/>
                  </w:tcBorders>
                  <w:noWrap w:val="0"/>
                  <w:vAlign w:val="center"/>
                </w:tcPr>
                <w:p w14:paraId="45C871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一般固废</w:t>
                  </w:r>
                </w:p>
              </w:tc>
              <w:tc>
                <w:tcPr>
                  <w:tcW w:w="771" w:type="pct"/>
                  <w:tcBorders>
                    <w:tl2br w:val="nil"/>
                    <w:tr2bl w:val="nil"/>
                  </w:tcBorders>
                  <w:noWrap w:val="0"/>
                  <w:vAlign w:val="center"/>
                </w:tcPr>
                <w:p w14:paraId="004FCD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900-001-S17</w:t>
                  </w:r>
                </w:p>
              </w:tc>
              <w:tc>
                <w:tcPr>
                  <w:tcW w:w="328" w:type="pct"/>
                  <w:tcBorders>
                    <w:tl2br w:val="nil"/>
                    <w:tr2bl w:val="nil"/>
                  </w:tcBorders>
                  <w:noWrap w:val="0"/>
                  <w:vAlign w:val="center"/>
                </w:tcPr>
                <w:p w14:paraId="05125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noWrap w:val="0"/>
                  <w:vAlign w:val="center"/>
                </w:tcPr>
                <w:p w14:paraId="2E100B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cs="Times New Roman"/>
                      <w:color w:val="000000"/>
                      <w:spacing w:val="0"/>
                      <w:kern w:val="0"/>
                      <w:sz w:val="21"/>
                      <w:szCs w:val="21"/>
                      <w:lang w:val="en-US" w:eastAsia="zh-CN"/>
                    </w:rPr>
                    <w:t>2.668</w:t>
                  </w:r>
                </w:p>
              </w:tc>
              <w:tc>
                <w:tcPr>
                  <w:tcW w:w="485" w:type="pct"/>
                  <w:tcBorders>
                    <w:tl2br w:val="nil"/>
                    <w:tr2bl w:val="nil"/>
                  </w:tcBorders>
                  <w:noWrap w:val="0"/>
                  <w:vAlign w:val="center"/>
                </w:tcPr>
                <w:p w14:paraId="1E40E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委托处置</w:t>
                  </w:r>
                </w:p>
              </w:tc>
              <w:tc>
                <w:tcPr>
                  <w:tcW w:w="575" w:type="pct"/>
                  <w:tcBorders>
                    <w:tl2br w:val="nil"/>
                    <w:tr2bl w:val="nil"/>
                  </w:tcBorders>
                  <w:noWrap w:val="0"/>
                  <w:vAlign w:val="center"/>
                </w:tcPr>
                <w:p w14:paraId="55970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cs="Times New Roman"/>
                      <w:color w:val="000000"/>
                      <w:spacing w:val="0"/>
                      <w:kern w:val="0"/>
                      <w:sz w:val="21"/>
                      <w:szCs w:val="21"/>
                      <w:lang w:val="en-US" w:eastAsia="zh-CN"/>
                    </w:rPr>
                    <w:t>2.668</w:t>
                  </w:r>
                </w:p>
              </w:tc>
              <w:tc>
                <w:tcPr>
                  <w:tcW w:w="537" w:type="pct"/>
                  <w:vMerge w:val="restart"/>
                  <w:tcBorders>
                    <w:tl2br w:val="nil"/>
                    <w:tr2bl w:val="nil"/>
                  </w:tcBorders>
                  <w:noWrap w:val="0"/>
                  <w:vAlign w:val="center"/>
                </w:tcPr>
                <w:p w14:paraId="700560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交由一般固废处置单位处置</w:t>
                  </w:r>
                </w:p>
              </w:tc>
            </w:tr>
            <w:tr w14:paraId="5245D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7C9124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tcBorders>
                    <w:tl2br w:val="nil"/>
                    <w:tr2bl w:val="nil"/>
                  </w:tcBorders>
                  <w:noWrap w:val="0"/>
                  <w:vAlign w:val="center"/>
                </w:tcPr>
                <w:p w14:paraId="2207E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抛丸</w:t>
                  </w:r>
                </w:p>
              </w:tc>
              <w:tc>
                <w:tcPr>
                  <w:tcW w:w="530" w:type="pct"/>
                  <w:tcBorders>
                    <w:tl2br w:val="nil"/>
                    <w:tr2bl w:val="nil"/>
                  </w:tcBorders>
                  <w:noWrap w:val="0"/>
                  <w:vAlign w:val="center"/>
                </w:tcPr>
                <w:p w14:paraId="40D61F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废钢丸</w:t>
                  </w:r>
                </w:p>
              </w:tc>
              <w:tc>
                <w:tcPr>
                  <w:tcW w:w="328" w:type="pct"/>
                  <w:tcBorders>
                    <w:tl2br w:val="nil"/>
                    <w:tr2bl w:val="nil"/>
                  </w:tcBorders>
                  <w:noWrap w:val="0"/>
                  <w:vAlign w:val="center"/>
                </w:tcPr>
                <w:p w14:paraId="76836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一般固废</w:t>
                  </w:r>
                </w:p>
              </w:tc>
              <w:tc>
                <w:tcPr>
                  <w:tcW w:w="771" w:type="pct"/>
                  <w:tcBorders>
                    <w:tl2br w:val="nil"/>
                    <w:tr2bl w:val="nil"/>
                  </w:tcBorders>
                  <w:noWrap w:val="0"/>
                  <w:vAlign w:val="center"/>
                </w:tcPr>
                <w:p w14:paraId="220EF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900-001-S17</w:t>
                  </w:r>
                </w:p>
              </w:tc>
              <w:tc>
                <w:tcPr>
                  <w:tcW w:w="328" w:type="pct"/>
                  <w:tcBorders>
                    <w:tl2br w:val="nil"/>
                    <w:tr2bl w:val="nil"/>
                  </w:tcBorders>
                  <w:noWrap w:val="0"/>
                  <w:vAlign w:val="center"/>
                </w:tcPr>
                <w:p w14:paraId="6A4045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noWrap w:val="0"/>
                  <w:vAlign w:val="center"/>
                </w:tcPr>
                <w:p w14:paraId="3F26E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0.2</w:t>
                  </w:r>
                </w:p>
              </w:tc>
              <w:tc>
                <w:tcPr>
                  <w:tcW w:w="485" w:type="pct"/>
                  <w:tcBorders>
                    <w:tl2br w:val="nil"/>
                    <w:tr2bl w:val="nil"/>
                  </w:tcBorders>
                  <w:noWrap w:val="0"/>
                  <w:vAlign w:val="center"/>
                </w:tcPr>
                <w:p w14:paraId="6949CE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委托处置</w:t>
                  </w:r>
                </w:p>
              </w:tc>
              <w:tc>
                <w:tcPr>
                  <w:tcW w:w="575" w:type="pct"/>
                  <w:tcBorders>
                    <w:tl2br w:val="nil"/>
                    <w:tr2bl w:val="nil"/>
                  </w:tcBorders>
                  <w:noWrap w:val="0"/>
                  <w:vAlign w:val="center"/>
                </w:tcPr>
                <w:p w14:paraId="178A4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0.2</w:t>
                  </w:r>
                </w:p>
              </w:tc>
              <w:tc>
                <w:tcPr>
                  <w:tcW w:w="537" w:type="pct"/>
                  <w:vMerge w:val="continue"/>
                  <w:tcBorders>
                    <w:tl2br w:val="nil"/>
                    <w:tr2bl w:val="nil"/>
                  </w:tcBorders>
                  <w:noWrap w:val="0"/>
                  <w:vAlign w:val="center"/>
                </w:tcPr>
                <w:p w14:paraId="30302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r>
            <w:tr w14:paraId="64E84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60FAE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tcBorders>
                    <w:tl2br w:val="nil"/>
                    <w:tr2bl w:val="nil"/>
                  </w:tcBorders>
                  <w:noWrap w:val="0"/>
                  <w:vAlign w:val="center"/>
                </w:tcPr>
                <w:p w14:paraId="57B6C6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抛丸、喷粉</w:t>
                  </w:r>
                </w:p>
              </w:tc>
              <w:tc>
                <w:tcPr>
                  <w:tcW w:w="530" w:type="pct"/>
                  <w:tcBorders>
                    <w:tl2br w:val="nil"/>
                    <w:tr2bl w:val="nil"/>
                  </w:tcBorders>
                  <w:noWrap w:val="0"/>
                  <w:vAlign w:val="center"/>
                </w:tcPr>
                <w:p w14:paraId="7BDB77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沉降粉尘</w:t>
                  </w:r>
                </w:p>
              </w:tc>
              <w:tc>
                <w:tcPr>
                  <w:tcW w:w="328" w:type="pct"/>
                  <w:tcBorders>
                    <w:tl2br w:val="nil"/>
                    <w:tr2bl w:val="nil"/>
                  </w:tcBorders>
                  <w:noWrap w:val="0"/>
                  <w:vAlign w:val="center"/>
                </w:tcPr>
                <w:p w14:paraId="6D874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一般固废</w:t>
                  </w:r>
                </w:p>
              </w:tc>
              <w:tc>
                <w:tcPr>
                  <w:tcW w:w="771" w:type="pct"/>
                  <w:tcBorders>
                    <w:tl2br w:val="nil"/>
                    <w:tr2bl w:val="nil"/>
                  </w:tcBorders>
                  <w:noWrap w:val="0"/>
                  <w:vAlign w:val="center"/>
                </w:tcPr>
                <w:p w14:paraId="79925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900-001-S17</w:t>
                  </w:r>
                </w:p>
              </w:tc>
              <w:tc>
                <w:tcPr>
                  <w:tcW w:w="328" w:type="pct"/>
                  <w:tcBorders>
                    <w:tl2br w:val="nil"/>
                    <w:tr2bl w:val="nil"/>
                  </w:tcBorders>
                  <w:shd w:val="clear" w:color="auto" w:fill="auto"/>
                  <w:noWrap w:val="0"/>
                  <w:vAlign w:val="center"/>
                </w:tcPr>
                <w:p w14:paraId="5FA82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shd w:val="clear" w:color="auto" w:fill="auto"/>
                  <w:noWrap w:val="0"/>
                  <w:vAlign w:val="center"/>
                </w:tcPr>
                <w:p w14:paraId="366E6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0.524</w:t>
                  </w:r>
                </w:p>
              </w:tc>
              <w:tc>
                <w:tcPr>
                  <w:tcW w:w="485" w:type="pct"/>
                  <w:tcBorders>
                    <w:tl2br w:val="nil"/>
                    <w:tr2bl w:val="nil"/>
                  </w:tcBorders>
                  <w:shd w:val="clear" w:color="auto" w:fill="auto"/>
                  <w:noWrap w:val="0"/>
                  <w:vAlign w:val="center"/>
                </w:tcPr>
                <w:p w14:paraId="65FE0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rPr>
                    <w:t>委托处置</w:t>
                  </w:r>
                </w:p>
              </w:tc>
              <w:tc>
                <w:tcPr>
                  <w:tcW w:w="575" w:type="pct"/>
                  <w:tcBorders>
                    <w:tl2br w:val="nil"/>
                    <w:tr2bl w:val="nil"/>
                  </w:tcBorders>
                  <w:shd w:val="clear" w:color="auto" w:fill="auto"/>
                  <w:noWrap w:val="0"/>
                  <w:vAlign w:val="center"/>
                </w:tcPr>
                <w:p w14:paraId="146B7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0.524</w:t>
                  </w:r>
                </w:p>
              </w:tc>
              <w:tc>
                <w:tcPr>
                  <w:tcW w:w="537" w:type="pct"/>
                  <w:vMerge w:val="continue"/>
                  <w:tcBorders>
                    <w:tl2br w:val="nil"/>
                    <w:tr2bl w:val="nil"/>
                  </w:tcBorders>
                  <w:noWrap w:val="0"/>
                  <w:vAlign w:val="center"/>
                </w:tcPr>
                <w:p w14:paraId="3DD8A9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p>
              </w:tc>
            </w:tr>
            <w:tr w14:paraId="58D85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12FD7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tcBorders>
                    <w:tl2br w:val="nil"/>
                    <w:tr2bl w:val="nil"/>
                  </w:tcBorders>
                  <w:noWrap w:val="0"/>
                  <w:vAlign w:val="center"/>
                </w:tcPr>
                <w:p w14:paraId="229EA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废包装袋</w:t>
                  </w:r>
                </w:p>
              </w:tc>
              <w:tc>
                <w:tcPr>
                  <w:tcW w:w="530" w:type="pct"/>
                  <w:tcBorders>
                    <w:tl2br w:val="nil"/>
                    <w:tr2bl w:val="nil"/>
                  </w:tcBorders>
                  <w:noWrap w:val="0"/>
                  <w:vAlign w:val="center"/>
                </w:tcPr>
                <w:p w14:paraId="1B9C79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废包装袋</w:t>
                  </w:r>
                </w:p>
              </w:tc>
              <w:tc>
                <w:tcPr>
                  <w:tcW w:w="328" w:type="pct"/>
                  <w:tcBorders>
                    <w:tl2br w:val="nil"/>
                    <w:tr2bl w:val="nil"/>
                  </w:tcBorders>
                  <w:noWrap w:val="0"/>
                  <w:vAlign w:val="center"/>
                </w:tcPr>
                <w:p w14:paraId="28777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一般固废</w:t>
                  </w:r>
                </w:p>
              </w:tc>
              <w:tc>
                <w:tcPr>
                  <w:tcW w:w="771" w:type="pct"/>
                  <w:tcBorders>
                    <w:tl2br w:val="nil"/>
                    <w:tr2bl w:val="nil"/>
                  </w:tcBorders>
                  <w:noWrap w:val="0"/>
                  <w:vAlign w:val="center"/>
                </w:tcPr>
                <w:p w14:paraId="4453D2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900-003-S17</w:t>
                  </w:r>
                </w:p>
              </w:tc>
              <w:tc>
                <w:tcPr>
                  <w:tcW w:w="328" w:type="pct"/>
                  <w:tcBorders>
                    <w:tl2br w:val="nil"/>
                    <w:tr2bl w:val="nil"/>
                  </w:tcBorders>
                  <w:shd w:val="clear" w:color="auto" w:fill="auto"/>
                  <w:noWrap w:val="0"/>
                  <w:vAlign w:val="center"/>
                </w:tcPr>
                <w:p w14:paraId="46CE3F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shd w:val="clear" w:color="auto" w:fill="auto"/>
                  <w:noWrap w:val="0"/>
                  <w:vAlign w:val="center"/>
                </w:tcPr>
                <w:p w14:paraId="67F017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1.0</w:t>
                  </w:r>
                </w:p>
              </w:tc>
              <w:tc>
                <w:tcPr>
                  <w:tcW w:w="485" w:type="pct"/>
                  <w:tcBorders>
                    <w:tl2br w:val="nil"/>
                    <w:tr2bl w:val="nil"/>
                  </w:tcBorders>
                  <w:shd w:val="clear" w:color="auto" w:fill="auto"/>
                  <w:noWrap w:val="0"/>
                  <w:vAlign w:val="center"/>
                </w:tcPr>
                <w:p w14:paraId="79BDB9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rPr>
                    <w:t>委托处置</w:t>
                  </w:r>
                </w:p>
              </w:tc>
              <w:tc>
                <w:tcPr>
                  <w:tcW w:w="575" w:type="pct"/>
                  <w:tcBorders>
                    <w:tl2br w:val="nil"/>
                    <w:tr2bl w:val="nil"/>
                  </w:tcBorders>
                  <w:shd w:val="clear" w:color="auto" w:fill="auto"/>
                  <w:noWrap w:val="0"/>
                  <w:vAlign w:val="center"/>
                </w:tcPr>
                <w:p w14:paraId="63FDC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1.0</w:t>
                  </w:r>
                </w:p>
              </w:tc>
              <w:tc>
                <w:tcPr>
                  <w:tcW w:w="537" w:type="pct"/>
                  <w:vMerge w:val="continue"/>
                  <w:tcBorders>
                    <w:tl2br w:val="nil"/>
                    <w:tr2bl w:val="nil"/>
                  </w:tcBorders>
                  <w:noWrap w:val="0"/>
                  <w:vAlign w:val="center"/>
                </w:tcPr>
                <w:p w14:paraId="335E9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p>
              </w:tc>
            </w:tr>
            <w:tr w14:paraId="16F89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44ED0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tcBorders>
                    <w:tl2br w:val="nil"/>
                    <w:tr2bl w:val="nil"/>
                  </w:tcBorders>
                  <w:noWrap w:val="0"/>
                  <w:vAlign w:val="center"/>
                </w:tcPr>
                <w:p w14:paraId="01CDF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w:t>
                  </w:r>
                </w:p>
              </w:tc>
              <w:tc>
                <w:tcPr>
                  <w:tcW w:w="530" w:type="pct"/>
                  <w:tcBorders>
                    <w:tl2br w:val="nil"/>
                    <w:tr2bl w:val="nil"/>
                  </w:tcBorders>
                  <w:noWrap w:val="0"/>
                  <w:vAlign w:val="center"/>
                </w:tcPr>
                <w:p w14:paraId="1B408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废边角料</w:t>
                  </w:r>
                </w:p>
              </w:tc>
              <w:tc>
                <w:tcPr>
                  <w:tcW w:w="328" w:type="pct"/>
                  <w:tcBorders>
                    <w:tl2br w:val="nil"/>
                    <w:tr2bl w:val="nil"/>
                  </w:tcBorders>
                  <w:noWrap w:val="0"/>
                  <w:vAlign w:val="center"/>
                </w:tcPr>
                <w:p w14:paraId="5B294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一般固废</w:t>
                  </w:r>
                </w:p>
              </w:tc>
              <w:tc>
                <w:tcPr>
                  <w:tcW w:w="771" w:type="pct"/>
                  <w:tcBorders>
                    <w:tl2br w:val="nil"/>
                    <w:tr2bl w:val="nil"/>
                  </w:tcBorders>
                  <w:noWrap w:val="0"/>
                  <w:vAlign w:val="center"/>
                </w:tcPr>
                <w:p w14:paraId="20FBE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900-003-S17</w:t>
                  </w:r>
                </w:p>
              </w:tc>
              <w:tc>
                <w:tcPr>
                  <w:tcW w:w="328" w:type="pct"/>
                  <w:tcBorders>
                    <w:tl2br w:val="nil"/>
                    <w:tr2bl w:val="nil"/>
                  </w:tcBorders>
                  <w:shd w:val="clear" w:color="auto" w:fill="auto"/>
                  <w:noWrap w:val="0"/>
                  <w:vAlign w:val="center"/>
                </w:tcPr>
                <w:p w14:paraId="66A9E2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shd w:val="clear" w:color="auto" w:fill="auto"/>
                  <w:noWrap w:val="0"/>
                  <w:vAlign w:val="center"/>
                </w:tcPr>
                <w:p w14:paraId="7C787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0.5</w:t>
                  </w:r>
                </w:p>
              </w:tc>
              <w:tc>
                <w:tcPr>
                  <w:tcW w:w="485" w:type="pct"/>
                  <w:tcBorders>
                    <w:tl2br w:val="nil"/>
                    <w:tr2bl w:val="nil"/>
                  </w:tcBorders>
                  <w:shd w:val="clear" w:color="auto" w:fill="auto"/>
                  <w:noWrap w:val="0"/>
                  <w:vAlign w:val="center"/>
                </w:tcPr>
                <w:p w14:paraId="4DCB0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委托处置</w:t>
                  </w:r>
                </w:p>
              </w:tc>
              <w:tc>
                <w:tcPr>
                  <w:tcW w:w="575" w:type="pct"/>
                  <w:tcBorders>
                    <w:tl2br w:val="nil"/>
                    <w:tr2bl w:val="nil"/>
                  </w:tcBorders>
                  <w:shd w:val="clear" w:color="auto" w:fill="auto"/>
                  <w:noWrap w:val="0"/>
                  <w:vAlign w:val="center"/>
                </w:tcPr>
                <w:p w14:paraId="48DC3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0.5</w:t>
                  </w:r>
                </w:p>
              </w:tc>
              <w:tc>
                <w:tcPr>
                  <w:tcW w:w="537" w:type="pct"/>
                  <w:vMerge w:val="continue"/>
                  <w:tcBorders>
                    <w:tl2br w:val="nil"/>
                    <w:tr2bl w:val="nil"/>
                  </w:tcBorders>
                  <w:noWrap w:val="0"/>
                  <w:vAlign w:val="center"/>
                </w:tcPr>
                <w:p w14:paraId="094D8A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p>
              </w:tc>
            </w:tr>
            <w:tr w14:paraId="6E431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01EADB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tcBorders>
                    <w:tl2br w:val="nil"/>
                    <w:tr2bl w:val="nil"/>
                  </w:tcBorders>
                  <w:noWrap w:val="0"/>
                  <w:vAlign w:val="center"/>
                </w:tcPr>
                <w:p w14:paraId="0C73BA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除尘器</w:t>
                  </w:r>
                </w:p>
              </w:tc>
              <w:tc>
                <w:tcPr>
                  <w:tcW w:w="530" w:type="pct"/>
                  <w:tcBorders>
                    <w:tl2br w:val="nil"/>
                    <w:tr2bl w:val="nil"/>
                  </w:tcBorders>
                  <w:noWrap w:val="0"/>
                  <w:vAlign w:val="center"/>
                </w:tcPr>
                <w:p w14:paraId="2D7AA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废布袋（废滤芯）</w:t>
                  </w:r>
                </w:p>
              </w:tc>
              <w:tc>
                <w:tcPr>
                  <w:tcW w:w="328" w:type="pct"/>
                  <w:tcBorders>
                    <w:tl2br w:val="nil"/>
                    <w:tr2bl w:val="nil"/>
                  </w:tcBorders>
                  <w:noWrap w:val="0"/>
                  <w:vAlign w:val="center"/>
                </w:tcPr>
                <w:p w14:paraId="003BE1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一般固废</w:t>
                  </w:r>
                </w:p>
              </w:tc>
              <w:tc>
                <w:tcPr>
                  <w:tcW w:w="771" w:type="pct"/>
                  <w:tcBorders>
                    <w:tl2br w:val="nil"/>
                    <w:tr2bl w:val="nil"/>
                  </w:tcBorders>
                  <w:noWrap w:val="0"/>
                  <w:vAlign w:val="center"/>
                </w:tcPr>
                <w:p w14:paraId="2991E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900-009-S59</w:t>
                  </w:r>
                </w:p>
              </w:tc>
              <w:tc>
                <w:tcPr>
                  <w:tcW w:w="328" w:type="pct"/>
                  <w:tcBorders>
                    <w:tl2br w:val="nil"/>
                    <w:tr2bl w:val="nil"/>
                  </w:tcBorders>
                  <w:shd w:val="clear" w:color="auto" w:fill="auto"/>
                  <w:noWrap w:val="0"/>
                  <w:vAlign w:val="center"/>
                </w:tcPr>
                <w:p w14:paraId="577EE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shd w:val="clear" w:color="auto" w:fill="auto"/>
                  <w:noWrap w:val="0"/>
                  <w:vAlign w:val="center"/>
                </w:tcPr>
                <w:p w14:paraId="06FDB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0.1</w:t>
                  </w:r>
                </w:p>
              </w:tc>
              <w:tc>
                <w:tcPr>
                  <w:tcW w:w="485" w:type="pct"/>
                  <w:tcBorders>
                    <w:tl2br w:val="nil"/>
                    <w:tr2bl w:val="nil"/>
                  </w:tcBorders>
                  <w:shd w:val="clear" w:color="auto" w:fill="auto"/>
                  <w:noWrap w:val="0"/>
                  <w:vAlign w:val="center"/>
                </w:tcPr>
                <w:p w14:paraId="5DBBB8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rPr>
                    <w:t>委托处置</w:t>
                  </w:r>
                </w:p>
              </w:tc>
              <w:tc>
                <w:tcPr>
                  <w:tcW w:w="575" w:type="pct"/>
                  <w:tcBorders>
                    <w:tl2br w:val="nil"/>
                    <w:tr2bl w:val="nil"/>
                  </w:tcBorders>
                  <w:shd w:val="clear" w:color="auto" w:fill="auto"/>
                  <w:noWrap w:val="0"/>
                  <w:vAlign w:val="center"/>
                </w:tcPr>
                <w:p w14:paraId="486D2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0.1</w:t>
                  </w:r>
                </w:p>
              </w:tc>
              <w:tc>
                <w:tcPr>
                  <w:tcW w:w="537" w:type="pct"/>
                  <w:vMerge w:val="continue"/>
                  <w:tcBorders>
                    <w:tl2br w:val="nil"/>
                    <w:tr2bl w:val="nil"/>
                  </w:tcBorders>
                  <w:noWrap w:val="0"/>
                  <w:vAlign w:val="center"/>
                </w:tcPr>
                <w:p w14:paraId="3CB0B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p>
              </w:tc>
            </w:tr>
            <w:tr w14:paraId="7C6BF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4CEF5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tcBorders>
                    <w:tl2br w:val="nil"/>
                    <w:tr2bl w:val="nil"/>
                  </w:tcBorders>
                  <w:noWrap w:val="0"/>
                  <w:vAlign w:val="center"/>
                </w:tcPr>
                <w:p w14:paraId="1E694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二级活性炭装置</w:t>
                  </w:r>
                </w:p>
              </w:tc>
              <w:tc>
                <w:tcPr>
                  <w:tcW w:w="530" w:type="pct"/>
                  <w:tcBorders>
                    <w:tl2br w:val="nil"/>
                    <w:tr2bl w:val="nil"/>
                  </w:tcBorders>
                  <w:noWrap w:val="0"/>
                  <w:vAlign w:val="center"/>
                </w:tcPr>
                <w:p w14:paraId="312624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废活性炭</w:t>
                  </w:r>
                </w:p>
              </w:tc>
              <w:tc>
                <w:tcPr>
                  <w:tcW w:w="328" w:type="pct"/>
                  <w:tcBorders>
                    <w:tl2br w:val="nil"/>
                    <w:tr2bl w:val="nil"/>
                  </w:tcBorders>
                  <w:noWrap w:val="0"/>
                  <w:vAlign w:val="center"/>
                </w:tcPr>
                <w:p w14:paraId="6F82CC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危险废物</w:t>
                  </w:r>
                </w:p>
              </w:tc>
              <w:tc>
                <w:tcPr>
                  <w:tcW w:w="771" w:type="pct"/>
                  <w:tcBorders>
                    <w:tl2br w:val="nil"/>
                    <w:tr2bl w:val="nil"/>
                  </w:tcBorders>
                  <w:noWrap w:val="0"/>
                  <w:vAlign w:val="center"/>
                </w:tcPr>
                <w:p w14:paraId="3FA630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900-039-49</w:t>
                  </w:r>
                </w:p>
              </w:tc>
              <w:tc>
                <w:tcPr>
                  <w:tcW w:w="328" w:type="pct"/>
                  <w:tcBorders>
                    <w:tl2br w:val="nil"/>
                    <w:tr2bl w:val="nil"/>
                  </w:tcBorders>
                  <w:noWrap w:val="0"/>
                  <w:vAlign w:val="center"/>
                </w:tcPr>
                <w:p w14:paraId="27449C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noWrap w:val="0"/>
                  <w:vAlign w:val="center"/>
                </w:tcPr>
                <w:p w14:paraId="275EC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0.210</w:t>
                  </w:r>
                </w:p>
              </w:tc>
              <w:tc>
                <w:tcPr>
                  <w:tcW w:w="485" w:type="pct"/>
                  <w:tcBorders>
                    <w:tl2br w:val="nil"/>
                    <w:tr2bl w:val="nil"/>
                  </w:tcBorders>
                  <w:noWrap w:val="0"/>
                  <w:vAlign w:val="center"/>
                </w:tcPr>
                <w:p w14:paraId="4B553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rPr>
                    <w:t>暂存于危险废物暂存间</w:t>
                  </w:r>
                </w:p>
              </w:tc>
              <w:tc>
                <w:tcPr>
                  <w:tcW w:w="575" w:type="pct"/>
                  <w:tcBorders>
                    <w:tl2br w:val="nil"/>
                    <w:tr2bl w:val="nil"/>
                  </w:tcBorders>
                  <w:noWrap w:val="0"/>
                  <w:vAlign w:val="center"/>
                </w:tcPr>
                <w:p w14:paraId="47BF18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0.210</w:t>
                  </w:r>
                </w:p>
              </w:tc>
              <w:tc>
                <w:tcPr>
                  <w:tcW w:w="537" w:type="pct"/>
                  <w:vMerge w:val="restart"/>
                  <w:tcBorders>
                    <w:tl2br w:val="nil"/>
                    <w:tr2bl w:val="nil"/>
                  </w:tcBorders>
                  <w:noWrap w:val="0"/>
                  <w:vAlign w:val="center"/>
                </w:tcPr>
                <w:p w14:paraId="40EAE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rPr>
                    <w:t>委托有资质单位处置</w:t>
                  </w:r>
                </w:p>
              </w:tc>
            </w:tr>
            <w:tr w14:paraId="59CF4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2" w:type="pct"/>
                  <w:vMerge w:val="continue"/>
                  <w:tcBorders>
                    <w:tl2br w:val="nil"/>
                    <w:tr2bl w:val="nil"/>
                  </w:tcBorders>
                  <w:noWrap w:val="0"/>
                  <w:vAlign w:val="center"/>
                </w:tcPr>
                <w:p w14:paraId="3314B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c>
                <w:tcPr>
                  <w:tcW w:w="504" w:type="pct"/>
                  <w:tcBorders>
                    <w:tl2br w:val="nil"/>
                    <w:tr2bl w:val="nil"/>
                  </w:tcBorders>
                  <w:noWrap w:val="0"/>
                  <w:vAlign w:val="center"/>
                </w:tcPr>
                <w:p w14:paraId="66F2B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机械设备</w:t>
                  </w:r>
                </w:p>
              </w:tc>
              <w:tc>
                <w:tcPr>
                  <w:tcW w:w="530" w:type="pct"/>
                  <w:tcBorders>
                    <w:tl2br w:val="nil"/>
                    <w:tr2bl w:val="nil"/>
                  </w:tcBorders>
                  <w:noWrap w:val="0"/>
                  <w:vAlign w:val="center"/>
                </w:tcPr>
                <w:p w14:paraId="69439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废润滑油</w:t>
                  </w:r>
                </w:p>
              </w:tc>
              <w:tc>
                <w:tcPr>
                  <w:tcW w:w="328" w:type="pct"/>
                  <w:tcBorders>
                    <w:tl2br w:val="nil"/>
                    <w:tr2bl w:val="nil"/>
                  </w:tcBorders>
                  <w:noWrap w:val="0"/>
                  <w:vAlign w:val="center"/>
                </w:tcPr>
                <w:p w14:paraId="1D717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危险废物</w:t>
                  </w:r>
                </w:p>
              </w:tc>
              <w:tc>
                <w:tcPr>
                  <w:tcW w:w="771" w:type="pct"/>
                  <w:tcBorders>
                    <w:tl2br w:val="nil"/>
                    <w:tr2bl w:val="nil"/>
                  </w:tcBorders>
                  <w:noWrap w:val="0"/>
                  <w:vAlign w:val="center"/>
                </w:tcPr>
                <w:p w14:paraId="7F4939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900-217-08</w:t>
                  </w:r>
                </w:p>
              </w:tc>
              <w:tc>
                <w:tcPr>
                  <w:tcW w:w="328" w:type="pct"/>
                  <w:tcBorders>
                    <w:tl2br w:val="nil"/>
                    <w:tr2bl w:val="nil"/>
                  </w:tcBorders>
                  <w:noWrap w:val="0"/>
                  <w:vAlign w:val="center"/>
                </w:tcPr>
                <w:p w14:paraId="5CDF48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类比法</w:t>
                  </w:r>
                </w:p>
              </w:tc>
              <w:tc>
                <w:tcPr>
                  <w:tcW w:w="575" w:type="pct"/>
                  <w:tcBorders>
                    <w:tl2br w:val="nil"/>
                    <w:tr2bl w:val="nil"/>
                  </w:tcBorders>
                  <w:noWrap w:val="0"/>
                  <w:vAlign w:val="center"/>
                </w:tcPr>
                <w:p w14:paraId="62B8F9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0.2</w:t>
                  </w:r>
                </w:p>
              </w:tc>
              <w:tc>
                <w:tcPr>
                  <w:tcW w:w="485" w:type="pct"/>
                  <w:tcBorders>
                    <w:tl2br w:val="nil"/>
                    <w:tr2bl w:val="nil"/>
                  </w:tcBorders>
                  <w:noWrap w:val="0"/>
                  <w:vAlign w:val="center"/>
                </w:tcPr>
                <w:p w14:paraId="5F682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default" w:ascii="Times New Roman" w:hAnsi="Times New Roman" w:eastAsia="宋体" w:cs="Times New Roman"/>
                      <w:color w:val="000000"/>
                      <w:spacing w:val="0"/>
                      <w:kern w:val="0"/>
                      <w:sz w:val="21"/>
                      <w:szCs w:val="21"/>
                      <w:lang w:val="en-US" w:eastAsia="zh-CN"/>
                    </w:rPr>
                    <w:t>暂存于危险废物暂存间</w:t>
                  </w:r>
                </w:p>
              </w:tc>
              <w:tc>
                <w:tcPr>
                  <w:tcW w:w="575" w:type="pct"/>
                  <w:tcBorders>
                    <w:tl2br w:val="nil"/>
                    <w:tr2bl w:val="nil"/>
                  </w:tcBorders>
                  <w:noWrap w:val="0"/>
                  <w:vAlign w:val="center"/>
                </w:tcPr>
                <w:p w14:paraId="657759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0.2</w:t>
                  </w:r>
                </w:p>
              </w:tc>
              <w:tc>
                <w:tcPr>
                  <w:tcW w:w="537" w:type="pct"/>
                  <w:vMerge w:val="continue"/>
                  <w:tcBorders>
                    <w:tl2br w:val="nil"/>
                    <w:tr2bl w:val="nil"/>
                  </w:tcBorders>
                  <w:noWrap w:val="0"/>
                  <w:vAlign w:val="center"/>
                </w:tcPr>
                <w:p w14:paraId="61B99A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rPr>
                  </w:pPr>
                </w:p>
              </w:tc>
            </w:tr>
          </w:tbl>
          <w:p w14:paraId="519C7270">
            <w:pPr>
              <w:rPr>
                <w:b/>
                <w:bCs/>
                <w:color w:val="000000"/>
              </w:rPr>
            </w:pPr>
            <w:r>
              <w:rPr>
                <w:b/>
                <w:bCs/>
                <w:color w:val="000000"/>
              </w:rPr>
              <w:t>5</w:t>
            </w:r>
            <w:r>
              <w:rPr>
                <w:rFonts w:hint="default"/>
                <w:b/>
                <w:bCs/>
                <w:color w:val="000000"/>
                <w:lang w:val="en-US" w:eastAsia="zh-CN"/>
              </w:rPr>
              <w:t>地</w:t>
            </w:r>
            <w:r>
              <w:rPr>
                <w:rFonts w:hint="eastAsia"/>
                <w:b/>
                <w:bCs/>
                <w:color w:val="000000"/>
                <w:lang w:val="en-US" w:eastAsia="zh-CN"/>
              </w:rPr>
              <w:t>下水、土壤影响分析</w:t>
            </w:r>
          </w:p>
          <w:p w14:paraId="42C988FD">
            <w:pPr>
              <w:ind w:firstLine="480" w:firstLineChars="200"/>
              <w:rPr>
                <w:color w:val="000000"/>
              </w:rPr>
            </w:pPr>
            <w:r>
              <w:rPr>
                <w:color w:val="000000"/>
              </w:rPr>
              <w:t>本项目</w:t>
            </w:r>
            <w:r>
              <w:rPr>
                <w:rFonts w:hint="eastAsia"/>
                <w:color w:val="000000"/>
              </w:rPr>
              <w:t>正常工况下不存在污染途径，非正</w:t>
            </w:r>
            <w:r>
              <w:rPr>
                <w:rFonts w:hint="eastAsia"/>
                <w:color w:val="000000"/>
                <w:lang w:val="en-US" w:eastAsia="zh-CN"/>
              </w:rPr>
              <w:t>常</w:t>
            </w:r>
            <w:r>
              <w:rPr>
                <w:rFonts w:hint="eastAsia"/>
                <w:color w:val="000000"/>
              </w:rPr>
              <w:t>工况下</w:t>
            </w:r>
            <w:r>
              <w:rPr>
                <w:color w:val="000000"/>
              </w:rPr>
              <w:t>可能对地下水</w:t>
            </w:r>
            <w:r>
              <w:rPr>
                <w:rFonts w:hint="eastAsia"/>
                <w:color w:val="000000"/>
                <w:lang w:eastAsia="zh-CN"/>
              </w:rPr>
              <w:t>、</w:t>
            </w:r>
            <w:r>
              <w:rPr>
                <w:rFonts w:hint="eastAsia"/>
                <w:color w:val="000000"/>
                <w:lang w:val="en-US" w:eastAsia="zh-CN"/>
              </w:rPr>
              <w:t>土壤</w:t>
            </w:r>
            <w:r>
              <w:rPr>
                <w:color w:val="000000"/>
              </w:rPr>
              <w:t>环境产生的影响为生活</w:t>
            </w:r>
            <w:r>
              <w:rPr>
                <w:rFonts w:hint="eastAsia"/>
                <w:color w:val="000000"/>
              </w:rPr>
              <w:t>污水收集处置</w:t>
            </w:r>
            <w:r>
              <w:rPr>
                <w:color w:val="000000"/>
              </w:rPr>
              <w:t>过程中未做好地下水污染防护措施</w:t>
            </w:r>
            <w:r>
              <w:rPr>
                <w:rFonts w:hint="eastAsia"/>
                <w:color w:val="000000"/>
              </w:rPr>
              <w:t>及危险废物泄漏</w:t>
            </w:r>
            <w:r>
              <w:rPr>
                <w:color w:val="000000"/>
              </w:rPr>
              <w:t>，防治地下水</w:t>
            </w:r>
            <w:r>
              <w:rPr>
                <w:rFonts w:hint="eastAsia"/>
                <w:color w:val="000000"/>
                <w:lang w:eastAsia="zh-CN"/>
              </w:rPr>
              <w:t>、</w:t>
            </w:r>
            <w:r>
              <w:rPr>
                <w:rFonts w:hint="eastAsia"/>
                <w:color w:val="000000"/>
                <w:lang w:val="en-US" w:eastAsia="zh-CN"/>
              </w:rPr>
              <w:t>土壤</w:t>
            </w:r>
            <w:r>
              <w:rPr>
                <w:color w:val="000000"/>
              </w:rPr>
              <w:t>污染控制措施的原则如下：</w:t>
            </w:r>
          </w:p>
          <w:p w14:paraId="4312E3CA">
            <w:pPr>
              <w:ind w:firstLine="480" w:firstLineChars="200"/>
              <w:rPr>
                <w:color w:val="000000"/>
              </w:rPr>
            </w:pPr>
            <w:r>
              <w:rPr>
                <w:color w:val="000000"/>
              </w:rPr>
              <w:t>（1）主动控制即源头控制措施，主要包括在废水管道、设备、污水储存采取相应措施，防止和降低污染物废水处理站及污水收集、排放管道的滴、漏，将污染物泄漏的环境风险事故降到最低程度。</w:t>
            </w:r>
          </w:p>
          <w:p w14:paraId="6EA3F14E">
            <w:pPr>
              <w:ind w:firstLine="480" w:firstLineChars="200"/>
              <w:rPr>
                <w:color w:val="000000"/>
              </w:rPr>
            </w:pPr>
            <w:r>
              <w:rPr>
                <w:color w:val="000000"/>
              </w:rPr>
              <w:t>（2）被动控制即末端控制措施，主要包括</w:t>
            </w:r>
            <w:r>
              <w:rPr>
                <w:rFonts w:hint="eastAsia"/>
                <w:color w:val="000000"/>
              </w:rPr>
              <w:t>防渗化粪池、危废暂存间</w:t>
            </w:r>
            <w:r>
              <w:rPr>
                <w:color w:val="000000"/>
              </w:rPr>
              <w:t>的防渗措施和泄漏、渗漏污染物收集措施，即在废水处理收集、储存进行防渗处理，防止污染物渗入地下。</w:t>
            </w:r>
          </w:p>
          <w:p w14:paraId="7ED0AE38">
            <w:pPr>
              <w:ind w:firstLine="480" w:firstLineChars="200"/>
              <w:rPr>
                <w:color w:val="000000"/>
              </w:rPr>
            </w:pPr>
            <w:r>
              <w:rPr>
                <w:color w:val="000000"/>
              </w:rPr>
              <w:t>根据以上原则，本项目地下水</w:t>
            </w:r>
            <w:r>
              <w:rPr>
                <w:rFonts w:hint="eastAsia"/>
                <w:color w:val="000000"/>
                <w:lang w:eastAsia="zh-CN"/>
              </w:rPr>
              <w:t>、</w:t>
            </w:r>
            <w:r>
              <w:rPr>
                <w:rFonts w:hint="eastAsia"/>
                <w:color w:val="000000"/>
                <w:lang w:val="en-US" w:eastAsia="zh-CN"/>
              </w:rPr>
              <w:t>土壤</w:t>
            </w:r>
            <w:r>
              <w:rPr>
                <w:color w:val="000000"/>
              </w:rPr>
              <w:t>污染的控制措施为：</w:t>
            </w:r>
            <w:r>
              <w:rPr>
                <w:rFonts w:hint="eastAsia"/>
                <w:color w:val="000000"/>
              </w:rPr>
              <w:t>危险废物暂存间作</w:t>
            </w:r>
            <w:r>
              <w:rPr>
                <w:color w:val="000000"/>
              </w:rPr>
              <w:t>为重点防渗区，</w:t>
            </w:r>
            <w:r>
              <w:rPr>
                <w:rFonts w:hint="eastAsia"/>
                <w:color w:val="000000"/>
              </w:rPr>
              <w:t>按照《环境影响评价技术导则 地下水环境》（HJ610-2016）</w:t>
            </w:r>
            <w:r>
              <w:rPr>
                <w:color w:val="000000"/>
              </w:rPr>
              <w:t>要求制定防渗措施</w:t>
            </w:r>
            <w:r>
              <w:rPr>
                <w:rFonts w:hint="eastAsia"/>
                <w:color w:val="000000"/>
              </w:rPr>
              <w:t>，重点防渗区</w:t>
            </w:r>
            <w:r>
              <w:rPr>
                <w:color w:val="000000"/>
              </w:rPr>
              <w:t>地面硬化处理并设防渗层，确保等效黏土防渗层Mb≥6.0m，渗透系数K≤1.0×10</w:t>
            </w:r>
            <w:r>
              <w:rPr>
                <w:color w:val="000000"/>
                <w:vertAlign w:val="superscript"/>
              </w:rPr>
              <w:t>-</w:t>
            </w:r>
            <w:r>
              <w:rPr>
                <w:rFonts w:hint="eastAsia"/>
                <w:color w:val="000000"/>
                <w:vertAlign w:val="superscript"/>
              </w:rPr>
              <w:t>7</w:t>
            </w:r>
            <w:r>
              <w:rPr>
                <w:color w:val="000000"/>
              </w:rPr>
              <w:t>cm/s</w:t>
            </w:r>
            <w:r>
              <w:rPr>
                <w:rFonts w:hint="eastAsia"/>
                <w:color w:val="000000"/>
              </w:rPr>
              <w:t>，危险废物暂存间防渗要求同时满足《危险废物贮存污染控制标准》（GB18597-20</w:t>
            </w:r>
            <w:r>
              <w:rPr>
                <w:rFonts w:hint="eastAsia"/>
                <w:color w:val="000000"/>
                <w:lang w:val="en-US" w:eastAsia="zh-CN"/>
              </w:rPr>
              <w:t>23</w:t>
            </w:r>
            <w:r>
              <w:rPr>
                <w:rFonts w:hint="eastAsia"/>
                <w:color w:val="000000"/>
              </w:rPr>
              <w:t>）：基础防渗层至少为1m厚黏土层（渗透系数</w:t>
            </w:r>
            <w:r>
              <w:rPr>
                <w:rFonts w:hint="eastAsia" w:ascii="宋体" w:hAnsi="宋体" w:cs="宋体"/>
                <w:color w:val="000000"/>
              </w:rPr>
              <w:t>≤</w:t>
            </w:r>
            <w:r>
              <w:rPr>
                <w:color w:val="000000"/>
              </w:rPr>
              <w:t>1.0×10</w:t>
            </w:r>
            <w:r>
              <w:rPr>
                <w:color w:val="000000"/>
                <w:vertAlign w:val="superscript"/>
              </w:rPr>
              <w:t>-</w:t>
            </w:r>
            <w:r>
              <w:rPr>
                <w:rFonts w:hint="eastAsia"/>
                <w:color w:val="000000"/>
                <w:vertAlign w:val="superscript"/>
              </w:rPr>
              <w:t>7</w:t>
            </w:r>
            <w:r>
              <w:rPr>
                <w:color w:val="000000"/>
              </w:rPr>
              <w:t>cm/s</w:t>
            </w:r>
            <w:r>
              <w:rPr>
                <w:rFonts w:hint="eastAsia"/>
                <w:color w:val="000000"/>
              </w:rPr>
              <w:t>），或2mm厚高密度聚乙烯，或至少2mm厚的其他人工材料，渗透系数</w:t>
            </w:r>
            <w:r>
              <w:rPr>
                <w:rFonts w:hint="eastAsia" w:ascii="宋体" w:hAnsi="宋体" w:cs="宋体"/>
                <w:color w:val="000000"/>
              </w:rPr>
              <w:t>≤</w:t>
            </w:r>
            <w:r>
              <w:rPr>
                <w:color w:val="000000"/>
              </w:rPr>
              <w:t>1.0×10</w:t>
            </w:r>
            <w:r>
              <w:rPr>
                <w:color w:val="000000"/>
                <w:vertAlign w:val="superscript"/>
              </w:rPr>
              <w:t>-</w:t>
            </w:r>
            <w:r>
              <w:rPr>
                <w:rFonts w:hint="eastAsia"/>
                <w:color w:val="000000"/>
                <w:vertAlign w:val="superscript"/>
              </w:rPr>
              <w:t>10</w:t>
            </w:r>
            <w:r>
              <w:rPr>
                <w:color w:val="000000"/>
              </w:rPr>
              <w:t>cm/s。</w:t>
            </w:r>
          </w:p>
          <w:p w14:paraId="1624F91F">
            <w:pPr>
              <w:ind w:firstLine="480" w:firstLineChars="200"/>
              <w:rPr>
                <w:color w:val="000000"/>
              </w:rPr>
            </w:pPr>
            <w:r>
              <w:rPr>
                <w:rFonts w:hint="eastAsia"/>
                <w:color w:val="000000"/>
              </w:rPr>
              <w:t>生产车间、</w:t>
            </w:r>
            <w:r>
              <w:rPr>
                <w:rFonts w:hint="eastAsia"/>
                <w:color w:val="000000"/>
                <w:lang w:val="en-US" w:eastAsia="zh-CN"/>
              </w:rPr>
              <w:t>循环水池</w:t>
            </w:r>
            <w:r>
              <w:rPr>
                <w:color w:val="000000"/>
              </w:rPr>
              <w:t>为一般防渗，严格按照</w:t>
            </w:r>
            <w:r>
              <w:rPr>
                <w:rFonts w:hint="eastAsia"/>
                <w:color w:val="000000"/>
              </w:rPr>
              <w:t>《环境影响评价技术导则 地下水环境》（HJ 610-2016）</w:t>
            </w:r>
            <w:r>
              <w:rPr>
                <w:color w:val="000000"/>
              </w:rPr>
              <w:t>要求制定防渗措施；地面硬化处理设防渗层，可使一般防渗区域的等效黏土防渗层Mb≥</w:t>
            </w:r>
            <w:r>
              <w:rPr>
                <w:rFonts w:hint="eastAsia"/>
                <w:color w:val="000000"/>
              </w:rPr>
              <w:t>1.5</w:t>
            </w:r>
            <w:r>
              <w:rPr>
                <w:color w:val="000000"/>
              </w:rPr>
              <w:t>m，渗透系数K≤</w:t>
            </w:r>
            <w:r>
              <w:rPr>
                <w:rFonts w:hint="eastAsia"/>
                <w:color w:val="000000"/>
              </w:rPr>
              <w:t>1</w:t>
            </w:r>
            <w:r>
              <w:rPr>
                <w:rFonts w:ascii="Arial" w:hAnsi="Arial" w:cs="Arial"/>
                <w:color w:val="000000"/>
              </w:rPr>
              <w:t>×</w:t>
            </w:r>
            <w:r>
              <w:rPr>
                <w:color w:val="000000"/>
              </w:rPr>
              <w:t>10</w:t>
            </w:r>
            <w:r>
              <w:rPr>
                <w:color w:val="000000"/>
                <w:vertAlign w:val="superscript"/>
              </w:rPr>
              <w:t>-</w:t>
            </w:r>
            <w:r>
              <w:rPr>
                <w:rFonts w:hint="eastAsia"/>
                <w:color w:val="000000"/>
                <w:vertAlign w:val="superscript"/>
              </w:rPr>
              <w:t>7</w:t>
            </w:r>
            <w:r>
              <w:rPr>
                <w:color w:val="000000"/>
              </w:rPr>
              <w:t>cm/s。</w:t>
            </w:r>
          </w:p>
          <w:p w14:paraId="4168E5D9">
            <w:pPr>
              <w:spacing w:line="240" w:lineRule="auto"/>
              <w:ind w:firstLine="422" w:firstLineChars="200"/>
              <w:rPr>
                <w:color w:val="000000"/>
                <w:sz w:val="21"/>
                <w:szCs w:val="21"/>
              </w:rPr>
            </w:pPr>
            <w:r>
              <w:rPr>
                <w:b/>
                <w:bCs/>
                <w:color w:val="000000"/>
                <w:sz w:val="21"/>
                <w:szCs w:val="21"/>
              </w:rPr>
              <w:t>表</w:t>
            </w:r>
            <w:r>
              <w:rPr>
                <w:rFonts w:hint="eastAsia"/>
                <w:b/>
                <w:bCs/>
                <w:color w:val="000000"/>
                <w:sz w:val="21"/>
                <w:szCs w:val="21"/>
                <w:lang w:val="en-US" w:eastAsia="zh-CN"/>
              </w:rPr>
              <w:t>4-10</w:t>
            </w:r>
            <w:r>
              <w:rPr>
                <w:b/>
                <w:bCs/>
                <w:color w:val="000000"/>
                <w:sz w:val="21"/>
                <w:szCs w:val="21"/>
              </w:rPr>
              <w:t xml:space="preserve">                地下水分区防渗情况一览表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957"/>
              <w:gridCol w:w="1569"/>
              <w:gridCol w:w="4254"/>
            </w:tblGrid>
            <w:tr w14:paraId="00BF7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63DFA765">
                  <w:pPr>
                    <w:adjustRightInd w:val="0"/>
                    <w:snapToGrid w:val="0"/>
                    <w:spacing w:line="240" w:lineRule="auto"/>
                    <w:jc w:val="center"/>
                    <w:rPr>
                      <w:color w:val="000000"/>
                      <w:sz w:val="21"/>
                      <w:szCs w:val="21"/>
                    </w:rPr>
                  </w:pPr>
                  <w:r>
                    <w:rPr>
                      <w:color w:val="000000"/>
                      <w:sz w:val="21"/>
                      <w:szCs w:val="21"/>
                    </w:rPr>
                    <w:t>序号</w:t>
                  </w:r>
                </w:p>
              </w:tc>
              <w:tc>
                <w:tcPr>
                  <w:tcW w:w="1155" w:type="pct"/>
                  <w:noWrap w:val="0"/>
                  <w:vAlign w:val="center"/>
                </w:tcPr>
                <w:p w14:paraId="25FA0A42">
                  <w:pPr>
                    <w:adjustRightInd w:val="0"/>
                    <w:snapToGrid w:val="0"/>
                    <w:spacing w:line="240" w:lineRule="auto"/>
                    <w:jc w:val="center"/>
                    <w:rPr>
                      <w:color w:val="000000"/>
                      <w:sz w:val="21"/>
                      <w:szCs w:val="21"/>
                    </w:rPr>
                  </w:pPr>
                  <w:r>
                    <w:rPr>
                      <w:color w:val="000000"/>
                      <w:sz w:val="21"/>
                      <w:szCs w:val="21"/>
                    </w:rPr>
                    <w:t>区域名称</w:t>
                  </w:r>
                </w:p>
              </w:tc>
              <w:tc>
                <w:tcPr>
                  <w:tcW w:w="926" w:type="pct"/>
                  <w:noWrap w:val="0"/>
                  <w:vAlign w:val="center"/>
                </w:tcPr>
                <w:p w14:paraId="79899C3F">
                  <w:pPr>
                    <w:adjustRightInd w:val="0"/>
                    <w:snapToGrid w:val="0"/>
                    <w:spacing w:line="240" w:lineRule="auto"/>
                    <w:jc w:val="center"/>
                    <w:rPr>
                      <w:color w:val="000000"/>
                      <w:sz w:val="21"/>
                      <w:szCs w:val="21"/>
                    </w:rPr>
                  </w:pPr>
                  <w:r>
                    <w:rPr>
                      <w:color w:val="000000"/>
                      <w:sz w:val="21"/>
                      <w:szCs w:val="21"/>
                    </w:rPr>
                    <w:t>分区类别</w:t>
                  </w:r>
                </w:p>
              </w:tc>
              <w:tc>
                <w:tcPr>
                  <w:tcW w:w="2511" w:type="pct"/>
                  <w:noWrap w:val="0"/>
                  <w:vAlign w:val="center"/>
                </w:tcPr>
                <w:p w14:paraId="5E479A9A">
                  <w:pPr>
                    <w:adjustRightInd w:val="0"/>
                    <w:snapToGrid w:val="0"/>
                    <w:spacing w:line="240" w:lineRule="auto"/>
                    <w:jc w:val="center"/>
                    <w:rPr>
                      <w:color w:val="000000"/>
                      <w:sz w:val="21"/>
                      <w:szCs w:val="21"/>
                    </w:rPr>
                  </w:pPr>
                  <w:r>
                    <w:rPr>
                      <w:color w:val="000000"/>
                      <w:sz w:val="21"/>
                      <w:szCs w:val="21"/>
                    </w:rPr>
                    <w:t>防渗措施</w:t>
                  </w:r>
                </w:p>
              </w:tc>
            </w:tr>
            <w:tr w14:paraId="38D94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36F469AA">
                  <w:pPr>
                    <w:adjustRightInd w:val="0"/>
                    <w:snapToGrid w:val="0"/>
                    <w:spacing w:line="240" w:lineRule="auto"/>
                    <w:jc w:val="center"/>
                    <w:rPr>
                      <w:color w:val="000000"/>
                      <w:sz w:val="21"/>
                      <w:szCs w:val="21"/>
                    </w:rPr>
                  </w:pPr>
                  <w:r>
                    <w:rPr>
                      <w:color w:val="000000"/>
                      <w:sz w:val="21"/>
                      <w:szCs w:val="21"/>
                    </w:rPr>
                    <w:t>1</w:t>
                  </w:r>
                </w:p>
              </w:tc>
              <w:tc>
                <w:tcPr>
                  <w:tcW w:w="1155" w:type="pct"/>
                  <w:noWrap w:val="0"/>
                  <w:vAlign w:val="center"/>
                </w:tcPr>
                <w:p w14:paraId="40F174C1">
                  <w:pPr>
                    <w:adjustRightInd w:val="0"/>
                    <w:snapToGrid w:val="0"/>
                    <w:spacing w:line="240" w:lineRule="auto"/>
                    <w:jc w:val="center"/>
                    <w:rPr>
                      <w:color w:val="000000"/>
                      <w:sz w:val="21"/>
                      <w:szCs w:val="21"/>
                    </w:rPr>
                  </w:pPr>
                  <w:r>
                    <w:rPr>
                      <w:color w:val="000000"/>
                      <w:sz w:val="21"/>
                      <w:szCs w:val="21"/>
                    </w:rPr>
                    <w:t>危险废物暂存间</w:t>
                  </w:r>
                </w:p>
              </w:tc>
              <w:tc>
                <w:tcPr>
                  <w:tcW w:w="926" w:type="pct"/>
                  <w:noWrap w:val="0"/>
                  <w:vAlign w:val="center"/>
                </w:tcPr>
                <w:p w14:paraId="5A85B0BE">
                  <w:pPr>
                    <w:adjustRightInd w:val="0"/>
                    <w:snapToGrid w:val="0"/>
                    <w:spacing w:line="240" w:lineRule="auto"/>
                    <w:jc w:val="center"/>
                    <w:rPr>
                      <w:color w:val="000000"/>
                      <w:sz w:val="21"/>
                      <w:szCs w:val="21"/>
                    </w:rPr>
                  </w:pPr>
                  <w:r>
                    <w:rPr>
                      <w:color w:val="000000"/>
                      <w:sz w:val="21"/>
                      <w:szCs w:val="21"/>
                    </w:rPr>
                    <w:t>重点防渗区</w:t>
                  </w:r>
                </w:p>
              </w:tc>
              <w:tc>
                <w:tcPr>
                  <w:tcW w:w="2511" w:type="pct"/>
                  <w:noWrap w:val="0"/>
                  <w:vAlign w:val="center"/>
                </w:tcPr>
                <w:p w14:paraId="4E9137B7">
                  <w:pPr>
                    <w:adjustRightInd w:val="0"/>
                    <w:snapToGrid w:val="0"/>
                    <w:spacing w:line="240" w:lineRule="auto"/>
                    <w:jc w:val="center"/>
                    <w:rPr>
                      <w:rFonts w:hint="eastAsia"/>
                      <w:color w:val="000000"/>
                      <w:sz w:val="21"/>
                      <w:szCs w:val="21"/>
                    </w:rPr>
                  </w:pPr>
                  <w:r>
                    <w:rPr>
                      <w:color w:val="000000"/>
                      <w:sz w:val="21"/>
                      <w:szCs w:val="21"/>
                    </w:rPr>
                    <w:t>防渗混凝土+防渗材料（防渗混凝土+2mm厚HD</w:t>
                  </w:r>
                  <w:r>
                    <w:rPr>
                      <w:rFonts w:hint="eastAsia"/>
                      <w:color w:val="000000"/>
                      <w:sz w:val="21"/>
                      <w:szCs w:val="21"/>
                    </w:rPr>
                    <w:t>PE</w:t>
                  </w:r>
                  <w:r>
                    <w:rPr>
                      <w:color w:val="000000"/>
                      <w:sz w:val="21"/>
                      <w:szCs w:val="21"/>
                    </w:rPr>
                    <w:t>膜）</w:t>
                  </w:r>
                  <w:r>
                    <w:rPr>
                      <w:rFonts w:hint="eastAsia"/>
                      <w:color w:val="000000"/>
                      <w:sz w:val="21"/>
                      <w:szCs w:val="21"/>
                    </w:rPr>
                    <w:t>，确保等效黏土防渗层Mb≥6.0m，渗透系数K≤1.0×10</w:t>
                  </w:r>
                  <w:r>
                    <w:rPr>
                      <w:rFonts w:hint="eastAsia"/>
                      <w:color w:val="000000"/>
                      <w:sz w:val="21"/>
                      <w:szCs w:val="21"/>
                      <w:vertAlign w:val="superscript"/>
                    </w:rPr>
                    <w:t>-7</w:t>
                  </w:r>
                  <w:r>
                    <w:rPr>
                      <w:rFonts w:hint="eastAsia"/>
                      <w:color w:val="000000"/>
                      <w:sz w:val="21"/>
                      <w:szCs w:val="21"/>
                    </w:rPr>
                    <w:t>cm/s</w:t>
                  </w:r>
                </w:p>
              </w:tc>
            </w:tr>
            <w:tr w14:paraId="54CAC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677AF893">
                  <w:pPr>
                    <w:adjustRightInd w:val="0"/>
                    <w:snapToGrid w:val="0"/>
                    <w:spacing w:line="240" w:lineRule="auto"/>
                    <w:jc w:val="center"/>
                    <w:rPr>
                      <w:color w:val="000000"/>
                      <w:sz w:val="21"/>
                      <w:szCs w:val="21"/>
                    </w:rPr>
                  </w:pPr>
                  <w:r>
                    <w:rPr>
                      <w:color w:val="000000"/>
                      <w:sz w:val="21"/>
                      <w:szCs w:val="21"/>
                    </w:rPr>
                    <w:t>2</w:t>
                  </w:r>
                </w:p>
              </w:tc>
              <w:tc>
                <w:tcPr>
                  <w:tcW w:w="1155" w:type="pct"/>
                  <w:noWrap w:val="0"/>
                  <w:vAlign w:val="center"/>
                </w:tcPr>
                <w:p w14:paraId="5CB93B7C">
                  <w:pPr>
                    <w:adjustRightInd w:val="0"/>
                    <w:snapToGrid w:val="0"/>
                    <w:spacing w:line="240" w:lineRule="auto"/>
                    <w:jc w:val="center"/>
                    <w:rPr>
                      <w:rFonts w:hint="default" w:eastAsia="宋体"/>
                      <w:color w:val="000000"/>
                      <w:sz w:val="21"/>
                      <w:szCs w:val="21"/>
                      <w:lang w:val="en-US" w:eastAsia="zh-CN"/>
                    </w:rPr>
                  </w:pPr>
                  <w:r>
                    <w:rPr>
                      <w:rFonts w:hint="eastAsia"/>
                      <w:color w:val="000000"/>
                      <w:sz w:val="21"/>
                      <w:szCs w:val="21"/>
                    </w:rPr>
                    <w:t>生产车间、</w:t>
                  </w:r>
                  <w:r>
                    <w:rPr>
                      <w:rFonts w:hint="eastAsia"/>
                      <w:color w:val="000000"/>
                      <w:sz w:val="21"/>
                      <w:szCs w:val="21"/>
                      <w:lang w:val="en-US" w:eastAsia="zh-CN"/>
                    </w:rPr>
                    <w:t>循环水池</w:t>
                  </w:r>
                </w:p>
              </w:tc>
              <w:tc>
                <w:tcPr>
                  <w:tcW w:w="926" w:type="pct"/>
                  <w:noWrap w:val="0"/>
                  <w:vAlign w:val="center"/>
                </w:tcPr>
                <w:p w14:paraId="78027332">
                  <w:pPr>
                    <w:adjustRightInd w:val="0"/>
                    <w:snapToGrid w:val="0"/>
                    <w:spacing w:line="240" w:lineRule="auto"/>
                    <w:jc w:val="center"/>
                    <w:rPr>
                      <w:color w:val="000000"/>
                      <w:sz w:val="21"/>
                      <w:szCs w:val="21"/>
                    </w:rPr>
                  </w:pPr>
                  <w:r>
                    <w:rPr>
                      <w:color w:val="000000"/>
                      <w:sz w:val="21"/>
                      <w:szCs w:val="21"/>
                    </w:rPr>
                    <w:t>一般防渗区</w:t>
                  </w:r>
                </w:p>
              </w:tc>
              <w:tc>
                <w:tcPr>
                  <w:tcW w:w="2511" w:type="pct"/>
                  <w:noWrap w:val="0"/>
                  <w:vAlign w:val="center"/>
                </w:tcPr>
                <w:p w14:paraId="1D95769D">
                  <w:pPr>
                    <w:adjustRightInd w:val="0"/>
                    <w:snapToGrid w:val="0"/>
                    <w:spacing w:line="240" w:lineRule="auto"/>
                    <w:jc w:val="center"/>
                    <w:rPr>
                      <w:rFonts w:hint="eastAsia"/>
                      <w:color w:val="000000"/>
                      <w:sz w:val="21"/>
                      <w:szCs w:val="21"/>
                    </w:rPr>
                  </w:pPr>
                  <w:r>
                    <w:rPr>
                      <w:color w:val="000000"/>
                      <w:sz w:val="21"/>
                      <w:szCs w:val="21"/>
                    </w:rPr>
                    <w:t>防渗混</w:t>
                  </w:r>
                  <w:r>
                    <w:rPr>
                      <w:rFonts w:hint="eastAsia"/>
                      <w:color w:val="000000"/>
                      <w:sz w:val="21"/>
                      <w:szCs w:val="21"/>
                      <w:lang w:val="en-US" w:eastAsia="zh-CN"/>
                    </w:rPr>
                    <w:t>凝</w:t>
                  </w:r>
                  <w:r>
                    <w:rPr>
                      <w:color w:val="000000"/>
                      <w:sz w:val="21"/>
                      <w:szCs w:val="21"/>
                    </w:rPr>
                    <w:t>土表层防渗</w:t>
                  </w:r>
                  <w:r>
                    <w:rPr>
                      <w:rFonts w:hint="eastAsia"/>
                      <w:color w:val="000000"/>
                      <w:sz w:val="21"/>
                      <w:szCs w:val="21"/>
                    </w:rPr>
                    <w:t>，一般防渗区域的等效黏土防渗层Mb≥1.5m，渗透系数K≤1×10</w:t>
                  </w:r>
                  <w:r>
                    <w:rPr>
                      <w:rFonts w:hint="eastAsia"/>
                      <w:color w:val="000000"/>
                      <w:sz w:val="21"/>
                      <w:szCs w:val="21"/>
                      <w:vertAlign w:val="superscript"/>
                    </w:rPr>
                    <w:t>-7</w:t>
                  </w:r>
                  <w:r>
                    <w:rPr>
                      <w:rFonts w:hint="eastAsia"/>
                      <w:color w:val="000000"/>
                      <w:sz w:val="21"/>
                      <w:szCs w:val="21"/>
                    </w:rPr>
                    <w:t>cm/s</w:t>
                  </w:r>
                </w:p>
              </w:tc>
            </w:tr>
            <w:tr w14:paraId="7AAD4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noWrap w:val="0"/>
                  <w:vAlign w:val="center"/>
                </w:tcPr>
                <w:p w14:paraId="371B3E97">
                  <w:pPr>
                    <w:adjustRightInd w:val="0"/>
                    <w:snapToGrid w:val="0"/>
                    <w:spacing w:line="240" w:lineRule="auto"/>
                    <w:jc w:val="center"/>
                    <w:rPr>
                      <w:color w:val="000000"/>
                      <w:sz w:val="21"/>
                      <w:szCs w:val="21"/>
                    </w:rPr>
                  </w:pPr>
                  <w:r>
                    <w:rPr>
                      <w:color w:val="000000"/>
                      <w:sz w:val="21"/>
                      <w:szCs w:val="21"/>
                    </w:rPr>
                    <w:t>3</w:t>
                  </w:r>
                </w:p>
              </w:tc>
              <w:tc>
                <w:tcPr>
                  <w:tcW w:w="1155" w:type="pct"/>
                  <w:noWrap w:val="0"/>
                  <w:vAlign w:val="center"/>
                </w:tcPr>
                <w:p w14:paraId="2294AD43">
                  <w:pPr>
                    <w:adjustRightInd w:val="0"/>
                    <w:snapToGrid w:val="0"/>
                    <w:spacing w:line="240" w:lineRule="auto"/>
                    <w:jc w:val="center"/>
                    <w:rPr>
                      <w:color w:val="000000"/>
                      <w:sz w:val="21"/>
                      <w:szCs w:val="21"/>
                    </w:rPr>
                  </w:pPr>
                  <w:r>
                    <w:rPr>
                      <w:color w:val="000000"/>
                      <w:sz w:val="21"/>
                      <w:szCs w:val="21"/>
                    </w:rPr>
                    <w:t>其他区域</w:t>
                  </w:r>
                </w:p>
              </w:tc>
              <w:tc>
                <w:tcPr>
                  <w:tcW w:w="926" w:type="pct"/>
                  <w:noWrap w:val="0"/>
                  <w:vAlign w:val="center"/>
                </w:tcPr>
                <w:p w14:paraId="6D17764B">
                  <w:pPr>
                    <w:adjustRightInd w:val="0"/>
                    <w:snapToGrid w:val="0"/>
                    <w:spacing w:line="240" w:lineRule="auto"/>
                    <w:jc w:val="center"/>
                    <w:rPr>
                      <w:color w:val="000000"/>
                      <w:sz w:val="21"/>
                      <w:szCs w:val="21"/>
                    </w:rPr>
                  </w:pPr>
                  <w:r>
                    <w:rPr>
                      <w:color w:val="000000"/>
                      <w:sz w:val="21"/>
                      <w:szCs w:val="21"/>
                    </w:rPr>
                    <w:t>简单防渗区</w:t>
                  </w:r>
                </w:p>
              </w:tc>
              <w:tc>
                <w:tcPr>
                  <w:tcW w:w="2511" w:type="pct"/>
                  <w:noWrap w:val="0"/>
                  <w:vAlign w:val="center"/>
                </w:tcPr>
                <w:p w14:paraId="39BE647D">
                  <w:pPr>
                    <w:adjustRightInd w:val="0"/>
                    <w:snapToGrid w:val="0"/>
                    <w:spacing w:line="240" w:lineRule="auto"/>
                    <w:jc w:val="center"/>
                    <w:rPr>
                      <w:color w:val="000000"/>
                      <w:sz w:val="21"/>
                      <w:szCs w:val="21"/>
                    </w:rPr>
                  </w:pPr>
                  <w:r>
                    <w:rPr>
                      <w:color w:val="000000"/>
                      <w:sz w:val="21"/>
                      <w:szCs w:val="21"/>
                    </w:rPr>
                    <w:t>一般地面水泥硬化</w:t>
                  </w:r>
                </w:p>
              </w:tc>
            </w:tr>
          </w:tbl>
          <w:p w14:paraId="4AE1E439">
            <w:pPr>
              <w:rPr>
                <w:b/>
                <w:bCs/>
                <w:color w:val="000000"/>
                <w:spacing w:val="-10"/>
                <w:szCs w:val="21"/>
              </w:rPr>
            </w:pPr>
            <w:r>
              <w:rPr>
                <w:rFonts w:hint="eastAsia"/>
                <w:b/>
                <w:bCs/>
                <w:color w:val="000000"/>
              </w:rPr>
              <w:t>7</w:t>
            </w:r>
            <w:r>
              <w:rPr>
                <w:b/>
                <w:bCs/>
                <w:color w:val="000000"/>
              </w:rPr>
              <w:t>环境风险</w:t>
            </w:r>
          </w:p>
          <w:p w14:paraId="17DBE005">
            <w:pPr>
              <w:ind w:firstLine="480"/>
              <w:rPr>
                <w:color w:val="000000"/>
              </w:rPr>
            </w:pPr>
            <w:r>
              <w:rPr>
                <w:color w:val="000000"/>
                <w:szCs w:val="21"/>
              </w:rPr>
              <w:t>环境风险评价的目的是分析和预测建设项目存在的潜在危险、有害因素，建设项目建设和运行期间可能发生的突发性</w:t>
            </w:r>
            <w:r>
              <w:rPr>
                <w:rFonts w:hint="eastAsia"/>
                <w:color w:val="000000"/>
                <w:szCs w:val="21"/>
                <w:lang w:val="en-US" w:eastAsia="zh-CN"/>
              </w:rPr>
              <w:t>事件</w:t>
            </w:r>
            <w:r>
              <w:rPr>
                <w:color w:val="000000"/>
                <w:szCs w:val="21"/>
              </w:rPr>
              <w:t>或事故，引起有毒有害和易燃易爆等物质的</w:t>
            </w:r>
            <w:r>
              <w:rPr>
                <w:rFonts w:hint="eastAsia"/>
                <w:color w:val="000000"/>
                <w:szCs w:val="21"/>
              </w:rPr>
              <w:t>泄漏</w:t>
            </w:r>
            <w:r>
              <w:rPr>
                <w:color w:val="000000"/>
                <w:szCs w:val="21"/>
              </w:rPr>
              <w:t>，所造成的人身安全与环境影响和损害程度，提出合理可行的防范、应急与减缓措施，以使建设项目事故率、损失和环境影响达到可接受的水平。</w:t>
            </w:r>
          </w:p>
          <w:p w14:paraId="64FB33D6">
            <w:pPr>
              <w:ind w:firstLine="482" w:firstLineChars="200"/>
              <w:rPr>
                <w:b/>
                <w:bCs/>
                <w:color w:val="000000"/>
              </w:rPr>
            </w:pPr>
            <w:r>
              <w:rPr>
                <w:rFonts w:hint="eastAsia"/>
                <w:b/>
                <w:bCs/>
                <w:color w:val="000000"/>
              </w:rPr>
              <w:t>7</w:t>
            </w:r>
            <w:r>
              <w:rPr>
                <w:b/>
                <w:bCs/>
                <w:color w:val="000000"/>
              </w:rPr>
              <w:t>.1评价依据</w:t>
            </w:r>
          </w:p>
          <w:p w14:paraId="01CC4419">
            <w:pPr>
              <w:ind w:firstLine="480"/>
              <w:rPr>
                <w:color w:val="000000"/>
                <w:szCs w:val="21"/>
              </w:rPr>
            </w:pPr>
            <w:r>
              <w:rPr>
                <w:color w:val="000000"/>
                <w:szCs w:val="21"/>
              </w:rPr>
              <w:t>根据《建设项目环境风险评价技术导则》（HJ169-2018）中</w:t>
            </w:r>
            <w:r>
              <w:rPr>
                <w:rFonts w:hint="eastAsia"/>
                <w:color w:val="000000"/>
                <w:szCs w:val="21"/>
              </w:rPr>
              <w:t>“</w:t>
            </w:r>
            <w:r>
              <w:rPr>
                <w:color w:val="000000"/>
                <w:szCs w:val="21"/>
              </w:rPr>
              <w:t>附录B重点关注的危险物质及临界量</w:t>
            </w:r>
            <w:r>
              <w:rPr>
                <w:rFonts w:hint="eastAsia"/>
                <w:color w:val="000000"/>
                <w:szCs w:val="21"/>
              </w:rPr>
              <w:t>”</w:t>
            </w:r>
            <w:r>
              <w:rPr>
                <w:color w:val="000000"/>
                <w:szCs w:val="21"/>
              </w:rPr>
              <w:t>、附录C，计算危险物质数量与临界量比值Q：</w:t>
            </w:r>
          </w:p>
          <w:p w14:paraId="36E33894">
            <w:pPr>
              <w:ind w:firstLine="480"/>
              <w:rPr>
                <w:color w:val="000000"/>
                <w:szCs w:val="21"/>
              </w:rPr>
            </w:pPr>
            <w:r>
              <w:rPr>
                <w:color w:val="000000"/>
                <w:szCs w:val="21"/>
              </w:rPr>
              <w:t>q1/Q1+q2/Q2+…+qn/Qn≥1</w:t>
            </w:r>
          </w:p>
          <w:p w14:paraId="6843FC15">
            <w:pPr>
              <w:ind w:firstLine="480"/>
              <w:rPr>
                <w:color w:val="000000"/>
                <w:szCs w:val="21"/>
              </w:rPr>
            </w:pPr>
            <w:r>
              <w:rPr>
                <w:color w:val="000000"/>
                <w:szCs w:val="21"/>
              </w:rPr>
              <w:t>式中：q1、q2、qn每种危险物质最大存在总量，t；</w:t>
            </w:r>
          </w:p>
          <w:p w14:paraId="6BCD9D9A">
            <w:pPr>
              <w:ind w:firstLine="480"/>
              <w:rPr>
                <w:color w:val="000000"/>
                <w:szCs w:val="21"/>
              </w:rPr>
            </w:pPr>
            <w:r>
              <w:rPr>
                <w:color w:val="000000"/>
                <w:szCs w:val="21"/>
              </w:rPr>
              <w:t>Q1、Q2、Qn每种危险物质的临界量，t；</w:t>
            </w:r>
          </w:p>
          <w:p w14:paraId="41A5477E">
            <w:pPr>
              <w:ind w:firstLine="480"/>
              <w:rPr>
                <w:color w:val="000000"/>
                <w:szCs w:val="21"/>
              </w:rPr>
            </w:pPr>
            <w:r>
              <w:rPr>
                <w:color w:val="000000"/>
                <w:szCs w:val="21"/>
              </w:rPr>
              <w:t>当Q＜1时，该项目环境风险潜势为I。</w:t>
            </w:r>
          </w:p>
          <w:p w14:paraId="6D422C44">
            <w:pPr>
              <w:ind w:firstLine="480"/>
              <w:rPr>
                <w:color w:val="000000"/>
                <w:szCs w:val="21"/>
              </w:rPr>
            </w:pPr>
            <w:r>
              <w:rPr>
                <w:color w:val="000000"/>
                <w:szCs w:val="21"/>
              </w:rPr>
              <w:t>当Q≥1时，将Q值划分为：①1≤Q＜10；②10≤Q＜100；③100≤Q。</w:t>
            </w:r>
          </w:p>
          <w:p w14:paraId="66D072F7">
            <w:pPr>
              <w:ind w:firstLine="480"/>
              <w:rPr>
                <w:b/>
                <w:bCs/>
                <w:color w:val="000000"/>
                <w:sz w:val="21"/>
                <w:szCs w:val="21"/>
              </w:rPr>
            </w:pPr>
            <w:r>
              <w:rPr>
                <w:color w:val="000000"/>
                <w:szCs w:val="21"/>
              </w:rPr>
              <w:t>本项目各物质的具体暂存情况如下</w:t>
            </w:r>
            <w:r>
              <w:rPr>
                <w:b/>
                <w:bCs/>
                <w:color w:val="000000"/>
                <w:sz w:val="21"/>
                <w:szCs w:val="21"/>
              </w:rPr>
              <w:t>：</w:t>
            </w:r>
          </w:p>
          <w:p w14:paraId="53F17F12">
            <w:pPr>
              <w:adjustRightInd w:val="0"/>
              <w:snapToGrid w:val="0"/>
              <w:spacing w:line="240" w:lineRule="auto"/>
              <w:ind w:firstLine="422" w:firstLineChars="200"/>
              <w:rPr>
                <w:b/>
                <w:bCs/>
                <w:color w:val="000000"/>
                <w:sz w:val="21"/>
                <w:szCs w:val="21"/>
              </w:rPr>
            </w:pPr>
            <w:r>
              <w:rPr>
                <w:b/>
                <w:bCs/>
                <w:color w:val="000000"/>
                <w:sz w:val="21"/>
                <w:szCs w:val="21"/>
              </w:rPr>
              <w:t>表</w:t>
            </w:r>
            <w:r>
              <w:rPr>
                <w:rFonts w:hint="eastAsia"/>
                <w:b/>
                <w:bCs/>
                <w:color w:val="000000"/>
                <w:sz w:val="21"/>
                <w:szCs w:val="21"/>
                <w:lang w:val="en-US" w:eastAsia="zh-CN"/>
              </w:rPr>
              <w:t>4-11</w:t>
            </w:r>
            <w:r>
              <w:rPr>
                <w:rFonts w:hint="eastAsia"/>
                <w:b/>
                <w:bCs/>
                <w:color w:val="000000"/>
                <w:sz w:val="21"/>
                <w:szCs w:val="21"/>
              </w:rPr>
              <w:t xml:space="preserve">           </w:t>
            </w:r>
            <w:r>
              <w:rPr>
                <w:b/>
                <w:bCs/>
                <w:color w:val="000000"/>
                <w:sz w:val="21"/>
                <w:szCs w:val="21"/>
              </w:rPr>
              <w:t>建设项目Q值确定表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66"/>
              <w:gridCol w:w="2070"/>
              <w:gridCol w:w="1626"/>
              <w:gridCol w:w="2971"/>
              <w:gridCol w:w="1435"/>
            </w:tblGrid>
            <w:tr w14:paraId="60CDBD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16" w:type="pct"/>
                  <w:noWrap w:val="0"/>
                  <w:vAlign w:val="center"/>
                </w:tcPr>
                <w:p w14:paraId="644FA632">
                  <w:pPr>
                    <w:adjustRightInd w:val="0"/>
                    <w:snapToGrid w:val="0"/>
                    <w:spacing w:line="240" w:lineRule="auto"/>
                    <w:jc w:val="center"/>
                    <w:rPr>
                      <w:color w:val="000000"/>
                      <w:sz w:val="21"/>
                      <w:szCs w:val="21"/>
                    </w:rPr>
                  </w:pPr>
                  <w:r>
                    <w:rPr>
                      <w:color w:val="000000"/>
                      <w:sz w:val="21"/>
                      <w:szCs w:val="21"/>
                    </w:rPr>
                    <w:t>序号</w:t>
                  </w:r>
                </w:p>
              </w:tc>
              <w:tc>
                <w:tcPr>
                  <w:tcW w:w="1222" w:type="pct"/>
                  <w:noWrap w:val="0"/>
                  <w:vAlign w:val="center"/>
                </w:tcPr>
                <w:p w14:paraId="4A5AF2AF">
                  <w:pPr>
                    <w:adjustRightInd w:val="0"/>
                    <w:snapToGrid w:val="0"/>
                    <w:spacing w:line="240" w:lineRule="auto"/>
                    <w:jc w:val="center"/>
                    <w:rPr>
                      <w:color w:val="000000"/>
                      <w:sz w:val="21"/>
                      <w:szCs w:val="21"/>
                    </w:rPr>
                  </w:pPr>
                  <w:r>
                    <w:rPr>
                      <w:color w:val="000000"/>
                      <w:sz w:val="21"/>
                      <w:szCs w:val="21"/>
                    </w:rPr>
                    <w:t>危险物质名称</w:t>
                  </w:r>
                </w:p>
              </w:tc>
              <w:tc>
                <w:tcPr>
                  <w:tcW w:w="960" w:type="pct"/>
                  <w:noWrap w:val="0"/>
                  <w:vAlign w:val="center"/>
                </w:tcPr>
                <w:p w14:paraId="302D2A6E">
                  <w:pPr>
                    <w:adjustRightInd w:val="0"/>
                    <w:snapToGrid w:val="0"/>
                    <w:spacing w:line="240" w:lineRule="auto"/>
                    <w:jc w:val="center"/>
                    <w:rPr>
                      <w:color w:val="000000"/>
                      <w:sz w:val="21"/>
                      <w:szCs w:val="21"/>
                    </w:rPr>
                  </w:pPr>
                  <w:r>
                    <w:rPr>
                      <w:color w:val="000000"/>
                      <w:sz w:val="21"/>
                      <w:szCs w:val="21"/>
                    </w:rPr>
                    <w:t>厂内最大贮存总量</w:t>
                  </w:r>
                </w:p>
              </w:tc>
              <w:tc>
                <w:tcPr>
                  <w:tcW w:w="1753" w:type="pct"/>
                  <w:noWrap w:val="0"/>
                  <w:vAlign w:val="center"/>
                </w:tcPr>
                <w:p w14:paraId="6887739A">
                  <w:pPr>
                    <w:adjustRightInd w:val="0"/>
                    <w:snapToGrid w:val="0"/>
                    <w:spacing w:line="240" w:lineRule="auto"/>
                    <w:jc w:val="center"/>
                    <w:rPr>
                      <w:color w:val="000000"/>
                      <w:sz w:val="21"/>
                      <w:szCs w:val="21"/>
                    </w:rPr>
                  </w:pPr>
                  <w:r>
                    <w:rPr>
                      <w:color w:val="000000"/>
                      <w:sz w:val="21"/>
                      <w:szCs w:val="21"/>
                    </w:rPr>
                    <w:t>临界量</w:t>
                  </w:r>
                </w:p>
              </w:tc>
              <w:tc>
                <w:tcPr>
                  <w:tcW w:w="847" w:type="pct"/>
                  <w:noWrap w:val="0"/>
                  <w:vAlign w:val="center"/>
                </w:tcPr>
                <w:p w14:paraId="567C930D">
                  <w:pPr>
                    <w:adjustRightInd w:val="0"/>
                    <w:snapToGrid w:val="0"/>
                    <w:spacing w:line="240" w:lineRule="auto"/>
                    <w:jc w:val="center"/>
                    <w:rPr>
                      <w:color w:val="000000"/>
                      <w:sz w:val="21"/>
                      <w:szCs w:val="21"/>
                    </w:rPr>
                  </w:pPr>
                  <w:r>
                    <w:rPr>
                      <w:color w:val="000000"/>
                      <w:sz w:val="21"/>
                      <w:szCs w:val="21"/>
                    </w:rPr>
                    <w:t>该种危险物质Q值</w:t>
                  </w:r>
                </w:p>
              </w:tc>
            </w:tr>
            <w:tr w14:paraId="23725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16" w:type="pct"/>
                  <w:noWrap w:val="0"/>
                  <w:vAlign w:val="center"/>
                </w:tcPr>
                <w:p w14:paraId="066A6D71">
                  <w:pPr>
                    <w:adjustRightInd w:val="0"/>
                    <w:snapToGrid w:val="0"/>
                    <w:spacing w:line="240" w:lineRule="auto"/>
                    <w:jc w:val="center"/>
                    <w:rPr>
                      <w:color w:val="000000"/>
                      <w:sz w:val="21"/>
                      <w:szCs w:val="21"/>
                    </w:rPr>
                  </w:pPr>
                  <w:r>
                    <w:rPr>
                      <w:color w:val="000000"/>
                      <w:sz w:val="21"/>
                      <w:szCs w:val="21"/>
                    </w:rPr>
                    <w:t>1</w:t>
                  </w:r>
                </w:p>
              </w:tc>
              <w:tc>
                <w:tcPr>
                  <w:tcW w:w="1222" w:type="pct"/>
                  <w:noWrap w:val="0"/>
                  <w:vAlign w:val="center"/>
                </w:tcPr>
                <w:p w14:paraId="18C88A3C">
                  <w:pPr>
                    <w:adjustRightInd w:val="0"/>
                    <w:snapToGrid w:val="0"/>
                    <w:spacing w:line="240" w:lineRule="auto"/>
                    <w:jc w:val="center"/>
                    <w:rPr>
                      <w:rFonts w:hint="eastAsia"/>
                      <w:color w:val="000000"/>
                      <w:sz w:val="21"/>
                      <w:szCs w:val="21"/>
                    </w:rPr>
                  </w:pPr>
                  <w:r>
                    <w:rPr>
                      <w:rFonts w:hint="eastAsia"/>
                      <w:color w:val="000000"/>
                      <w:sz w:val="21"/>
                      <w:szCs w:val="21"/>
                    </w:rPr>
                    <w:t>润滑油</w:t>
                  </w:r>
                </w:p>
              </w:tc>
              <w:tc>
                <w:tcPr>
                  <w:tcW w:w="960" w:type="pct"/>
                  <w:noWrap w:val="0"/>
                  <w:vAlign w:val="center"/>
                </w:tcPr>
                <w:p w14:paraId="3277855A">
                  <w:pPr>
                    <w:adjustRightInd w:val="0"/>
                    <w:snapToGrid w:val="0"/>
                    <w:spacing w:line="240" w:lineRule="auto"/>
                    <w:jc w:val="center"/>
                    <w:rPr>
                      <w:rFonts w:hint="eastAsia"/>
                      <w:color w:val="000000"/>
                      <w:sz w:val="21"/>
                      <w:szCs w:val="21"/>
                    </w:rPr>
                  </w:pPr>
                  <w:r>
                    <w:rPr>
                      <w:color w:val="000000"/>
                      <w:sz w:val="21"/>
                      <w:szCs w:val="21"/>
                    </w:rPr>
                    <w:t>0.</w:t>
                  </w:r>
                  <w:r>
                    <w:rPr>
                      <w:rFonts w:hint="eastAsia"/>
                      <w:color w:val="000000"/>
                      <w:sz w:val="21"/>
                      <w:szCs w:val="21"/>
                    </w:rPr>
                    <w:t>2</w:t>
                  </w:r>
                </w:p>
              </w:tc>
              <w:tc>
                <w:tcPr>
                  <w:tcW w:w="1753" w:type="pct"/>
                  <w:noWrap w:val="0"/>
                  <w:vAlign w:val="center"/>
                </w:tcPr>
                <w:p w14:paraId="5692C831">
                  <w:pPr>
                    <w:adjustRightInd w:val="0"/>
                    <w:snapToGrid w:val="0"/>
                    <w:spacing w:line="240" w:lineRule="auto"/>
                    <w:jc w:val="center"/>
                    <w:rPr>
                      <w:color w:val="000000"/>
                      <w:sz w:val="21"/>
                      <w:szCs w:val="21"/>
                    </w:rPr>
                  </w:pPr>
                  <w:r>
                    <w:rPr>
                      <w:color w:val="000000"/>
                      <w:sz w:val="21"/>
                      <w:szCs w:val="21"/>
                    </w:rPr>
                    <w:t>2500</w:t>
                  </w:r>
                </w:p>
              </w:tc>
              <w:tc>
                <w:tcPr>
                  <w:tcW w:w="847" w:type="pct"/>
                  <w:noWrap w:val="0"/>
                  <w:vAlign w:val="center"/>
                </w:tcPr>
                <w:p w14:paraId="546D48B0">
                  <w:pPr>
                    <w:adjustRightInd w:val="0"/>
                    <w:snapToGrid w:val="0"/>
                    <w:spacing w:line="240" w:lineRule="auto"/>
                    <w:jc w:val="center"/>
                    <w:rPr>
                      <w:rFonts w:hint="eastAsia"/>
                      <w:color w:val="000000"/>
                      <w:sz w:val="21"/>
                      <w:szCs w:val="21"/>
                    </w:rPr>
                  </w:pPr>
                  <w:r>
                    <w:rPr>
                      <w:color w:val="000000"/>
                      <w:sz w:val="21"/>
                      <w:szCs w:val="21"/>
                    </w:rPr>
                    <w:t>0.0000</w:t>
                  </w:r>
                  <w:r>
                    <w:rPr>
                      <w:rFonts w:hint="eastAsia"/>
                      <w:color w:val="000000"/>
                      <w:sz w:val="21"/>
                      <w:szCs w:val="21"/>
                    </w:rPr>
                    <w:t>8</w:t>
                  </w:r>
                </w:p>
              </w:tc>
            </w:tr>
            <w:tr w14:paraId="1C317C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152" w:type="pct"/>
                  <w:gridSpan w:val="4"/>
                  <w:noWrap w:val="0"/>
                  <w:vAlign w:val="center"/>
                </w:tcPr>
                <w:p w14:paraId="7C28A904">
                  <w:pPr>
                    <w:adjustRightInd w:val="0"/>
                    <w:snapToGrid w:val="0"/>
                    <w:spacing w:line="240" w:lineRule="auto"/>
                    <w:jc w:val="center"/>
                    <w:rPr>
                      <w:color w:val="000000"/>
                      <w:sz w:val="21"/>
                      <w:szCs w:val="21"/>
                    </w:rPr>
                  </w:pPr>
                  <w:r>
                    <w:rPr>
                      <w:color w:val="000000"/>
                      <w:sz w:val="21"/>
                      <w:szCs w:val="21"/>
                    </w:rPr>
                    <w:t>合计</w:t>
                  </w:r>
                </w:p>
              </w:tc>
              <w:tc>
                <w:tcPr>
                  <w:tcW w:w="847" w:type="pct"/>
                  <w:noWrap w:val="0"/>
                  <w:vAlign w:val="center"/>
                </w:tcPr>
                <w:p w14:paraId="454C19EE">
                  <w:pPr>
                    <w:adjustRightInd w:val="0"/>
                    <w:snapToGrid w:val="0"/>
                    <w:spacing w:line="240" w:lineRule="auto"/>
                    <w:jc w:val="center"/>
                    <w:rPr>
                      <w:color w:val="000000"/>
                      <w:sz w:val="21"/>
                      <w:szCs w:val="21"/>
                    </w:rPr>
                  </w:pPr>
                  <w:r>
                    <w:rPr>
                      <w:color w:val="000000"/>
                      <w:sz w:val="21"/>
                      <w:szCs w:val="21"/>
                    </w:rPr>
                    <w:t>0.</w:t>
                  </w:r>
                  <w:r>
                    <w:rPr>
                      <w:rFonts w:hint="eastAsia"/>
                      <w:color w:val="000000"/>
                      <w:sz w:val="21"/>
                      <w:szCs w:val="21"/>
                    </w:rPr>
                    <w:t>00008</w:t>
                  </w:r>
                </w:p>
              </w:tc>
            </w:tr>
          </w:tbl>
          <w:p w14:paraId="51443B04">
            <w:pPr>
              <w:ind w:firstLine="482"/>
              <w:rPr>
                <w:b/>
                <w:bCs/>
                <w:color w:val="000000"/>
              </w:rPr>
            </w:pPr>
            <w:r>
              <w:rPr>
                <w:color w:val="000000"/>
              </w:rPr>
              <w:t>根据《建设项目环境风险评价技术导则》（HJ169-2018）中环境风险评价工作等级划分基本原则。本项目Q＜1环境风险潜势为I级，结合下表可知，本项目的风险评价等级为简单分析</w:t>
            </w:r>
            <w:r>
              <w:rPr>
                <w:b/>
                <w:bCs/>
                <w:color w:val="000000"/>
              </w:rPr>
              <w:t>。</w:t>
            </w:r>
          </w:p>
          <w:p w14:paraId="27EFC663">
            <w:pPr>
              <w:adjustRightInd w:val="0"/>
              <w:snapToGrid w:val="0"/>
              <w:spacing w:line="240" w:lineRule="auto"/>
              <w:ind w:firstLine="422" w:firstLineChars="200"/>
              <w:rPr>
                <w:color w:val="000000"/>
              </w:rPr>
            </w:pPr>
            <w:r>
              <w:rPr>
                <w:b/>
                <w:bCs/>
                <w:color w:val="000000"/>
                <w:sz w:val="21"/>
                <w:szCs w:val="21"/>
              </w:rPr>
              <w:t>表</w:t>
            </w:r>
            <w:r>
              <w:rPr>
                <w:rFonts w:hint="eastAsia"/>
                <w:b/>
                <w:bCs/>
                <w:color w:val="000000"/>
                <w:sz w:val="21"/>
                <w:szCs w:val="21"/>
                <w:lang w:val="en-US" w:eastAsia="zh-CN"/>
              </w:rPr>
              <w:t>4-12</w:t>
            </w:r>
            <w:r>
              <w:rPr>
                <w:rFonts w:hint="eastAsia"/>
                <w:b/>
                <w:bCs/>
                <w:color w:val="000000"/>
                <w:sz w:val="21"/>
                <w:szCs w:val="21"/>
              </w:rPr>
              <w:t xml:space="preserve">                </w:t>
            </w:r>
            <w:r>
              <w:rPr>
                <w:b/>
                <w:bCs/>
                <w:color w:val="000000"/>
                <w:sz w:val="21"/>
                <w:szCs w:val="21"/>
              </w:rPr>
              <w:t>评价工作等级划分</w:t>
            </w:r>
          </w:p>
          <w:tbl>
            <w:tblPr>
              <w:tblStyle w:val="24"/>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123"/>
              <w:gridCol w:w="2030"/>
              <w:gridCol w:w="603"/>
              <w:gridCol w:w="602"/>
              <w:gridCol w:w="2110"/>
            </w:tblGrid>
            <w:tr w14:paraId="21AD8F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123" w:type="dxa"/>
                  <w:noWrap w:val="0"/>
                  <w:vAlign w:val="center"/>
                </w:tcPr>
                <w:p w14:paraId="2525F838">
                  <w:pPr>
                    <w:adjustRightInd w:val="0"/>
                    <w:snapToGrid w:val="0"/>
                    <w:spacing w:line="240" w:lineRule="auto"/>
                    <w:jc w:val="center"/>
                    <w:rPr>
                      <w:color w:val="000000"/>
                      <w:sz w:val="21"/>
                      <w:szCs w:val="21"/>
                    </w:rPr>
                  </w:pPr>
                  <w:r>
                    <w:rPr>
                      <w:color w:val="000000"/>
                      <w:sz w:val="21"/>
                      <w:szCs w:val="21"/>
                    </w:rPr>
                    <w:t>环境风险潜势</w:t>
                  </w:r>
                </w:p>
              </w:tc>
              <w:tc>
                <w:tcPr>
                  <w:tcW w:w="2030" w:type="dxa"/>
                  <w:noWrap w:val="0"/>
                  <w:vAlign w:val="center"/>
                </w:tcPr>
                <w:p w14:paraId="45ADA141">
                  <w:pPr>
                    <w:adjustRightInd w:val="0"/>
                    <w:snapToGrid w:val="0"/>
                    <w:spacing w:line="240" w:lineRule="auto"/>
                    <w:jc w:val="center"/>
                    <w:rPr>
                      <w:color w:val="000000"/>
                      <w:sz w:val="21"/>
                      <w:szCs w:val="21"/>
                    </w:rPr>
                  </w:pPr>
                  <w:r>
                    <w:rPr>
                      <w:color w:val="000000"/>
                      <w:sz w:val="21"/>
                      <w:szCs w:val="21"/>
                    </w:rPr>
                    <w:t>IV，IV+</w:t>
                  </w:r>
                </w:p>
              </w:tc>
              <w:tc>
                <w:tcPr>
                  <w:tcW w:w="603" w:type="dxa"/>
                  <w:noWrap w:val="0"/>
                  <w:vAlign w:val="center"/>
                </w:tcPr>
                <w:p w14:paraId="2008E797">
                  <w:pPr>
                    <w:adjustRightInd w:val="0"/>
                    <w:snapToGrid w:val="0"/>
                    <w:spacing w:line="240" w:lineRule="auto"/>
                    <w:jc w:val="center"/>
                    <w:rPr>
                      <w:color w:val="000000"/>
                      <w:sz w:val="21"/>
                      <w:szCs w:val="21"/>
                    </w:rPr>
                  </w:pPr>
                  <w:r>
                    <w:rPr>
                      <w:color w:val="000000"/>
                      <w:sz w:val="21"/>
                      <w:szCs w:val="21"/>
                    </w:rPr>
                    <w:t>III</w:t>
                  </w:r>
                </w:p>
              </w:tc>
              <w:tc>
                <w:tcPr>
                  <w:tcW w:w="602" w:type="dxa"/>
                  <w:noWrap w:val="0"/>
                  <w:vAlign w:val="center"/>
                </w:tcPr>
                <w:p w14:paraId="425868C5">
                  <w:pPr>
                    <w:adjustRightInd w:val="0"/>
                    <w:snapToGrid w:val="0"/>
                    <w:spacing w:line="240" w:lineRule="auto"/>
                    <w:jc w:val="center"/>
                    <w:rPr>
                      <w:color w:val="000000"/>
                      <w:sz w:val="21"/>
                      <w:szCs w:val="21"/>
                    </w:rPr>
                  </w:pPr>
                  <w:r>
                    <w:rPr>
                      <w:color w:val="000000"/>
                      <w:sz w:val="21"/>
                      <w:szCs w:val="21"/>
                    </w:rPr>
                    <w:t>II</w:t>
                  </w:r>
                </w:p>
              </w:tc>
              <w:tc>
                <w:tcPr>
                  <w:tcW w:w="2109" w:type="dxa"/>
                  <w:noWrap w:val="0"/>
                  <w:vAlign w:val="center"/>
                </w:tcPr>
                <w:p w14:paraId="1C6723ED">
                  <w:pPr>
                    <w:adjustRightInd w:val="0"/>
                    <w:snapToGrid w:val="0"/>
                    <w:spacing w:line="240" w:lineRule="auto"/>
                    <w:jc w:val="center"/>
                    <w:rPr>
                      <w:color w:val="000000"/>
                      <w:sz w:val="21"/>
                      <w:szCs w:val="21"/>
                    </w:rPr>
                  </w:pPr>
                  <w:r>
                    <w:rPr>
                      <w:color w:val="000000"/>
                      <w:sz w:val="21"/>
                      <w:szCs w:val="21"/>
                    </w:rPr>
                    <w:t>I</w:t>
                  </w:r>
                </w:p>
              </w:tc>
            </w:tr>
            <w:tr w14:paraId="15C2B2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123" w:type="dxa"/>
                  <w:noWrap w:val="0"/>
                  <w:vAlign w:val="center"/>
                </w:tcPr>
                <w:p w14:paraId="5619F98F">
                  <w:pPr>
                    <w:adjustRightInd w:val="0"/>
                    <w:snapToGrid w:val="0"/>
                    <w:spacing w:line="240" w:lineRule="auto"/>
                    <w:jc w:val="center"/>
                    <w:rPr>
                      <w:color w:val="000000"/>
                      <w:sz w:val="21"/>
                      <w:szCs w:val="21"/>
                    </w:rPr>
                  </w:pPr>
                  <w:r>
                    <w:rPr>
                      <w:color w:val="000000"/>
                      <w:sz w:val="21"/>
                      <w:szCs w:val="21"/>
                    </w:rPr>
                    <w:t>评价工作等级</w:t>
                  </w:r>
                </w:p>
              </w:tc>
              <w:tc>
                <w:tcPr>
                  <w:tcW w:w="2030" w:type="dxa"/>
                  <w:noWrap w:val="0"/>
                  <w:vAlign w:val="center"/>
                </w:tcPr>
                <w:p w14:paraId="03A029F1">
                  <w:pPr>
                    <w:adjustRightInd w:val="0"/>
                    <w:snapToGrid w:val="0"/>
                    <w:spacing w:line="240" w:lineRule="auto"/>
                    <w:jc w:val="center"/>
                    <w:rPr>
                      <w:color w:val="000000"/>
                      <w:sz w:val="21"/>
                      <w:szCs w:val="21"/>
                    </w:rPr>
                  </w:pPr>
                  <w:r>
                    <w:rPr>
                      <w:color w:val="000000"/>
                      <w:sz w:val="21"/>
                      <w:szCs w:val="21"/>
                    </w:rPr>
                    <w:t>一</w:t>
                  </w:r>
                </w:p>
              </w:tc>
              <w:tc>
                <w:tcPr>
                  <w:tcW w:w="603" w:type="dxa"/>
                  <w:noWrap w:val="0"/>
                  <w:vAlign w:val="center"/>
                </w:tcPr>
                <w:p w14:paraId="05D54B61">
                  <w:pPr>
                    <w:adjustRightInd w:val="0"/>
                    <w:snapToGrid w:val="0"/>
                    <w:spacing w:line="240" w:lineRule="auto"/>
                    <w:jc w:val="center"/>
                    <w:rPr>
                      <w:color w:val="000000"/>
                      <w:sz w:val="21"/>
                      <w:szCs w:val="21"/>
                    </w:rPr>
                  </w:pPr>
                  <w:r>
                    <w:rPr>
                      <w:color w:val="000000"/>
                      <w:sz w:val="21"/>
                      <w:szCs w:val="21"/>
                    </w:rPr>
                    <w:t>二</w:t>
                  </w:r>
                </w:p>
              </w:tc>
              <w:tc>
                <w:tcPr>
                  <w:tcW w:w="602" w:type="dxa"/>
                  <w:noWrap w:val="0"/>
                  <w:vAlign w:val="center"/>
                </w:tcPr>
                <w:p w14:paraId="6136EB8B">
                  <w:pPr>
                    <w:adjustRightInd w:val="0"/>
                    <w:snapToGrid w:val="0"/>
                    <w:spacing w:line="240" w:lineRule="auto"/>
                    <w:jc w:val="center"/>
                    <w:rPr>
                      <w:color w:val="000000"/>
                      <w:sz w:val="21"/>
                      <w:szCs w:val="21"/>
                    </w:rPr>
                  </w:pPr>
                  <w:r>
                    <w:rPr>
                      <w:color w:val="000000"/>
                      <w:sz w:val="21"/>
                      <w:szCs w:val="21"/>
                    </w:rPr>
                    <w:t>三</w:t>
                  </w:r>
                </w:p>
              </w:tc>
              <w:tc>
                <w:tcPr>
                  <w:tcW w:w="2109" w:type="dxa"/>
                  <w:noWrap w:val="0"/>
                  <w:vAlign w:val="center"/>
                </w:tcPr>
                <w:p w14:paraId="12AC5157">
                  <w:pPr>
                    <w:adjustRightInd w:val="0"/>
                    <w:snapToGrid w:val="0"/>
                    <w:spacing w:line="240" w:lineRule="auto"/>
                    <w:jc w:val="center"/>
                    <w:rPr>
                      <w:color w:val="000000"/>
                      <w:sz w:val="21"/>
                      <w:szCs w:val="21"/>
                    </w:rPr>
                  </w:pPr>
                  <w:r>
                    <w:rPr>
                      <w:color w:val="000000"/>
                      <w:sz w:val="21"/>
                      <w:szCs w:val="21"/>
                    </w:rPr>
                    <w:t>简单分析</w:t>
                  </w:r>
                </w:p>
              </w:tc>
            </w:tr>
            <w:tr w14:paraId="0B24DD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8467" w:type="dxa"/>
                  <w:gridSpan w:val="5"/>
                  <w:noWrap w:val="0"/>
                  <w:vAlign w:val="center"/>
                </w:tcPr>
                <w:p w14:paraId="6678EA8A">
                  <w:pPr>
                    <w:adjustRightInd w:val="0"/>
                    <w:snapToGrid w:val="0"/>
                    <w:spacing w:line="240" w:lineRule="auto"/>
                    <w:jc w:val="center"/>
                    <w:rPr>
                      <w:color w:val="000000"/>
                      <w:sz w:val="21"/>
                      <w:szCs w:val="21"/>
                    </w:rPr>
                  </w:pPr>
                  <w:r>
                    <w:rPr>
                      <w:color w:val="000000"/>
                      <w:sz w:val="21"/>
                      <w:szCs w:val="21"/>
                    </w:rPr>
                    <w:t>注：a是相对于详细评价工作内容而言，在描述危险物质、环境影响途径、环境危害后果，风险防范措施等方面给出定性的说明。</w:t>
                  </w:r>
                </w:p>
              </w:tc>
            </w:tr>
          </w:tbl>
          <w:p w14:paraId="289E9C0E">
            <w:pPr>
              <w:ind w:firstLine="482" w:firstLineChars="200"/>
              <w:rPr>
                <w:b/>
                <w:bCs/>
                <w:color w:val="000000"/>
              </w:rPr>
            </w:pPr>
            <w:r>
              <w:rPr>
                <w:rFonts w:hint="eastAsia"/>
                <w:b/>
                <w:bCs/>
                <w:color w:val="000000"/>
              </w:rPr>
              <w:t>7.</w:t>
            </w:r>
            <w:r>
              <w:rPr>
                <w:b/>
                <w:bCs/>
                <w:color w:val="000000"/>
              </w:rPr>
              <w:t>2环境风险分布情况</w:t>
            </w:r>
          </w:p>
          <w:p w14:paraId="68A4A54E">
            <w:pPr>
              <w:pStyle w:val="59"/>
              <w:adjustRightInd w:val="0"/>
              <w:snapToGrid w:val="0"/>
              <w:ind w:firstLine="512" w:firstLineChars="200"/>
              <w:rPr>
                <w:rFonts w:ascii="Times New Roman" w:hAnsi="Times New Roman" w:cs="Times New Roman"/>
                <w:color w:val="000000"/>
                <w:sz w:val="24"/>
                <w:szCs w:val="24"/>
                <w:lang w:eastAsia="zh-CN"/>
              </w:rPr>
            </w:pPr>
            <w:r>
              <w:rPr>
                <w:rFonts w:ascii="Times New Roman" w:hAnsi="Times New Roman" w:cs="Times New Roman"/>
                <w:color w:val="000000"/>
                <w:spacing w:val="8"/>
                <w:sz w:val="24"/>
                <w:szCs w:val="24"/>
                <w:lang w:eastAsia="zh-CN"/>
              </w:rPr>
              <w:t>根据《建设项目环境风险评价技术导则》（</w:t>
            </w:r>
            <w:r>
              <w:rPr>
                <w:rFonts w:ascii="Times New Roman" w:hAnsi="Times New Roman" w:cs="Times New Roman"/>
                <w:color w:val="000000"/>
                <w:sz w:val="24"/>
                <w:szCs w:val="24"/>
                <w:lang w:eastAsia="zh-CN"/>
              </w:rPr>
              <w:t>HJ</w:t>
            </w:r>
            <w:r>
              <w:rPr>
                <w:rFonts w:ascii="Times New Roman" w:hAnsi="Times New Roman" w:cs="Times New Roman"/>
                <w:color w:val="000000"/>
                <w:spacing w:val="8"/>
                <w:sz w:val="24"/>
                <w:szCs w:val="24"/>
                <w:lang w:eastAsia="zh-CN"/>
              </w:rPr>
              <w:t>169-2018）对本项目运营过程中涉及的物质进行风险识别，本项目环境风险识别见下表。</w:t>
            </w:r>
          </w:p>
          <w:p w14:paraId="63D2C625">
            <w:pPr>
              <w:adjustRightInd w:val="0"/>
              <w:snapToGrid w:val="0"/>
              <w:spacing w:line="240" w:lineRule="auto"/>
              <w:ind w:firstLine="422" w:firstLineChars="200"/>
              <w:rPr>
                <w:color w:val="000000"/>
              </w:rPr>
            </w:pPr>
            <w:r>
              <w:rPr>
                <w:b/>
                <w:bCs/>
                <w:color w:val="000000"/>
                <w:sz w:val="21"/>
                <w:szCs w:val="21"/>
              </w:rPr>
              <w:t>表</w:t>
            </w:r>
            <w:r>
              <w:rPr>
                <w:rFonts w:hint="eastAsia"/>
                <w:b/>
                <w:bCs/>
                <w:color w:val="000000"/>
                <w:sz w:val="21"/>
                <w:szCs w:val="21"/>
                <w:lang w:val="en-US" w:eastAsia="zh-CN"/>
              </w:rPr>
              <w:t>4-13</w:t>
            </w:r>
            <w:r>
              <w:rPr>
                <w:rFonts w:hint="eastAsia"/>
                <w:b/>
                <w:bCs/>
                <w:color w:val="000000"/>
                <w:sz w:val="21"/>
                <w:szCs w:val="21"/>
              </w:rPr>
              <w:t xml:space="preserve">          </w:t>
            </w:r>
            <w:r>
              <w:rPr>
                <w:b/>
                <w:bCs/>
                <w:color w:val="000000"/>
                <w:sz w:val="21"/>
                <w:szCs w:val="21"/>
              </w:rPr>
              <w:t>建设项目环境风险识别表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66"/>
              <w:gridCol w:w="1154"/>
              <w:gridCol w:w="861"/>
              <w:gridCol w:w="1703"/>
              <w:gridCol w:w="1698"/>
              <w:gridCol w:w="2486"/>
            </w:tblGrid>
            <w:tr w14:paraId="5FF896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334" w:type="pct"/>
                  <w:noWrap w:val="0"/>
                  <w:vAlign w:val="center"/>
                </w:tcPr>
                <w:p w14:paraId="522647FF">
                  <w:pPr>
                    <w:adjustRightInd w:val="0"/>
                    <w:snapToGrid w:val="0"/>
                    <w:spacing w:line="240" w:lineRule="auto"/>
                    <w:jc w:val="center"/>
                    <w:rPr>
                      <w:color w:val="000000"/>
                      <w:sz w:val="21"/>
                      <w:szCs w:val="21"/>
                    </w:rPr>
                  </w:pPr>
                  <w:r>
                    <w:rPr>
                      <w:color w:val="000000"/>
                      <w:spacing w:val="-4"/>
                      <w:sz w:val="21"/>
                      <w:szCs w:val="21"/>
                    </w:rPr>
                    <w:t>序号</w:t>
                  </w:r>
                </w:p>
              </w:tc>
              <w:tc>
                <w:tcPr>
                  <w:tcW w:w="681" w:type="pct"/>
                  <w:noWrap w:val="0"/>
                  <w:vAlign w:val="center"/>
                </w:tcPr>
                <w:p w14:paraId="3AAD70FC">
                  <w:pPr>
                    <w:adjustRightInd w:val="0"/>
                    <w:snapToGrid w:val="0"/>
                    <w:spacing w:line="240" w:lineRule="auto"/>
                    <w:jc w:val="center"/>
                    <w:rPr>
                      <w:color w:val="000000"/>
                      <w:sz w:val="21"/>
                      <w:szCs w:val="21"/>
                    </w:rPr>
                  </w:pPr>
                  <w:r>
                    <w:rPr>
                      <w:color w:val="000000"/>
                      <w:spacing w:val="-2"/>
                      <w:sz w:val="21"/>
                      <w:szCs w:val="21"/>
                    </w:rPr>
                    <w:t>危险单元</w:t>
                  </w:r>
                </w:p>
              </w:tc>
              <w:tc>
                <w:tcPr>
                  <w:tcW w:w="508" w:type="pct"/>
                  <w:noWrap w:val="0"/>
                  <w:vAlign w:val="center"/>
                </w:tcPr>
                <w:p w14:paraId="650D9B47">
                  <w:pPr>
                    <w:adjustRightInd w:val="0"/>
                    <w:snapToGrid w:val="0"/>
                    <w:spacing w:line="240" w:lineRule="auto"/>
                    <w:jc w:val="center"/>
                    <w:rPr>
                      <w:color w:val="000000"/>
                      <w:sz w:val="21"/>
                      <w:szCs w:val="21"/>
                    </w:rPr>
                  </w:pPr>
                  <w:r>
                    <w:rPr>
                      <w:color w:val="000000"/>
                      <w:spacing w:val="-3"/>
                      <w:sz w:val="21"/>
                      <w:szCs w:val="21"/>
                    </w:rPr>
                    <w:t>风险源</w:t>
                  </w:r>
                </w:p>
              </w:tc>
              <w:tc>
                <w:tcPr>
                  <w:tcW w:w="1005" w:type="pct"/>
                  <w:noWrap w:val="0"/>
                  <w:vAlign w:val="center"/>
                </w:tcPr>
                <w:p w14:paraId="779C9B76">
                  <w:pPr>
                    <w:adjustRightInd w:val="0"/>
                    <w:snapToGrid w:val="0"/>
                    <w:spacing w:line="240" w:lineRule="auto"/>
                    <w:jc w:val="center"/>
                    <w:rPr>
                      <w:color w:val="000000"/>
                      <w:sz w:val="21"/>
                      <w:szCs w:val="21"/>
                    </w:rPr>
                  </w:pPr>
                  <w:r>
                    <w:rPr>
                      <w:color w:val="000000"/>
                      <w:spacing w:val="-3"/>
                      <w:sz w:val="21"/>
                      <w:szCs w:val="21"/>
                    </w:rPr>
                    <w:t>主要危险</w:t>
                  </w:r>
                  <w:r>
                    <w:rPr>
                      <w:color w:val="000000"/>
                      <w:spacing w:val="-4"/>
                      <w:sz w:val="21"/>
                      <w:szCs w:val="21"/>
                    </w:rPr>
                    <w:t>物质</w:t>
                  </w:r>
                </w:p>
              </w:tc>
              <w:tc>
                <w:tcPr>
                  <w:tcW w:w="1002" w:type="pct"/>
                  <w:noWrap w:val="0"/>
                  <w:vAlign w:val="center"/>
                </w:tcPr>
                <w:p w14:paraId="4D8518DF">
                  <w:pPr>
                    <w:adjustRightInd w:val="0"/>
                    <w:snapToGrid w:val="0"/>
                    <w:spacing w:line="240" w:lineRule="auto"/>
                    <w:jc w:val="center"/>
                    <w:rPr>
                      <w:color w:val="000000"/>
                      <w:sz w:val="21"/>
                      <w:szCs w:val="21"/>
                    </w:rPr>
                  </w:pPr>
                  <w:r>
                    <w:rPr>
                      <w:color w:val="000000"/>
                      <w:spacing w:val="-2"/>
                      <w:sz w:val="21"/>
                      <w:szCs w:val="21"/>
                    </w:rPr>
                    <w:t>环境风险</w:t>
                  </w:r>
                  <w:r>
                    <w:rPr>
                      <w:color w:val="000000"/>
                      <w:spacing w:val="-7"/>
                      <w:sz w:val="21"/>
                      <w:szCs w:val="21"/>
                    </w:rPr>
                    <w:t>类型</w:t>
                  </w:r>
                </w:p>
              </w:tc>
              <w:tc>
                <w:tcPr>
                  <w:tcW w:w="1467" w:type="pct"/>
                  <w:noWrap w:val="0"/>
                  <w:vAlign w:val="center"/>
                </w:tcPr>
                <w:p w14:paraId="6C6D12B5">
                  <w:pPr>
                    <w:adjustRightInd w:val="0"/>
                    <w:snapToGrid w:val="0"/>
                    <w:spacing w:line="240" w:lineRule="auto"/>
                    <w:jc w:val="center"/>
                    <w:rPr>
                      <w:color w:val="000000"/>
                      <w:sz w:val="21"/>
                      <w:szCs w:val="21"/>
                    </w:rPr>
                  </w:pPr>
                  <w:r>
                    <w:rPr>
                      <w:color w:val="000000"/>
                      <w:spacing w:val="-2"/>
                      <w:sz w:val="21"/>
                      <w:szCs w:val="21"/>
                    </w:rPr>
                    <w:t>环境影响途径</w:t>
                  </w:r>
                </w:p>
              </w:tc>
            </w:tr>
            <w:tr w14:paraId="4329D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34" w:type="pct"/>
                  <w:noWrap w:val="0"/>
                  <w:vAlign w:val="center"/>
                </w:tcPr>
                <w:p w14:paraId="012048ED">
                  <w:pPr>
                    <w:adjustRightInd w:val="0"/>
                    <w:snapToGrid w:val="0"/>
                    <w:spacing w:line="240" w:lineRule="auto"/>
                    <w:jc w:val="center"/>
                    <w:rPr>
                      <w:rFonts w:hint="eastAsia"/>
                      <w:color w:val="000000"/>
                      <w:sz w:val="21"/>
                      <w:szCs w:val="21"/>
                    </w:rPr>
                  </w:pPr>
                  <w:r>
                    <w:rPr>
                      <w:rFonts w:hint="eastAsia"/>
                      <w:color w:val="000000"/>
                      <w:sz w:val="21"/>
                      <w:szCs w:val="21"/>
                    </w:rPr>
                    <w:t>1</w:t>
                  </w:r>
                </w:p>
              </w:tc>
              <w:tc>
                <w:tcPr>
                  <w:tcW w:w="681" w:type="pct"/>
                  <w:noWrap w:val="0"/>
                  <w:vAlign w:val="center"/>
                </w:tcPr>
                <w:p w14:paraId="0B7B0F9F">
                  <w:pPr>
                    <w:pStyle w:val="59"/>
                    <w:adjustRightInd w:val="0"/>
                    <w:snapToGrid w:val="0"/>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pacing w:val="-3"/>
                      <w:sz w:val="21"/>
                      <w:szCs w:val="21"/>
                      <w:lang w:val="en-US" w:eastAsia="zh-CN"/>
                    </w:rPr>
                    <w:t>危险废物暂存间</w:t>
                  </w:r>
                </w:p>
              </w:tc>
              <w:tc>
                <w:tcPr>
                  <w:tcW w:w="508" w:type="pct"/>
                  <w:noWrap w:val="0"/>
                  <w:vAlign w:val="center"/>
                </w:tcPr>
                <w:p w14:paraId="1ED72573">
                  <w:pPr>
                    <w:pStyle w:val="59"/>
                    <w:adjustRightInd w:val="0"/>
                    <w:snapToGrid w:val="0"/>
                    <w:spacing w:line="240" w:lineRule="auto"/>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pacing w:val="-3"/>
                      <w:sz w:val="21"/>
                      <w:szCs w:val="21"/>
                      <w:lang w:val="en-US" w:eastAsia="zh-CN"/>
                    </w:rPr>
                    <w:t>废</w:t>
                  </w:r>
                  <w:r>
                    <w:rPr>
                      <w:rFonts w:hint="eastAsia" w:ascii="Times New Roman" w:hAnsi="Times New Roman" w:cs="Times New Roman"/>
                      <w:color w:val="000000"/>
                      <w:spacing w:val="-3"/>
                      <w:sz w:val="21"/>
                      <w:szCs w:val="21"/>
                      <w:lang w:eastAsia="zh-CN"/>
                    </w:rPr>
                    <w:t>润滑油</w:t>
                  </w:r>
                </w:p>
              </w:tc>
              <w:tc>
                <w:tcPr>
                  <w:tcW w:w="1005" w:type="pct"/>
                  <w:noWrap w:val="0"/>
                  <w:vAlign w:val="center"/>
                </w:tcPr>
                <w:p w14:paraId="1150EB49">
                  <w:pPr>
                    <w:pStyle w:val="59"/>
                    <w:adjustRightInd w:val="0"/>
                    <w:snapToGrid w:val="0"/>
                    <w:spacing w:line="240" w:lineRule="auto"/>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pacing w:val="-3"/>
                      <w:sz w:val="21"/>
                      <w:szCs w:val="21"/>
                      <w:lang w:val="en-US" w:eastAsia="zh-CN"/>
                    </w:rPr>
                    <w:t>废</w:t>
                  </w:r>
                  <w:r>
                    <w:rPr>
                      <w:rFonts w:hint="eastAsia" w:ascii="Times New Roman" w:hAnsi="Times New Roman" w:cs="Times New Roman"/>
                      <w:color w:val="000000"/>
                      <w:spacing w:val="-3"/>
                      <w:sz w:val="21"/>
                      <w:szCs w:val="21"/>
                      <w:lang w:eastAsia="zh-CN"/>
                    </w:rPr>
                    <w:t>润滑油</w:t>
                  </w:r>
                </w:p>
              </w:tc>
              <w:tc>
                <w:tcPr>
                  <w:tcW w:w="1002" w:type="pct"/>
                  <w:noWrap w:val="0"/>
                  <w:vAlign w:val="center"/>
                </w:tcPr>
                <w:p w14:paraId="2F60C5FF">
                  <w:pPr>
                    <w:pStyle w:val="59"/>
                    <w:adjustRightInd w:val="0"/>
                    <w:snapToGrid w:val="0"/>
                    <w:spacing w:line="240" w:lineRule="auto"/>
                    <w:jc w:val="center"/>
                    <w:rPr>
                      <w:rFonts w:ascii="Times New Roman" w:hAnsi="Times New Roman" w:cs="Times New Roman"/>
                      <w:color w:val="000000"/>
                      <w:sz w:val="21"/>
                      <w:szCs w:val="21"/>
                      <w:lang w:eastAsia="zh-CN"/>
                    </w:rPr>
                  </w:pPr>
                  <w:r>
                    <w:rPr>
                      <w:rFonts w:hint="eastAsia" w:ascii="Times New Roman" w:hAnsi="Times New Roman" w:cs="Times New Roman"/>
                      <w:color w:val="000000"/>
                      <w:spacing w:val="-13"/>
                      <w:sz w:val="21"/>
                      <w:szCs w:val="21"/>
                      <w:lang w:eastAsia="zh-CN"/>
                    </w:rPr>
                    <w:t>泄漏</w:t>
                  </w:r>
                  <w:r>
                    <w:rPr>
                      <w:rFonts w:ascii="Times New Roman" w:hAnsi="Times New Roman" w:cs="Times New Roman"/>
                      <w:color w:val="000000"/>
                      <w:spacing w:val="-13"/>
                      <w:sz w:val="21"/>
                      <w:szCs w:val="21"/>
                      <w:lang w:eastAsia="zh-CN"/>
                    </w:rPr>
                    <w:t>、火灾</w:t>
                  </w:r>
                </w:p>
              </w:tc>
              <w:tc>
                <w:tcPr>
                  <w:tcW w:w="1467" w:type="pct"/>
                  <w:noWrap w:val="0"/>
                  <w:vAlign w:val="center"/>
                </w:tcPr>
                <w:p w14:paraId="29E08A99">
                  <w:pPr>
                    <w:pStyle w:val="59"/>
                    <w:adjustRightInd w:val="0"/>
                    <w:snapToGrid w:val="0"/>
                    <w:spacing w:line="240" w:lineRule="auto"/>
                    <w:jc w:val="center"/>
                    <w:rPr>
                      <w:rFonts w:ascii="Times New Roman" w:hAnsi="Times New Roman" w:cs="Times New Roman"/>
                      <w:color w:val="000000"/>
                      <w:sz w:val="21"/>
                      <w:szCs w:val="21"/>
                      <w:lang w:eastAsia="zh-CN"/>
                    </w:rPr>
                  </w:pPr>
                  <w:r>
                    <w:rPr>
                      <w:rFonts w:ascii="Times New Roman" w:hAnsi="Times New Roman" w:cs="Times New Roman"/>
                      <w:color w:val="000000"/>
                      <w:spacing w:val="-6"/>
                      <w:sz w:val="21"/>
                      <w:szCs w:val="21"/>
                      <w:lang w:eastAsia="zh-CN"/>
                    </w:rPr>
                    <w:t>大气、地表水、</w:t>
                  </w:r>
                  <w:r>
                    <w:rPr>
                      <w:rFonts w:ascii="Times New Roman" w:hAnsi="Times New Roman" w:cs="Times New Roman"/>
                      <w:color w:val="000000"/>
                      <w:spacing w:val="-4"/>
                      <w:sz w:val="21"/>
                      <w:szCs w:val="21"/>
                      <w:lang w:eastAsia="zh-CN"/>
                    </w:rPr>
                    <w:t>土壤</w:t>
                  </w:r>
                </w:p>
              </w:tc>
            </w:tr>
          </w:tbl>
          <w:p w14:paraId="3848272E">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本项目</w:t>
            </w:r>
            <w:r>
              <w:rPr>
                <w:rFonts w:hint="eastAsia" w:ascii="Times New Roman" w:hAnsi="Times New Roman" w:cs="Times New Roman"/>
                <w:color w:val="000000"/>
                <w:sz w:val="24"/>
                <w:szCs w:val="24"/>
                <w:lang w:val="en-US" w:eastAsia="zh-CN"/>
              </w:rPr>
              <w:t>废润滑油位于危险废物暂存间内</w:t>
            </w:r>
            <w:r>
              <w:rPr>
                <w:rFonts w:ascii="Times New Roman" w:hAnsi="Times New Roman" w:cs="Times New Roman"/>
                <w:color w:val="000000"/>
                <w:sz w:val="24"/>
                <w:szCs w:val="24"/>
                <w:lang w:eastAsia="zh-CN"/>
              </w:rPr>
              <w:t>，若发生破损或泄漏，能够及时发现，车间地面已硬化，每桶装量较小，若及时处理，不会进入外界，对环境影响较小；</w:t>
            </w:r>
            <w:r>
              <w:rPr>
                <w:rFonts w:hint="eastAsia" w:ascii="Times New Roman" w:hAnsi="Times New Roman" w:cs="Times New Roman"/>
                <w:color w:val="000000"/>
                <w:sz w:val="24"/>
                <w:szCs w:val="24"/>
                <w:lang w:eastAsia="zh-CN"/>
              </w:rPr>
              <w:t>润滑油</w:t>
            </w:r>
            <w:r>
              <w:rPr>
                <w:rFonts w:ascii="Times New Roman" w:hAnsi="Times New Roman" w:cs="Times New Roman"/>
                <w:color w:val="000000"/>
                <w:sz w:val="24"/>
                <w:szCs w:val="24"/>
                <w:lang w:eastAsia="zh-CN"/>
              </w:rPr>
              <w:t>位于原料仓库内，若发生破损或泄漏，能够及时发现，车间地面已硬化，若及时处理，不会进入外界，对环境影响较小；废</w:t>
            </w:r>
            <w:r>
              <w:rPr>
                <w:rFonts w:hint="eastAsia" w:ascii="Times New Roman" w:hAnsi="Times New Roman" w:cs="Times New Roman"/>
                <w:color w:val="000000"/>
                <w:sz w:val="24"/>
                <w:szCs w:val="24"/>
                <w:lang w:eastAsia="zh-CN"/>
              </w:rPr>
              <w:t>润滑油</w:t>
            </w:r>
            <w:r>
              <w:rPr>
                <w:rFonts w:ascii="Times New Roman" w:hAnsi="Times New Roman" w:cs="Times New Roman"/>
                <w:color w:val="000000"/>
                <w:sz w:val="24"/>
                <w:szCs w:val="24"/>
                <w:lang w:eastAsia="zh-CN"/>
              </w:rPr>
              <w:t>位于危废间内，待危废间按要求完善防渗防漏措施后，发生破损或泄漏，可及时发现处理，不会进入外界，对环境影响较小。</w:t>
            </w:r>
          </w:p>
          <w:p w14:paraId="6A854FD5">
            <w:pPr>
              <w:ind w:firstLine="482" w:firstLineChars="200"/>
              <w:rPr>
                <w:b/>
                <w:bCs/>
                <w:color w:val="000000"/>
              </w:rPr>
            </w:pPr>
            <w:r>
              <w:rPr>
                <w:rFonts w:hint="eastAsia"/>
                <w:b/>
                <w:bCs/>
                <w:color w:val="000000"/>
              </w:rPr>
              <w:t>7.</w:t>
            </w:r>
            <w:r>
              <w:rPr>
                <w:b/>
                <w:bCs/>
                <w:color w:val="000000"/>
              </w:rPr>
              <w:t>3环境风险分析</w:t>
            </w:r>
          </w:p>
          <w:p w14:paraId="31DBF638">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最大可信事故是基于经验统计分析，在一定可能性区间内发生的事故中，造成环境危害最严重的事故。根据本项目物质危险性识别、生产设施危险性识别和重大危险源的识别分析结果，确定本报告可能发生的事故为：</w:t>
            </w:r>
          </w:p>
          <w:p w14:paraId="7AAC5588">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事故一：废</w:t>
            </w:r>
            <w:r>
              <w:rPr>
                <w:rFonts w:hint="eastAsia" w:ascii="Times New Roman" w:hAnsi="Times New Roman" w:cs="Times New Roman"/>
                <w:color w:val="000000"/>
                <w:sz w:val="24"/>
                <w:szCs w:val="24"/>
                <w:lang w:eastAsia="zh-CN"/>
              </w:rPr>
              <w:t>润滑油</w:t>
            </w:r>
            <w:r>
              <w:rPr>
                <w:rFonts w:ascii="Times New Roman" w:hAnsi="Times New Roman" w:cs="Times New Roman"/>
                <w:color w:val="000000"/>
                <w:sz w:val="24"/>
                <w:szCs w:val="24"/>
                <w:lang w:eastAsia="zh-CN"/>
              </w:rPr>
              <w:t>发生泄漏；</w:t>
            </w:r>
          </w:p>
          <w:p w14:paraId="1B32FBEB">
            <w:pPr>
              <w:ind w:firstLine="482" w:firstLineChars="200"/>
              <w:rPr>
                <w:b/>
                <w:bCs/>
                <w:color w:val="000000"/>
              </w:rPr>
            </w:pPr>
            <w:r>
              <w:rPr>
                <w:rFonts w:hint="eastAsia"/>
                <w:b/>
                <w:bCs/>
                <w:color w:val="000000"/>
              </w:rPr>
              <w:t>7</w:t>
            </w:r>
            <w:r>
              <w:rPr>
                <w:b/>
                <w:bCs/>
                <w:color w:val="000000"/>
              </w:rPr>
              <w:t>.4火灾风险管理要求</w:t>
            </w:r>
          </w:p>
          <w:p w14:paraId="23FA3815">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针对本项目特点，提出以下几点环境风险管理要求：</w:t>
            </w:r>
          </w:p>
          <w:p w14:paraId="43DBD455">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①严格按照防火规范进行平面布置。</w:t>
            </w:r>
          </w:p>
          <w:p w14:paraId="7B18BB49">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②定期检查、维护</w:t>
            </w:r>
            <w:r>
              <w:rPr>
                <w:rFonts w:hint="eastAsia" w:ascii="Times New Roman" w:hAnsi="Times New Roman" w:cs="Times New Roman"/>
                <w:color w:val="000000"/>
                <w:sz w:val="24"/>
                <w:szCs w:val="24"/>
                <w:lang w:val="en-US" w:eastAsia="zh-CN"/>
              </w:rPr>
              <w:t>危险废物暂存间</w:t>
            </w:r>
            <w:r>
              <w:rPr>
                <w:rFonts w:ascii="Times New Roman" w:hAnsi="Times New Roman" w:cs="Times New Roman"/>
                <w:color w:val="000000"/>
                <w:sz w:val="24"/>
                <w:szCs w:val="24"/>
                <w:lang w:eastAsia="zh-CN"/>
              </w:rPr>
              <w:t>设施、设备，以确保正常运行。</w:t>
            </w:r>
          </w:p>
          <w:p w14:paraId="430F3A71">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③易燃物质储存区设置明显的禁火标志。</w:t>
            </w:r>
          </w:p>
          <w:p w14:paraId="3BBC0C2E">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④安装火灾设备检测仪表、消防自控设施。</w:t>
            </w:r>
          </w:p>
          <w:p w14:paraId="2BFB1703">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⑤在项目正式投产运行前，制定出供正常、异常或紧急状态下的操作和维修计划，并对操作和维修人员进行岗前培训，避免因严重操作失误而造成人为事故。</w:t>
            </w:r>
          </w:p>
          <w:p w14:paraId="0132065F">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提高职工的安全意识，提高识别异常状态的能力。</w:t>
            </w:r>
          </w:p>
          <w:p w14:paraId="5FCB670F">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⑦采取相应的火灾事故的预防措施。</w:t>
            </w:r>
          </w:p>
          <w:p w14:paraId="429E28F2">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⑧加强员工的事故安全知识教育，要求全体人员了解事故处理的程序，事故处理器材的使用方法，一旦出现事故可以立即停产，控制事故的危害范围和程度。</w:t>
            </w:r>
          </w:p>
          <w:p w14:paraId="36C415D7">
            <w:pPr>
              <w:pStyle w:val="59"/>
              <w:adjustRightInd w:val="0"/>
              <w:snapToGrid w:val="0"/>
              <w:ind w:firstLine="482" w:firstLineChars="200"/>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7</w:t>
            </w:r>
            <w:r>
              <w:rPr>
                <w:rFonts w:ascii="Times New Roman" w:hAnsi="Times New Roman" w:cs="Times New Roman"/>
                <w:b/>
                <w:bCs/>
                <w:color w:val="000000"/>
                <w:sz w:val="24"/>
                <w:szCs w:val="24"/>
                <w:lang w:eastAsia="zh-CN"/>
              </w:rPr>
              <w:t>.5分析结论</w:t>
            </w:r>
          </w:p>
          <w:p w14:paraId="003BD6D5">
            <w:pPr>
              <w:pStyle w:val="59"/>
              <w:adjustRightInd w:val="0"/>
              <w:snapToGrid w:val="0"/>
              <w:ind w:firstLine="480" w:firstLineChars="200"/>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结合项目特点，本项目最大可信事故确定为原料或危废泄漏与明火等点火源引起火灾事故。在采取有效安全措施后，广大社会公众能清楚认识可能发生重大事故的风险性。本项目在生产装置及其公用工程的设计、施工、运行及维护的全过程中将采用先进的生产技术和成熟可靠的抗风险措施。同时企业加强管理，落实预防措施之后，可以杜绝这类事故的发生，因此，项目的安全性将得到有效保证，不会对周围环境敏感目标产生较大影响。</w:t>
            </w:r>
          </w:p>
          <w:p w14:paraId="59FB8CCF">
            <w:pPr>
              <w:rPr>
                <w:bCs/>
                <w:color w:val="000000"/>
                <w:spacing w:val="-10"/>
                <w:sz w:val="21"/>
                <w:szCs w:val="18"/>
              </w:rPr>
            </w:pPr>
          </w:p>
          <w:p w14:paraId="0ED65432">
            <w:pPr>
              <w:pStyle w:val="2"/>
              <w:rPr>
                <w:bCs/>
                <w:color w:val="000000"/>
                <w:spacing w:val="-10"/>
                <w:sz w:val="21"/>
                <w:szCs w:val="18"/>
              </w:rPr>
            </w:pPr>
          </w:p>
          <w:p w14:paraId="393A4D54">
            <w:pPr>
              <w:rPr>
                <w:bCs/>
                <w:color w:val="000000"/>
                <w:spacing w:val="-10"/>
                <w:sz w:val="21"/>
                <w:szCs w:val="18"/>
              </w:rPr>
            </w:pPr>
          </w:p>
          <w:p w14:paraId="1A5503FE">
            <w:pPr>
              <w:pStyle w:val="2"/>
              <w:rPr>
                <w:bCs/>
                <w:color w:val="000000"/>
                <w:spacing w:val="-10"/>
                <w:sz w:val="21"/>
                <w:szCs w:val="18"/>
              </w:rPr>
            </w:pPr>
          </w:p>
          <w:p w14:paraId="57E20CBC">
            <w:pPr>
              <w:rPr>
                <w:bCs/>
                <w:color w:val="000000"/>
                <w:spacing w:val="-10"/>
                <w:sz w:val="21"/>
                <w:szCs w:val="18"/>
              </w:rPr>
            </w:pPr>
          </w:p>
          <w:p w14:paraId="0C949E07">
            <w:pPr>
              <w:pStyle w:val="2"/>
              <w:rPr>
                <w:bCs/>
                <w:color w:val="000000"/>
                <w:spacing w:val="-10"/>
                <w:sz w:val="21"/>
                <w:szCs w:val="18"/>
              </w:rPr>
            </w:pPr>
          </w:p>
          <w:p w14:paraId="14A8EA53">
            <w:pPr>
              <w:rPr>
                <w:bCs/>
                <w:color w:val="000000"/>
                <w:spacing w:val="-10"/>
                <w:sz w:val="21"/>
                <w:szCs w:val="18"/>
              </w:rPr>
            </w:pPr>
          </w:p>
          <w:p w14:paraId="75B7A078">
            <w:pPr>
              <w:pStyle w:val="2"/>
              <w:rPr>
                <w:bCs/>
                <w:color w:val="000000"/>
                <w:spacing w:val="-10"/>
                <w:sz w:val="21"/>
                <w:szCs w:val="18"/>
              </w:rPr>
            </w:pPr>
          </w:p>
          <w:p w14:paraId="51341C21">
            <w:pPr>
              <w:rPr>
                <w:bCs/>
                <w:color w:val="000000"/>
                <w:spacing w:val="-10"/>
                <w:sz w:val="21"/>
                <w:szCs w:val="18"/>
              </w:rPr>
            </w:pPr>
          </w:p>
          <w:p w14:paraId="2C0828B7">
            <w:pPr>
              <w:pStyle w:val="2"/>
              <w:rPr>
                <w:bCs/>
                <w:color w:val="000000"/>
                <w:spacing w:val="-10"/>
                <w:sz w:val="21"/>
                <w:szCs w:val="18"/>
              </w:rPr>
            </w:pPr>
          </w:p>
          <w:p w14:paraId="35744A7E">
            <w:pPr>
              <w:rPr>
                <w:bCs/>
                <w:color w:val="000000"/>
                <w:spacing w:val="-10"/>
                <w:sz w:val="21"/>
                <w:szCs w:val="18"/>
              </w:rPr>
            </w:pPr>
          </w:p>
          <w:p w14:paraId="3A368BE2">
            <w:pPr>
              <w:pStyle w:val="2"/>
              <w:rPr>
                <w:bCs/>
                <w:color w:val="000000"/>
                <w:spacing w:val="-10"/>
                <w:sz w:val="21"/>
                <w:szCs w:val="18"/>
              </w:rPr>
            </w:pPr>
          </w:p>
          <w:p w14:paraId="794626D7">
            <w:pPr>
              <w:rPr>
                <w:bCs/>
                <w:color w:val="000000"/>
                <w:spacing w:val="-10"/>
                <w:sz w:val="21"/>
                <w:szCs w:val="18"/>
              </w:rPr>
            </w:pPr>
          </w:p>
          <w:p w14:paraId="10EBC524">
            <w:pPr>
              <w:pStyle w:val="2"/>
              <w:rPr>
                <w:bCs/>
                <w:color w:val="000000"/>
                <w:spacing w:val="-10"/>
                <w:sz w:val="21"/>
                <w:szCs w:val="18"/>
              </w:rPr>
            </w:pPr>
          </w:p>
          <w:p w14:paraId="035B9D15">
            <w:pPr>
              <w:rPr>
                <w:bCs/>
                <w:color w:val="000000"/>
                <w:spacing w:val="-10"/>
                <w:sz w:val="21"/>
                <w:szCs w:val="18"/>
              </w:rPr>
            </w:pPr>
          </w:p>
          <w:p w14:paraId="1815E7DF">
            <w:pPr>
              <w:pStyle w:val="2"/>
              <w:rPr>
                <w:bCs/>
                <w:color w:val="000000"/>
                <w:spacing w:val="-10"/>
                <w:sz w:val="21"/>
                <w:szCs w:val="18"/>
              </w:rPr>
            </w:pPr>
          </w:p>
          <w:p w14:paraId="600DC933">
            <w:pPr>
              <w:rPr>
                <w:bCs/>
                <w:color w:val="000000"/>
                <w:spacing w:val="-10"/>
                <w:sz w:val="21"/>
                <w:szCs w:val="18"/>
              </w:rPr>
            </w:pPr>
          </w:p>
          <w:p w14:paraId="50695E35">
            <w:pPr>
              <w:pStyle w:val="2"/>
              <w:rPr>
                <w:bCs/>
                <w:color w:val="000000"/>
                <w:spacing w:val="-10"/>
                <w:sz w:val="21"/>
                <w:szCs w:val="18"/>
              </w:rPr>
            </w:pPr>
          </w:p>
          <w:p w14:paraId="4A386E76">
            <w:pPr>
              <w:rPr>
                <w:bCs/>
                <w:color w:val="000000"/>
                <w:spacing w:val="-10"/>
                <w:sz w:val="21"/>
                <w:szCs w:val="18"/>
              </w:rPr>
            </w:pPr>
          </w:p>
          <w:p w14:paraId="0D609E6E">
            <w:pPr>
              <w:pStyle w:val="2"/>
              <w:rPr>
                <w:bCs/>
                <w:color w:val="000000"/>
                <w:spacing w:val="-10"/>
                <w:sz w:val="21"/>
                <w:szCs w:val="18"/>
              </w:rPr>
            </w:pPr>
          </w:p>
          <w:p w14:paraId="741DA55C"/>
          <w:p w14:paraId="29897EC0">
            <w:pPr>
              <w:pStyle w:val="33"/>
              <w:rPr>
                <w:bCs/>
                <w:color w:val="000000"/>
                <w:spacing w:val="-10"/>
                <w:sz w:val="21"/>
                <w:szCs w:val="18"/>
              </w:rPr>
            </w:pPr>
          </w:p>
          <w:p w14:paraId="3B7C98EF">
            <w:pPr>
              <w:rPr>
                <w:bCs/>
                <w:color w:val="000000"/>
                <w:spacing w:val="-10"/>
                <w:sz w:val="21"/>
                <w:szCs w:val="18"/>
              </w:rPr>
            </w:pPr>
          </w:p>
          <w:p w14:paraId="792448ED">
            <w:pPr>
              <w:rPr>
                <w:color w:val="000000"/>
              </w:rPr>
            </w:pPr>
          </w:p>
        </w:tc>
      </w:tr>
    </w:tbl>
    <w:p w14:paraId="384E1CA1">
      <w:pPr>
        <w:adjustRightInd w:val="0"/>
        <w:snapToGrid w:val="0"/>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A6CAEF8">
      <w:pPr>
        <w:pStyle w:val="3"/>
        <w:rPr>
          <w:color w:val="auto"/>
        </w:rPr>
      </w:pPr>
      <w:bookmarkStart w:id="17" w:name="_Toc3326"/>
      <w:r>
        <w:rPr>
          <w:color w:val="auto"/>
        </w:rPr>
        <w:t>五、</w:t>
      </w:r>
      <w:bookmarkStart w:id="18" w:name="_Hlk54167917"/>
      <w:r>
        <w:rPr>
          <w:color w:val="auto"/>
        </w:rPr>
        <w:t>环境保护措施监督检查清单</w:t>
      </w:r>
      <w:bookmarkEnd w:id="17"/>
      <w:bookmarkEnd w:id="18"/>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108" w:type="dxa"/>
          <w:bottom w:w="0" w:type="dxa"/>
          <w:right w:w="108" w:type="dxa"/>
        </w:tblCellMar>
      </w:tblPr>
      <w:tblGrid>
        <w:gridCol w:w="557"/>
        <w:gridCol w:w="835"/>
        <w:gridCol w:w="1125"/>
        <w:gridCol w:w="950"/>
        <w:gridCol w:w="1954"/>
        <w:gridCol w:w="3639"/>
      </w:tblGrid>
      <w:tr w14:paraId="5BF2E33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top"/>
          </w:tcPr>
          <w:p w14:paraId="12DBCA78">
            <w:pPr>
              <w:adjustRightInd w:val="0"/>
              <w:snapToGrid w:val="0"/>
              <w:spacing w:line="240" w:lineRule="auto"/>
              <w:rPr>
                <w:sz w:val="21"/>
                <w:szCs w:val="21"/>
              </w:rPr>
            </w:pPr>
            <w:r>
              <w:rPr>
                <w:sz w:val="21"/>
                <w:szCs w:val="21"/>
              </w:rPr>
              <w:t>内容</w:t>
            </w:r>
          </w:p>
          <w:p w14:paraId="08C0F87B">
            <w:pPr>
              <w:adjustRightInd w:val="0"/>
              <w:snapToGrid w:val="0"/>
              <w:spacing w:line="240" w:lineRule="auto"/>
              <w:rPr>
                <w:sz w:val="21"/>
                <w:szCs w:val="21"/>
              </w:rPr>
            </w:pPr>
            <w:r>
              <w:rPr>
                <w:sz w:val="21"/>
                <w:szCs w:val="21"/>
              </w:rPr>
              <w:t>要素</w:t>
            </w:r>
          </w:p>
        </w:tc>
        <w:tc>
          <w:tcPr>
            <w:tcW w:w="0" w:type="auto"/>
            <w:gridSpan w:val="2"/>
            <w:tcBorders>
              <w:tl2br w:val="nil"/>
              <w:tr2bl w:val="nil"/>
            </w:tcBorders>
            <w:noWrap w:val="0"/>
            <w:vAlign w:val="center"/>
          </w:tcPr>
          <w:p w14:paraId="617CCAA8">
            <w:pPr>
              <w:adjustRightInd w:val="0"/>
              <w:snapToGrid w:val="0"/>
              <w:spacing w:line="240" w:lineRule="auto"/>
              <w:jc w:val="center"/>
              <w:rPr>
                <w:sz w:val="21"/>
                <w:szCs w:val="21"/>
              </w:rPr>
            </w:pPr>
            <w:r>
              <w:rPr>
                <w:sz w:val="21"/>
                <w:szCs w:val="21"/>
              </w:rPr>
              <w:t>排放口(编号、</w:t>
            </w:r>
          </w:p>
          <w:p w14:paraId="0B82C795">
            <w:pPr>
              <w:adjustRightInd w:val="0"/>
              <w:snapToGrid w:val="0"/>
              <w:spacing w:line="240" w:lineRule="auto"/>
              <w:jc w:val="center"/>
              <w:rPr>
                <w:sz w:val="21"/>
                <w:szCs w:val="21"/>
              </w:rPr>
            </w:pPr>
            <w:r>
              <w:rPr>
                <w:sz w:val="21"/>
                <w:szCs w:val="21"/>
              </w:rPr>
              <w:t>名称)/污染源</w:t>
            </w:r>
          </w:p>
        </w:tc>
        <w:tc>
          <w:tcPr>
            <w:tcW w:w="0" w:type="auto"/>
            <w:tcBorders>
              <w:tl2br w:val="nil"/>
              <w:tr2bl w:val="nil"/>
            </w:tcBorders>
            <w:noWrap w:val="0"/>
            <w:vAlign w:val="center"/>
          </w:tcPr>
          <w:p w14:paraId="70983304">
            <w:pPr>
              <w:adjustRightInd w:val="0"/>
              <w:snapToGrid w:val="0"/>
              <w:spacing w:line="240" w:lineRule="auto"/>
              <w:jc w:val="center"/>
              <w:rPr>
                <w:sz w:val="21"/>
                <w:szCs w:val="21"/>
              </w:rPr>
            </w:pPr>
            <w:r>
              <w:rPr>
                <w:sz w:val="21"/>
                <w:szCs w:val="21"/>
              </w:rPr>
              <w:t>污染物项目</w:t>
            </w:r>
          </w:p>
        </w:tc>
        <w:tc>
          <w:tcPr>
            <w:tcW w:w="0" w:type="auto"/>
            <w:tcBorders>
              <w:tl2br w:val="nil"/>
              <w:tr2bl w:val="nil"/>
            </w:tcBorders>
            <w:noWrap w:val="0"/>
            <w:vAlign w:val="center"/>
          </w:tcPr>
          <w:p w14:paraId="2CDF39A9">
            <w:pPr>
              <w:adjustRightInd w:val="0"/>
              <w:snapToGrid w:val="0"/>
              <w:spacing w:line="240" w:lineRule="auto"/>
              <w:jc w:val="center"/>
              <w:rPr>
                <w:sz w:val="21"/>
                <w:szCs w:val="21"/>
              </w:rPr>
            </w:pPr>
            <w:r>
              <w:rPr>
                <w:sz w:val="21"/>
                <w:szCs w:val="21"/>
              </w:rPr>
              <w:t>环境保护措施</w:t>
            </w:r>
          </w:p>
        </w:tc>
        <w:tc>
          <w:tcPr>
            <w:tcW w:w="0" w:type="auto"/>
            <w:tcBorders>
              <w:tl2br w:val="nil"/>
              <w:tr2bl w:val="nil"/>
            </w:tcBorders>
            <w:noWrap w:val="0"/>
            <w:vAlign w:val="center"/>
          </w:tcPr>
          <w:p w14:paraId="51053AED">
            <w:pPr>
              <w:adjustRightInd w:val="0"/>
              <w:snapToGrid w:val="0"/>
              <w:spacing w:line="240" w:lineRule="auto"/>
              <w:jc w:val="center"/>
              <w:rPr>
                <w:sz w:val="21"/>
                <w:szCs w:val="21"/>
              </w:rPr>
            </w:pPr>
            <w:r>
              <w:rPr>
                <w:sz w:val="21"/>
                <w:szCs w:val="21"/>
              </w:rPr>
              <w:t>执行标准</w:t>
            </w:r>
          </w:p>
        </w:tc>
      </w:tr>
      <w:tr w14:paraId="0333937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tcBorders>
              <w:tl2br w:val="nil"/>
              <w:tr2bl w:val="nil"/>
            </w:tcBorders>
            <w:noWrap w:val="0"/>
            <w:vAlign w:val="center"/>
          </w:tcPr>
          <w:p w14:paraId="550AF42E">
            <w:pPr>
              <w:adjustRightInd w:val="0"/>
              <w:snapToGrid w:val="0"/>
              <w:spacing w:line="240" w:lineRule="auto"/>
              <w:jc w:val="center"/>
              <w:rPr>
                <w:sz w:val="21"/>
                <w:szCs w:val="21"/>
              </w:rPr>
            </w:pPr>
            <w:r>
              <w:rPr>
                <w:sz w:val="21"/>
                <w:szCs w:val="21"/>
              </w:rPr>
              <w:t>大气环境</w:t>
            </w:r>
          </w:p>
        </w:tc>
        <w:tc>
          <w:tcPr>
            <w:tcW w:w="0" w:type="auto"/>
            <w:tcBorders>
              <w:tl2br w:val="nil"/>
              <w:tr2bl w:val="nil"/>
            </w:tcBorders>
            <w:noWrap w:val="0"/>
            <w:vAlign w:val="center"/>
          </w:tcPr>
          <w:p w14:paraId="1C5709B4">
            <w:pPr>
              <w:adjustRightInd w:val="0"/>
              <w:snapToGrid w:val="0"/>
              <w:spacing w:line="240" w:lineRule="auto"/>
              <w:jc w:val="center"/>
              <w:rPr>
                <w:sz w:val="21"/>
                <w:szCs w:val="21"/>
              </w:rPr>
            </w:pPr>
            <w:r>
              <w:rPr>
                <w:sz w:val="21"/>
                <w:szCs w:val="21"/>
              </w:rPr>
              <w:t>DA001</w:t>
            </w:r>
          </w:p>
        </w:tc>
        <w:tc>
          <w:tcPr>
            <w:tcW w:w="0" w:type="auto"/>
            <w:tcBorders>
              <w:tl2br w:val="nil"/>
              <w:tr2bl w:val="nil"/>
            </w:tcBorders>
            <w:noWrap w:val="0"/>
            <w:vAlign w:val="center"/>
          </w:tcPr>
          <w:p w14:paraId="5624C01C">
            <w:pPr>
              <w:adjustRightInd w:val="0"/>
              <w:snapToGrid w:val="0"/>
              <w:spacing w:line="240" w:lineRule="auto"/>
              <w:jc w:val="center"/>
              <w:rPr>
                <w:color w:val="000000"/>
                <w:sz w:val="21"/>
                <w:szCs w:val="21"/>
              </w:rPr>
            </w:pPr>
            <w:r>
              <w:rPr>
                <w:rFonts w:hint="eastAsia"/>
                <w:color w:val="000000"/>
                <w:sz w:val="21"/>
                <w:szCs w:val="21"/>
              </w:rPr>
              <w:t>抛丸</w:t>
            </w:r>
          </w:p>
        </w:tc>
        <w:tc>
          <w:tcPr>
            <w:tcW w:w="0" w:type="auto"/>
            <w:tcBorders>
              <w:tl2br w:val="nil"/>
              <w:tr2bl w:val="nil"/>
            </w:tcBorders>
            <w:noWrap w:val="0"/>
            <w:vAlign w:val="center"/>
          </w:tcPr>
          <w:p w14:paraId="020D3F8D">
            <w:pPr>
              <w:adjustRightInd w:val="0"/>
              <w:snapToGrid w:val="0"/>
              <w:spacing w:line="240" w:lineRule="auto"/>
              <w:jc w:val="center"/>
              <w:rPr>
                <w:color w:val="000000"/>
                <w:sz w:val="21"/>
                <w:szCs w:val="21"/>
              </w:rPr>
            </w:pPr>
            <w:r>
              <w:rPr>
                <w:color w:val="000000"/>
                <w:sz w:val="21"/>
                <w:szCs w:val="21"/>
              </w:rPr>
              <w:t>颗粒物</w:t>
            </w:r>
          </w:p>
        </w:tc>
        <w:tc>
          <w:tcPr>
            <w:tcW w:w="0" w:type="auto"/>
            <w:tcBorders>
              <w:tl2br w:val="nil"/>
              <w:tr2bl w:val="nil"/>
            </w:tcBorders>
            <w:noWrap w:val="0"/>
            <w:vAlign w:val="center"/>
          </w:tcPr>
          <w:p w14:paraId="42187047">
            <w:pPr>
              <w:widowControl/>
              <w:adjustRightInd w:val="0"/>
              <w:snapToGrid w:val="0"/>
              <w:spacing w:line="240" w:lineRule="auto"/>
              <w:jc w:val="center"/>
              <w:textAlignment w:val="bottom"/>
              <w:rPr>
                <w:color w:val="000000"/>
                <w:sz w:val="21"/>
                <w:szCs w:val="21"/>
              </w:rPr>
            </w:pPr>
            <w:r>
              <w:rPr>
                <w:rStyle w:val="56"/>
                <w:rFonts w:hint="default" w:ascii="Times New Roman" w:hAnsi="Times New Roman" w:cs="Times New Roman"/>
                <w:lang w:bidi="ar"/>
              </w:rPr>
              <w:t>密闭厂房+布袋除尘器</w:t>
            </w:r>
          </w:p>
        </w:tc>
        <w:tc>
          <w:tcPr>
            <w:tcW w:w="0" w:type="auto"/>
            <w:tcBorders>
              <w:tl2br w:val="nil"/>
              <w:tr2bl w:val="nil"/>
            </w:tcBorders>
            <w:noWrap w:val="0"/>
            <w:vAlign w:val="center"/>
          </w:tcPr>
          <w:p w14:paraId="386AC196">
            <w:pPr>
              <w:adjustRightInd w:val="0"/>
              <w:snapToGrid w:val="0"/>
              <w:spacing w:line="240" w:lineRule="auto"/>
              <w:jc w:val="center"/>
              <w:rPr>
                <w:color w:val="000000"/>
                <w:sz w:val="21"/>
                <w:szCs w:val="21"/>
              </w:rPr>
            </w:pPr>
            <w:r>
              <w:rPr>
                <w:color w:val="000000"/>
                <w:sz w:val="21"/>
                <w:szCs w:val="21"/>
              </w:rPr>
              <w:t>《大气污染物综合排放标准》（GB16297-1996）表2中新污染源大气污染物排放限值</w:t>
            </w:r>
          </w:p>
        </w:tc>
      </w:tr>
      <w:tr w14:paraId="30985E3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tl2br w:val="nil"/>
              <w:tr2bl w:val="nil"/>
            </w:tcBorders>
            <w:noWrap w:val="0"/>
            <w:vAlign w:val="center"/>
          </w:tcPr>
          <w:p w14:paraId="364C8AE4">
            <w:pPr>
              <w:adjustRightInd w:val="0"/>
              <w:snapToGrid w:val="0"/>
              <w:spacing w:line="240" w:lineRule="auto"/>
              <w:jc w:val="center"/>
              <w:rPr>
                <w:sz w:val="21"/>
                <w:szCs w:val="21"/>
              </w:rPr>
            </w:pPr>
          </w:p>
        </w:tc>
        <w:tc>
          <w:tcPr>
            <w:tcW w:w="0" w:type="auto"/>
            <w:tcBorders>
              <w:tl2br w:val="nil"/>
              <w:tr2bl w:val="nil"/>
            </w:tcBorders>
            <w:noWrap w:val="0"/>
            <w:vAlign w:val="center"/>
          </w:tcPr>
          <w:p w14:paraId="7F800BA3">
            <w:pPr>
              <w:adjustRightInd w:val="0"/>
              <w:snapToGrid w:val="0"/>
              <w:spacing w:line="240" w:lineRule="auto"/>
              <w:jc w:val="center"/>
              <w:rPr>
                <w:sz w:val="21"/>
                <w:szCs w:val="21"/>
              </w:rPr>
            </w:pPr>
            <w:r>
              <w:rPr>
                <w:sz w:val="21"/>
                <w:szCs w:val="21"/>
              </w:rPr>
              <w:t>DA002</w:t>
            </w:r>
          </w:p>
        </w:tc>
        <w:tc>
          <w:tcPr>
            <w:tcW w:w="0" w:type="auto"/>
            <w:tcBorders>
              <w:tl2br w:val="nil"/>
              <w:tr2bl w:val="nil"/>
            </w:tcBorders>
            <w:noWrap w:val="0"/>
            <w:vAlign w:val="center"/>
          </w:tcPr>
          <w:p w14:paraId="0225E689">
            <w:pPr>
              <w:adjustRightInd w:val="0"/>
              <w:snapToGrid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环氧粉末喷涂废气、</w:t>
            </w:r>
            <w:r>
              <w:rPr>
                <w:rFonts w:hint="eastAsia"/>
                <w:bCs/>
                <w:snapToGrid w:val="0"/>
                <w:color w:val="000000"/>
                <w:kern w:val="0"/>
                <w:sz w:val="21"/>
                <w:szCs w:val="21"/>
                <w:lang w:val="en-US" w:eastAsia="zh-CN"/>
              </w:rPr>
              <w:t>底胶</w:t>
            </w:r>
            <w:r>
              <w:rPr>
                <w:rFonts w:hint="eastAsia"/>
                <w:bCs/>
                <w:snapToGrid w:val="0"/>
                <w:color w:val="000000"/>
                <w:kern w:val="0"/>
                <w:sz w:val="21"/>
                <w:szCs w:val="21"/>
              </w:rPr>
              <w:t>和PE防腐层缠绕</w:t>
            </w:r>
            <w:r>
              <w:rPr>
                <w:rFonts w:hint="eastAsia"/>
                <w:bCs/>
                <w:snapToGrid w:val="0"/>
                <w:color w:val="000000"/>
                <w:kern w:val="0"/>
                <w:sz w:val="21"/>
                <w:szCs w:val="21"/>
                <w:lang w:val="en-US" w:eastAsia="zh-CN"/>
              </w:rPr>
              <w:t>废气</w:t>
            </w:r>
          </w:p>
        </w:tc>
        <w:tc>
          <w:tcPr>
            <w:tcW w:w="0" w:type="auto"/>
            <w:tcBorders>
              <w:tl2br w:val="nil"/>
              <w:tr2bl w:val="nil"/>
            </w:tcBorders>
            <w:noWrap w:val="0"/>
            <w:vAlign w:val="center"/>
          </w:tcPr>
          <w:p w14:paraId="66631D39">
            <w:pPr>
              <w:adjustRightInd w:val="0"/>
              <w:snapToGrid w:val="0"/>
              <w:spacing w:line="240" w:lineRule="auto"/>
              <w:jc w:val="center"/>
              <w:rPr>
                <w:rFonts w:hint="default" w:eastAsia="宋体"/>
                <w:color w:val="000000"/>
                <w:sz w:val="21"/>
                <w:szCs w:val="21"/>
                <w:lang w:val="en-US" w:eastAsia="zh-CN"/>
              </w:rPr>
            </w:pPr>
            <w:r>
              <w:rPr>
                <w:color w:val="000000"/>
                <w:sz w:val="21"/>
                <w:szCs w:val="21"/>
              </w:rPr>
              <w:t>颗粒物</w:t>
            </w:r>
            <w:r>
              <w:rPr>
                <w:rFonts w:hint="eastAsia"/>
                <w:color w:val="000000"/>
                <w:sz w:val="21"/>
                <w:szCs w:val="21"/>
              </w:rPr>
              <w:t>、非甲烷总烃</w:t>
            </w:r>
            <w:r>
              <w:rPr>
                <w:rFonts w:hint="eastAsia"/>
                <w:color w:val="000000"/>
                <w:sz w:val="21"/>
                <w:szCs w:val="21"/>
                <w:lang w:eastAsia="zh-CN"/>
              </w:rPr>
              <w:t>、</w:t>
            </w:r>
            <w:r>
              <w:rPr>
                <w:rFonts w:hint="eastAsia"/>
                <w:color w:val="000000"/>
                <w:sz w:val="21"/>
                <w:szCs w:val="21"/>
                <w:lang w:val="en-US" w:eastAsia="zh-CN"/>
              </w:rPr>
              <w:t>臭气浓度</w:t>
            </w:r>
          </w:p>
        </w:tc>
        <w:tc>
          <w:tcPr>
            <w:tcW w:w="0" w:type="auto"/>
            <w:tcBorders>
              <w:tl2br w:val="nil"/>
              <w:tr2bl w:val="nil"/>
            </w:tcBorders>
            <w:noWrap w:val="0"/>
            <w:vAlign w:val="center"/>
          </w:tcPr>
          <w:p w14:paraId="298BA8A0">
            <w:pPr>
              <w:widowControl/>
              <w:adjustRightInd w:val="0"/>
              <w:snapToGrid w:val="0"/>
              <w:spacing w:line="240" w:lineRule="auto"/>
              <w:jc w:val="center"/>
              <w:textAlignment w:val="bottom"/>
              <w:rPr>
                <w:rFonts w:hint="default" w:eastAsia="宋体"/>
                <w:color w:val="000000"/>
                <w:sz w:val="21"/>
                <w:szCs w:val="21"/>
                <w:lang w:val="en-US" w:eastAsia="zh-CN"/>
              </w:rPr>
            </w:pPr>
            <w:r>
              <w:rPr>
                <w:rFonts w:hint="eastAsia"/>
                <w:color w:val="000000"/>
                <w:sz w:val="21"/>
                <w:szCs w:val="21"/>
                <w:lang w:val="en-US" w:eastAsia="zh-CN"/>
              </w:rPr>
              <w:t>环氧粉末喷涂废气经</w:t>
            </w:r>
            <w:r>
              <w:rPr>
                <w:rStyle w:val="56"/>
                <w:rFonts w:hint="default" w:ascii="Times New Roman" w:hAnsi="Times New Roman" w:cs="Times New Roman"/>
                <w:lang w:bidi="ar"/>
              </w:rPr>
              <w:t>密闭厂房</w:t>
            </w:r>
            <w:r>
              <w:rPr>
                <w:rStyle w:val="56"/>
                <w:rFonts w:cs="Times New Roman"/>
                <w:lang w:bidi="ar"/>
              </w:rPr>
              <w:t>+</w:t>
            </w:r>
            <w:r>
              <w:rPr>
                <w:rStyle w:val="56"/>
                <w:rFonts w:hint="eastAsia" w:ascii="Times New Roman" w:hAnsi="Times New Roman" w:eastAsia="宋体" w:cs="Times New Roman"/>
                <w:lang w:val="en-US" w:eastAsia="zh-CN" w:bidi="ar"/>
              </w:rPr>
              <w:t>旋风除尘器+滤芯除尘器</w:t>
            </w:r>
            <w:r>
              <w:rPr>
                <w:rStyle w:val="56"/>
                <w:rFonts w:hint="eastAsia" w:cs="Times New Roman"/>
                <w:lang w:val="en-US" w:eastAsia="zh-CN" w:bidi="ar"/>
              </w:rPr>
              <w:t>；</w:t>
            </w:r>
            <w:r>
              <w:rPr>
                <w:rFonts w:hint="eastAsia"/>
                <w:bCs/>
                <w:snapToGrid w:val="0"/>
                <w:color w:val="000000"/>
                <w:kern w:val="0"/>
                <w:sz w:val="21"/>
                <w:szCs w:val="21"/>
                <w:lang w:val="en-US" w:eastAsia="zh-CN"/>
              </w:rPr>
              <w:t>底胶</w:t>
            </w:r>
            <w:r>
              <w:rPr>
                <w:rFonts w:hint="eastAsia"/>
                <w:bCs/>
                <w:snapToGrid w:val="0"/>
                <w:color w:val="000000"/>
                <w:kern w:val="0"/>
                <w:sz w:val="21"/>
                <w:szCs w:val="21"/>
              </w:rPr>
              <w:t>和PE防腐层缠绕</w:t>
            </w:r>
            <w:r>
              <w:rPr>
                <w:rFonts w:hint="eastAsia"/>
                <w:bCs/>
                <w:snapToGrid w:val="0"/>
                <w:color w:val="000000"/>
                <w:kern w:val="0"/>
                <w:sz w:val="21"/>
                <w:szCs w:val="21"/>
                <w:lang w:val="en-US" w:eastAsia="zh-CN"/>
              </w:rPr>
              <w:t>废气</w:t>
            </w:r>
            <w:r>
              <w:rPr>
                <w:rStyle w:val="56"/>
                <w:rFonts w:hint="default" w:ascii="Times New Roman" w:hAnsi="Times New Roman" w:cs="Times New Roman"/>
                <w:lang w:bidi="ar"/>
              </w:rPr>
              <w:t>集气罩+</w:t>
            </w:r>
            <w:r>
              <w:rPr>
                <w:rStyle w:val="56"/>
                <w:rFonts w:hint="eastAsia" w:ascii="Times New Roman" w:hAnsi="Times New Roman" w:eastAsia="宋体" w:cs="Times New Roman"/>
                <w:lang w:val="en-US" w:eastAsia="zh-CN" w:bidi="ar"/>
              </w:rPr>
              <w:t>软帘</w:t>
            </w:r>
            <w:r>
              <w:rPr>
                <w:rStyle w:val="56"/>
                <w:rFonts w:hint="eastAsia" w:cs="Times New Roman"/>
                <w:lang w:val="en-US" w:eastAsia="zh-CN" w:bidi="ar"/>
              </w:rPr>
              <w:t>收集后进入</w:t>
            </w:r>
            <w:r>
              <w:rPr>
                <w:rStyle w:val="56"/>
                <w:rFonts w:hint="eastAsia" w:ascii="Times New Roman" w:hAnsi="Times New Roman" w:eastAsia="宋体" w:cs="Times New Roman"/>
                <w:lang w:val="en-US" w:eastAsia="zh-CN" w:bidi="ar"/>
              </w:rPr>
              <w:t>二级活性炭</w:t>
            </w:r>
          </w:p>
        </w:tc>
        <w:tc>
          <w:tcPr>
            <w:tcW w:w="0" w:type="auto"/>
            <w:tcBorders>
              <w:tl2br w:val="nil"/>
              <w:tr2bl w:val="nil"/>
            </w:tcBorders>
            <w:noWrap w:val="0"/>
            <w:vAlign w:val="center"/>
          </w:tcPr>
          <w:p w14:paraId="6F80C5CD">
            <w:pPr>
              <w:pStyle w:val="2"/>
              <w:adjustRightInd w:val="0"/>
              <w:snapToGrid w:val="0"/>
              <w:spacing w:line="240" w:lineRule="auto"/>
              <w:ind w:firstLine="0" w:firstLineChars="0"/>
              <w:jc w:val="center"/>
              <w:rPr>
                <w:rFonts w:hint="eastAsia" w:eastAsia="宋体"/>
                <w:color w:val="000000"/>
                <w:sz w:val="21"/>
                <w:szCs w:val="21"/>
                <w:lang w:eastAsia="zh-CN"/>
              </w:rPr>
            </w:pPr>
            <w:r>
              <w:rPr>
                <w:rFonts w:hint="eastAsia"/>
                <w:color w:val="000000"/>
                <w:sz w:val="21"/>
                <w:szCs w:val="21"/>
                <w:lang w:eastAsia="zh-CN"/>
              </w:rPr>
              <w:t>《合成树脂工业污染物排放标准》（GB31572-2015，含2024年修改单）</w:t>
            </w:r>
            <w:r>
              <w:rPr>
                <w:color w:val="000000"/>
                <w:sz w:val="21"/>
                <w:szCs w:val="21"/>
              </w:rPr>
              <w:t>中表4大气污染物排放限值要求</w:t>
            </w:r>
            <w:r>
              <w:rPr>
                <w:rFonts w:hint="eastAsia"/>
                <w:color w:val="000000"/>
                <w:sz w:val="21"/>
                <w:szCs w:val="21"/>
                <w:lang w:eastAsia="zh-CN"/>
              </w:rPr>
              <w:t>；</w:t>
            </w:r>
            <w:r>
              <w:rPr>
                <w:rFonts w:hint="eastAsia"/>
                <w:color w:val="000000"/>
                <w:sz w:val="21"/>
                <w:szCs w:val="21"/>
                <w:lang w:val="en-US" w:eastAsia="zh-CN"/>
              </w:rPr>
              <w:t>《恶臭污染物排放标准》（GB14554-93）中二级标准</w:t>
            </w:r>
          </w:p>
        </w:tc>
      </w:tr>
      <w:tr w14:paraId="071D4A5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tl2br w:val="nil"/>
              <w:tr2bl w:val="nil"/>
            </w:tcBorders>
            <w:noWrap w:val="0"/>
            <w:vAlign w:val="center"/>
          </w:tcPr>
          <w:p w14:paraId="48391E69">
            <w:pPr>
              <w:adjustRightInd w:val="0"/>
              <w:snapToGrid w:val="0"/>
              <w:spacing w:line="240" w:lineRule="auto"/>
              <w:jc w:val="center"/>
              <w:rPr>
                <w:sz w:val="21"/>
                <w:szCs w:val="21"/>
              </w:rPr>
            </w:pPr>
          </w:p>
        </w:tc>
        <w:tc>
          <w:tcPr>
            <w:tcW w:w="0" w:type="auto"/>
            <w:gridSpan w:val="2"/>
            <w:tcBorders>
              <w:tl2br w:val="nil"/>
              <w:tr2bl w:val="nil"/>
            </w:tcBorders>
            <w:noWrap w:val="0"/>
            <w:vAlign w:val="center"/>
          </w:tcPr>
          <w:p w14:paraId="3AD7B360">
            <w:pPr>
              <w:adjustRightInd w:val="0"/>
              <w:snapToGrid w:val="0"/>
              <w:spacing w:line="240" w:lineRule="auto"/>
              <w:jc w:val="center"/>
              <w:rPr>
                <w:sz w:val="21"/>
                <w:szCs w:val="21"/>
              </w:rPr>
            </w:pPr>
            <w:r>
              <w:rPr>
                <w:rFonts w:hint="eastAsia"/>
                <w:sz w:val="21"/>
                <w:szCs w:val="21"/>
              </w:rPr>
              <w:t>厂界内</w:t>
            </w:r>
          </w:p>
        </w:tc>
        <w:tc>
          <w:tcPr>
            <w:tcW w:w="0" w:type="auto"/>
            <w:tcBorders>
              <w:tl2br w:val="nil"/>
              <w:tr2bl w:val="nil"/>
            </w:tcBorders>
            <w:noWrap w:val="0"/>
            <w:vAlign w:val="center"/>
          </w:tcPr>
          <w:p w14:paraId="1EB37270">
            <w:pPr>
              <w:adjustRightInd w:val="0"/>
              <w:snapToGrid w:val="0"/>
              <w:spacing w:line="240" w:lineRule="auto"/>
              <w:jc w:val="center"/>
              <w:rPr>
                <w:sz w:val="21"/>
                <w:szCs w:val="21"/>
              </w:rPr>
            </w:pPr>
            <w:r>
              <w:rPr>
                <w:sz w:val="21"/>
                <w:szCs w:val="21"/>
              </w:rPr>
              <w:t>非甲烷总烃</w:t>
            </w:r>
          </w:p>
        </w:tc>
        <w:tc>
          <w:tcPr>
            <w:tcW w:w="0" w:type="auto"/>
            <w:tcBorders>
              <w:tl2br w:val="nil"/>
              <w:tr2bl w:val="nil"/>
            </w:tcBorders>
            <w:noWrap w:val="0"/>
            <w:vAlign w:val="center"/>
          </w:tcPr>
          <w:p w14:paraId="321C024A">
            <w:pPr>
              <w:adjustRightInd w:val="0"/>
              <w:snapToGrid w:val="0"/>
              <w:spacing w:line="240" w:lineRule="auto"/>
              <w:jc w:val="center"/>
              <w:rPr>
                <w:sz w:val="21"/>
                <w:szCs w:val="21"/>
              </w:rPr>
            </w:pPr>
            <w:r>
              <w:rPr>
                <w:rFonts w:hint="eastAsia"/>
                <w:sz w:val="21"/>
                <w:szCs w:val="21"/>
              </w:rPr>
              <w:t>密闭厂房</w:t>
            </w:r>
          </w:p>
        </w:tc>
        <w:tc>
          <w:tcPr>
            <w:tcW w:w="0" w:type="auto"/>
            <w:tcBorders>
              <w:tl2br w:val="nil"/>
              <w:tr2bl w:val="nil"/>
            </w:tcBorders>
            <w:noWrap w:val="0"/>
            <w:vAlign w:val="center"/>
          </w:tcPr>
          <w:p w14:paraId="1948C96F">
            <w:pPr>
              <w:adjustRightInd w:val="0"/>
              <w:snapToGrid w:val="0"/>
              <w:spacing w:line="240" w:lineRule="auto"/>
              <w:jc w:val="center"/>
              <w:rPr>
                <w:sz w:val="21"/>
                <w:szCs w:val="21"/>
              </w:rPr>
            </w:pPr>
            <w:r>
              <w:rPr>
                <w:sz w:val="21"/>
                <w:szCs w:val="21"/>
              </w:rPr>
              <w:t>《挥发性有机物无组织排放控制标准》（GB37822-2019）限值要求</w:t>
            </w:r>
          </w:p>
        </w:tc>
      </w:tr>
      <w:tr w14:paraId="4798185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tl2br w:val="nil"/>
              <w:tr2bl w:val="nil"/>
            </w:tcBorders>
            <w:noWrap w:val="0"/>
            <w:vAlign w:val="center"/>
          </w:tcPr>
          <w:p w14:paraId="52A2328B">
            <w:pPr>
              <w:adjustRightInd w:val="0"/>
              <w:snapToGrid w:val="0"/>
              <w:spacing w:line="240" w:lineRule="auto"/>
              <w:jc w:val="center"/>
              <w:rPr>
                <w:sz w:val="21"/>
                <w:szCs w:val="21"/>
              </w:rPr>
            </w:pPr>
          </w:p>
        </w:tc>
        <w:tc>
          <w:tcPr>
            <w:tcW w:w="0" w:type="auto"/>
            <w:gridSpan w:val="2"/>
            <w:tcBorders>
              <w:tl2br w:val="nil"/>
              <w:tr2bl w:val="nil"/>
            </w:tcBorders>
            <w:noWrap w:val="0"/>
            <w:vAlign w:val="center"/>
          </w:tcPr>
          <w:p w14:paraId="732DD24D">
            <w:pPr>
              <w:adjustRightInd w:val="0"/>
              <w:snapToGrid w:val="0"/>
              <w:spacing w:line="240" w:lineRule="auto"/>
              <w:jc w:val="center"/>
              <w:rPr>
                <w:sz w:val="21"/>
                <w:szCs w:val="21"/>
              </w:rPr>
            </w:pPr>
            <w:r>
              <w:rPr>
                <w:sz w:val="21"/>
                <w:szCs w:val="21"/>
              </w:rPr>
              <w:t>厂界</w:t>
            </w:r>
            <w:r>
              <w:rPr>
                <w:rFonts w:hint="eastAsia"/>
                <w:sz w:val="21"/>
                <w:szCs w:val="21"/>
              </w:rPr>
              <w:t>外</w:t>
            </w:r>
          </w:p>
        </w:tc>
        <w:tc>
          <w:tcPr>
            <w:tcW w:w="0" w:type="auto"/>
            <w:tcBorders>
              <w:tl2br w:val="nil"/>
              <w:tr2bl w:val="nil"/>
            </w:tcBorders>
            <w:noWrap w:val="0"/>
            <w:vAlign w:val="center"/>
          </w:tcPr>
          <w:p w14:paraId="65FFFEF1">
            <w:pPr>
              <w:adjustRightInd w:val="0"/>
              <w:snapToGrid w:val="0"/>
              <w:spacing w:line="240" w:lineRule="auto"/>
              <w:jc w:val="center"/>
              <w:rPr>
                <w:rFonts w:hint="default" w:eastAsia="宋体"/>
                <w:sz w:val="21"/>
                <w:szCs w:val="21"/>
                <w:lang w:val="en-US" w:eastAsia="zh-CN"/>
              </w:rPr>
            </w:pPr>
            <w:r>
              <w:rPr>
                <w:color w:val="000000"/>
                <w:sz w:val="21"/>
                <w:szCs w:val="21"/>
              </w:rPr>
              <w:t>非甲烷总烃、颗粒物</w:t>
            </w:r>
            <w:r>
              <w:rPr>
                <w:rFonts w:hint="eastAsia"/>
                <w:color w:val="000000"/>
                <w:sz w:val="21"/>
                <w:szCs w:val="21"/>
                <w:lang w:eastAsia="zh-CN"/>
              </w:rPr>
              <w:t>、</w:t>
            </w:r>
            <w:r>
              <w:rPr>
                <w:rFonts w:hint="eastAsia"/>
                <w:color w:val="000000"/>
                <w:sz w:val="21"/>
                <w:szCs w:val="21"/>
                <w:lang w:val="en-US" w:eastAsia="zh-CN"/>
              </w:rPr>
              <w:t>臭气浓度</w:t>
            </w:r>
          </w:p>
        </w:tc>
        <w:tc>
          <w:tcPr>
            <w:tcW w:w="0" w:type="auto"/>
            <w:tcBorders>
              <w:tl2br w:val="nil"/>
              <w:tr2bl w:val="nil"/>
            </w:tcBorders>
            <w:noWrap w:val="0"/>
            <w:vAlign w:val="center"/>
          </w:tcPr>
          <w:p w14:paraId="774B2663">
            <w:pPr>
              <w:adjustRightInd w:val="0"/>
              <w:snapToGrid w:val="0"/>
              <w:spacing w:line="240" w:lineRule="auto"/>
              <w:jc w:val="center"/>
              <w:rPr>
                <w:sz w:val="21"/>
                <w:szCs w:val="21"/>
              </w:rPr>
            </w:pPr>
            <w:r>
              <w:rPr>
                <w:sz w:val="21"/>
                <w:szCs w:val="21"/>
              </w:rPr>
              <w:t>密闭厂房</w:t>
            </w:r>
          </w:p>
        </w:tc>
        <w:tc>
          <w:tcPr>
            <w:tcW w:w="0" w:type="auto"/>
            <w:tcBorders>
              <w:tl2br w:val="nil"/>
              <w:tr2bl w:val="nil"/>
            </w:tcBorders>
            <w:noWrap w:val="0"/>
            <w:vAlign w:val="center"/>
          </w:tcPr>
          <w:p w14:paraId="6F28F8DA">
            <w:pPr>
              <w:adjustRightInd w:val="0"/>
              <w:snapToGrid w:val="0"/>
              <w:spacing w:line="240" w:lineRule="auto"/>
              <w:jc w:val="center"/>
              <w:rPr>
                <w:sz w:val="21"/>
                <w:szCs w:val="21"/>
              </w:rPr>
            </w:pPr>
            <w:r>
              <w:rPr>
                <w:rFonts w:hint="eastAsia"/>
                <w:color w:val="000000"/>
                <w:sz w:val="21"/>
                <w:szCs w:val="21"/>
                <w:lang w:eastAsia="zh-CN"/>
              </w:rPr>
              <w:t>《合成树脂工业污染物排放标准》（GB31572-2015，含2024年修改单）</w:t>
            </w:r>
            <w:r>
              <w:rPr>
                <w:color w:val="000000"/>
                <w:sz w:val="21"/>
                <w:szCs w:val="21"/>
              </w:rPr>
              <w:t>中表9中企业边界大气污染物浓度限值</w:t>
            </w:r>
            <w:r>
              <w:rPr>
                <w:rFonts w:hint="eastAsia"/>
                <w:color w:val="000000"/>
                <w:sz w:val="21"/>
                <w:szCs w:val="21"/>
                <w:lang w:eastAsia="zh-CN"/>
              </w:rPr>
              <w:t>；</w:t>
            </w:r>
            <w:r>
              <w:rPr>
                <w:rFonts w:hint="eastAsia"/>
                <w:color w:val="000000"/>
                <w:sz w:val="21"/>
                <w:szCs w:val="21"/>
                <w:lang w:val="en-US" w:eastAsia="zh-CN"/>
              </w:rPr>
              <w:t>《恶臭污染物排放标准》（GB14554-93）中二级标准</w:t>
            </w:r>
          </w:p>
        </w:tc>
      </w:tr>
      <w:tr w14:paraId="2AF36EEB">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1E095902">
            <w:pPr>
              <w:adjustRightInd w:val="0"/>
              <w:snapToGrid w:val="0"/>
              <w:spacing w:line="240" w:lineRule="auto"/>
              <w:jc w:val="center"/>
              <w:rPr>
                <w:sz w:val="21"/>
                <w:szCs w:val="21"/>
              </w:rPr>
            </w:pPr>
            <w:r>
              <w:rPr>
                <w:sz w:val="21"/>
                <w:szCs w:val="21"/>
              </w:rPr>
              <w:t>声环境</w:t>
            </w:r>
          </w:p>
        </w:tc>
        <w:tc>
          <w:tcPr>
            <w:tcW w:w="0" w:type="auto"/>
            <w:gridSpan w:val="2"/>
            <w:tcBorders>
              <w:tl2br w:val="nil"/>
              <w:tr2bl w:val="nil"/>
            </w:tcBorders>
            <w:noWrap w:val="0"/>
            <w:vAlign w:val="center"/>
          </w:tcPr>
          <w:p w14:paraId="39534773">
            <w:pPr>
              <w:adjustRightInd w:val="0"/>
              <w:snapToGrid w:val="0"/>
              <w:spacing w:line="240" w:lineRule="auto"/>
              <w:jc w:val="center"/>
              <w:rPr>
                <w:sz w:val="21"/>
                <w:szCs w:val="21"/>
              </w:rPr>
            </w:pPr>
            <w:r>
              <w:rPr>
                <w:sz w:val="21"/>
                <w:szCs w:val="21"/>
              </w:rPr>
              <w:t>生产设备</w:t>
            </w:r>
          </w:p>
        </w:tc>
        <w:tc>
          <w:tcPr>
            <w:tcW w:w="0" w:type="auto"/>
            <w:tcBorders>
              <w:tl2br w:val="nil"/>
              <w:tr2bl w:val="nil"/>
            </w:tcBorders>
            <w:noWrap w:val="0"/>
            <w:vAlign w:val="center"/>
          </w:tcPr>
          <w:p w14:paraId="46F9B067">
            <w:pPr>
              <w:adjustRightInd w:val="0"/>
              <w:snapToGrid w:val="0"/>
              <w:spacing w:line="240" w:lineRule="auto"/>
              <w:jc w:val="center"/>
              <w:rPr>
                <w:sz w:val="21"/>
                <w:szCs w:val="21"/>
              </w:rPr>
            </w:pPr>
            <w:r>
              <w:rPr>
                <w:sz w:val="21"/>
                <w:szCs w:val="21"/>
              </w:rPr>
              <w:t>噪声级</w:t>
            </w:r>
          </w:p>
        </w:tc>
        <w:tc>
          <w:tcPr>
            <w:tcW w:w="0" w:type="auto"/>
            <w:tcBorders>
              <w:tl2br w:val="nil"/>
              <w:tr2bl w:val="nil"/>
            </w:tcBorders>
            <w:noWrap w:val="0"/>
            <w:vAlign w:val="center"/>
          </w:tcPr>
          <w:p w14:paraId="60F60331">
            <w:pPr>
              <w:adjustRightInd w:val="0"/>
              <w:snapToGrid w:val="0"/>
              <w:spacing w:line="240" w:lineRule="auto"/>
              <w:jc w:val="center"/>
              <w:rPr>
                <w:sz w:val="21"/>
                <w:szCs w:val="21"/>
              </w:rPr>
            </w:pPr>
            <w:r>
              <w:rPr>
                <w:sz w:val="21"/>
                <w:szCs w:val="21"/>
              </w:rPr>
              <w:t>厂房隔声、基础减震、设备维护</w:t>
            </w:r>
          </w:p>
        </w:tc>
        <w:tc>
          <w:tcPr>
            <w:tcW w:w="0" w:type="auto"/>
            <w:tcBorders>
              <w:tl2br w:val="nil"/>
              <w:tr2bl w:val="nil"/>
            </w:tcBorders>
            <w:noWrap w:val="0"/>
            <w:vAlign w:val="center"/>
          </w:tcPr>
          <w:p w14:paraId="28EF393F">
            <w:pPr>
              <w:adjustRightInd w:val="0"/>
              <w:snapToGrid w:val="0"/>
              <w:spacing w:line="240" w:lineRule="auto"/>
              <w:jc w:val="center"/>
              <w:rPr>
                <w:sz w:val="21"/>
                <w:szCs w:val="21"/>
              </w:rPr>
            </w:pPr>
            <w:r>
              <w:rPr>
                <w:sz w:val="21"/>
                <w:szCs w:val="21"/>
              </w:rPr>
              <w:t>《工业企业厂界环境噪声排放标准》（GB12348-2008）中的</w:t>
            </w:r>
            <w:r>
              <w:rPr>
                <w:rFonts w:hint="eastAsia"/>
                <w:sz w:val="21"/>
                <w:szCs w:val="21"/>
                <w:lang w:eastAsia="zh-CN"/>
              </w:rPr>
              <w:t>2类</w:t>
            </w:r>
            <w:r>
              <w:rPr>
                <w:sz w:val="21"/>
                <w:szCs w:val="21"/>
              </w:rPr>
              <w:t>标准</w:t>
            </w:r>
          </w:p>
        </w:tc>
      </w:tr>
      <w:tr w14:paraId="4180E98C">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1989383B">
            <w:pPr>
              <w:adjustRightInd w:val="0"/>
              <w:snapToGrid w:val="0"/>
              <w:spacing w:line="240" w:lineRule="auto"/>
              <w:jc w:val="center"/>
              <w:rPr>
                <w:sz w:val="21"/>
                <w:szCs w:val="21"/>
              </w:rPr>
            </w:pPr>
            <w:r>
              <w:rPr>
                <w:sz w:val="21"/>
                <w:szCs w:val="21"/>
              </w:rPr>
              <w:t>电磁辐射</w:t>
            </w:r>
          </w:p>
        </w:tc>
        <w:tc>
          <w:tcPr>
            <w:tcW w:w="0" w:type="auto"/>
            <w:gridSpan w:val="2"/>
            <w:tcBorders>
              <w:tl2br w:val="nil"/>
              <w:tr2bl w:val="nil"/>
            </w:tcBorders>
            <w:noWrap w:val="0"/>
            <w:vAlign w:val="center"/>
          </w:tcPr>
          <w:p w14:paraId="3B3FDBCB">
            <w:pPr>
              <w:adjustRightInd w:val="0"/>
              <w:snapToGrid w:val="0"/>
              <w:spacing w:line="240" w:lineRule="auto"/>
              <w:jc w:val="center"/>
              <w:rPr>
                <w:sz w:val="21"/>
                <w:szCs w:val="21"/>
              </w:rPr>
            </w:pPr>
            <w:r>
              <w:rPr>
                <w:sz w:val="21"/>
                <w:szCs w:val="21"/>
              </w:rPr>
              <w:t>/</w:t>
            </w:r>
          </w:p>
        </w:tc>
        <w:tc>
          <w:tcPr>
            <w:tcW w:w="0" w:type="auto"/>
            <w:tcBorders>
              <w:tl2br w:val="nil"/>
              <w:tr2bl w:val="nil"/>
            </w:tcBorders>
            <w:noWrap w:val="0"/>
            <w:vAlign w:val="center"/>
          </w:tcPr>
          <w:p w14:paraId="29AE04DF">
            <w:pPr>
              <w:adjustRightInd w:val="0"/>
              <w:snapToGrid w:val="0"/>
              <w:spacing w:line="240" w:lineRule="auto"/>
              <w:jc w:val="center"/>
              <w:rPr>
                <w:sz w:val="21"/>
                <w:szCs w:val="21"/>
              </w:rPr>
            </w:pPr>
            <w:r>
              <w:rPr>
                <w:sz w:val="21"/>
                <w:szCs w:val="21"/>
              </w:rPr>
              <w:t>/</w:t>
            </w:r>
          </w:p>
        </w:tc>
        <w:tc>
          <w:tcPr>
            <w:tcW w:w="0" w:type="auto"/>
            <w:tcBorders>
              <w:tl2br w:val="nil"/>
              <w:tr2bl w:val="nil"/>
            </w:tcBorders>
            <w:noWrap w:val="0"/>
            <w:vAlign w:val="center"/>
          </w:tcPr>
          <w:p w14:paraId="55F006AE">
            <w:pPr>
              <w:adjustRightInd w:val="0"/>
              <w:snapToGrid w:val="0"/>
              <w:spacing w:line="240" w:lineRule="auto"/>
              <w:jc w:val="center"/>
              <w:rPr>
                <w:sz w:val="21"/>
                <w:szCs w:val="21"/>
              </w:rPr>
            </w:pPr>
            <w:r>
              <w:rPr>
                <w:sz w:val="21"/>
                <w:szCs w:val="21"/>
              </w:rPr>
              <w:t>/</w:t>
            </w:r>
          </w:p>
        </w:tc>
        <w:tc>
          <w:tcPr>
            <w:tcW w:w="0" w:type="auto"/>
            <w:tcBorders>
              <w:tl2br w:val="nil"/>
              <w:tr2bl w:val="nil"/>
            </w:tcBorders>
            <w:noWrap w:val="0"/>
            <w:vAlign w:val="center"/>
          </w:tcPr>
          <w:p w14:paraId="63456548">
            <w:pPr>
              <w:adjustRightInd w:val="0"/>
              <w:snapToGrid w:val="0"/>
              <w:spacing w:line="240" w:lineRule="auto"/>
              <w:jc w:val="center"/>
              <w:rPr>
                <w:sz w:val="21"/>
                <w:szCs w:val="21"/>
              </w:rPr>
            </w:pPr>
            <w:r>
              <w:rPr>
                <w:sz w:val="21"/>
                <w:szCs w:val="21"/>
              </w:rPr>
              <w:t>/</w:t>
            </w:r>
          </w:p>
        </w:tc>
      </w:tr>
      <w:tr w14:paraId="2EC260A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6A37D5C1">
            <w:pPr>
              <w:adjustRightInd w:val="0"/>
              <w:snapToGrid w:val="0"/>
              <w:spacing w:line="240" w:lineRule="auto"/>
              <w:jc w:val="center"/>
              <w:rPr>
                <w:sz w:val="21"/>
                <w:szCs w:val="21"/>
              </w:rPr>
            </w:pPr>
            <w:r>
              <w:rPr>
                <w:sz w:val="21"/>
                <w:szCs w:val="21"/>
              </w:rPr>
              <w:t>固体废物</w:t>
            </w:r>
          </w:p>
        </w:tc>
        <w:tc>
          <w:tcPr>
            <w:tcW w:w="0" w:type="auto"/>
            <w:gridSpan w:val="5"/>
            <w:tcBorders>
              <w:tl2br w:val="nil"/>
              <w:tr2bl w:val="nil"/>
            </w:tcBorders>
            <w:noWrap w:val="0"/>
            <w:vAlign w:val="center"/>
          </w:tcPr>
          <w:p w14:paraId="0E22F527">
            <w:pPr>
              <w:adjustRightInd w:val="0"/>
              <w:snapToGrid w:val="0"/>
              <w:spacing w:line="240" w:lineRule="auto"/>
              <w:jc w:val="left"/>
              <w:rPr>
                <w:rFonts w:hint="eastAsia" w:eastAsia="宋体"/>
                <w:sz w:val="21"/>
                <w:szCs w:val="21"/>
                <w:lang w:eastAsia="zh-CN"/>
              </w:rPr>
            </w:pPr>
            <w:r>
              <w:rPr>
                <w:sz w:val="21"/>
                <w:szCs w:val="21"/>
              </w:rPr>
              <w:t>（1）</w:t>
            </w:r>
            <w:r>
              <w:rPr>
                <w:rFonts w:hint="eastAsia"/>
                <w:sz w:val="21"/>
                <w:szCs w:val="21"/>
              </w:rPr>
              <w:t>除尘器收集粉尘</w:t>
            </w:r>
            <w:r>
              <w:rPr>
                <w:rFonts w:hint="eastAsia"/>
                <w:sz w:val="21"/>
                <w:szCs w:val="21"/>
                <w:lang w:eastAsia="zh-CN"/>
              </w:rPr>
              <w:t>、</w:t>
            </w:r>
            <w:r>
              <w:rPr>
                <w:rFonts w:hint="eastAsia"/>
                <w:sz w:val="21"/>
                <w:szCs w:val="21"/>
              </w:rPr>
              <w:t>沉降粉尘</w:t>
            </w:r>
            <w:r>
              <w:rPr>
                <w:rFonts w:hint="eastAsia"/>
                <w:sz w:val="21"/>
                <w:szCs w:val="21"/>
                <w:lang w:eastAsia="zh-CN"/>
              </w:rPr>
              <w:t>、</w:t>
            </w:r>
            <w:r>
              <w:rPr>
                <w:rFonts w:hint="eastAsia"/>
                <w:sz w:val="21"/>
                <w:szCs w:val="21"/>
                <w:lang w:val="en-US" w:eastAsia="zh-CN"/>
              </w:rPr>
              <w:t>废钢丸、废包装袋、废边角料、废布袋（滤芯）</w:t>
            </w:r>
            <w:r>
              <w:rPr>
                <w:rFonts w:hint="eastAsia"/>
                <w:sz w:val="21"/>
                <w:szCs w:val="21"/>
              </w:rPr>
              <w:t>收集后</w:t>
            </w:r>
            <w:r>
              <w:rPr>
                <w:sz w:val="21"/>
                <w:szCs w:val="21"/>
              </w:rPr>
              <w:t>定期清理后</w:t>
            </w:r>
            <w:r>
              <w:rPr>
                <w:rFonts w:hint="eastAsia"/>
                <w:sz w:val="21"/>
                <w:szCs w:val="21"/>
                <w:lang w:val="en-US" w:eastAsia="zh-CN"/>
              </w:rPr>
              <w:t>交由一般固废处置单位进行处置</w:t>
            </w:r>
            <w:r>
              <w:rPr>
                <w:rFonts w:hint="eastAsia"/>
                <w:sz w:val="21"/>
                <w:szCs w:val="21"/>
                <w:lang w:eastAsia="zh-CN"/>
              </w:rPr>
              <w:t>。</w:t>
            </w:r>
          </w:p>
          <w:p w14:paraId="154C0403">
            <w:pPr>
              <w:adjustRightInd w:val="0"/>
              <w:snapToGrid w:val="0"/>
              <w:spacing w:line="240" w:lineRule="auto"/>
              <w:jc w:val="left"/>
              <w:rPr>
                <w:rFonts w:hint="eastAsia"/>
              </w:rPr>
            </w:pPr>
            <w:r>
              <w:rPr>
                <w:sz w:val="21"/>
                <w:szCs w:val="21"/>
              </w:rPr>
              <w:t>（</w:t>
            </w:r>
            <w:r>
              <w:rPr>
                <w:rFonts w:hint="eastAsia"/>
                <w:sz w:val="21"/>
                <w:szCs w:val="21"/>
                <w:lang w:val="en-US" w:eastAsia="zh-CN"/>
              </w:rPr>
              <w:t>2</w:t>
            </w:r>
            <w:r>
              <w:rPr>
                <w:sz w:val="21"/>
                <w:szCs w:val="21"/>
              </w:rPr>
              <w:t>）废润滑油</w:t>
            </w:r>
            <w:r>
              <w:rPr>
                <w:rFonts w:hint="eastAsia"/>
                <w:sz w:val="21"/>
                <w:szCs w:val="21"/>
                <w:lang w:eastAsia="zh-CN"/>
              </w:rPr>
              <w:t>、</w:t>
            </w:r>
            <w:r>
              <w:rPr>
                <w:rFonts w:hint="eastAsia"/>
                <w:sz w:val="21"/>
                <w:szCs w:val="21"/>
                <w:lang w:val="en-US" w:eastAsia="zh-CN"/>
              </w:rPr>
              <w:t>废活性炭</w:t>
            </w:r>
            <w:r>
              <w:rPr>
                <w:sz w:val="21"/>
                <w:szCs w:val="21"/>
              </w:rPr>
              <w:t>等危险固废收集暂存于危废暂存间，定期交由有资质的单位处理。</w:t>
            </w:r>
          </w:p>
        </w:tc>
      </w:tr>
      <w:tr w14:paraId="52257CE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2B49C7D8">
            <w:pPr>
              <w:adjustRightInd w:val="0"/>
              <w:snapToGrid w:val="0"/>
              <w:spacing w:line="240" w:lineRule="auto"/>
              <w:jc w:val="center"/>
              <w:rPr>
                <w:sz w:val="21"/>
                <w:szCs w:val="21"/>
              </w:rPr>
            </w:pPr>
            <w:r>
              <w:rPr>
                <w:sz w:val="21"/>
                <w:szCs w:val="21"/>
              </w:rPr>
              <w:t>土壤及地下水</w:t>
            </w:r>
          </w:p>
          <w:p w14:paraId="05A2A3D0">
            <w:pPr>
              <w:adjustRightInd w:val="0"/>
              <w:snapToGrid w:val="0"/>
              <w:spacing w:line="240" w:lineRule="auto"/>
              <w:jc w:val="center"/>
              <w:rPr>
                <w:sz w:val="21"/>
                <w:szCs w:val="21"/>
              </w:rPr>
            </w:pPr>
            <w:r>
              <w:rPr>
                <w:sz w:val="21"/>
                <w:szCs w:val="21"/>
              </w:rPr>
              <w:t>污染防治措施</w:t>
            </w:r>
          </w:p>
        </w:tc>
        <w:tc>
          <w:tcPr>
            <w:tcW w:w="0" w:type="auto"/>
            <w:gridSpan w:val="5"/>
            <w:tcBorders>
              <w:tl2br w:val="nil"/>
              <w:tr2bl w:val="nil"/>
            </w:tcBorders>
            <w:noWrap w:val="0"/>
            <w:vAlign w:val="center"/>
          </w:tcPr>
          <w:p w14:paraId="153A31C2">
            <w:pPr>
              <w:adjustRightInd w:val="0"/>
              <w:snapToGrid w:val="0"/>
              <w:spacing w:line="240" w:lineRule="auto"/>
              <w:rPr>
                <w:sz w:val="21"/>
                <w:szCs w:val="21"/>
              </w:rPr>
            </w:pPr>
            <w:r>
              <w:rPr>
                <w:sz w:val="21"/>
                <w:szCs w:val="21"/>
              </w:rPr>
              <w:t>（1）危险废物暂存间作为重点防渗区，按照《环境影响评价技术导则 地下水环境》（HJ 610-2016）要求制定防渗措施；地面硬化处理并设防渗层，确保等效黏土防渗层Mb≥6.0m，渗透系数K≤1.0×10</w:t>
            </w:r>
            <w:r>
              <w:rPr>
                <w:sz w:val="21"/>
                <w:szCs w:val="21"/>
                <w:vertAlign w:val="superscript"/>
              </w:rPr>
              <w:t>-7</w:t>
            </w:r>
            <w:r>
              <w:rPr>
                <w:sz w:val="21"/>
                <w:szCs w:val="21"/>
              </w:rPr>
              <w:t>cm/s，同时满足《危险废物贮存污染控制标准》（GB18597-20</w:t>
            </w:r>
            <w:r>
              <w:rPr>
                <w:rFonts w:hint="eastAsia"/>
                <w:sz w:val="21"/>
                <w:szCs w:val="21"/>
                <w:lang w:val="en-US" w:eastAsia="zh-CN"/>
              </w:rPr>
              <w:t>23</w:t>
            </w:r>
            <w:r>
              <w:rPr>
                <w:sz w:val="21"/>
                <w:szCs w:val="21"/>
              </w:rPr>
              <w:t>）及其修改单中：基础防渗层至少为1m厚黏土层（渗透系数≤1.0×10</w:t>
            </w:r>
            <w:r>
              <w:rPr>
                <w:sz w:val="21"/>
                <w:szCs w:val="21"/>
                <w:vertAlign w:val="superscript"/>
              </w:rPr>
              <w:t>-7</w:t>
            </w:r>
            <w:r>
              <w:rPr>
                <w:sz w:val="21"/>
                <w:szCs w:val="21"/>
              </w:rPr>
              <w:t>cm/s），或2mm厚高密度聚乙烯，或至少2mm厚的其他人工材料，渗透系数≤1.0×10</w:t>
            </w:r>
            <w:r>
              <w:rPr>
                <w:sz w:val="21"/>
                <w:szCs w:val="21"/>
                <w:vertAlign w:val="superscript"/>
              </w:rPr>
              <w:t>-10</w:t>
            </w:r>
            <w:r>
              <w:rPr>
                <w:sz w:val="21"/>
                <w:szCs w:val="21"/>
              </w:rPr>
              <w:t>cm/s。</w:t>
            </w:r>
          </w:p>
          <w:p w14:paraId="2D2CDDE6">
            <w:pPr>
              <w:adjustRightInd w:val="0"/>
              <w:snapToGrid w:val="0"/>
              <w:spacing w:line="240" w:lineRule="auto"/>
              <w:jc w:val="left"/>
              <w:rPr>
                <w:sz w:val="21"/>
                <w:szCs w:val="21"/>
              </w:rPr>
            </w:pPr>
            <w:r>
              <w:rPr>
                <w:sz w:val="21"/>
                <w:szCs w:val="21"/>
              </w:rPr>
              <w:t>（2）</w:t>
            </w:r>
            <w:r>
              <w:rPr>
                <w:rFonts w:hint="eastAsia"/>
                <w:sz w:val="21"/>
                <w:szCs w:val="21"/>
              </w:rPr>
              <w:t>生产车间、</w:t>
            </w:r>
            <w:r>
              <w:rPr>
                <w:rFonts w:hint="eastAsia"/>
                <w:sz w:val="21"/>
                <w:szCs w:val="21"/>
                <w:lang w:val="en-US" w:eastAsia="zh-CN"/>
              </w:rPr>
              <w:t>循环水池</w:t>
            </w:r>
            <w:r>
              <w:rPr>
                <w:sz w:val="21"/>
                <w:szCs w:val="21"/>
              </w:rPr>
              <w:t>作为一般防渗区，严格按照《环境影响评价技术导则 地下水环境》（HJ610-2016）要求制定防渗措施；地面硬化处理设防渗层，可使一般防渗区域的等效黏土防渗层Mb≥1.5m，渗透系数K≤1×10</w:t>
            </w:r>
            <w:r>
              <w:rPr>
                <w:sz w:val="21"/>
                <w:szCs w:val="21"/>
                <w:vertAlign w:val="superscript"/>
              </w:rPr>
              <w:t>-7</w:t>
            </w:r>
            <w:r>
              <w:rPr>
                <w:sz w:val="21"/>
                <w:szCs w:val="21"/>
              </w:rPr>
              <w:t>cm/s。</w:t>
            </w:r>
          </w:p>
        </w:tc>
      </w:tr>
      <w:tr w14:paraId="1AA56811">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6821AEF2">
            <w:pPr>
              <w:adjustRightInd w:val="0"/>
              <w:snapToGrid w:val="0"/>
              <w:spacing w:line="240" w:lineRule="auto"/>
              <w:jc w:val="center"/>
              <w:rPr>
                <w:sz w:val="21"/>
                <w:szCs w:val="21"/>
              </w:rPr>
            </w:pPr>
            <w:r>
              <w:rPr>
                <w:sz w:val="21"/>
                <w:szCs w:val="21"/>
              </w:rPr>
              <w:t>生态保护措施</w:t>
            </w:r>
          </w:p>
        </w:tc>
        <w:tc>
          <w:tcPr>
            <w:tcW w:w="0" w:type="auto"/>
            <w:gridSpan w:val="5"/>
            <w:tcBorders>
              <w:tl2br w:val="nil"/>
              <w:tr2bl w:val="nil"/>
            </w:tcBorders>
            <w:noWrap w:val="0"/>
            <w:vAlign w:val="center"/>
          </w:tcPr>
          <w:p w14:paraId="45F26BFE">
            <w:pPr>
              <w:adjustRightInd w:val="0"/>
              <w:snapToGrid w:val="0"/>
              <w:spacing w:line="240" w:lineRule="auto"/>
              <w:jc w:val="left"/>
              <w:rPr>
                <w:sz w:val="21"/>
                <w:szCs w:val="21"/>
              </w:rPr>
            </w:pPr>
            <w:r>
              <w:rPr>
                <w:sz w:val="21"/>
                <w:szCs w:val="21"/>
              </w:rPr>
              <w:t>/</w:t>
            </w:r>
          </w:p>
        </w:tc>
      </w:tr>
      <w:tr w14:paraId="553C8CD3">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798F3DA7">
            <w:pPr>
              <w:adjustRightInd w:val="0"/>
              <w:snapToGrid w:val="0"/>
              <w:spacing w:line="240" w:lineRule="auto"/>
              <w:jc w:val="center"/>
              <w:rPr>
                <w:spacing w:val="-8"/>
                <w:sz w:val="21"/>
                <w:szCs w:val="21"/>
              </w:rPr>
            </w:pPr>
            <w:r>
              <w:rPr>
                <w:spacing w:val="-8"/>
                <w:sz w:val="21"/>
                <w:szCs w:val="21"/>
              </w:rPr>
              <w:t>环境风险</w:t>
            </w:r>
          </w:p>
          <w:p w14:paraId="686822CB">
            <w:pPr>
              <w:adjustRightInd w:val="0"/>
              <w:snapToGrid w:val="0"/>
              <w:spacing w:line="240" w:lineRule="auto"/>
              <w:jc w:val="center"/>
              <w:rPr>
                <w:spacing w:val="-8"/>
                <w:sz w:val="21"/>
                <w:szCs w:val="21"/>
              </w:rPr>
            </w:pPr>
            <w:r>
              <w:rPr>
                <w:spacing w:val="-8"/>
                <w:sz w:val="21"/>
                <w:szCs w:val="21"/>
              </w:rPr>
              <w:t>防范措施</w:t>
            </w:r>
          </w:p>
        </w:tc>
        <w:tc>
          <w:tcPr>
            <w:tcW w:w="0" w:type="auto"/>
            <w:gridSpan w:val="5"/>
            <w:tcBorders>
              <w:tl2br w:val="nil"/>
              <w:tr2bl w:val="nil"/>
            </w:tcBorders>
            <w:noWrap w:val="0"/>
            <w:vAlign w:val="center"/>
          </w:tcPr>
          <w:p w14:paraId="7B71136E">
            <w:pPr>
              <w:tabs>
                <w:tab w:val="left" w:pos="624"/>
              </w:tabs>
              <w:adjustRightInd w:val="0"/>
              <w:snapToGrid w:val="0"/>
              <w:spacing w:line="240" w:lineRule="auto"/>
              <w:jc w:val="left"/>
              <w:rPr>
                <w:sz w:val="21"/>
                <w:szCs w:val="21"/>
              </w:rPr>
            </w:pPr>
            <w:r>
              <w:rPr>
                <w:sz w:val="21"/>
                <w:szCs w:val="21"/>
              </w:rPr>
              <w:t>①项目各原料按照规定进行存放，原料、成品的堆放应有一定的间距、不得堵塞消防通道和消防设施；</w:t>
            </w:r>
          </w:p>
          <w:p w14:paraId="4ABD675A">
            <w:pPr>
              <w:tabs>
                <w:tab w:val="left" w:pos="624"/>
              </w:tabs>
              <w:adjustRightInd w:val="0"/>
              <w:snapToGrid w:val="0"/>
              <w:spacing w:line="240" w:lineRule="auto"/>
              <w:jc w:val="left"/>
              <w:rPr>
                <w:sz w:val="21"/>
                <w:szCs w:val="21"/>
              </w:rPr>
            </w:pPr>
            <w:r>
              <w:rPr>
                <w:sz w:val="21"/>
                <w:szCs w:val="21"/>
              </w:rPr>
              <w:t>②车间安装避雷和防静电设施，保证报警设施完好无损，并定期检查接地电阻和避雷设施，以确保其完好性；</w:t>
            </w:r>
          </w:p>
          <w:p w14:paraId="2BB0566C">
            <w:pPr>
              <w:tabs>
                <w:tab w:val="left" w:pos="624"/>
              </w:tabs>
              <w:adjustRightInd w:val="0"/>
              <w:snapToGrid w:val="0"/>
              <w:spacing w:line="240" w:lineRule="auto"/>
              <w:jc w:val="left"/>
              <w:rPr>
                <w:sz w:val="21"/>
                <w:szCs w:val="21"/>
              </w:rPr>
            </w:pPr>
            <w:r>
              <w:rPr>
                <w:sz w:val="21"/>
                <w:szCs w:val="21"/>
              </w:rPr>
              <w:t>③对装置周围可能的明火、电器火花和撞击火花进行控制管理，张贴禁火标识，严禁危险区内吸烟和违章动用明火；</w:t>
            </w:r>
          </w:p>
          <w:p w14:paraId="09B7DED0">
            <w:pPr>
              <w:tabs>
                <w:tab w:val="left" w:pos="624"/>
              </w:tabs>
              <w:adjustRightInd w:val="0"/>
              <w:snapToGrid w:val="0"/>
              <w:spacing w:line="240" w:lineRule="auto"/>
              <w:jc w:val="left"/>
              <w:rPr>
                <w:sz w:val="21"/>
                <w:szCs w:val="21"/>
              </w:rPr>
            </w:pPr>
            <w:r>
              <w:rPr>
                <w:sz w:val="21"/>
                <w:szCs w:val="21"/>
              </w:rPr>
              <w:t>④电器设备、仪表选用防爆型，电气设备选型、安装、电力线路敷设等，应符合现行国家标准《爆炸和火灾危险环境电力装置设计规范》（GB50058-2014）的规定；</w:t>
            </w:r>
          </w:p>
          <w:p w14:paraId="34C26340">
            <w:pPr>
              <w:tabs>
                <w:tab w:val="left" w:pos="624"/>
              </w:tabs>
              <w:adjustRightInd w:val="0"/>
              <w:snapToGrid w:val="0"/>
              <w:spacing w:line="240" w:lineRule="auto"/>
              <w:jc w:val="left"/>
              <w:rPr>
                <w:sz w:val="21"/>
                <w:szCs w:val="21"/>
              </w:rPr>
            </w:pPr>
            <w:r>
              <w:rPr>
                <w:sz w:val="21"/>
                <w:szCs w:val="21"/>
              </w:rPr>
              <w:t>⑤在可能发生火灾的区域，根据其火灾危险性、区域大小等实际情况，分别配置一定数量不同类型、不同规格的移动式灭火器材，以便及时扑救初始零星火灾；</w:t>
            </w:r>
          </w:p>
          <w:p w14:paraId="3BE116A8">
            <w:pPr>
              <w:tabs>
                <w:tab w:val="left" w:pos="624"/>
              </w:tabs>
              <w:adjustRightInd w:val="0"/>
              <w:snapToGrid w:val="0"/>
              <w:spacing w:line="240" w:lineRule="auto"/>
              <w:jc w:val="left"/>
              <w:rPr>
                <w:sz w:val="21"/>
                <w:szCs w:val="21"/>
              </w:rPr>
            </w:pPr>
            <w:r>
              <w:rPr>
                <w:sz w:val="21"/>
                <w:szCs w:val="21"/>
              </w:rPr>
              <w:t>⑥提高员工素质，增强安全意识，建立严格的安全管理制度，杜绝违章动火、吸烟等现象。</w:t>
            </w:r>
          </w:p>
          <w:p w14:paraId="46ED035E">
            <w:pPr>
              <w:adjustRightInd w:val="0"/>
              <w:snapToGrid w:val="0"/>
              <w:spacing w:line="240" w:lineRule="auto"/>
              <w:jc w:val="left"/>
              <w:rPr>
                <w:sz w:val="21"/>
                <w:szCs w:val="21"/>
              </w:rPr>
            </w:pPr>
            <w:r>
              <w:rPr>
                <w:sz w:val="21"/>
                <w:szCs w:val="21"/>
              </w:rPr>
              <w:t>⑦危险废物暂存间由专人负责管理，如实记录危险废物废机油的产生、暂存、转运等信息，危险废物需送交有资质单位回收处置，不得交由无处置资质的单位及个人进行回收。</w:t>
            </w:r>
          </w:p>
        </w:tc>
      </w:tr>
      <w:tr w14:paraId="31224589">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0" w:hRule="atLeast"/>
          <w:jc w:val="center"/>
        </w:trPr>
        <w:tc>
          <w:tcPr>
            <w:tcW w:w="0" w:type="auto"/>
            <w:tcBorders>
              <w:tl2br w:val="nil"/>
              <w:tr2bl w:val="nil"/>
            </w:tcBorders>
            <w:noWrap w:val="0"/>
            <w:vAlign w:val="center"/>
          </w:tcPr>
          <w:p w14:paraId="0E553F6E">
            <w:pPr>
              <w:adjustRightInd w:val="0"/>
              <w:snapToGrid w:val="0"/>
              <w:spacing w:line="240" w:lineRule="auto"/>
              <w:jc w:val="center"/>
              <w:rPr>
                <w:spacing w:val="-8"/>
                <w:sz w:val="21"/>
                <w:szCs w:val="21"/>
              </w:rPr>
            </w:pPr>
            <w:r>
              <w:rPr>
                <w:spacing w:val="-8"/>
                <w:sz w:val="21"/>
                <w:szCs w:val="21"/>
              </w:rPr>
              <w:t>其他环境</w:t>
            </w:r>
          </w:p>
          <w:p w14:paraId="24B39ED8">
            <w:pPr>
              <w:adjustRightInd w:val="0"/>
              <w:snapToGrid w:val="0"/>
              <w:spacing w:line="240" w:lineRule="auto"/>
              <w:jc w:val="center"/>
              <w:rPr>
                <w:spacing w:val="-8"/>
                <w:sz w:val="21"/>
                <w:szCs w:val="21"/>
              </w:rPr>
            </w:pPr>
            <w:r>
              <w:rPr>
                <w:spacing w:val="-8"/>
                <w:sz w:val="21"/>
                <w:szCs w:val="21"/>
              </w:rPr>
              <w:t>管理要求</w:t>
            </w:r>
          </w:p>
        </w:tc>
        <w:tc>
          <w:tcPr>
            <w:tcW w:w="0" w:type="auto"/>
            <w:gridSpan w:val="5"/>
            <w:tcBorders>
              <w:tl2br w:val="nil"/>
              <w:tr2bl w:val="nil"/>
            </w:tcBorders>
            <w:noWrap w:val="0"/>
            <w:vAlign w:val="center"/>
          </w:tcPr>
          <w:p w14:paraId="5E7BE92C">
            <w:pPr>
              <w:adjustRightInd w:val="0"/>
              <w:snapToGrid w:val="0"/>
              <w:spacing w:line="240" w:lineRule="auto"/>
              <w:rPr>
                <w:sz w:val="21"/>
                <w:szCs w:val="21"/>
              </w:rPr>
            </w:pPr>
            <w:r>
              <w:rPr>
                <w:sz w:val="21"/>
                <w:szCs w:val="21"/>
              </w:rPr>
              <w:t>（1）建设单位应设置环保管理人员，负责厂区环保工作日常事务。环保管理人员应做到有职、有权、有责，</w:t>
            </w:r>
            <w:r>
              <w:rPr>
                <w:rFonts w:hint="eastAsia"/>
                <w:sz w:val="21"/>
                <w:szCs w:val="21"/>
                <w:lang w:val="en-US" w:eastAsia="zh-CN"/>
              </w:rPr>
              <w:t>切实</w:t>
            </w:r>
            <w:r>
              <w:rPr>
                <w:sz w:val="21"/>
                <w:szCs w:val="21"/>
              </w:rPr>
              <w:t>担负起环境保护管理及监督责任。该人员除对项目负责外，也应与地方环境保护管理部门加强联系，使项目环保工作纳入地方环境管理工作系统。</w:t>
            </w:r>
          </w:p>
          <w:p w14:paraId="37496593">
            <w:pPr>
              <w:adjustRightInd w:val="0"/>
              <w:snapToGrid w:val="0"/>
              <w:spacing w:line="240" w:lineRule="auto"/>
              <w:rPr>
                <w:sz w:val="21"/>
                <w:szCs w:val="21"/>
              </w:rPr>
            </w:pPr>
            <w:r>
              <w:rPr>
                <w:sz w:val="21"/>
                <w:szCs w:val="21"/>
              </w:rPr>
              <w:t>（2）严格遵照国家和地方有关环境保护的方针、政策、法规、条例，如《中华人民共和国环境保护法》《全国生态环境保护纲要》等，结合企业的实际情况，确定环境保护控制目标，制定环境保护发展规划和年度实施计划，建立环境保护制度，并组织、监督实施。</w:t>
            </w:r>
          </w:p>
          <w:p w14:paraId="7ED534AC">
            <w:pPr>
              <w:adjustRightInd w:val="0"/>
              <w:snapToGrid w:val="0"/>
              <w:spacing w:line="240" w:lineRule="auto"/>
              <w:rPr>
                <w:sz w:val="21"/>
                <w:szCs w:val="21"/>
              </w:rPr>
            </w:pPr>
            <w:r>
              <w:rPr>
                <w:sz w:val="21"/>
                <w:szCs w:val="21"/>
              </w:rPr>
              <w:t>（3）安排组织员工的环保教育、培训和考核，提高员工的环保意识和环境法</w:t>
            </w:r>
            <w:r>
              <w:rPr>
                <w:rFonts w:hint="eastAsia"/>
                <w:sz w:val="21"/>
                <w:szCs w:val="21"/>
                <w:lang w:val="en-US" w:eastAsia="zh-CN"/>
              </w:rPr>
              <w:t>治</w:t>
            </w:r>
            <w:r>
              <w:rPr>
                <w:sz w:val="21"/>
                <w:szCs w:val="21"/>
              </w:rPr>
              <w:t>观念；推广并应用先进的环境保护管理经验和污染治理技术，提高环保管理人员业务水平。</w:t>
            </w:r>
          </w:p>
          <w:p w14:paraId="572A92B5">
            <w:pPr>
              <w:adjustRightInd w:val="0"/>
              <w:snapToGrid w:val="0"/>
              <w:spacing w:line="240" w:lineRule="auto"/>
              <w:rPr>
                <w:sz w:val="21"/>
                <w:szCs w:val="21"/>
              </w:rPr>
            </w:pPr>
            <w:r>
              <w:rPr>
                <w:sz w:val="21"/>
                <w:szCs w:val="21"/>
              </w:rPr>
              <w:t>（4）组织与领导项目的环境监测和统计工作，掌握污染源动态。</w:t>
            </w:r>
          </w:p>
          <w:p w14:paraId="6090F19F">
            <w:pPr>
              <w:adjustRightInd w:val="0"/>
              <w:snapToGrid w:val="0"/>
              <w:spacing w:line="240" w:lineRule="auto"/>
              <w:rPr>
                <w:sz w:val="21"/>
                <w:szCs w:val="21"/>
              </w:rPr>
            </w:pPr>
            <w:r>
              <w:rPr>
                <w:sz w:val="21"/>
                <w:szCs w:val="21"/>
              </w:rPr>
              <w:t>（5）监督、检查环保设施、设备的运行及维护，建立环保设施运行档案。</w:t>
            </w:r>
          </w:p>
          <w:p w14:paraId="269A9211">
            <w:pPr>
              <w:adjustRightInd w:val="0"/>
              <w:snapToGrid w:val="0"/>
              <w:spacing w:line="240" w:lineRule="auto"/>
              <w:rPr>
                <w:sz w:val="21"/>
                <w:szCs w:val="21"/>
              </w:rPr>
            </w:pPr>
            <w:r>
              <w:rPr>
                <w:sz w:val="21"/>
                <w:szCs w:val="21"/>
              </w:rPr>
              <w:t>（6）按照《排污许可管理条例》（中华人民共和国国务院令 第736号）要求，企业在建成实际排污前应依法申请取得企业排污</w:t>
            </w:r>
            <w:r>
              <w:rPr>
                <w:rFonts w:hint="eastAsia"/>
                <w:sz w:val="21"/>
                <w:szCs w:val="21"/>
              </w:rPr>
              <w:t>登记</w:t>
            </w:r>
            <w:r>
              <w:rPr>
                <w:sz w:val="21"/>
                <w:szCs w:val="21"/>
              </w:rPr>
              <w:t>，未取得排污</w:t>
            </w:r>
            <w:r>
              <w:rPr>
                <w:rFonts w:hint="eastAsia"/>
                <w:sz w:val="21"/>
                <w:szCs w:val="21"/>
              </w:rPr>
              <w:t>登记</w:t>
            </w:r>
            <w:r>
              <w:rPr>
                <w:sz w:val="21"/>
                <w:szCs w:val="21"/>
              </w:rPr>
              <w:t>的，不得排放污染物。</w:t>
            </w:r>
          </w:p>
          <w:p w14:paraId="4E96DDFC">
            <w:pPr>
              <w:adjustRightInd w:val="0"/>
              <w:snapToGrid w:val="0"/>
              <w:spacing w:line="240" w:lineRule="auto"/>
              <w:rPr>
                <w:sz w:val="21"/>
                <w:szCs w:val="21"/>
              </w:rPr>
            </w:pPr>
            <w:r>
              <w:rPr>
                <w:sz w:val="21"/>
                <w:szCs w:val="21"/>
              </w:rPr>
              <w:t>（7）建设项目竣工后，由建设单位根据《建设项目竣工环境保护验收技术指南 污染影响类》按照规定程序和标准自行组织</w:t>
            </w:r>
            <w:r>
              <w:rPr>
                <w:rFonts w:hint="eastAsia"/>
                <w:sz w:val="21"/>
                <w:szCs w:val="21"/>
              </w:rPr>
              <w:t>“</w:t>
            </w:r>
            <w:r>
              <w:rPr>
                <w:sz w:val="21"/>
                <w:szCs w:val="21"/>
              </w:rPr>
              <w:t>三同时</w:t>
            </w:r>
            <w:r>
              <w:rPr>
                <w:rFonts w:hint="eastAsia"/>
                <w:sz w:val="21"/>
                <w:szCs w:val="21"/>
              </w:rPr>
              <w:t>”</w:t>
            </w:r>
            <w:r>
              <w:rPr>
                <w:sz w:val="21"/>
                <w:szCs w:val="21"/>
              </w:rPr>
              <w:t>环保竣工验收，不具备编制验收监测（调查）报告能力的，可委托有能力的技术机构进行编制；企业在正常运行期间，设置危废管理台账，按照固废防治法等要求进行危废暂存、处置，不得随意丢弃及擅自处置。</w:t>
            </w:r>
          </w:p>
          <w:p w14:paraId="65AE799C">
            <w:pPr>
              <w:adjustRightInd w:val="0"/>
              <w:snapToGrid w:val="0"/>
              <w:spacing w:line="240" w:lineRule="auto"/>
              <w:rPr>
                <w:sz w:val="21"/>
                <w:szCs w:val="21"/>
              </w:rPr>
            </w:pPr>
            <w:r>
              <w:rPr>
                <w:sz w:val="21"/>
                <w:szCs w:val="21"/>
              </w:rPr>
              <w:t>（8）项目生产过程中存在重大环境风险，为避免企业发生重大环境风险事故，造成环境危害，企业应自行组织编制企业环境风险事故应急预案，报生态环境主管部门备案，并定期组织演练及培训。</w:t>
            </w:r>
          </w:p>
        </w:tc>
      </w:tr>
    </w:tbl>
    <w:p w14:paraId="2ED66AB8">
      <w:pPr>
        <w:pStyle w:val="3"/>
        <w:rPr>
          <w:snapToGrid w:val="0"/>
          <w:color w:val="auto"/>
        </w:rPr>
      </w:pPr>
      <w:r>
        <w:rPr>
          <w:snapToGrid w:val="0"/>
          <w:color w:val="auto"/>
        </w:rPr>
        <w:br w:type="page"/>
      </w:r>
      <w:bookmarkStart w:id="19" w:name="_Toc28307"/>
      <w:r>
        <w:rPr>
          <w:snapToGrid w:val="0"/>
          <w:color w:val="auto"/>
        </w:rPr>
        <w:t>六、结论</w:t>
      </w:r>
      <w:bookmarkEnd w:id="19"/>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14:paraId="63436272">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456" w:hRule="atLeast"/>
          <w:jc w:val="center"/>
        </w:trPr>
        <w:tc>
          <w:tcPr>
            <w:tcW w:w="8865" w:type="dxa"/>
            <w:tcBorders>
              <w:tl2br w:val="nil"/>
              <w:tr2bl w:val="nil"/>
            </w:tcBorders>
            <w:noWrap w:val="0"/>
            <w:vAlign w:val="top"/>
          </w:tcPr>
          <w:p w14:paraId="426BA639">
            <w:pPr>
              <w:ind w:firstLine="480" w:firstLineChars="200"/>
            </w:pPr>
            <w:r>
              <w:rPr>
                <w:szCs w:val="21"/>
              </w:rPr>
              <w:t>本</w:t>
            </w:r>
            <w:r>
              <w:rPr>
                <w:szCs w:val="21"/>
                <w:lang w:val="zh-CN"/>
              </w:rPr>
              <w:t>项目</w:t>
            </w:r>
            <w:r>
              <w:rPr>
                <w:szCs w:val="21"/>
              </w:rPr>
              <w:t>在</w:t>
            </w:r>
            <w:r>
              <w:rPr>
                <w:szCs w:val="21"/>
                <w:lang w:val="zh-CN"/>
              </w:rPr>
              <w:t>切实落实报告表中提出的各项防治措施要求，严格执行各项污染物的排放标准，积极有效地进行治理和防范，并使各项污染物达标排放，从环境保护角度考虑，建设项目</w:t>
            </w:r>
            <w:r>
              <w:rPr>
                <w:rFonts w:hint="eastAsia"/>
                <w:szCs w:val="21"/>
              </w:rPr>
              <w:t>环境影响</w:t>
            </w:r>
            <w:r>
              <w:rPr>
                <w:szCs w:val="21"/>
                <w:lang w:val="zh-CN"/>
              </w:rPr>
              <w:t>可行。</w:t>
            </w:r>
          </w:p>
        </w:tc>
      </w:tr>
    </w:tbl>
    <w:p w14:paraId="1DF3C131">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8A6F02B">
      <w:pPr>
        <w:pStyle w:val="3"/>
        <w:rPr>
          <w:color w:val="auto"/>
        </w:rPr>
      </w:pPr>
      <w:bookmarkStart w:id="20" w:name="_Toc2965"/>
      <w:r>
        <w:rPr>
          <w:color w:val="auto"/>
        </w:rPr>
        <w:t>建设项目污染物排放量汇总表</w:t>
      </w:r>
      <w:bookmarkEnd w:id="20"/>
    </w:p>
    <w:tbl>
      <w:tblPr>
        <w:tblStyle w:val="24"/>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982"/>
        <w:gridCol w:w="1725"/>
        <w:gridCol w:w="723"/>
        <w:gridCol w:w="1725"/>
        <w:gridCol w:w="2043"/>
        <w:gridCol w:w="1184"/>
        <w:gridCol w:w="2130"/>
        <w:gridCol w:w="1258"/>
      </w:tblGrid>
      <w:tr w14:paraId="4A0D8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94" w:type="pct"/>
            <w:tcBorders>
              <w:tl2br w:val="single" w:color="auto" w:sz="4" w:space="0"/>
            </w:tcBorders>
            <w:noWrap w:val="0"/>
            <w:tcMar>
              <w:left w:w="28" w:type="dxa"/>
              <w:right w:w="28" w:type="dxa"/>
            </w:tcMar>
            <w:vAlign w:val="center"/>
          </w:tcPr>
          <w:p w14:paraId="565136A3">
            <w:pPr>
              <w:adjustRightInd w:val="0"/>
              <w:snapToGrid w:val="0"/>
              <w:spacing w:line="240" w:lineRule="auto"/>
              <w:jc w:val="center"/>
              <w:rPr>
                <w:snapToGrid w:val="0"/>
                <w:spacing w:val="-6"/>
                <w:kern w:val="21"/>
                <w:sz w:val="21"/>
                <w:szCs w:val="21"/>
              </w:rPr>
            </w:pPr>
            <w:r>
              <w:rPr>
                <w:snapToGrid w:val="0"/>
                <w:spacing w:val="-6"/>
                <w:kern w:val="21"/>
                <w:sz w:val="21"/>
                <w:szCs w:val="21"/>
              </w:rPr>
              <w:t>项目</w:t>
            </w:r>
          </w:p>
          <w:p w14:paraId="2274571D">
            <w:pPr>
              <w:adjustRightInd w:val="0"/>
              <w:snapToGrid w:val="0"/>
              <w:spacing w:line="240" w:lineRule="auto"/>
              <w:jc w:val="center"/>
              <w:rPr>
                <w:snapToGrid w:val="0"/>
                <w:spacing w:val="-6"/>
                <w:kern w:val="21"/>
                <w:sz w:val="21"/>
                <w:szCs w:val="21"/>
              </w:rPr>
            </w:pPr>
            <w:r>
              <w:rPr>
                <w:snapToGrid w:val="0"/>
                <w:spacing w:val="-6"/>
                <w:kern w:val="21"/>
                <w:sz w:val="21"/>
                <w:szCs w:val="21"/>
              </w:rPr>
              <w:t>分类</w:t>
            </w:r>
          </w:p>
        </w:tc>
        <w:tc>
          <w:tcPr>
            <w:tcW w:w="730" w:type="pct"/>
            <w:noWrap w:val="0"/>
            <w:tcMar>
              <w:left w:w="28" w:type="dxa"/>
              <w:right w:w="28" w:type="dxa"/>
            </w:tcMar>
            <w:vAlign w:val="center"/>
          </w:tcPr>
          <w:p w14:paraId="6134CD2A">
            <w:pPr>
              <w:adjustRightInd w:val="0"/>
              <w:snapToGrid w:val="0"/>
              <w:spacing w:line="240" w:lineRule="auto"/>
              <w:jc w:val="center"/>
              <w:rPr>
                <w:snapToGrid w:val="0"/>
                <w:spacing w:val="-6"/>
                <w:kern w:val="21"/>
                <w:sz w:val="21"/>
                <w:szCs w:val="21"/>
              </w:rPr>
            </w:pPr>
            <w:r>
              <w:rPr>
                <w:snapToGrid w:val="0"/>
                <w:spacing w:val="-6"/>
                <w:kern w:val="21"/>
                <w:sz w:val="21"/>
                <w:szCs w:val="21"/>
              </w:rPr>
              <w:t>污染物名称</w:t>
            </w:r>
          </w:p>
        </w:tc>
        <w:tc>
          <w:tcPr>
            <w:tcW w:w="635" w:type="pct"/>
            <w:noWrap w:val="0"/>
            <w:tcMar>
              <w:left w:w="28" w:type="dxa"/>
              <w:right w:w="28" w:type="dxa"/>
            </w:tcMar>
            <w:vAlign w:val="center"/>
          </w:tcPr>
          <w:p w14:paraId="12CCCB3B">
            <w:pPr>
              <w:adjustRightInd w:val="0"/>
              <w:snapToGrid w:val="0"/>
              <w:spacing w:line="240" w:lineRule="auto"/>
              <w:jc w:val="center"/>
              <w:rPr>
                <w:snapToGrid w:val="0"/>
                <w:spacing w:val="-6"/>
                <w:kern w:val="21"/>
                <w:sz w:val="21"/>
                <w:szCs w:val="21"/>
              </w:rPr>
            </w:pPr>
            <w:r>
              <w:rPr>
                <w:snapToGrid w:val="0"/>
                <w:spacing w:val="-6"/>
                <w:kern w:val="21"/>
                <w:sz w:val="21"/>
                <w:szCs w:val="21"/>
              </w:rPr>
              <w:t>现有工程</w:t>
            </w:r>
          </w:p>
          <w:p w14:paraId="75A29F8C">
            <w:pPr>
              <w:adjustRightInd w:val="0"/>
              <w:snapToGrid w:val="0"/>
              <w:spacing w:line="240" w:lineRule="auto"/>
              <w:jc w:val="center"/>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sz w:val="21"/>
                <w:szCs w:val="21"/>
              </w:rPr>
              <w:t>①</w:t>
            </w:r>
            <w:r>
              <w:rPr>
                <w:snapToGrid w:val="0"/>
                <w:spacing w:val="-6"/>
                <w:kern w:val="21"/>
                <w:sz w:val="21"/>
                <w:szCs w:val="21"/>
              </w:rPr>
              <w:fldChar w:fldCharType="end"/>
            </w:r>
          </w:p>
        </w:tc>
        <w:tc>
          <w:tcPr>
            <w:tcW w:w="266" w:type="pct"/>
            <w:noWrap w:val="0"/>
            <w:tcMar>
              <w:left w:w="28" w:type="dxa"/>
              <w:right w:w="28" w:type="dxa"/>
            </w:tcMar>
            <w:vAlign w:val="center"/>
          </w:tcPr>
          <w:p w14:paraId="68B15C73">
            <w:pPr>
              <w:adjustRightInd w:val="0"/>
              <w:snapToGrid w:val="0"/>
              <w:spacing w:line="240" w:lineRule="auto"/>
              <w:jc w:val="center"/>
              <w:rPr>
                <w:snapToGrid w:val="0"/>
                <w:spacing w:val="-6"/>
                <w:kern w:val="21"/>
                <w:sz w:val="21"/>
                <w:szCs w:val="21"/>
              </w:rPr>
            </w:pPr>
            <w:r>
              <w:rPr>
                <w:snapToGrid w:val="0"/>
                <w:spacing w:val="-6"/>
                <w:kern w:val="21"/>
                <w:sz w:val="21"/>
                <w:szCs w:val="21"/>
              </w:rPr>
              <w:t>现有工程许可排放量</w:t>
            </w:r>
          </w:p>
          <w:p w14:paraId="3E9E6433">
            <w:pPr>
              <w:adjustRightInd w:val="0"/>
              <w:snapToGrid w:val="0"/>
              <w:spacing w:line="240" w:lineRule="auto"/>
              <w:jc w:val="center"/>
              <w:rPr>
                <w:snapToGrid w:val="0"/>
                <w:spacing w:val="-6"/>
                <w:kern w:val="21"/>
                <w:sz w:val="21"/>
                <w:szCs w:val="21"/>
              </w:rPr>
            </w:pPr>
            <w:r>
              <w:rPr>
                <w:snapToGrid w:val="0"/>
                <w:spacing w:val="-6"/>
                <w:kern w:val="21"/>
                <w:sz w:val="21"/>
                <w:szCs w:val="21"/>
              </w:rPr>
              <w:fldChar w:fldCharType="begin"/>
            </w:r>
            <w:r>
              <w:rPr>
                <w:snapToGrid w:val="0"/>
                <w:spacing w:val="-6"/>
                <w:kern w:val="21"/>
                <w:sz w:val="21"/>
                <w:szCs w:val="21"/>
              </w:rPr>
              <w:instrText xml:space="preserve"> = 2 \* GB3 \* MERGEFORMAT </w:instrText>
            </w:r>
            <w:r>
              <w:rPr>
                <w:snapToGrid w:val="0"/>
                <w:spacing w:val="-6"/>
                <w:kern w:val="21"/>
                <w:sz w:val="21"/>
                <w:szCs w:val="21"/>
              </w:rPr>
              <w:fldChar w:fldCharType="separate"/>
            </w:r>
            <w:r>
              <w:rPr>
                <w:snapToGrid w:val="0"/>
                <w:spacing w:val="-6"/>
                <w:kern w:val="21"/>
                <w:sz w:val="21"/>
                <w:szCs w:val="21"/>
              </w:rPr>
              <w:t>②</w:t>
            </w:r>
            <w:r>
              <w:rPr>
                <w:snapToGrid w:val="0"/>
                <w:spacing w:val="-6"/>
                <w:kern w:val="21"/>
                <w:sz w:val="21"/>
                <w:szCs w:val="21"/>
              </w:rPr>
              <w:fldChar w:fldCharType="end"/>
            </w:r>
          </w:p>
        </w:tc>
        <w:tc>
          <w:tcPr>
            <w:tcW w:w="635" w:type="pct"/>
            <w:noWrap w:val="0"/>
            <w:tcMar>
              <w:left w:w="28" w:type="dxa"/>
              <w:right w:w="28" w:type="dxa"/>
            </w:tcMar>
            <w:vAlign w:val="center"/>
          </w:tcPr>
          <w:p w14:paraId="38561F33">
            <w:pPr>
              <w:adjustRightInd w:val="0"/>
              <w:snapToGrid w:val="0"/>
              <w:spacing w:line="240" w:lineRule="auto"/>
              <w:jc w:val="center"/>
              <w:rPr>
                <w:snapToGrid w:val="0"/>
                <w:spacing w:val="-6"/>
                <w:kern w:val="21"/>
                <w:sz w:val="21"/>
                <w:szCs w:val="21"/>
              </w:rPr>
            </w:pPr>
            <w:r>
              <w:rPr>
                <w:snapToGrid w:val="0"/>
                <w:spacing w:val="-6"/>
                <w:kern w:val="21"/>
                <w:sz w:val="21"/>
                <w:szCs w:val="21"/>
              </w:rPr>
              <w:t>在建工程</w:t>
            </w:r>
          </w:p>
          <w:p w14:paraId="5773C0A3">
            <w:pPr>
              <w:adjustRightInd w:val="0"/>
              <w:snapToGrid w:val="0"/>
              <w:spacing w:line="240" w:lineRule="auto"/>
              <w:jc w:val="center"/>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3 \* GB3 \* MERGEFORMAT </w:instrText>
            </w:r>
            <w:r>
              <w:rPr>
                <w:snapToGrid w:val="0"/>
                <w:spacing w:val="-6"/>
                <w:kern w:val="21"/>
                <w:sz w:val="21"/>
                <w:szCs w:val="21"/>
              </w:rPr>
              <w:fldChar w:fldCharType="separate"/>
            </w:r>
            <w:r>
              <w:rPr>
                <w:sz w:val="21"/>
                <w:szCs w:val="21"/>
              </w:rPr>
              <w:t>③</w:t>
            </w:r>
            <w:r>
              <w:rPr>
                <w:snapToGrid w:val="0"/>
                <w:spacing w:val="-6"/>
                <w:kern w:val="21"/>
                <w:sz w:val="21"/>
                <w:szCs w:val="21"/>
              </w:rPr>
              <w:fldChar w:fldCharType="end"/>
            </w:r>
          </w:p>
        </w:tc>
        <w:tc>
          <w:tcPr>
            <w:tcW w:w="752" w:type="pct"/>
            <w:noWrap w:val="0"/>
            <w:tcMar>
              <w:left w:w="28" w:type="dxa"/>
              <w:right w:w="28" w:type="dxa"/>
            </w:tcMar>
            <w:vAlign w:val="center"/>
          </w:tcPr>
          <w:p w14:paraId="09A82B26">
            <w:pPr>
              <w:adjustRightInd w:val="0"/>
              <w:snapToGrid w:val="0"/>
              <w:spacing w:line="240" w:lineRule="auto"/>
              <w:jc w:val="center"/>
              <w:rPr>
                <w:snapToGrid w:val="0"/>
                <w:spacing w:val="-6"/>
                <w:kern w:val="21"/>
                <w:sz w:val="21"/>
                <w:szCs w:val="21"/>
              </w:rPr>
            </w:pPr>
            <w:r>
              <w:rPr>
                <w:snapToGrid w:val="0"/>
                <w:spacing w:val="-6"/>
                <w:kern w:val="21"/>
                <w:sz w:val="21"/>
                <w:szCs w:val="21"/>
              </w:rPr>
              <w:t>本项目</w:t>
            </w:r>
          </w:p>
          <w:p w14:paraId="03BA57F7">
            <w:pPr>
              <w:adjustRightInd w:val="0"/>
              <w:snapToGrid w:val="0"/>
              <w:spacing w:line="240" w:lineRule="auto"/>
              <w:jc w:val="center"/>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4 \* GB3 \* MERGEFORMAT </w:instrText>
            </w:r>
            <w:r>
              <w:rPr>
                <w:snapToGrid w:val="0"/>
                <w:spacing w:val="-6"/>
                <w:kern w:val="21"/>
                <w:sz w:val="21"/>
                <w:szCs w:val="21"/>
              </w:rPr>
              <w:fldChar w:fldCharType="separate"/>
            </w:r>
            <w:r>
              <w:rPr>
                <w:sz w:val="21"/>
                <w:szCs w:val="21"/>
              </w:rPr>
              <w:t>④</w:t>
            </w:r>
            <w:r>
              <w:rPr>
                <w:snapToGrid w:val="0"/>
                <w:spacing w:val="-6"/>
                <w:kern w:val="21"/>
                <w:sz w:val="21"/>
                <w:szCs w:val="21"/>
              </w:rPr>
              <w:fldChar w:fldCharType="end"/>
            </w:r>
          </w:p>
        </w:tc>
        <w:tc>
          <w:tcPr>
            <w:tcW w:w="436" w:type="pct"/>
            <w:noWrap w:val="0"/>
            <w:tcMar>
              <w:left w:w="28" w:type="dxa"/>
              <w:right w:w="28" w:type="dxa"/>
            </w:tcMar>
            <w:vAlign w:val="center"/>
          </w:tcPr>
          <w:p w14:paraId="2BDE63A0">
            <w:pPr>
              <w:adjustRightInd w:val="0"/>
              <w:snapToGrid w:val="0"/>
              <w:spacing w:line="240" w:lineRule="auto"/>
              <w:jc w:val="center"/>
              <w:rPr>
                <w:snapToGrid w:val="0"/>
                <w:spacing w:val="-16"/>
                <w:kern w:val="21"/>
                <w:sz w:val="21"/>
                <w:szCs w:val="21"/>
              </w:rPr>
            </w:pPr>
            <w:r>
              <w:rPr>
                <w:snapToGrid w:val="0"/>
                <w:spacing w:val="-16"/>
                <w:kern w:val="21"/>
                <w:sz w:val="21"/>
                <w:szCs w:val="21"/>
              </w:rPr>
              <w:t>以新带老削减量（新建项目不填）</w:t>
            </w:r>
            <w:r>
              <w:rPr>
                <w:snapToGrid w:val="0"/>
                <w:spacing w:val="-16"/>
                <w:kern w:val="21"/>
                <w:sz w:val="21"/>
                <w:szCs w:val="21"/>
              </w:rPr>
              <w:fldChar w:fldCharType="begin"/>
            </w:r>
            <w:r>
              <w:rPr>
                <w:snapToGrid w:val="0"/>
                <w:spacing w:val="-16"/>
                <w:kern w:val="21"/>
                <w:sz w:val="21"/>
                <w:szCs w:val="21"/>
              </w:rPr>
              <w:instrText xml:space="preserve"> = 5 \* GB3 \* MERGEFORMAT </w:instrText>
            </w:r>
            <w:r>
              <w:rPr>
                <w:snapToGrid w:val="0"/>
                <w:spacing w:val="-16"/>
                <w:kern w:val="21"/>
                <w:sz w:val="21"/>
                <w:szCs w:val="21"/>
              </w:rPr>
              <w:fldChar w:fldCharType="separate"/>
            </w:r>
            <w:r>
              <w:rPr>
                <w:sz w:val="21"/>
                <w:szCs w:val="21"/>
              </w:rPr>
              <w:t>⑤</w:t>
            </w:r>
            <w:r>
              <w:rPr>
                <w:snapToGrid w:val="0"/>
                <w:spacing w:val="-16"/>
                <w:kern w:val="21"/>
                <w:sz w:val="21"/>
                <w:szCs w:val="21"/>
              </w:rPr>
              <w:fldChar w:fldCharType="end"/>
            </w:r>
          </w:p>
        </w:tc>
        <w:tc>
          <w:tcPr>
            <w:tcW w:w="784" w:type="pct"/>
            <w:noWrap w:val="0"/>
            <w:tcMar>
              <w:left w:w="28" w:type="dxa"/>
              <w:right w:w="28" w:type="dxa"/>
            </w:tcMar>
            <w:vAlign w:val="center"/>
          </w:tcPr>
          <w:p w14:paraId="79F76CBF">
            <w:pPr>
              <w:adjustRightInd w:val="0"/>
              <w:snapToGrid w:val="0"/>
              <w:spacing w:line="240" w:lineRule="auto"/>
              <w:jc w:val="center"/>
              <w:rPr>
                <w:snapToGrid w:val="0"/>
                <w:spacing w:val="-16"/>
                <w:kern w:val="21"/>
                <w:sz w:val="21"/>
                <w:szCs w:val="21"/>
              </w:rPr>
            </w:pPr>
            <w:r>
              <w:rPr>
                <w:snapToGrid w:val="0"/>
                <w:spacing w:val="-16"/>
                <w:kern w:val="21"/>
                <w:sz w:val="21"/>
                <w:szCs w:val="21"/>
              </w:rPr>
              <w:t>本项目建成后</w:t>
            </w:r>
          </w:p>
          <w:p w14:paraId="4B5756C3">
            <w:pPr>
              <w:adjustRightInd w:val="0"/>
              <w:snapToGrid w:val="0"/>
              <w:spacing w:line="240" w:lineRule="auto"/>
              <w:jc w:val="center"/>
              <w:rPr>
                <w:snapToGrid w:val="0"/>
                <w:spacing w:val="-16"/>
                <w:kern w:val="21"/>
                <w:sz w:val="21"/>
                <w:szCs w:val="21"/>
              </w:rPr>
            </w:pPr>
            <w:r>
              <w:rPr>
                <w:snapToGrid w:val="0"/>
                <w:spacing w:val="-16"/>
                <w:kern w:val="21"/>
                <w:sz w:val="21"/>
                <w:szCs w:val="21"/>
              </w:rPr>
              <w:t>全厂排放量（固体废物产生量）</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sz w:val="21"/>
                <w:szCs w:val="21"/>
              </w:rPr>
              <w:t>⑥</w:t>
            </w:r>
            <w:r>
              <w:rPr>
                <w:snapToGrid w:val="0"/>
                <w:spacing w:val="-16"/>
                <w:kern w:val="21"/>
                <w:sz w:val="21"/>
                <w:szCs w:val="21"/>
              </w:rPr>
              <w:fldChar w:fldCharType="end"/>
            </w:r>
          </w:p>
        </w:tc>
        <w:tc>
          <w:tcPr>
            <w:tcW w:w="463" w:type="pct"/>
            <w:noWrap w:val="0"/>
            <w:tcMar>
              <w:left w:w="28" w:type="dxa"/>
              <w:right w:w="28" w:type="dxa"/>
            </w:tcMar>
            <w:vAlign w:val="center"/>
          </w:tcPr>
          <w:p w14:paraId="20D68D9D">
            <w:pPr>
              <w:adjustRightInd w:val="0"/>
              <w:snapToGrid w:val="0"/>
              <w:spacing w:line="240" w:lineRule="auto"/>
              <w:jc w:val="center"/>
              <w:rPr>
                <w:snapToGrid w:val="0"/>
                <w:spacing w:val="-6"/>
                <w:kern w:val="21"/>
                <w:sz w:val="21"/>
                <w:szCs w:val="21"/>
              </w:rPr>
            </w:pPr>
            <w:r>
              <w:rPr>
                <w:snapToGrid w:val="0"/>
                <w:spacing w:val="-6"/>
                <w:kern w:val="21"/>
                <w:sz w:val="21"/>
                <w:szCs w:val="21"/>
              </w:rPr>
              <w:t>变化量</w:t>
            </w:r>
          </w:p>
          <w:p w14:paraId="57394C86">
            <w:pPr>
              <w:adjustRightInd w:val="0"/>
              <w:snapToGrid w:val="0"/>
              <w:spacing w:line="240" w:lineRule="auto"/>
              <w:jc w:val="center"/>
              <w:rPr>
                <w:snapToGrid w:val="0"/>
                <w:spacing w:val="-6"/>
                <w:kern w:val="21"/>
                <w:sz w:val="21"/>
                <w:szCs w:val="21"/>
                <w:highlight w:val="yellow"/>
              </w:rPr>
            </w:pPr>
            <w:r>
              <w:rPr>
                <w:snapToGrid w:val="0"/>
                <w:spacing w:val="-6"/>
                <w:kern w:val="21"/>
                <w:sz w:val="21"/>
                <w:szCs w:val="21"/>
              </w:rPr>
              <w:fldChar w:fldCharType="begin"/>
            </w:r>
            <w:r>
              <w:rPr>
                <w:snapToGrid w:val="0"/>
                <w:spacing w:val="-6"/>
                <w:kern w:val="21"/>
                <w:sz w:val="21"/>
                <w:szCs w:val="21"/>
              </w:rPr>
              <w:instrText xml:space="preserve"> = 7 \* GB3 \* MERGEFORMAT </w:instrText>
            </w:r>
            <w:r>
              <w:rPr>
                <w:snapToGrid w:val="0"/>
                <w:spacing w:val="-6"/>
                <w:kern w:val="21"/>
                <w:sz w:val="21"/>
                <w:szCs w:val="21"/>
              </w:rPr>
              <w:fldChar w:fldCharType="separate"/>
            </w:r>
            <w:r>
              <w:rPr>
                <w:sz w:val="21"/>
                <w:szCs w:val="21"/>
              </w:rPr>
              <w:t>⑦</w:t>
            </w:r>
            <w:r>
              <w:rPr>
                <w:snapToGrid w:val="0"/>
                <w:spacing w:val="-6"/>
                <w:kern w:val="21"/>
                <w:sz w:val="21"/>
                <w:szCs w:val="21"/>
              </w:rPr>
              <w:fldChar w:fldCharType="end"/>
            </w:r>
          </w:p>
        </w:tc>
      </w:tr>
      <w:tr w14:paraId="241BD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94" w:type="pct"/>
            <w:vMerge w:val="restart"/>
            <w:noWrap w:val="0"/>
            <w:vAlign w:val="center"/>
          </w:tcPr>
          <w:p w14:paraId="4126D096">
            <w:pPr>
              <w:adjustRightInd w:val="0"/>
              <w:snapToGrid w:val="0"/>
              <w:spacing w:line="240" w:lineRule="auto"/>
              <w:jc w:val="center"/>
              <w:rPr>
                <w:snapToGrid w:val="0"/>
                <w:kern w:val="21"/>
                <w:sz w:val="21"/>
                <w:szCs w:val="21"/>
              </w:rPr>
            </w:pPr>
            <w:r>
              <w:rPr>
                <w:snapToGrid w:val="0"/>
                <w:kern w:val="21"/>
                <w:sz w:val="21"/>
                <w:szCs w:val="21"/>
              </w:rPr>
              <w:t>废气</w:t>
            </w:r>
          </w:p>
        </w:tc>
        <w:tc>
          <w:tcPr>
            <w:tcW w:w="730" w:type="pct"/>
            <w:noWrap w:val="0"/>
            <w:vAlign w:val="center"/>
          </w:tcPr>
          <w:p w14:paraId="252A5478">
            <w:pPr>
              <w:adjustRightInd w:val="0"/>
              <w:snapToGrid w:val="0"/>
              <w:spacing w:line="240" w:lineRule="auto"/>
              <w:jc w:val="center"/>
              <w:rPr>
                <w:snapToGrid w:val="0"/>
                <w:kern w:val="21"/>
                <w:sz w:val="21"/>
                <w:szCs w:val="21"/>
              </w:rPr>
            </w:pPr>
            <w:r>
              <w:rPr>
                <w:snapToGrid w:val="0"/>
                <w:kern w:val="21"/>
                <w:sz w:val="21"/>
                <w:szCs w:val="21"/>
              </w:rPr>
              <w:t>颗粒物</w:t>
            </w:r>
          </w:p>
        </w:tc>
        <w:tc>
          <w:tcPr>
            <w:tcW w:w="635" w:type="pct"/>
            <w:noWrap w:val="0"/>
            <w:vAlign w:val="center"/>
          </w:tcPr>
          <w:p w14:paraId="2F6F71FF">
            <w:pPr>
              <w:adjustRightInd w:val="0"/>
              <w:snapToGrid w:val="0"/>
              <w:spacing w:line="240" w:lineRule="auto"/>
              <w:jc w:val="center"/>
              <w:rPr>
                <w:snapToGrid w:val="0"/>
                <w:kern w:val="21"/>
                <w:sz w:val="21"/>
                <w:szCs w:val="21"/>
              </w:rPr>
            </w:pPr>
            <w:r>
              <w:rPr>
                <w:snapToGrid w:val="0"/>
                <w:kern w:val="21"/>
                <w:sz w:val="21"/>
                <w:szCs w:val="21"/>
              </w:rPr>
              <w:t>/</w:t>
            </w:r>
          </w:p>
        </w:tc>
        <w:tc>
          <w:tcPr>
            <w:tcW w:w="266" w:type="pct"/>
            <w:noWrap w:val="0"/>
            <w:vAlign w:val="center"/>
          </w:tcPr>
          <w:p w14:paraId="406CB20C">
            <w:pPr>
              <w:adjustRightInd w:val="0"/>
              <w:snapToGrid w:val="0"/>
              <w:spacing w:line="240" w:lineRule="auto"/>
              <w:jc w:val="center"/>
              <w:rPr>
                <w:sz w:val="21"/>
                <w:szCs w:val="21"/>
              </w:rPr>
            </w:pPr>
            <w:r>
              <w:rPr>
                <w:snapToGrid w:val="0"/>
                <w:kern w:val="21"/>
                <w:sz w:val="21"/>
                <w:szCs w:val="21"/>
              </w:rPr>
              <w:t>/</w:t>
            </w:r>
          </w:p>
        </w:tc>
        <w:tc>
          <w:tcPr>
            <w:tcW w:w="635" w:type="pct"/>
            <w:noWrap w:val="0"/>
            <w:vAlign w:val="center"/>
          </w:tcPr>
          <w:p w14:paraId="72642A05">
            <w:pPr>
              <w:adjustRightInd w:val="0"/>
              <w:snapToGrid w:val="0"/>
              <w:spacing w:line="240" w:lineRule="auto"/>
              <w:jc w:val="center"/>
              <w:rPr>
                <w:sz w:val="21"/>
                <w:szCs w:val="21"/>
              </w:rPr>
            </w:pPr>
            <w:r>
              <w:rPr>
                <w:snapToGrid w:val="0"/>
                <w:kern w:val="21"/>
                <w:sz w:val="21"/>
                <w:szCs w:val="21"/>
              </w:rPr>
              <w:t>/</w:t>
            </w:r>
          </w:p>
        </w:tc>
        <w:tc>
          <w:tcPr>
            <w:tcW w:w="752" w:type="pct"/>
            <w:noWrap w:val="0"/>
            <w:vAlign w:val="center"/>
          </w:tcPr>
          <w:p w14:paraId="2B5A3759">
            <w:pPr>
              <w:adjustRightInd w:val="0"/>
              <w:snapToGrid w:val="0"/>
              <w:spacing w:line="240" w:lineRule="auto"/>
              <w:jc w:val="center"/>
              <w:rPr>
                <w:snapToGrid w:val="0"/>
                <w:kern w:val="21"/>
                <w:sz w:val="21"/>
                <w:szCs w:val="21"/>
              </w:rPr>
            </w:pPr>
            <w:r>
              <w:rPr>
                <w:rFonts w:hint="eastAsia"/>
                <w:snapToGrid w:val="0"/>
                <w:kern w:val="21"/>
                <w:sz w:val="21"/>
                <w:szCs w:val="21"/>
                <w:lang w:val="en-US" w:eastAsia="zh-CN"/>
              </w:rPr>
              <w:t>0.826</w:t>
            </w:r>
            <w:r>
              <w:rPr>
                <w:snapToGrid w:val="0"/>
                <w:kern w:val="21"/>
                <w:sz w:val="21"/>
                <w:szCs w:val="21"/>
              </w:rPr>
              <w:t>t/a</w:t>
            </w:r>
          </w:p>
        </w:tc>
        <w:tc>
          <w:tcPr>
            <w:tcW w:w="436" w:type="pct"/>
            <w:noWrap w:val="0"/>
            <w:vAlign w:val="center"/>
          </w:tcPr>
          <w:p w14:paraId="0158EC7A">
            <w:pPr>
              <w:adjustRightInd w:val="0"/>
              <w:snapToGrid w:val="0"/>
              <w:spacing w:line="240" w:lineRule="auto"/>
              <w:jc w:val="center"/>
              <w:rPr>
                <w:sz w:val="21"/>
                <w:szCs w:val="21"/>
              </w:rPr>
            </w:pPr>
            <w:r>
              <w:rPr>
                <w:snapToGrid w:val="0"/>
                <w:kern w:val="21"/>
                <w:sz w:val="21"/>
                <w:szCs w:val="21"/>
              </w:rPr>
              <w:t>/</w:t>
            </w:r>
          </w:p>
        </w:tc>
        <w:tc>
          <w:tcPr>
            <w:tcW w:w="784" w:type="pct"/>
            <w:shd w:val="clear" w:color="auto" w:fill="auto"/>
            <w:noWrap w:val="0"/>
            <w:vAlign w:val="center"/>
          </w:tcPr>
          <w:p w14:paraId="3F87BC60">
            <w:pPr>
              <w:adjustRightInd w:val="0"/>
              <w:snapToGrid w:val="0"/>
              <w:spacing w:line="240" w:lineRule="auto"/>
              <w:jc w:val="center"/>
              <w:rPr>
                <w:snapToGrid w:val="0"/>
                <w:kern w:val="21"/>
                <w:sz w:val="21"/>
                <w:szCs w:val="21"/>
                <w:lang w:val="en-US" w:eastAsia="zh-CN" w:bidi="ar-SA"/>
              </w:rPr>
            </w:pPr>
            <w:r>
              <w:rPr>
                <w:rFonts w:hint="eastAsia"/>
                <w:snapToGrid w:val="0"/>
                <w:kern w:val="21"/>
                <w:sz w:val="21"/>
                <w:szCs w:val="21"/>
                <w:lang w:val="en-US" w:eastAsia="zh-CN"/>
              </w:rPr>
              <w:t>0.826</w:t>
            </w:r>
            <w:r>
              <w:rPr>
                <w:snapToGrid w:val="0"/>
                <w:kern w:val="21"/>
                <w:sz w:val="21"/>
                <w:szCs w:val="21"/>
              </w:rPr>
              <w:t>t/a</w:t>
            </w:r>
          </w:p>
        </w:tc>
        <w:tc>
          <w:tcPr>
            <w:tcW w:w="463" w:type="pct"/>
            <w:shd w:val="clear" w:color="auto" w:fill="auto"/>
            <w:noWrap w:val="0"/>
            <w:vAlign w:val="center"/>
          </w:tcPr>
          <w:p w14:paraId="467397D1">
            <w:pPr>
              <w:adjustRightInd w:val="0"/>
              <w:snapToGrid w:val="0"/>
              <w:spacing w:line="240" w:lineRule="auto"/>
              <w:jc w:val="center"/>
              <w:rPr>
                <w:snapToGrid w:val="0"/>
                <w:kern w:val="21"/>
                <w:sz w:val="21"/>
                <w:szCs w:val="21"/>
                <w:lang w:val="en-US" w:eastAsia="zh-CN" w:bidi="ar-SA"/>
              </w:rPr>
            </w:pPr>
            <w:r>
              <w:rPr>
                <w:rFonts w:hint="eastAsia"/>
                <w:snapToGrid w:val="0"/>
                <w:kern w:val="21"/>
                <w:sz w:val="21"/>
                <w:szCs w:val="21"/>
                <w:lang w:val="en-US" w:eastAsia="zh-CN"/>
              </w:rPr>
              <w:t>+0.826</w:t>
            </w:r>
            <w:r>
              <w:rPr>
                <w:snapToGrid w:val="0"/>
                <w:kern w:val="21"/>
                <w:sz w:val="21"/>
                <w:szCs w:val="21"/>
              </w:rPr>
              <w:t>t/a</w:t>
            </w:r>
          </w:p>
        </w:tc>
      </w:tr>
      <w:tr w14:paraId="03968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94" w:type="pct"/>
            <w:vMerge w:val="continue"/>
            <w:noWrap w:val="0"/>
            <w:vAlign w:val="center"/>
          </w:tcPr>
          <w:p w14:paraId="7C46D224">
            <w:pPr>
              <w:adjustRightInd w:val="0"/>
              <w:snapToGrid w:val="0"/>
              <w:spacing w:line="240" w:lineRule="auto"/>
              <w:jc w:val="center"/>
              <w:rPr>
                <w:snapToGrid w:val="0"/>
                <w:kern w:val="21"/>
                <w:sz w:val="21"/>
                <w:szCs w:val="21"/>
              </w:rPr>
            </w:pPr>
          </w:p>
        </w:tc>
        <w:tc>
          <w:tcPr>
            <w:tcW w:w="730" w:type="pct"/>
            <w:noWrap w:val="0"/>
            <w:vAlign w:val="center"/>
          </w:tcPr>
          <w:p w14:paraId="1D1E6AFF">
            <w:pPr>
              <w:adjustRightInd w:val="0"/>
              <w:snapToGrid w:val="0"/>
              <w:spacing w:line="240" w:lineRule="auto"/>
              <w:jc w:val="center"/>
              <w:rPr>
                <w:snapToGrid w:val="0"/>
                <w:kern w:val="21"/>
                <w:sz w:val="21"/>
                <w:szCs w:val="21"/>
              </w:rPr>
            </w:pPr>
            <w:r>
              <w:rPr>
                <w:snapToGrid w:val="0"/>
                <w:kern w:val="21"/>
                <w:sz w:val="21"/>
                <w:szCs w:val="21"/>
              </w:rPr>
              <w:t>非甲烷总烃</w:t>
            </w:r>
          </w:p>
        </w:tc>
        <w:tc>
          <w:tcPr>
            <w:tcW w:w="635" w:type="pct"/>
            <w:noWrap w:val="0"/>
            <w:vAlign w:val="center"/>
          </w:tcPr>
          <w:p w14:paraId="29873EB2">
            <w:pPr>
              <w:adjustRightInd w:val="0"/>
              <w:snapToGrid w:val="0"/>
              <w:spacing w:line="240" w:lineRule="auto"/>
              <w:jc w:val="center"/>
              <w:rPr>
                <w:snapToGrid w:val="0"/>
                <w:kern w:val="21"/>
                <w:sz w:val="21"/>
                <w:szCs w:val="21"/>
              </w:rPr>
            </w:pPr>
            <w:r>
              <w:rPr>
                <w:snapToGrid w:val="0"/>
                <w:kern w:val="21"/>
                <w:sz w:val="21"/>
                <w:szCs w:val="21"/>
              </w:rPr>
              <w:t>/</w:t>
            </w:r>
          </w:p>
        </w:tc>
        <w:tc>
          <w:tcPr>
            <w:tcW w:w="266" w:type="pct"/>
            <w:noWrap w:val="0"/>
            <w:vAlign w:val="center"/>
          </w:tcPr>
          <w:p w14:paraId="75862DE7">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3F8C38ED">
            <w:pPr>
              <w:adjustRightInd w:val="0"/>
              <w:snapToGrid w:val="0"/>
              <w:spacing w:line="240" w:lineRule="auto"/>
              <w:jc w:val="center"/>
              <w:rPr>
                <w:snapToGrid w:val="0"/>
                <w:kern w:val="21"/>
                <w:sz w:val="21"/>
                <w:szCs w:val="21"/>
              </w:rPr>
            </w:pPr>
            <w:r>
              <w:rPr>
                <w:snapToGrid w:val="0"/>
                <w:kern w:val="21"/>
                <w:sz w:val="21"/>
                <w:szCs w:val="21"/>
              </w:rPr>
              <w:t>/</w:t>
            </w:r>
          </w:p>
        </w:tc>
        <w:tc>
          <w:tcPr>
            <w:tcW w:w="752" w:type="pct"/>
            <w:noWrap w:val="0"/>
            <w:vAlign w:val="center"/>
          </w:tcPr>
          <w:p w14:paraId="77A7DD3A">
            <w:pPr>
              <w:adjustRightInd w:val="0"/>
              <w:snapToGrid w:val="0"/>
              <w:spacing w:line="240" w:lineRule="auto"/>
              <w:jc w:val="center"/>
              <w:rPr>
                <w:snapToGrid w:val="0"/>
                <w:kern w:val="21"/>
                <w:sz w:val="21"/>
                <w:szCs w:val="21"/>
              </w:rPr>
            </w:pPr>
            <w:r>
              <w:rPr>
                <w:rFonts w:hint="eastAsia"/>
                <w:snapToGrid w:val="0"/>
                <w:kern w:val="21"/>
                <w:sz w:val="21"/>
                <w:szCs w:val="21"/>
                <w:lang w:val="en-US" w:eastAsia="zh-CN"/>
              </w:rPr>
              <w:t>1.631</w:t>
            </w:r>
            <w:r>
              <w:rPr>
                <w:snapToGrid w:val="0"/>
                <w:kern w:val="21"/>
                <w:sz w:val="21"/>
                <w:szCs w:val="21"/>
              </w:rPr>
              <w:t>t/a</w:t>
            </w:r>
          </w:p>
        </w:tc>
        <w:tc>
          <w:tcPr>
            <w:tcW w:w="436" w:type="pct"/>
            <w:noWrap w:val="0"/>
            <w:vAlign w:val="center"/>
          </w:tcPr>
          <w:p w14:paraId="73911DCB">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color="auto" w:fill="auto"/>
            <w:noWrap w:val="0"/>
            <w:vAlign w:val="center"/>
          </w:tcPr>
          <w:p w14:paraId="61AC2CB6">
            <w:pPr>
              <w:adjustRightInd w:val="0"/>
              <w:snapToGrid w:val="0"/>
              <w:spacing w:line="240" w:lineRule="auto"/>
              <w:jc w:val="center"/>
              <w:rPr>
                <w:snapToGrid w:val="0"/>
                <w:kern w:val="21"/>
                <w:sz w:val="21"/>
                <w:szCs w:val="21"/>
                <w:lang w:val="en-US" w:eastAsia="zh-CN" w:bidi="ar-SA"/>
              </w:rPr>
            </w:pPr>
            <w:r>
              <w:rPr>
                <w:rFonts w:hint="eastAsia"/>
                <w:snapToGrid w:val="0"/>
                <w:kern w:val="21"/>
                <w:sz w:val="21"/>
                <w:szCs w:val="21"/>
                <w:lang w:val="en-US" w:eastAsia="zh-CN"/>
              </w:rPr>
              <w:t>1.631</w:t>
            </w:r>
            <w:r>
              <w:rPr>
                <w:snapToGrid w:val="0"/>
                <w:kern w:val="21"/>
                <w:sz w:val="21"/>
                <w:szCs w:val="21"/>
              </w:rPr>
              <w:t>t/a</w:t>
            </w:r>
          </w:p>
        </w:tc>
        <w:tc>
          <w:tcPr>
            <w:tcW w:w="463" w:type="pct"/>
            <w:shd w:val="clear" w:color="auto" w:fill="auto"/>
            <w:noWrap w:val="0"/>
            <w:vAlign w:val="center"/>
          </w:tcPr>
          <w:p w14:paraId="6B894AAE">
            <w:pPr>
              <w:adjustRightInd w:val="0"/>
              <w:snapToGrid w:val="0"/>
              <w:spacing w:line="240" w:lineRule="auto"/>
              <w:jc w:val="center"/>
              <w:rPr>
                <w:snapToGrid w:val="0"/>
                <w:kern w:val="21"/>
                <w:sz w:val="21"/>
                <w:szCs w:val="21"/>
                <w:lang w:val="en-US" w:eastAsia="zh-CN" w:bidi="ar-SA"/>
              </w:rPr>
            </w:pPr>
            <w:r>
              <w:rPr>
                <w:rFonts w:hint="eastAsia"/>
                <w:snapToGrid w:val="0"/>
                <w:kern w:val="21"/>
                <w:sz w:val="21"/>
                <w:szCs w:val="21"/>
                <w:lang w:val="en-US" w:eastAsia="zh-CN"/>
              </w:rPr>
              <w:t>+1.631</w:t>
            </w:r>
            <w:r>
              <w:rPr>
                <w:snapToGrid w:val="0"/>
                <w:kern w:val="21"/>
                <w:sz w:val="21"/>
                <w:szCs w:val="21"/>
              </w:rPr>
              <w:t>t/a</w:t>
            </w:r>
          </w:p>
        </w:tc>
      </w:tr>
      <w:tr w14:paraId="17E7B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94" w:type="pct"/>
            <w:vMerge w:val="restart"/>
            <w:noWrap w:val="0"/>
            <w:vAlign w:val="center"/>
          </w:tcPr>
          <w:p w14:paraId="4872E166">
            <w:pPr>
              <w:adjustRightInd w:val="0"/>
              <w:snapToGrid w:val="0"/>
              <w:spacing w:line="240" w:lineRule="auto"/>
              <w:jc w:val="center"/>
              <w:rPr>
                <w:rFonts w:hint="default" w:eastAsia="宋体"/>
                <w:snapToGrid w:val="0"/>
                <w:kern w:val="21"/>
                <w:sz w:val="21"/>
                <w:szCs w:val="21"/>
                <w:lang w:val="en-US" w:eastAsia="zh-CN"/>
              </w:rPr>
            </w:pPr>
            <w:r>
              <w:rPr>
                <w:rFonts w:hint="eastAsia"/>
                <w:snapToGrid w:val="0"/>
                <w:kern w:val="21"/>
                <w:sz w:val="21"/>
                <w:szCs w:val="21"/>
                <w:lang w:val="en-US" w:eastAsia="zh-CN"/>
              </w:rPr>
              <w:t>废水</w:t>
            </w:r>
          </w:p>
        </w:tc>
        <w:tc>
          <w:tcPr>
            <w:tcW w:w="730" w:type="pct"/>
            <w:noWrap w:val="0"/>
            <w:vAlign w:val="center"/>
          </w:tcPr>
          <w:p w14:paraId="27917628">
            <w:pPr>
              <w:adjustRightInd w:val="0"/>
              <w:snapToGrid w:val="0"/>
              <w:spacing w:line="240" w:lineRule="auto"/>
              <w:jc w:val="center"/>
              <w:rPr>
                <w:rFonts w:hint="default" w:eastAsia="宋体"/>
                <w:snapToGrid w:val="0"/>
                <w:kern w:val="21"/>
                <w:sz w:val="21"/>
                <w:szCs w:val="21"/>
                <w:lang w:val="en-US" w:eastAsia="zh-CN"/>
              </w:rPr>
            </w:pPr>
            <w:r>
              <w:rPr>
                <w:rFonts w:hint="eastAsia"/>
                <w:snapToGrid w:val="0"/>
                <w:kern w:val="21"/>
                <w:sz w:val="21"/>
                <w:szCs w:val="21"/>
                <w:lang w:val="en-US" w:eastAsia="zh-CN"/>
              </w:rPr>
              <w:t>COD</w:t>
            </w:r>
          </w:p>
        </w:tc>
        <w:tc>
          <w:tcPr>
            <w:tcW w:w="635" w:type="pct"/>
            <w:noWrap w:val="0"/>
            <w:vAlign w:val="center"/>
          </w:tcPr>
          <w:p w14:paraId="7A7BDA64">
            <w:pPr>
              <w:adjustRightInd w:val="0"/>
              <w:snapToGrid w:val="0"/>
              <w:spacing w:line="240" w:lineRule="auto"/>
              <w:jc w:val="center"/>
              <w:rPr>
                <w:snapToGrid w:val="0"/>
                <w:kern w:val="21"/>
                <w:sz w:val="21"/>
                <w:szCs w:val="21"/>
              </w:rPr>
            </w:pPr>
            <w:r>
              <w:rPr>
                <w:snapToGrid w:val="0"/>
                <w:kern w:val="21"/>
                <w:sz w:val="21"/>
                <w:szCs w:val="21"/>
              </w:rPr>
              <w:t>/</w:t>
            </w:r>
          </w:p>
        </w:tc>
        <w:tc>
          <w:tcPr>
            <w:tcW w:w="266" w:type="pct"/>
            <w:noWrap w:val="0"/>
            <w:vAlign w:val="center"/>
          </w:tcPr>
          <w:p w14:paraId="3BBF303D">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1F62E618">
            <w:pPr>
              <w:adjustRightInd w:val="0"/>
              <w:snapToGrid w:val="0"/>
              <w:spacing w:line="240" w:lineRule="auto"/>
              <w:jc w:val="center"/>
              <w:rPr>
                <w:snapToGrid w:val="0"/>
                <w:kern w:val="21"/>
                <w:sz w:val="21"/>
                <w:szCs w:val="21"/>
              </w:rPr>
            </w:pPr>
            <w:r>
              <w:rPr>
                <w:snapToGrid w:val="0"/>
                <w:kern w:val="21"/>
                <w:sz w:val="21"/>
                <w:szCs w:val="21"/>
              </w:rPr>
              <w:t>/</w:t>
            </w:r>
          </w:p>
        </w:tc>
        <w:tc>
          <w:tcPr>
            <w:tcW w:w="752" w:type="pct"/>
            <w:noWrap w:val="0"/>
            <w:vAlign w:val="center"/>
          </w:tcPr>
          <w:p w14:paraId="3AF3A1DC">
            <w:pPr>
              <w:adjustRightInd w:val="0"/>
              <w:snapToGrid w:val="0"/>
              <w:spacing w:line="240" w:lineRule="auto"/>
              <w:jc w:val="center"/>
              <w:rPr>
                <w:rFonts w:hint="default"/>
                <w:snapToGrid w:val="0"/>
                <w:kern w:val="21"/>
                <w:sz w:val="21"/>
                <w:szCs w:val="21"/>
                <w:lang w:val="en-US" w:eastAsia="zh-CN"/>
              </w:rPr>
            </w:pPr>
            <w:r>
              <w:rPr>
                <w:rFonts w:hint="eastAsia"/>
                <w:snapToGrid w:val="0"/>
                <w:kern w:val="21"/>
                <w:sz w:val="21"/>
                <w:szCs w:val="21"/>
                <w:lang w:val="en-US" w:eastAsia="zh-CN"/>
              </w:rPr>
              <w:t>0.181t/a</w:t>
            </w:r>
          </w:p>
        </w:tc>
        <w:tc>
          <w:tcPr>
            <w:tcW w:w="436" w:type="pct"/>
            <w:noWrap w:val="0"/>
            <w:vAlign w:val="center"/>
          </w:tcPr>
          <w:p w14:paraId="3B04882D">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noWrap w:val="0"/>
            <w:vAlign w:val="center"/>
          </w:tcPr>
          <w:p w14:paraId="126B5978">
            <w:pPr>
              <w:adjustRightInd w:val="0"/>
              <w:snapToGrid w:val="0"/>
              <w:spacing w:line="240" w:lineRule="auto"/>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 w:val="21"/>
                <w:szCs w:val="21"/>
                <w:lang w:val="en-US" w:eastAsia="zh-CN"/>
              </w:rPr>
              <w:t>0.181t/a</w:t>
            </w:r>
          </w:p>
        </w:tc>
        <w:tc>
          <w:tcPr>
            <w:tcW w:w="463" w:type="pct"/>
            <w:shd w:val="clear"/>
            <w:noWrap w:val="0"/>
            <w:vAlign w:val="center"/>
          </w:tcPr>
          <w:p w14:paraId="79FB9543">
            <w:pPr>
              <w:adjustRightInd w:val="0"/>
              <w:snapToGrid w:val="0"/>
              <w:spacing w:line="240" w:lineRule="auto"/>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 w:val="21"/>
                <w:szCs w:val="21"/>
                <w:lang w:val="en-US" w:eastAsia="zh-CN"/>
              </w:rPr>
              <w:t>+0.181t/a</w:t>
            </w:r>
          </w:p>
        </w:tc>
      </w:tr>
      <w:tr w14:paraId="44EED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94" w:type="pct"/>
            <w:vMerge w:val="continue"/>
            <w:tcBorders/>
            <w:noWrap w:val="0"/>
            <w:vAlign w:val="center"/>
          </w:tcPr>
          <w:p w14:paraId="1C24C976">
            <w:pPr>
              <w:adjustRightInd w:val="0"/>
              <w:snapToGrid w:val="0"/>
              <w:spacing w:line="240" w:lineRule="auto"/>
              <w:jc w:val="center"/>
              <w:rPr>
                <w:snapToGrid w:val="0"/>
                <w:kern w:val="21"/>
                <w:sz w:val="21"/>
                <w:szCs w:val="21"/>
              </w:rPr>
            </w:pPr>
          </w:p>
        </w:tc>
        <w:tc>
          <w:tcPr>
            <w:tcW w:w="730" w:type="pct"/>
            <w:noWrap w:val="0"/>
            <w:vAlign w:val="center"/>
          </w:tcPr>
          <w:p w14:paraId="3326FE53">
            <w:pPr>
              <w:adjustRightInd w:val="0"/>
              <w:snapToGrid w:val="0"/>
              <w:spacing w:line="240" w:lineRule="auto"/>
              <w:jc w:val="center"/>
              <w:rPr>
                <w:rFonts w:hint="eastAsia" w:eastAsia="宋体"/>
                <w:snapToGrid w:val="0"/>
                <w:kern w:val="21"/>
                <w:sz w:val="21"/>
                <w:szCs w:val="21"/>
                <w:lang w:val="en-US" w:eastAsia="zh-CN"/>
              </w:rPr>
            </w:pPr>
            <w:r>
              <w:rPr>
                <w:rFonts w:hint="eastAsia"/>
                <w:snapToGrid w:val="0"/>
                <w:kern w:val="21"/>
                <w:sz w:val="21"/>
                <w:szCs w:val="21"/>
                <w:lang w:val="en-US" w:eastAsia="zh-CN"/>
              </w:rPr>
              <w:t>氨氮</w:t>
            </w:r>
          </w:p>
        </w:tc>
        <w:tc>
          <w:tcPr>
            <w:tcW w:w="635" w:type="pct"/>
            <w:noWrap w:val="0"/>
            <w:vAlign w:val="center"/>
          </w:tcPr>
          <w:p w14:paraId="6597E23B">
            <w:pPr>
              <w:adjustRightInd w:val="0"/>
              <w:snapToGrid w:val="0"/>
              <w:spacing w:line="240" w:lineRule="auto"/>
              <w:jc w:val="center"/>
              <w:rPr>
                <w:snapToGrid w:val="0"/>
                <w:kern w:val="21"/>
                <w:sz w:val="21"/>
                <w:szCs w:val="21"/>
              </w:rPr>
            </w:pPr>
            <w:r>
              <w:rPr>
                <w:snapToGrid w:val="0"/>
                <w:kern w:val="21"/>
                <w:sz w:val="21"/>
                <w:szCs w:val="21"/>
              </w:rPr>
              <w:t>/</w:t>
            </w:r>
          </w:p>
        </w:tc>
        <w:tc>
          <w:tcPr>
            <w:tcW w:w="266" w:type="pct"/>
            <w:noWrap w:val="0"/>
            <w:vAlign w:val="center"/>
          </w:tcPr>
          <w:p w14:paraId="04F23AD5">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2BB6B8FA">
            <w:pPr>
              <w:adjustRightInd w:val="0"/>
              <w:snapToGrid w:val="0"/>
              <w:spacing w:line="240" w:lineRule="auto"/>
              <w:jc w:val="center"/>
              <w:rPr>
                <w:snapToGrid w:val="0"/>
                <w:kern w:val="21"/>
                <w:sz w:val="21"/>
                <w:szCs w:val="21"/>
              </w:rPr>
            </w:pPr>
            <w:r>
              <w:rPr>
                <w:snapToGrid w:val="0"/>
                <w:kern w:val="21"/>
                <w:sz w:val="21"/>
                <w:szCs w:val="21"/>
              </w:rPr>
              <w:t>/</w:t>
            </w:r>
          </w:p>
        </w:tc>
        <w:tc>
          <w:tcPr>
            <w:tcW w:w="752" w:type="pct"/>
            <w:noWrap w:val="0"/>
            <w:vAlign w:val="center"/>
          </w:tcPr>
          <w:p w14:paraId="0110882E">
            <w:pPr>
              <w:adjustRightInd w:val="0"/>
              <w:snapToGrid w:val="0"/>
              <w:spacing w:line="240" w:lineRule="auto"/>
              <w:jc w:val="center"/>
              <w:rPr>
                <w:rFonts w:hint="default"/>
                <w:snapToGrid w:val="0"/>
                <w:kern w:val="21"/>
                <w:sz w:val="21"/>
                <w:szCs w:val="21"/>
                <w:lang w:val="en-US" w:eastAsia="zh-CN"/>
              </w:rPr>
            </w:pPr>
            <w:r>
              <w:rPr>
                <w:rFonts w:hint="eastAsia"/>
                <w:snapToGrid w:val="0"/>
                <w:kern w:val="21"/>
                <w:sz w:val="21"/>
                <w:szCs w:val="21"/>
                <w:lang w:val="en-US" w:eastAsia="zh-CN"/>
              </w:rPr>
              <w:t>0.027t/a</w:t>
            </w:r>
          </w:p>
        </w:tc>
        <w:tc>
          <w:tcPr>
            <w:tcW w:w="436" w:type="pct"/>
            <w:noWrap w:val="0"/>
            <w:vAlign w:val="center"/>
          </w:tcPr>
          <w:p w14:paraId="48B0AF4A">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noWrap w:val="0"/>
            <w:vAlign w:val="center"/>
          </w:tcPr>
          <w:p w14:paraId="589B3D77">
            <w:pPr>
              <w:adjustRightInd w:val="0"/>
              <w:snapToGrid w:val="0"/>
              <w:spacing w:line="240" w:lineRule="auto"/>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 w:val="21"/>
                <w:szCs w:val="21"/>
                <w:lang w:val="en-US" w:eastAsia="zh-CN"/>
              </w:rPr>
              <w:t>0.027t/a</w:t>
            </w:r>
          </w:p>
        </w:tc>
        <w:tc>
          <w:tcPr>
            <w:tcW w:w="463" w:type="pct"/>
            <w:shd w:val="clear"/>
            <w:noWrap w:val="0"/>
            <w:vAlign w:val="center"/>
          </w:tcPr>
          <w:p w14:paraId="06F443E5">
            <w:pPr>
              <w:adjustRightInd w:val="0"/>
              <w:snapToGrid w:val="0"/>
              <w:spacing w:line="240" w:lineRule="auto"/>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 w:val="21"/>
                <w:szCs w:val="21"/>
                <w:lang w:val="en-US" w:eastAsia="zh-CN"/>
              </w:rPr>
              <w:t>+</w:t>
            </w:r>
            <w:bookmarkStart w:id="22" w:name="_GoBack"/>
            <w:bookmarkEnd w:id="22"/>
            <w:r>
              <w:rPr>
                <w:rFonts w:hint="eastAsia"/>
                <w:snapToGrid w:val="0"/>
                <w:kern w:val="21"/>
                <w:sz w:val="21"/>
                <w:szCs w:val="21"/>
                <w:lang w:val="en-US" w:eastAsia="zh-CN"/>
              </w:rPr>
              <w:t>0.027t/a</w:t>
            </w:r>
          </w:p>
        </w:tc>
      </w:tr>
      <w:tr w14:paraId="28E23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94" w:type="pct"/>
            <w:vMerge w:val="restart"/>
            <w:noWrap w:val="0"/>
            <w:vAlign w:val="center"/>
          </w:tcPr>
          <w:p w14:paraId="1D4C004F">
            <w:pPr>
              <w:adjustRightInd w:val="0"/>
              <w:snapToGrid w:val="0"/>
              <w:spacing w:line="240" w:lineRule="auto"/>
              <w:jc w:val="center"/>
              <w:rPr>
                <w:snapToGrid w:val="0"/>
                <w:kern w:val="21"/>
                <w:sz w:val="21"/>
                <w:szCs w:val="21"/>
              </w:rPr>
            </w:pPr>
            <w:r>
              <w:rPr>
                <w:snapToGrid w:val="0"/>
                <w:kern w:val="21"/>
                <w:sz w:val="21"/>
                <w:szCs w:val="21"/>
              </w:rPr>
              <w:t>一般工业</w:t>
            </w:r>
          </w:p>
          <w:p w14:paraId="3A13EA03">
            <w:pPr>
              <w:adjustRightInd w:val="0"/>
              <w:snapToGrid w:val="0"/>
              <w:spacing w:line="240" w:lineRule="auto"/>
              <w:jc w:val="center"/>
              <w:rPr>
                <w:snapToGrid w:val="0"/>
                <w:kern w:val="21"/>
                <w:sz w:val="21"/>
                <w:szCs w:val="21"/>
              </w:rPr>
            </w:pPr>
            <w:r>
              <w:rPr>
                <w:snapToGrid w:val="0"/>
                <w:kern w:val="21"/>
                <w:sz w:val="21"/>
                <w:szCs w:val="21"/>
              </w:rPr>
              <w:t>固体废物</w:t>
            </w:r>
          </w:p>
        </w:tc>
        <w:tc>
          <w:tcPr>
            <w:tcW w:w="730" w:type="pct"/>
            <w:shd w:val="clear" w:color="auto" w:fill="auto"/>
            <w:noWrap w:val="0"/>
            <w:vAlign w:val="center"/>
          </w:tcPr>
          <w:p w14:paraId="00CC4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除尘器收集粉尘</w:t>
            </w:r>
          </w:p>
        </w:tc>
        <w:tc>
          <w:tcPr>
            <w:tcW w:w="635" w:type="pct"/>
            <w:noWrap w:val="0"/>
            <w:vAlign w:val="center"/>
          </w:tcPr>
          <w:p w14:paraId="4EA94603">
            <w:pPr>
              <w:adjustRightInd w:val="0"/>
              <w:snapToGrid w:val="0"/>
              <w:spacing w:line="240" w:lineRule="auto"/>
              <w:jc w:val="center"/>
              <w:rPr>
                <w:sz w:val="21"/>
                <w:szCs w:val="21"/>
              </w:rPr>
            </w:pPr>
            <w:r>
              <w:rPr>
                <w:sz w:val="21"/>
                <w:szCs w:val="21"/>
              </w:rPr>
              <w:t>/</w:t>
            </w:r>
          </w:p>
        </w:tc>
        <w:tc>
          <w:tcPr>
            <w:tcW w:w="266" w:type="pct"/>
            <w:noWrap w:val="0"/>
            <w:vAlign w:val="center"/>
          </w:tcPr>
          <w:p w14:paraId="3A8E601F">
            <w:pPr>
              <w:adjustRightInd w:val="0"/>
              <w:snapToGrid w:val="0"/>
              <w:spacing w:line="240" w:lineRule="auto"/>
              <w:jc w:val="center"/>
              <w:rPr>
                <w:sz w:val="21"/>
                <w:szCs w:val="21"/>
              </w:rPr>
            </w:pPr>
            <w:r>
              <w:rPr>
                <w:snapToGrid w:val="0"/>
                <w:kern w:val="21"/>
                <w:sz w:val="21"/>
                <w:szCs w:val="21"/>
              </w:rPr>
              <w:t>/</w:t>
            </w:r>
          </w:p>
        </w:tc>
        <w:tc>
          <w:tcPr>
            <w:tcW w:w="635" w:type="pct"/>
            <w:noWrap w:val="0"/>
            <w:vAlign w:val="center"/>
          </w:tcPr>
          <w:p w14:paraId="1075E3D1">
            <w:pPr>
              <w:adjustRightInd w:val="0"/>
              <w:snapToGrid w:val="0"/>
              <w:spacing w:line="240" w:lineRule="auto"/>
              <w:jc w:val="center"/>
              <w:rPr>
                <w:sz w:val="21"/>
                <w:szCs w:val="21"/>
              </w:rPr>
            </w:pPr>
            <w:r>
              <w:rPr>
                <w:snapToGrid w:val="0"/>
                <w:kern w:val="21"/>
                <w:sz w:val="21"/>
                <w:szCs w:val="21"/>
              </w:rPr>
              <w:t>/</w:t>
            </w:r>
          </w:p>
        </w:tc>
        <w:tc>
          <w:tcPr>
            <w:tcW w:w="752" w:type="pct"/>
            <w:shd w:val="clear" w:color="auto" w:fill="auto"/>
            <w:noWrap w:val="0"/>
            <w:vAlign w:val="center"/>
          </w:tcPr>
          <w:p w14:paraId="34735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2.668</w:t>
            </w:r>
            <w:r>
              <w:rPr>
                <w:rFonts w:hint="eastAsia" w:ascii="Times New Roman" w:hAnsi="Times New Roman" w:eastAsia="宋体" w:cs="Times New Roman"/>
                <w:color w:val="000000"/>
                <w:spacing w:val="0"/>
                <w:kern w:val="0"/>
                <w:sz w:val="21"/>
                <w:szCs w:val="21"/>
                <w:lang w:val="en-US" w:eastAsia="zh-CN"/>
              </w:rPr>
              <w:t>t/a</w:t>
            </w:r>
          </w:p>
        </w:tc>
        <w:tc>
          <w:tcPr>
            <w:tcW w:w="436" w:type="pct"/>
            <w:noWrap w:val="0"/>
            <w:vAlign w:val="center"/>
          </w:tcPr>
          <w:p w14:paraId="22CE0ACE">
            <w:pPr>
              <w:adjustRightInd w:val="0"/>
              <w:snapToGrid w:val="0"/>
              <w:spacing w:line="240" w:lineRule="auto"/>
              <w:jc w:val="center"/>
              <w:rPr>
                <w:sz w:val="21"/>
                <w:szCs w:val="21"/>
              </w:rPr>
            </w:pPr>
            <w:r>
              <w:rPr>
                <w:snapToGrid w:val="0"/>
                <w:kern w:val="21"/>
                <w:sz w:val="21"/>
                <w:szCs w:val="21"/>
              </w:rPr>
              <w:t>/</w:t>
            </w:r>
          </w:p>
        </w:tc>
        <w:tc>
          <w:tcPr>
            <w:tcW w:w="784" w:type="pct"/>
            <w:shd w:val="clear" w:color="auto" w:fill="auto"/>
            <w:noWrap w:val="0"/>
            <w:vAlign w:val="center"/>
          </w:tcPr>
          <w:p w14:paraId="137D50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2.668</w:t>
            </w:r>
            <w:r>
              <w:rPr>
                <w:rFonts w:hint="eastAsia" w:ascii="Times New Roman" w:hAnsi="Times New Roman" w:eastAsia="宋体" w:cs="Times New Roman"/>
                <w:color w:val="000000"/>
                <w:spacing w:val="0"/>
                <w:kern w:val="0"/>
                <w:sz w:val="21"/>
                <w:szCs w:val="21"/>
                <w:lang w:val="en-US" w:eastAsia="zh-CN"/>
              </w:rPr>
              <w:t>t/a</w:t>
            </w:r>
          </w:p>
        </w:tc>
        <w:tc>
          <w:tcPr>
            <w:tcW w:w="463" w:type="pct"/>
            <w:shd w:val="clear" w:color="auto" w:fill="auto"/>
            <w:noWrap w:val="0"/>
            <w:vAlign w:val="center"/>
          </w:tcPr>
          <w:p w14:paraId="668FD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w:t>
            </w:r>
            <w:r>
              <w:rPr>
                <w:rFonts w:hint="eastAsia" w:cs="Times New Roman"/>
                <w:color w:val="000000"/>
                <w:spacing w:val="0"/>
                <w:kern w:val="0"/>
                <w:sz w:val="21"/>
                <w:szCs w:val="21"/>
                <w:lang w:val="en-US" w:eastAsia="zh-CN"/>
              </w:rPr>
              <w:t>2.668</w:t>
            </w:r>
            <w:r>
              <w:rPr>
                <w:rFonts w:hint="eastAsia" w:ascii="Times New Roman" w:hAnsi="Times New Roman" w:eastAsia="宋体" w:cs="Times New Roman"/>
                <w:color w:val="000000"/>
                <w:spacing w:val="0"/>
                <w:kern w:val="0"/>
                <w:sz w:val="21"/>
                <w:szCs w:val="21"/>
                <w:lang w:val="en-US" w:eastAsia="zh-CN"/>
              </w:rPr>
              <w:t>t/a</w:t>
            </w:r>
          </w:p>
        </w:tc>
      </w:tr>
      <w:tr w14:paraId="49735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4" w:type="pct"/>
            <w:vMerge w:val="continue"/>
            <w:noWrap w:val="0"/>
            <w:vAlign w:val="center"/>
          </w:tcPr>
          <w:p w14:paraId="60C82D55">
            <w:pPr>
              <w:adjustRightInd w:val="0"/>
              <w:snapToGrid w:val="0"/>
              <w:spacing w:line="240" w:lineRule="auto"/>
              <w:jc w:val="center"/>
              <w:rPr>
                <w:snapToGrid w:val="0"/>
                <w:kern w:val="21"/>
                <w:sz w:val="21"/>
                <w:szCs w:val="21"/>
              </w:rPr>
            </w:pPr>
          </w:p>
        </w:tc>
        <w:tc>
          <w:tcPr>
            <w:tcW w:w="730" w:type="pct"/>
            <w:shd w:val="clear" w:color="auto" w:fill="auto"/>
            <w:noWrap w:val="0"/>
            <w:vAlign w:val="center"/>
          </w:tcPr>
          <w:p w14:paraId="077BA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废钢丸</w:t>
            </w:r>
          </w:p>
        </w:tc>
        <w:tc>
          <w:tcPr>
            <w:tcW w:w="635" w:type="pct"/>
            <w:noWrap w:val="0"/>
            <w:vAlign w:val="center"/>
          </w:tcPr>
          <w:p w14:paraId="71E42216">
            <w:pPr>
              <w:adjustRightInd w:val="0"/>
              <w:snapToGrid w:val="0"/>
              <w:spacing w:line="240" w:lineRule="auto"/>
              <w:jc w:val="center"/>
              <w:rPr>
                <w:sz w:val="21"/>
                <w:szCs w:val="21"/>
              </w:rPr>
            </w:pPr>
            <w:r>
              <w:rPr>
                <w:sz w:val="21"/>
                <w:szCs w:val="21"/>
              </w:rPr>
              <w:t>/</w:t>
            </w:r>
          </w:p>
        </w:tc>
        <w:tc>
          <w:tcPr>
            <w:tcW w:w="266" w:type="pct"/>
            <w:noWrap w:val="0"/>
            <w:vAlign w:val="center"/>
          </w:tcPr>
          <w:p w14:paraId="5196B12D">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61C15614">
            <w:pPr>
              <w:adjustRightInd w:val="0"/>
              <w:snapToGrid w:val="0"/>
              <w:spacing w:line="240" w:lineRule="auto"/>
              <w:jc w:val="center"/>
              <w:rPr>
                <w:snapToGrid w:val="0"/>
                <w:kern w:val="21"/>
                <w:sz w:val="21"/>
                <w:szCs w:val="21"/>
              </w:rPr>
            </w:pPr>
            <w:r>
              <w:rPr>
                <w:snapToGrid w:val="0"/>
                <w:kern w:val="21"/>
                <w:sz w:val="21"/>
                <w:szCs w:val="21"/>
              </w:rPr>
              <w:t>/</w:t>
            </w:r>
          </w:p>
        </w:tc>
        <w:tc>
          <w:tcPr>
            <w:tcW w:w="752" w:type="pct"/>
            <w:shd w:val="clear" w:color="auto" w:fill="auto"/>
            <w:noWrap w:val="0"/>
            <w:vAlign w:val="center"/>
          </w:tcPr>
          <w:p w14:paraId="718E34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0.2t/a</w:t>
            </w:r>
          </w:p>
        </w:tc>
        <w:tc>
          <w:tcPr>
            <w:tcW w:w="436" w:type="pct"/>
            <w:noWrap w:val="0"/>
            <w:vAlign w:val="center"/>
          </w:tcPr>
          <w:p w14:paraId="0518EE3D">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color="auto" w:fill="auto"/>
            <w:noWrap w:val="0"/>
            <w:vAlign w:val="center"/>
          </w:tcPr>
          <w:p w14:paraId="61A3C5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0.2t/a</w:t>
            </w:r>
          </w:p>
        </w:tc>
        <w:tc>
          <w:tcPr>
            <w:tcW w:w="463" w:type="pct"/>
            <w:shd w:val="clear" w:color="auto" w:fill="auto"/>
            <w:noWrap w:val="0"/>
            <w:vAlign w:val="center"/>
          </w:tcPr>
          <w:p w14:paraId="777A0A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+0.2t/a</w:t>
            </w:r>
          </w:p>
        </w:tc>
      </w:tr>
      <w:tr w14:paraId="08293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4" w:type="pct"/>
            <w:vMerge w:val="continue"/>
            <w:noWrap w:val="0"/>
            <w:vAlign w:val="center"/>
          </w:tcPr>
          <w:p w14:paraId="60C9BA6B">
            <w:pPr>
              <w:adjustRightInd w:val="0"/>
              <w:snapToGrid w:val="0"/>
              <w:spacing w:line="240" w:lineRule="auto"/>
              <w:jc w:val="center"/>
              <w:rPr>
                <w:snapToGrid w:val="0"/>
                <w:kern w:val="21"/>
                <w:sz w:val="21"/>
                <w:szCs w:val="21"/>
              </w:rPr>
            </w:pPr>
          </w:p>
        </w:tc>
        <w:tc>
          <w:tcPr>
            <w:tcW w:w="730" w:type="pct"/>
            <w:shd w:val="clear" w:color="auto" w:fill="auto"/>
            <w:noWrap w:val="0"/>
            <w:vAlign w:val="center"/>
          </w:tcPr>
          <w:p w14:paraId="71E84F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沉降粉尘</w:t>
            </w:r>
          </w:p>
        </w:tc>
        <w:tc>
          <w:tcPr>
            <w:tcW w:w="635" w:type="pct"/>
            <w:noWrap w:val="0"/>
            <w:vAlign w:val="center"/>
          </w:tcPr>
          <w:p w14:paraId="5BA05B06">
            <w:pPr>
              <w:adjustRightInd w:val="0"/>
              <w:snapToGrid w:val="0"/>
              <w:spacing w:line="240" w:lineRule="auto"/>
              <w:jc w:val="center"/>
              <w:rPr>
                <w:sz w:val="21"/>
                <w:szCs w:val="21"/>
              </w:rPr>
            </w:pPr>
            <w:r>
              <w:rPr>
                <w:sz w:val="21"/>
                <w:szCs w:val="21"/>
              </w:rPr>
              <w:t>/</w:t>
            </w:r>
          </w:p>
        </w:tc>
        <w:tc>
          <w:tcPr>
            <w:tcW w:w="266" w:type="pct"/>
            <w:noWrap w:val="0"/>
            <w:vAlign w:val="center"/>
          </w:tcPr>
          <w:p w14:paraId="4F233A79">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1607106B">
            <w:pPr>
              <w:adjustRightInd w:val="0"/>
              <w:snapToGrid w:val="0"/>
              <w:spacing w:line="240" w:lineRule="auto"/>
              <w:jc w:val="center"/>
              <w:rPr>
                <w:snapToGrid w:val="0"/>
                <w:kern w:val="21"/>
                <w:sz w:val="21"/>
                <w:szCs w:val="21"/>
              </w:rPr>
            </w:pPr>
            <w:r>
              <w:rPr>
                <w:snapToGrid w:val="0"/>
                <w:kern w:val="21"/>
                <w:sz w:val="21"/>
                <w:szCs w:val="21"/>
              </w:rPr>
              <w:t>/</w:t>
            </w:r>
          </w:p>
        </w:tc>
        <w:tc>
          <w:tcPr>
            <w:tcW w:w="752" w:type="pct"/>
            <w:shd w:val="clear" w:color="auto" w:fill="auto"/>
            <w:noWrap w:val="0"/>
            <w:vAlign w:val="center"/>
          </w:tcPr>
          <w:p w14:paraId="473C3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0.524</w:t>
            </w:r>
            <w:r>
              <w:rPr>
                <w:rFonts w:hint="eastAsia" w:ascii="Times New Roman" w:hAnsi="Times New Roman" w:eastAsia="宋体" w:cs="Times New Roman"/>
                <w:color w:val="000000"/>
                <w:spacing w:val="0"/>
                <w:kern w:val="0"/>
                <w:sz w:val="21"/>
                <w:szCs w:val="21"/>
                <w:lang w:val="en-US" w:eastAsia="zh-CN"/>
              </w:rPr>
              <w:t>t/a</w:t>
            </w:r>
          </w:p>
        </w:tc>
        <w:tc>
          <w:tcPr>
            <w:tcW w:w="436" w:type="pct"/>
            <w:noWrap w:val="0"/>
            <w:vAlign w:val="center"/>
          </w:tcPr>
          <w:p w14:paraId="517B192B">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color="auto" w:fill="auto"/>
            <w:noWrap w:val="0"/>
            <w:vAlign w:val="center"/>
          </w:tcPr>
          <w:p w14:paraId="19D430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0.524</w:t>
            </w:r>
            <w:r>
              <w:rPr>
                <w:rFonts w:hint="eastAsia" w:ascii="Times New Roman" w:hAnsi="Times New Roman" w:eastAsia="宋体" w:cs="Times New Roman"/>
                <w:color w:val="000000"/>
                <w:spacing w:val="0"/>
                <w:kern w:val="0"/>
                <w:sz w:val="21"/>
                <w:szCs w:val="21"/>
                <w:lang w:val="en-US" w:eastAsia="zh-CN"/>
              </w:rPr>
              <w:t>t/a</w:t>
            </w:r>
          </w:p>
        </w:tc>
        <w:tc>
          <w:tcPr>
            <w:tcW w:w="463" w:type="pct"/>
            <w:shd w:val="clear" w:color="auto" w:fill="auto"/>
            <w:noWrap w:val="0"/>
            <w:vAlign w:val="center"/>
          </w:tcPr>
          <w:p w14:paraId="0C9C8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w:t>
            </w:r>
            <w:r>
              <w:rPr>
                <w:rFonts w:hint="eastAsia" w:cs="Times New Roman"/>
                <w:color w:val="000000"/>
                <w:spacing w:val="0"/>
                <w:kern w:val="0"/>
                <w:sz w:val="21"/>
                <w:szCs w:val="21"/>
                <w:lang w:val="en-US" w:eastAsia="zh-CN"/>
              </w:rPr>
              <w:t>0.524</w:t>
            </w:r>
            <w:r>
              <w:rPr>
                <w:rFonts w:hint="eastAsia" w:ascii="Times New Roman" w:hAnsi="Times New Roman" w:eastAsia="宋体" w:cs="Times New Roman"/>
                <w:color w:val="000000"/>
                <w:spacing w:val="0"/>
                <w:kern w:val="0"/>
                <w:sz w:val="21"/>
                <w:szCs w:val="21"/>
                <w:lang w:val="en-US" w:eastAsia="zh-CN"/>
              </w:rPr>
              <w:t>t/a</w:t>
            </w:r>
          </w:p>
        </w:tc>
      </w:tr>
      <w:tr w14:paraId="31BC5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4" w:type="pct"/>
            <w:vMerge w:val="continue"/>
            <w:noWrap w:val="0"/>
            <w:vAlign w:val="center"/>
          </w:tcPr>
          <w:p w14:paraId="055212B1">
            <w:pPr>
              <w:adjustRightInd w:val="0"/>
              <w:snapToGrid w:val="0"/>
              <w:spacing w:line="240" w:lineRule="auto"/>
              <w:jc w:val="center"/>
              <w:rPr>
                <w:snapToGrid w:val="0"/>
                <w:kern w:val="21"/>
                <w:sz w:val="21"/>
                <w:szCs w:val="21"/>
              </w:rPr>
            </w:pPr>
          </w:p>
        </w:tc>
        <w:tc>
          <w:tcPr>
            <w:tcW w:w="730" w:type="pct"/>
            <w:shd w:val="clear" w:color="auto" w:fill="auto"/>
            <w:noWrap w:val="0"/>
            <w:vAlign w:val="center"/>
          </w:tcPr>
          <w:p w14:paraId="56F8DD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废包装袋</w:t>
            </w:r>
          </w:p>
        </w:tc>
        <w:tc>
          <w:tcPr>
            <w:tcW w:w="635" w:type="pct"/>
            <w:noWrap w:val="0"/>
            <w:vAlign w:val="center"/>
          </w:tcPr>
          <w:p w14:paraId="3AD944B2">
            <w:pPr>
              <w:adjustRightInd w:val="0"/>
              <w:snapToGrid w:val="0"/>
              <w:spacing w:line="240" w:lineRule="auto"/>
              <w:jc w:val="center"/>
              <w:rPr>
                <w:sz w:val="21"/>
                <w:szCs w:val="21"/>
              </w:rPr>
            </w:pPr>
            <w:r>
              <w:rPr>
                <w:sz w:val="21"/>
                <w:szCs w:val="21"/>
              </w:rPr>
              <w:t>/</w:t>
            </w:r>
          </w:p>
        </w:tc>
        <w:tc>
          <w:tcPr>
            <w:tcW w:w="266" w:type="pct"/>
            <w:noWrap w:val="0"/>
            <w:vAlign w:val="center"/>
          </w:tcPr>
          <w:p w14:paraId="64FE7B52">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7262D48E">
            <w:pPr>
              <w:adjustRightInd w:val="0"/>
              <w:snapToGrid w:val="0"/>
              <w:spacing w:line="240" w:lineRule="auto"/>
              <w:jc w:val="center"/>
              <w:rPr>
                <w:snapToGrid w:val="0"/>
                <w:kern w:val="21"/>
                <w:sz w:val="21"/>
                <w:szCs w:val="21"/>
              </w:rPr>
            </w:pPr>
            <w:r>
              <w:rPr>
                <w:snapToGrid w:val="0"/>
                <w:kern w:val="21"/>
                <w:sz w:val="21"/>
                <w:szCs w:val="21"/>
              </w:rPr>
              <w:t>/</w:t>
            </w:r>
          </w:p>
        </w:tc>
        <w:tc>
          <w:tcPr>
            <w:tcW w:w="752" w:type="pct"/>
            <w:shd w:val="clear" w:color="auto" w:fill="auto"/>
            <w:noWrap w:val="0"/>
            <w:vAlign w:val="center"/>
          </w:tcPr>
          <w:p w14:paraId="1A6B22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1.0t/a</w:t>
            </w:r>
          </w:p>
        </w:tc>
        <w:tc>
          <w:tcPr>
            <w:tcW w:w="436" w:type="pct"/>
            <w:noWrap w:val="0"/>
            <w:vAlign w:val="center"/>
          </w:tcPr>
          <w:p w14:paraId="336E8F2E">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color="auto" w:fill="auto"/>
            <w:noWrap w:val="0"/>
            <w:vAlign w:val="center"/>
          </w:tcPr>
          <w:p w14:paraId="00A07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1.0t/a</w:t>
            </w:r>
          </w:p>
        </w:tc>
        <w:tc>
          <w:tcPr>
            <w:tcW w:w="463" w:type="pct"/>
            <w:shd w:val="clear" w:color="auto" w:fill="auto"/>
            <w:noWrap w:val="0"/>
            <w:vAlign w:val="center"/>
          </w:tcPr>
          <w:p w14:paraId="3B872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+1.0t/a</w:t>
            </w:r>
          </w:p>
        </w:tc>
      </w:tr>
      <w:tr w14:paraId="0CD21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4" w:type="pct"/>
            <w:vMerge w:val="continue"/>
            <w:noWrap w:val="0"/>
            <w:vAlign w:val="center"/>
          </w:tcPr>
          <w:p w14:paraId="11C6C1BA">
            <w:pPr>
              <w:adjustRightInd w:val="0"/>
              <w:snapToGrid w:val="0"/>
              <w:spacing w:line="240" w:lineRule="auto"/>
              <w:jc w:val="center"/>
              <w:rPr>
                <w:snapToGrid w:val="0"/>
                <w:kern w:val="21"/>
                <w:sz w:val="21"/>
                <w:szCs w:val="21"/>
              </w:rPr>
            </w:pPr>
          </w:p>
        </w:tc>
        <w:tc>
          <w:tcPr>
            <w:tcW w:w="730" w:type="pct"/>
            <w:shd w:val="clear" w:color="auto" w:fill="auto"/>
            <w:noWrap w:val="0"/>
            <w:vAlign w:val="center"/>
          </w:tcPr>
          <w:p w14:paraId="0BF306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废边角料</w:t>
            </w:r>
          </w:p>
        </w:tc>
        <w:tc>
          <w:tcPr>
            <w:tcW w:w="635" w:type="pct"/>
            <w:noWrap w:val="0"/>
            <w:vAlign w:val="center"/>
          </w:tcPr>
          <w:p w14:paraId="74935F15">
            <w:pPr>
              <w:adjustRightInd w:val="0"/>
              <w:snapToGrid w:val="0"/>
              <w:spacing w:line="240" w:lineRule="auto"/>
              <w:jc w:val="center"/>
              <w:rPr>
                <w:sz w:val="21"/>
                <w:szCs w:val="21"/>
              </w:rPr>
            </w:pPr>
            <w:r>
              <w:rPr>
                <w:snapToGrid w:val="0"/>
                <w:kern w:val="21"/>
                <w:sz w:val="21"/>
                <w:szCs w:val="21"/>
              </w:rPr>
              <w:t>/</w:t>
            </w:r>
          </w:p>
        </w:tc>
        <w:tc>
          <w:tcPr>
            <w:tcW w:w="266" w:type="pct"/>
            <w:noWrap w:val="0"/>
            <w:vAlign w:val="center"/>
          </w:tcPr>
          <w:p w14:paraId="53592EA3">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1AE06F21">
            <w:pPr>
              <w:adjustRightInd w:val="0"/>
              <w:snapToGrid w:val="0"/>
              <w:spacing w:line="240" w:lineRule="auto"/>
              <w:jc w:val="center"/>
              <w:rPr>
                <w:snapToGrid w:val="0"/>
                <w:kern w:val="21"/>
                <w:sz w:val="21"/>
                <w:szCs w:val="21"/>
              </w:rPr>
            </w:pPr>
            <w:r>
              <w:rPr>
                <w:snapToGrid w:val="0"/>
                <w:kern w:val="21"/>
                <w:sz w:val="21"/>
                <w:szCs w:val="21"/>
              </w:rPr>
              <w:t>/</w:t>
            </w:r>
          </w:p>
        </w:tc>
        <w:tc>
          <w:tcPr>
            <w:tcW w:w="752" w:type="pct"/>
            <w:shd w:val="clear" w:color="auto" w:fill="auto"/>
            <w:noWrap w:val="0"/>
            <w:vAlign w:val="center"/>
          </w:tcPr>
          <w:p w14:paraId="1A6B2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0.5t/a</w:t>
            </w:r>
          </w:p>
        </w:tc>
        <w:tc>
          <w:tcPr>
            <w:tcW w:w="436" w:type="pct"/>
            <w:noWrap w:val="0"/>
            <w:vAlign w:val="center"/>
          </w:tcPr>
          <w:p w14:paraId="4550DB5D">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color="auto" w:fill="auto"/>
            <w:noWrap w:val="0"/>
            <w:vAlign w:val="center"/>
          </w:tcPr>
          <w:p w14:paraId="10B5C9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0.5t/a</w:t>
            </w:r>
          </w:p>
        </w:tc>
        <w:tc>
          <w:tcPr>
            <w:tcW w:w="463" w:type="pct"/>
            <w:shd w:val="clear" w:color="auto" w:fill="auto"/>
            <w:noWrap w:val="0"/>
            <w:vAlign w:val="center"/>
          </w:tcPr>
          <w:p w14:paraId="72775B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+0.5t/a</w:t>
            </w:r>
          </w:p>
        </w:tc>
      </w:tr>
      <w:tr w14:paraId="3FB29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94" w:type="pct"/>
            <w:vMerge w:val="continue"/>
            <w:noWrap w:val="0"/>
            <w:vAlign w:val="center"/>
          </w:tcPr>
          <w:p w14:paraId="0EA728E9">
            <w:pPr>
              <w:adjustRightInd w:val="0"/>
              <w:snapToGrid w:val="0"/>
              <w:spacing w:line="240" w:lineRule="auto"/>
              <w:jc w:val="center"/>
              <w:rPr>
                <w:snapToGrid w:val="0"/>
                <w:kern w:val="21"/>
                <w:sz w:val="21"/>
                <w:szCs w:val="21"/>
              </w:rPr>
            </w:pPr>
          </w:p>
        </w:tc>
        <w:tc>
          <w:tcPr>
            <w:tcW w:w="730" w:type="pct"/>
            <w:shd w:val="clear" w:color="auto" w:fill="auto"/>
            <w:noWrap w:val="0"/>
            <w:vAlign w:val="center"/>
          </w:tcPr>
          <w:p w14:paraId="7A5785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废布袋（废滤芯）</w:t>
            </w:r>
          </w:p>
        </w:tc>
        <w:tc>
          <w:tcPr>
            <w:tcW w:w="635" w:type="pct"/>
            <w:noWrap w:val="0"/>
            <w:vAlign w:val="center"/>
          </w:tcPr>
          <w:p w14:paraId="06CFE771">
            <w:pPr>
              <w:adjustRightInd w:val="0"/>
              <w:snapToGrid w:val="0"/>
              <w:spacing w:line="240" w:lineRule="auto"/>
              <w:jc w:val="center"/>
              <w:rPr>
                <w:sz w:val="21"/>
                <w:szCs w:val="21"/>
              </w:rPr>
            </w:pPr>
            <w:r>
              <w:rPr>
                <w:snapToGrid w:val="0"/>
                <w:kern w:val="21"/>
                <w:sz w:val="21"/>
                <w:szCs w:val="21"/>
              </w:rPr>
              <w:t>/</w:t>
            </w:r>
          </w:p>
        </w:tc>
        <w:tc>
          <w:tcPr>
            <w:tcW w:w="266" w:type="pct"/>
            <w:noWrap w:val="0"/>
            <w:vAlign w:val="center"/>
          </w:tcPr>
          <w:p w14:paraId="5E8545FF">
            <w:pPr>
              <w:adjustRightInd w:val="0"/>
              <w:snapToGrid w:val="0"/>
              <w:spacing w:line="240" w:lineRule="auto"/>
              <w:jc w:val="center"/>
              <w:rPr>
                <w:snapToGrid w:val="0"/>
                <w:kern w:val="21"/>
                <w:sz w:val="21"/>
                <w:szCs w:val="21"/>
              </w:rPr>
            </w:pPr>
            <w:r>
              <w:rPr>
                <w:snapToGrid w:val="0"/>
                <w:kern w:val="21"/>
                <w:sz w:val="21"/>
                <w:szCs w:val="21"/>
              </w:rPr>
              <w:t>/</w:t>
            </w:r>
          </w:p>
        </w:tc>
        <w:tc>
          <w:tcPr>
            <w:tcW w:w="635" w:type="pct"/>
            <w:noWrap w:val="0"/>
            <w:vAlign w:val="center"/>
          </w:tcPr>
          <w:p w14:paraId="04E956FB">
            <w:pPr>
              <w:adjustRightInd w:val="0"/>
              <w:snapToGrid w:val="0"/>
              <w:spacing w:line="240" w:lineRule="auto"/>
              <w:jc w:val="center"/>
              <w:rPr>
                <w:snapToGrid w:val="0"/>
                <w:kern w:val="21"/>
                <w:sz w:val="21"/>
                <w:szCs w:val="21"/>
              </w:rPr>
            </w:pPr>
            <w:r>
              <w:rPr>
                <w:snapToGrid w:val="0"/>
                <w:kern w:val="21"/>
                <w:sz w:val="21"/>
                <w:szCs w:val="21"/>
              </w:rPr>
              <w:t>/</w:t>
            </w:r>
          </w:p>
        </w:tc>
        <w:tc>
          <w:tcPr>
            <w:tcW w:w="752" w:type="pct"/>
            <w:shd w:val="clear" w:color="auto" w:fill="auto"/>
            <w:noWrap w:val="0"/>
            <w:vAlign w:val="center"/>
          </w:tcPr>
          <w:p w14:paraId="26BDD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0.1t/a</w:t>
            </w:r>
          </w:p>
        </w:tc>
        <w:tc>
          <w:tcPr>
            <w:tcW w:w="436" w:type="pct"/>
            <w:noWrap w:val="0"/>
            <w:vAlign w:val="center"/>
          </w:tcPr>
          <w:p w14:paraId="2EE0C9AE">
            <w:pPr>
              <w:adjustRightInd w:val="0"/>
              <w:snapToGrid w:val="0"/>
              <w:spacing w:line="240" w:lineRule="auto"/>
              <w:jc w:val="center"/>
              <w:rPr>
                <w:snapToGrid w:val="0"/>
                <w:kern w:val="21"/>
                <w:sz w:val="21"/>
                <w:szCs w:val="21"/>
              </w:rPr>
            </w:pPr>
            <w:r>
              <w:rPr>
                <w:snapToGrid w:val="0"/>
                <w:kern w:val="21"/>
                <w:sz w:val="21"/>
                <w:szCs w:val="21"/>
              </w:rPr>
              <w:t>/</w:t>
            </w:r>
          </w:p>
        </w:tc>
        <w:tc>
          <w:tcPr>
            <w:tcW w:w="784" w:type="pct"/>
            <w:shd w:val="clear" w:color="auto" w:fill="auto"/>
            <w:noWrap w:val="0"/>
            <w:vAlign w:val="center"/>
          </w:tcPr>
          <w:p w14:paraId="6D266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0.1t/a</w:t>
            </w:r>
          </w:p>
        </w:tc>
        <w:tc>
          <w:tcPr>
            <w:tcW w:w="463" w:type="pct"/>
            <w:shd w:val="clear" w:color="auto" w:fill="auto"/>
            <w:noWrap w:val="0"/>
            <w:vAlign w:val="center"/>
          </w:tcPr>
          <w:p w14:paraId="6FC94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+0.1t/a</w:t>
            </w:r>
          </w:p>
        </w:tc>
      </w:tr>
      <w:tr w14:paraId="728EE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94" w:type="pct"/>
            <w:vMerge w:val="restart"/>
            <w:noWrap w:val="0"/>
            <w:vAlign w:val="center"/>
          </w:tcPr>
          <w:p w14:paraId="1C296449">
            <w:pPr>
              <w:adjustRightInd w:val="0"/>
              <w:snapToGrid w:val="0"/>
              <w:spacing w:line="240" w:lineRule="auto"/>
              <w:jc w:val="center"/>
              <w:rPr>
                <w:snapToGrid w:val="0"/>
                <w:kern w:val="21"/>
                <w:sz w:val="21"/>
                <w:szCs w:val="21"/>
              </w:rPr>
            </w:pPr>
            <w:r>
              <w:rPr>
                <w:snapToGrid w:val="0"/>
                <w:kern w:val="21"/>
                <w:sz w:val="21"/>
                <w:szCs w:val="21"/>
              </w:rPr>
              <w:t>危险废物</w:t>
            </w:r>
          </w:p>
        </w:tc>
        <w:tc>
          <w:tcPr>
            <w:tcW w:w="730" w:type="pct"/>
            <w:shd w:val="clear" w:color="auto" w:fill="auto"/>
            <w:noWrap w:val="0"/>
            <w:vAlign w:val="center"/>
          </w:tcPr>
          <w:p w14:paraId="20423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废活性炭</w:t>
            </w:r>
          </w:p>
        </w:tc>
        <w:tc>
          <w:tcPr>
            <w:tcW w:w="635" w:type="pct"/>
            <w:noWrap w:val="0"/>
            <w:vAlign w:val="center"/>
          </w:tcPr>
          <w:p w14:paraId="401A020B">
            <w:pPr>
              <w:adjustRightInd w:val="0"/>
              <w:snapToGrid w:val="0"/>
              <w:spacing w:line="240" w:lineRule="auto"/>
              <w:jc w:val="center"/>
              <w:rPr>
                <w:sz w:val="21"/>
                <w:szCs w:val="21"/>
              </w:rPr>
            </w:pPr>
            <w:r>
              <w:rPr>
                <w:snapToGrid w:val="0"/>
                <w:kern w:val="21"/>
                <w:sz w:val="21"/>
                <w:szCs w:val="21"/>
              </w:rPr>
              <w:t>/</w:t>
            </w:r>
          </w:p>
        </w:tc>
        <w:tc>
          <w:tcPr>
            <w:tcW w:w="266" w:type="pct"/>
            <w:noWrap w:val="0"/>
            <w:vAlign w:val="center"/>
          </w:tcPr>
          <w:p w14:paraId="5FE2C055">
            <w:pPr>
              <w:adjustRightInd w:val="0"/>
              <w:snapToGrid w:val="0"/>
              <w:spacing w:line="240" w:lineRule="auto"/>
              <w:jc w:val="center"/>
              <w:rPr>
                <w:sz w:val="21"/>
                <w:szCs w:val="21"/>
              </w:rPr>
            </w:pPr>
            <w:r>
              <w:rPr>
                <w:snapToGrid w:val="0"/>
                <w:kern w:val="21"/>
                <w:sz w:val="21"/>
                <w:szCs w:val="21"/>
              </w:rPr>
              <w:t>/</w:t>
            </w:r>
          </w:p>
        </w:tc>
        <w:tc>
          <w:tcPr>
            <w:tcW w:w="635" w:type="pct"/>
            <w:noWrap w:val="0"/>
            <w:vAlign w:val="center"/>
          </w:tcPr>
          <w:p w14:paraId="6DE87523">
            <w:pPr>
              <w:adjustRightInd w:val="0"/>
              <w:snapToGrid w:val="0"/>
              <w:spacing w:line="240" w:lineRule="auto"/>
              <w:jc w:val="center"/>
              <w:rPr>
                <w:sz w:val="21"/>
                <w:szCs w:val="21"/>
              </w:rPr>
            </w:pPr>
            <w:r>
              <w:rPr>
                <w:snapToGrid w:val="0"/>
                <w:kern w:val="21"/>
                <w:sz w:val="21"/>
                <w:szCs w:val="21"/>
              </w:rPr>
              <w:t>/</w:t>
            </w:r>
          </w:p>
        </w:tc>
        <w:tc>
          <w:tcPr>
            <w:tcW w:w="752" w:type="pct"/>
            <w:shd w:val="clear" w:color="auto" w:fill="auto"/>
            <w:noWrap w:val="0"/>
            <w:vAlign w:val="center"/>
          </w:tcPr>
          <w:p w14:paraId="4455D4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0.210</w:t>
            </w:r>
            <w:r>
              <w:rPr>
                <w:rFonts w:hint="eastAsia" w:ascii="Times New Roman" w:hAnsi="Times New Roman" w:eastAsia="宋体" w:cs="Times New Roman"/>
                <w:color w:val="000000"/>
                <w:spacing w:val="0"/>
                <w:kern w:val="0"/>
                <w:sz w:val="21"/>
                <w:szCs w:val="21"/>
                <w:lang w:val="en-US" w:eastAsia="zh-CN"/>
              </w:rPr>
              <w:t>t/a</w:t>
            </w:r>
          </w:p>
        </w:tc>
        <w:tc>
          <w:tcPr>
            <w:tcW w:w="436" w:type="pct"/>
            <w:noWrap w:val="0"/>
            <w:vAlign w:val="center"/>
          </w:tcPr>
          <w:p w14:paraId="3CBF8F8D">
            <w:pPr>
              <w:adjustRightInd w:val="0"/>
              <w:snapToGrid w:val="0"/>
              <w:spacing w:line="240" w:lineRule="auto"/>
              <w:jc w:val="center"/>
              <w:rPr>
                <w:sz w:val="21"/>
                <w:szCs w:val="21"/>
              </w:rPr>
            </w:pPr>
            <w:r>
              <w:rPr>
                <w:snapToGrid w:val="0"/>
                <w:kern w:val="21"/>
                <w:sz w:val="21"/>
                <w:szCs w:val="21"/>
              </w:rPr>
              <w:t>/</w:t>
            </w:r>
          </w:p>
        </w:tc>
        <w:tc>
          <w:tcPr>
            <w:tcW w:w="784" w:type="pct"/>
            <w:shd w:val="clear" w:color="auto" w:fill="auto"/>
            <w:noWrap w:val="0"/>
            <w:vAlign w:val="center"/>
          </w:tcPr>
          <w:p w14:paraId="34C32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cs="Times New Roman"/>
                <w:color w:val="000000"/>
                <w:spacing w:val="0"/>
                <w:kern w:val="0"/>
                <w:sz w:val="21"/>
                <w:szCs w:val="21"/>
                <w:lang w:val="en-US" w:eastAsia="zh-CN"/>
              </w:rPr>
              <w:t>0.210</w:t>
            </w:r>
            <w:r>
              <w:rPr>
                <w:rFonts w:hint="eastAsia" w:ascii="Times New Roman" w:hAnsi="Times New Roman" w:eastAsia="宋体" w:cs="Times New Roman"/>
                <w:color w:val="000000"/>
                <w:spacing w:val="0"/>
                <w:kern w:val="0"/>
                <w:sz w:val="21"/>
                <w:szCs w:val="21"/>
                <w:lang w:val="en-US" w:eastAsia="zh-CN"/>
              </w:rPr>
              <w:t>t/a</w:t>
            </w:r>
          </w:p>
        </w:tc>
        <w:tc>
          <w:tcPr>
            <w:tcW w:w="463" w:type="pct"/>
            <w:shd w:val="clear" w:color="auto" w:fill="auto"/>
            <w:noWrap w:val="0"/>
            <w:vAlign w:val="center"/>
          </w:tcPr>
          <w:p w14:paraId="5A6177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w:t>
            </w:r>
            <w:r>
              <w:rPr>
                <w:rFonts w:hint="eastAsia" w:cs="Times New Roman"/>
                <w:color w:val="000000"/>
                <w:spacing w:val="0"/>
                <w:kern w:val="0"/>
                <w:sz w:val="21"/>
                <w:szCs w:val="21"/>
                <w:lang w:val="en-US" w:eastAsia="zh-CN"/>
              </w:rPr>
              <w:t>0.210</w:t>
            </w:r>
            <w:r>
              <w:rPr>
                <w:rFonts w:hint="eastAsia" w:ascii="Times New Roman" w:hAnsi="Times New Roman" w:eastAsia="宋体" w:cs="Times New Roman"/>
                <w:color w:val="000000"/>
                <w:spacing w:val="0"/>
                <w:kern w:val="0"/>
                <w:sz w:val="21"/>
                <w:szCs w:val="21"/>
                <w:lang w:val="en-US" w:eastAsia="zh-CN"/>
              </w:rPr>
              <w:t>t/a</w:t>
            </w:r>
          </w:p>
        </w:tc>
      </w:tr>
      <w:tr w14:paraId="0F19C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94" w:type="pct"/>
            <w:vMerge w:val="continue"/>
            <w:noWrap w:val="0"/>
            <w:vAlign w:val="center"/>
          </w:tcPr>
          <w:p w14:paraId="546CA03D">
            <w:pPr>
              <w:adjustRightInd w:val="0"/>
              <w:snapToGrid w:val="0"/>
              <w:spacing w:line="240" w:lineRule="auto"/>
              <w:jc w:val="center"/>
              <w:rPr>
                <w:snapToGrid w:val="0"/>
                <w:kern w:val="21"/>
                <w:sz w:val="21"/>
                <w:szCs w:val="21"/>
              </w:rPr>
            </w:pPr>
            <w:bookmarkStart w:id="21" w:name="_Toc13762"/>
          </w:p>
        </w:tc>
        <w:tc>
          <w:tcPr>
            <w:tcW w:w="730" w:type="pct"/>
            <w:shd w:val="clear" w:color="auto" w:fill="auto"/>
            <w:noWrap w:val="0"/>
            <w:vAlign w:val="center"/>
          </w:tcPr>
          <w:p w14:paraId="69732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废润滑油</w:t>
            </w:r>
          </w:p>
        </w:tc>
        <w:tc>
          <w:tcPr>
            <w:tcW w:w="635" w:type="pct"/>
            <w:noWrap w:val="0"/>
            <w:vAlign w:val="center"/>
          </w:tcPr>
          <w:p w14:paraId="2026E8AA">
            <w:pPr>
              <w:adjustRightInd w:val="0"/>
              <w:snapToGrid w:val="0"/>
              <w:spacing w:line="240" w:lineRule="auto"/>
              <w:jc w:val="center"/>
              <w:rPr>
                <w:snapToGrid w:val="0"/>
                <w:kern w:val="21"/>
                <w:sz w:val="21"/>
                <w:szCs w:val="21"/>
              </w:rPr>
            </w:pPr>
          </w:p>
        </w:tc>
        <w:tc>
          <w:tcPr>
            <w:tcW w:w="266" w:type="pct"/>
            <w:noWrap w:val="0"/>
            <w:vAlign w:val="center"/>
          </w:tcPr>
          <w:p w14:paraId="283B1108">
            <w:pPr>
              <w:adjustRightInd w:val="0"/>
              <w:snapToGrid w:val="0"/>
              <w:spacing w:line="240" w:lineRule="auto"/>
              <w:jc w:val="center"/>
              <w:rPr>
                <w:snapToGrid w:val="0"/>
                <w:kern w:val="21"/>
                <w:sz w:val="21"/>
                <w:szCs w:val="21"/>
              </w:rPr>
            </w:pPr>
          </w:p>
        </w:tc>
        <w:tc>
          <w:tcPr>
            <w:tcW w:w="635" w:type="pct"/>
            <w:noWrap w:val="0"/>
            <w:vAlign w:val="center"/>
          </w:tcPr>
          <w:p w14:paraId="512D3E67">
            <w:pPr>
              <w:adjustRightInd w:val="0"/>
              <w:snapToGrid w:val="0"/>
              <w:spacing w:line="240" w:lineRule="auto"/>
              <w:jc w:val="center"/>
              <w:rPr>
                <w:snapToGrid w:val="0"/>
                <w:kern w:val="21"/>
                <w:sz w:val="21"/>
                <w:szCs w:val="21"/>
              </w:rPr>
            </w:pPr>
          </w:p>
        </w:tc>
        <w:tc>
          <w:tcPr>
            <w:tcW w:w="752" w:type="pct"/>
            <w:shd w:val="clear" w:color="auto" w:fill="auto"/>
            <w:noWrap w:val="0"/>
            <w:vAlign w:val="center"/>
          </w:tcPr>
          <w:p w14:paraId="08A60D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0.2t/a</w:t>
            </w:r>
          </w:p>
        </w:tc>
        <w:tc>
          <w:tcPr>
            <w:tcW w:w="436" w:type="pct"/>
            <w:noWrap w:val="0"/>
            <w:vAlign w:val="center"/>
          </w:tcPr>
          <w:p w14:paraId="26F84682">
            <w:pPr>
              <w:adjustRightInd w:val="0"/>
              <w:snapToGrid w:val="0"/>
              <w:spacing w:line="240" w:lineRule="auto"/>
              <w:jc w:val="center"/>
              <w:rPr>
                <w:snapToGrid w:val="0"/>
                <w:kern w:val="21"/>
                <w:sz w:val="21"/>
                <w:szCs w:val="21"/>
              </w:rPr>
            </w:pPr>
          </w:p>
        </w:tc>
        <w:tc>
          <w:tcPr>
            <w:tcW w:w="784" w:type="pct"/>
            <w:shd w:val="clear" w:color="auto" w:fill="auto"/>
            <w:noWrap w:val="0"/>
            <w:vAlign w:val="center"/>
          </w:tcPr>
          <w:p w14:paraId="125663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0.2t/a</w:t>
            </w:r>
          </w:p>
        </w:tc>
        <w:tc>
          <w:tcPr>
            <w:tcW w:w="463" w:type="pct"/>
            <w:shd w:val="clear" w:color="auto" w:fill="auto"/>
            <w:noWrap w:val="0"/>
            <w:vAlign w:val="center"/>
          </w:tcPr>
          <w:p w14:paraId="2E444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spacing w:val="0"/>
                <w:kern w:val="0"/>
                <w:sz w:val="21"/>
                <w:szCs w:val="21"/>
                <w:lang w:val="en-US" w:eastAsia="zh-CN" w:bidi="ar-SA"/>
              </w:rPr>
            </w:pPr>
            <w:r>
              <w:rPr>
                <w:rFonts w:hint="eastAsia" w:ascii="Times New Roman" w:hAnsi="Times New Roman" w:eastAsia="宋体" w:cs="Times New Roman"/>
                <w:color w:val="000000"/>
                <w:spacing w:val="0"/>
                <w:kern w:val="0"/>
                <w:sz w:val="21"/>
                <w:szCs w:val="21"/>
                <w:lang w:val="en-US" w:eastAsia="zh-CN"/>
              </w:rPr>
              <w:t>+0.2t/a</w:t>
            </w:r>
          </w:p>
        </w:tc>
      </w:tr>
    </w:tbl>
    <w:p w14:paraId="4E39F5BB">
      <w:pPr>
        <w:outlineLvl w:val="0"/>
        <w:rPr>
          <w:snapToGrid w:val="0"/>
          <w:spacing w:val="-6"/>
          <w:kern w:val="21"/>
          <w:szCs w:val="21"/>
        </w:rPr>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bookmarkEnd w:id="21"/>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SJQY"/>
    <w:panose1 w:val="00000000000000000000"/>
    <w:charset w:val="00"/>
    <w:family w:val="auto"/>
    <w:pitch w:val="default"/>
    <w:sig w:usb0="00000000" w:usb1="00000000" w:usb2="00000000" w:usb3="00000000" w:csb0="00040001" w:csb1="00000000"/>
  </w:font>
  <w:font w:name="SJQY">
    <w:panose1 w:val="02010600030101010101"/>
    <w:charset w:val="86"/>
    <w:family w:val="auto"/>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5EAB">
    <w:pPr>
      <w:pStyle w:val="13"/>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952F9D">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4/cKMsBAACcAwAADgAAAGRycy9lMm9Eb2MueG1srVNLbtswEN0XyB0I&#10;7mPKRlE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TU3fUmK5wYGfv387//h1/vmV&#10;LItVmRTqPVSY+OQxNQ53bsC9mf2AzkR8aINJX6REMI76ni76yiESkR6Vq7Is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OP3CjLAQAAnAMAAA4AAAAAAAAAAQAgAAAAHgEAAGRycy9lMm9E&#10;b2MueG1sUEsFBgAAAAAGAAYAWQEAAFsFAAAAAA==&#10;">
              <v:fill on="f" focussize="0,0"/>
              <v:stroke on="f"/>
              <v:imagedata o:title=""/>
              <o:lock v:ext="edit" aspectratio="f"/>
              <v:textbox inset="0mm,0mm,0mm,0mm" style="mso-fit-shape-to-text:t;">
                <w:txbxContent>
                  <w:p w14:paraId="76952F9D">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39786">
    <w:pPr>
      <w:pStyle w:val="1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72801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1172801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C039B">
    <w:pPr>
      <w:pStyle w:val="13"/>
      <w:keepNext w:val="0"/>
      <w:keepLines w:val="0"/>
      <w:pageBreakBefore w:val="0"/>
      <w:widowControl w:val="0"/>
      <w:pBdr>
        <w:bottom w:val="single" w:color="auto" w:sz="4" w:space="0"/>
      </w:pBdr>
      <w:kinsoku/>
      <w:wordWrap/>
      <w:overflowPunct/>
      <w:topLinePunct w:val="0"/>
      <w:bidi w:val="0"/>
      <w:adjustRightInd/>
      <w:snapToGrid w:val="0"/>
      <w:spacing w:line="240" w:lineRule="auto"/>
      <w:ind w:right="0" w:firstLine="0"/>
      <w:jc w:val="right"/>
      <w:textAlignment w:val="auto"/>
      <w:rPr>
        <w:rFonts w:hint="eastAsia"/>
      </w:rPr>
    </w:pPr>
    <w:r>
      <w:rPr>
        <w:rFonts w:hint="eastAsia"/>
      </w:rPr>
      <w:t>河南特防建设集团有限公司巴州分公司</w:t>
    </w:r>
    <w:r>
      <w:rPr>
        <w:rFonts w:hint="eastAsia"/>
        <w:lang w:val="en-US" w:eastAsia="zh-CN"/>
      </w:rPr>
      <w:t>3PE防腐管生产线建设项目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D47A2"/>
    <w:multiLevelType w:val="singleLevel"/>
    <w:tmpl w:val="BFDD47A2"/>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E36C664F"/>
    <w:multiLevelType w:val="singleLevel"/>
    <w:tmpl w:val="E36C664F"/>
    <w:lvl w:ilvl="0" w:tentative="0">
      <w:start w:val="2"/>
      <w:numFmt w:val="decimal"/>
      <w:suff w:val="nothing"/>
      <w:lvlText w:val="（%1）"/>
      <w:lvlJc w:val="left"/>
    </w:lvl>
  </w:abstractNum>
  <w:abstractNum w:abstractNumId="2">
    <w:nsid w:val="F12B7BBF"/>
    <w:multiLevelType w:val="singleLevel"/>
    <w:tmpl w:val="F12B7BBF"/>
    <w:lvl w:ilvl="0" w:tentative="0">
      <w:start w:val="2"/>
      <w:numFmt w:val="decimal"/>
      <w:suff w:val="nothing"/>
      <w:lvlText w:val="%1、"/>
      <w:lvlJc w:val="left"/>
    </w:lvl>
  </w:abstractNum>
  <w:abstractNum w:abstractNumId="3">
    <w:nsid w:val="14D6299F"/>
    <w:multiLevelType w:val="singleLevel"/>
    <w:tmpl w:val="14D6299F"/>
    <w:lvl w:ilvl="0" w:tentative="0">
      <w:start w:val="1"/>
      <w:numFmt w:val="decimal"/>
      <w:suff w:val="nothing"/>
      <w:lvlText w:val="%1、"/>
      <w:lvlJc w:val="left"/>
    </w:lvl>
  </w:abstractNum>
  <w:abstractNum w:abstractNumId="4">
    <w:nsid w:val="1AFE7E7B"/>
    <w:multiLevelType w:val="singleLevel"/>
    <w:tmpl w:val="1AFE7E7B"/>
    <w:lvl w:ilvl="0" w:tentative="0">
      <w:start w:val="6"/>
      <w:numFmt w:val="decimal"/>
      <w:suff w:val="nothing"/>
      <w:lvlText w:val="（%1）"/>
      <w:lvlJc w:val="left"/>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yNjNhNmJiNzNmOGMxODNhOGJhZDk1MDYxMDZkMGQ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68A2"/>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49DA"/>
    <w:rsid w:val="001A6F61"/>
    <w:rsid w:val="001B72B8"/>
    <w:rsid w:val="001C69B3"/>
    <w:rsid w:val="001D5595"/>
    <w:rsid w:val="001D7874"/>
    <w:rsid w:val="001D7F22"/>
    <w:rsid w:val="001E54F6"/>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7251E"/>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351EB"/>
    <w:rsid w:val="00836C76"/>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72716"/>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C6143B"/>
    <w:rsid w:val="024D588A"/>
    <w:rsid w:val="02697903"/>
    <w:rsid w:val="02F05C02"/>
    <w:rsid w:val="02F96569"/>
    <w:rsid w:val="03EA7B21"/>
    <w:rsid w:val="042D4DE1"/>
    <w:rsid w:val="0514603E"/>
    <w:rsid w:val="05CD433F"/>
    <w:rsid w:val="05E62AB1"/>
    <w:rsid w:val="05F83EAE"/>
    <w:rsid w:val="063E7D85"/>
    <w:rsid w:val="06416374"/>
    <w:rsid w:val="066F546B"/>
    <w:rsid w:val="069D140E"/>
    <w:rsid w:val="071E7209"/>
    <w:rsid w:val="07293586"/>
    <w:rsid w:val="07295285"/>
    <w:rsid w:val="07636392"/>
    <w:rsid w:val="07770C56"/>
    <w:rsid w:val="080B3400"/>
    <w:rsid w:val="090901F8"/>
    <w:rsid w:val="092217DD"/>
    <w:rsid w:val="093A7294"/>
    <w:rsid w:val="098360BB"/>
    <w:rsid w:val="09B63DDC"/>
    <w:rsid w:val="0A2261FA"/>
    <w:rsid w:val="0A263993"/>
    <w:rsid w:val="0A2D3AC2"/>
    <w:rsid w:val="0A7C3445"/>
    <w:rsid w:val="0A86004A"/>
    <w:rsid w:val="0AA755DF"/>
    <w:rsid w:val="0B120D44"/>
    <w:rsid w:val="0BB9744D"/>
    <w:rsid w:val="0BD27BF6"/>
    <w:rsid w:val="0C0056CB"/>
    <w:rsid w:val="0C0D3381"/>
    <w:rsid w:val="0C3B3C7D"/>
    <w:rsid w:val="0CAB2EAE"/>
    <w:rsid w:val="0D1625EE"/>
    <w:rsid w:val="0D621C7D"/>
    <w:rsid w:val="0D6707D0"/>
    <w:rsid w:val="0DE36A1A"/>
    <w:rsid w:val="0DF36D23"/>
    <w:rsid w:val="0E4C5316"/>
    <w:rsid w:val="0E73034D"/>
    <w:rsid w:val="0F13775A"/>
    <w:rsid w:val="0F5F45FE"/>
    <w:rsid w:val="0F9A112B"/>
    <w:rsid w:val="0FA67527"/>
    <w:rsid w:val="0FC279BF"/>
    <w:rsid w:val="106D2F64"/>
    <w:rsid w:val="10B63710"/>
    <w:rsid w:val="10F10820"/>
    <w:rsid w:val="111C2F7A"/>
    <w:rsid w:val="11665CA1"/>
    <w:rsid w:val="11B65E5F"/>
    <w:rsid w:val="122072AA"/>
    <w:rsid w:val="13044AF4"/>
    <w:rsid w:val="13784E57"/>
    <w:rsid w:val="13951726"/>
    <w:rsid w:val="13BC7FB1"/>
    <w:rsid w:val="13CC03E8"/>
    <w:rsid w:val="1401728F"/>
    <w:rsid w:val="14131750"/>
    <w:rsid w:val="14396509"/>
    <w:rsid w:val="145D1C03"/>
    <w:rsid w:val="14DD2C3C"/>
    <w:rsid w:val="14E027B8"/>
    <w:rsid w:val="14F645EC"/>
    <w:rsid w:val="157E7721"/>
    <w:rsid w:val="15867E3B"/>
    <w:rsid w:val="15C43962"/>
    <w:rsid w:val="16087E1D"/>
    <w:rsid w:val="160F25DB"/>
    <w:rsid w:val="165232CC"/>
    <w:rsid w:val="17291729"/>
    <w:rsid w:val="175D6736"/>
    <w:rsid w:val="17701D14"/>
    <w:rsid w:val="17735226"/>
    <w:rsid w:val="178F417E"/>
    <w:rsid w:val="189F624C"/>
    <w:rsid w:val="192920CE"/>
    <w:rsid w:val="19642E83"/>
    <w:rsid w:val="19A26AB0"/>
    <w:rsid w:val="1A1C66C0"/>
    <w:rsid w:val="1A3C04E4"/>
    <w:rsid w:val="1A42393B"/>
    <w:rsid w:val="1A644AB4"/>
    <w:rsid w:val="1A7607D6"/>
    <w:rsid w:val="1AAC2E59"/>
    <w:rsid w:val="1AAD45DE"/>
    <w:rsid w:val="1B046F80"/>
    <w:rsid w:val="1B3267B5"/>
    <w:rsid w:val="1B40161D"/>
    <w:rsid w:val="1B441859"/>
    <w:rsid w:val="1B6606B1"/>
    <w:rsid w:val="1C3333A8"/>
    <w:rsid w:val="1C5E7925"/>
    <w:rsid w:val="1CBC2C02"/>
    <w:rsid w:val="1CC16130"/>
    <w:rsid w:val="1CFD070F"/>
    <w:rsid w:val="1D5F6196"/>
    <w:rsid w:val="1D6132A5"/>
    <w:rsid w:val="1D8E56D5"/>
    <w:rsid w:val="1D950251"/>
    <w:rsid w:val="1DA4489F"/>
    <w:rsid w:val="1DBB6E04"/>
    <w:rsid w:val="1DE8709C"/>
    <w:rsid w:val="1E1C7F3F"/>
    <w:rsid w:val="1E7A43DA"/>
    <w:rsid w:val="1EB84F5C"/>
    <w:rsid w:val="1EDA5344"/>
    <w:rsid w:val="1F291E28"/>
    <w:rsid w:val="1F543D23"/>
    <w:rsid w:val="1FE7539E"/>
    <w:rsid w:val="20671BE0"/>
    <w:rsid w:val="20963CB8"/>
    <w:rsid w:val="20A26336"/>
    <w:rsid w:val="20A81A1B"/>
    <w:rsid w:val="20B07FB6"/>
    <w:rsid w:val="20B646FB"/>
    <w:rsid w:val="20EF156B"/>
    <w:rsid w:val="213B74B1"/>
    <w:rsid w:val="215A2310"/>
    <w:rsid w:val="21DE318A"/>
    <w:rsid w:val="21EF5B80"/>
    <w:rsid w:val="21FD3E53"/>
    <w:rsid w:val="22576990"/>
    <w:rsid w:val="22F47480"/>
    <w:rsid w:val="23B74A16"/>
    <w:rsid w:val="23DE1C48"/>
    <w:rsid w:val="240210CD"/>
    <w:rsid w:val="24BF09F7"/>
    <w:rsid w:val="252D53FE"/>
    <w:rsid w:val="256E3AD1"/>
    <w:rsid w:val="257E7DF0"/>
    <w:rsid w:val="258202C6"/>
    <w:rsid w:val="25EC2D81"/>
    <w:rsid w:val="25F5515A"/>
    <w:rsid w:val="260B62D1"/>
    <w:rsid w:val="26C849E5"/>
    <w:rsid w:val="26F31C29"/>
    <w:rsid w:val="277057A2"/>
    <w:rsid w:val="28E11E34"/>
    <w:rsid w:val="28E246C7"/>
    <w:rsid w:val="29206EB8"/>
    <w:rsid w:val="29214371"/>
    <w:rsid w:val="29595666"/>
    <w:rsid w:val="29874881"/>
    <w:rsid w:val="29C97766"/>
    <w:rsid w:val="29CD2261"/>
    <w:rsid w:val="29E325E0"/>
    <w:rsid w:val="2A331DAD"/>
    <w:rsid w:val="2A452503"/>
    <w:rsid w:val="2ACD0205"/>
    <w:rsid w:val="2B63012E"/>
    <w:rsid w:val="2BA936A8"/>
    <w:rsid w:val="2BFC3DC8"/>
    <w:rsid w:val="2C315A5A"/>
    <w:rsid w:val="2C4B1C25"/>
    <w:rsid w:val="2CBF3CF4"/>
    <w:rsid w:val="2D6317C3"/>
    <w:rsid w:val="2D9E56F5"/>
    <w:rsid w:val="2E234B41"/>
    <w:rsid w:val="2E667F96"/>
    <w:rsid w:val="2E8226AB"/>
    <w:rsid w:val="2E8B3DC3"/>
    <w:rsid w:val="2EB01164"/>
    <w:rsid w:val="2F6D179B"/>
    <w:rsid w:val="2FD065E6"/>
    <w:rsid w:val="2FD8423A"/>
    <w:rsid w:val="2FD96870"/>
    <w:rsid w:val="2FEC4655"/>
    <w:rsid w:val="2FEE5E80"/>
    <w:rsid w:val="30136799"/>
    <w:rsid w:val="30580BC9"/>
    <w:rsid w:val="306653AC"/>
    <w:rsid w:val="311E2ED7"/>
    <w:rsid w:val="315619EE"/>
    <w:rsid w:val="315C449C"/>
    <w:rsid w:val="31AF719A"/>
    <w:rsid w:val="31B82709"/>
    <w:rsid w:val="31D05482"/>
    <w:rsid w:val="32400B34"/>
    <w:rsid w:val="329E6876"/>
    <w:rsid w:val="32B65CD7"/>
    <w:rsid w:val="330B7E2F"/>
    <w:rsid w:val="333015F2"/>
    <w:rsid w:val="334B6320"/>
    <w:rsid w:val="33D934D4"/>
    <w:rsid w:val="33FE2F6A"/>
    <w:rsid w:val="340E07E5"/>
    <w:rsid w:val="34235BF7"/>
    <w:rsid w:val="34495F36"/>
    <w:rsid w:val="35186C85"/>
    <w:rsid w:val="358362DE"/>
    <w:rsid w:val="358C5FA8"/>
    <w:rsid w:val="35C15DF1"/>
    <w:rsid w:val="36074A7F"/>
    <w:rsid w:val="36923549"/>
    <w:rsid w:val="36B75FBF"/>
    <w:rsid w:val="36BD0C45"/>
    <w:rsid w:val="37E00298"/>
    <w:rsid w:val="380F1445"/>
    <w:rsid w:val="38B302F9"/>
    <w:rsid w:val="38F12CD3"/>
    <w:rsid w:val="38F94775"/>
    <w:rsid w:val="39062C49"/>
    <w:rsid w:val="392971ED"/>
    <w:rsid w:val="39325651"/>
    <w:rsid w:val="39511B6E"/>
    <w:rsid w:val="39D578AC"/>
    <w:rsid w:val="3A872856"/>
    <w:rsid w:val="3AD97982"/>
    <w:rsid w:val="3B293484"/>
    <w:rsid w:val="3B3763D1"/>
    <w:rsid w:val="3BA321AC"/>
    <w:rsid w:val="3BF27565"/>
    <w:rsid w:val="3C2F6E1E"/>
    <w:rsid w:val="3C4F64BA"/>
    <w:rsid w:val="3CB23710"/>
    <w:rsid w:val="3CD64012"/>
    <w:rsid w:val="3CDA245A"/>
    <w:rsid w:val="3D1E06B7"/>
    <w:rsid w:val="3DD82DF2"/>
    <w:rsid w:val="3EC57823"/>
    <w:rsid w:val="3EDA0523"/>
    <w:rsid w:val="3F031789"/>
    <w:rsid w:val="3F6342D6"/>
    <w:rsid w:val="3F69511D"/>
    <w:rsid w:val="3FBA0C46"/>
    <w:rsid w:val="401C1DDE"/>
    <w:rsid w:val="406E11C5"/>
    <w:rsid w:val="407A6407"/>
    <w:rsid w:val="40D06E7B"/>
    <w:rsid w:val="40FE03B8"/>
    <w:rsid w:val="413E2A25"/>
    <w:rsid w:val="414B1A21"/>
    <w:rsid w:val="417915DD"/>
    <w:rsid w:val="419C6EE8"/>
    <w:rsid w:val="41AD1111"/>
    <w:rsid w:val="41D52F1C"/>
    <w:rsid w:val="4200449D"/>
    <w:rsid w:val="422525E9"/>
    <w:rsid w:val="423A3BCC"/>
    <w:rsid w:val="424E57D2"/>
    <w:rsid w:val="426D301F"/>
    <w:rsid w:val="42B26C49"/>
    <w:rsid w:val="433A6FE6"/>
    <w:rsid w:val="43480868"/>
    <w:rsid w:val="4350713C"/>
    <w:rsid w:val="436653E0"/>
    <w:rsid w:val="43B86002"/>
    <w:rsid w:val="43C4431A"/>
    <w:rsid w:val="43C875F7"/>
    <w:rsid w:val="43CC7D81"/>
    <w:rsid w:val="44B951CC"/>
    <w:rsid w:val="44CD14E0"/>
    <w:rsid w:val="44F20B0B"/>
    <w:rsid w:val="45187590"/>
    <w:rsid w:val="452E5F4C"/>
    <w:rsid w:val="45612018"/>
    <w:rsid w:val="456A04AB"/>
    <w:rsid w:val="456E3C0C"/>
    <w:rsid w:val="458946E9"/>
    <w:rsid w:val="45A47C0E"/>
    <w:rsid w:val="46577FD6"/>
    <w:rsid w:val="46737DFE"/>
    <w:rsid w:val="46AB7443"/>
    <w:rsid w:val="46AF2FD7"/>
    <w:rsid w:val="46D955A7"/>
    <w:rsid w:val="47133957"/>
    <w:rsid w:val="47983573"/>
    <w:rsid w:val="47A07E0C"/>
    <w:rsid w:val="483B7CF1"/>
    <w:rsid w:val="4870272E"/>
    <w:rsid w:val="49697991"/>
    <w:rsid w:val="497A5993"/>
    <w:rsid w:val="49A60395"/>
    <w:rsid w:val="49D86012"/>
    <w:rsid w:val="49DC7715"/>
    <w:rsid w:val="4A023139"/>
    <w:rsid w:val="4A7B576F"/>
    <w:rsid w:val="4AF561A9"/>
    <w:rsid w:val="4B863FDA"/>
    <w:rsid w:val="4BFF18AE"/>
    <w:rsid w:val="4C425C81"/>
    <w:rsid w:val="4C4A0649"/>
    <w:rsid w:val="4C603A18"/>
    <w:rsid w:val="4C7E5ECA"/>
    <w:rsid w:val="4C876AA5"/>
    <w:rsid w:val="4D0E00FB"/>
    <w:rsid w:val="4D176606"/>
    <w:rsid w:val="4D8D0E0B"/>
    <w:rsid w:val="4DE22494"/>
    <w:rsid w:val="4DEC4FB0"/>
    <w:rsid w:val="4DEF143D"/>
    <w:rsid w:val="4E075D8A"/>
    <w:rsid w:val="4E3D0FF5"/>
    <w:rsid w:val="4EC00FAD"/>
    <w:rsid w:val="4EF27210"/>
    <w:rsid w:val="4F396CF6"/>
    <w:rsid w:val="4F9843DC"/>
    <w:rsid w:val="4FC62A8C"/>
    <w:rsid w:val="4FE20F0D"/>
    <w:rsid w:val="4FE51552"/>
    <w:rsid w:val="4FF51A5F"/>
    <w:rsid w:val="50504C4B"/>
    <w:rsid w:val="507D3633"/>
    <w:rsid w:val="509C6E7C"/>
    <w:rsid w:val="5162104E"/>
    <w:rsid w:val="52611229"/>
    <w:rsid w:val="527649FB"/>
    <w:rsid w:val="5388190F"/>
    <w:rsid w:val="538E02A6"/>
    <w:rsid w:val="53A039CC"/>
    <w:rsid w:val="53A1505A"/>
    <w:rsid w:val="54063E08"/>
    <w:rsid w:val="543437E8"/>
    <w:rsid w:val="54F73313"/>
    <w:rsid w:val="54F80955"/>
    <w:rsid w:val="550E7095"/>
    <w:rsid w:val="554E7006"/>
    <w:rsid w:val="555170A7"/>
    <w:rsid w:val="5587536D"/>
    <w:rsid w:val="559B174B"/>
    <w:rsid w:val="55CE0CF4"/>
    <w:rsid w:val="561B5ABA"/>
    <w:rsid w:val="567A3DF2"/>
    <w:rsid w:val="56B22A9C"/>
    <w:rsid w:val="57B72A76"/>
    <w:rsid w:val="57C3426C"/>
    <w:rsid w:val="57CE1F93"/>
    <w:rsid w:val="588743D1"/>
    <w:rsid w:val="5887701A"/>
    <w:rsid w:val="58D30811"/>
    <w:rsid w:val="58F026D9"/>
    <w:rsid w:val="5971107E"/>
    <w:rsid w:val="59C0439F"/>
    <w:rsid w:val="5A1468D1"/>
    <w:rsid w:val="5ABE2233"/>
    <w:rsid w:val="5AC2169F"/>
    <w:rsid w:val="5B4A6DD2"/>
    <w:rsid w:val="5BDF5D95"/>
    <w:rsid w:val="5BFE7528"/>
    <w:rsid w:val="5C155E00"/>
    <w:rsid w:val="5C467A97"/>
    <w:rsid w:val="5CE172C2"/>
    <w:rsid w:val="5D354733"/>
    <w:rsid w:val="5D567DF8"/>
    <w:rsid w:val="5D9334C1"/>
    <w:rsid w:val="5DDE6408"/>
    <w:rsid w:val="5E0C076D"/>
    <w:rsid w:val="5E0D24F0"/>
    <w:rsid w:val="5E1A22A0"/>
    <w:rsid w:val="5E2467F1"/>
    <w:rsid w:val="5E99463E"/>
    <w:rsid w:val="5F1A2B43"/>
    <w:rsid w:val="5F355A6D"/>
    <w:rsid w:val="5F852F88"/>
    <w:rsid w:val="5FB837BB"/>
    <w:rsid w:val="60692C39"/>
    <w:rsid w:val="60CC405A"/>
    <w:rsid w:val="61291238"/>
    <w:rsid w:val="613D29E1"/>
    <w:rsid w:val="618C2A1B"/>
    <w:rsid w:val="61AA53EA"/>
    <w:rsid w:val="61E215D8"/>
    <w:rsid w:val="621B3775"/>
    <w:rsid w:val="62364782"/>
    <w:rsid w:val="627B0697"/>
    <w:rsid w:val="62935DB1"/>
    <w:rsid w:val="6394356A"/>
    <w:rsid w:val="63B079EF"/>
    <w:rsid w:val="63C61B2C"/>
    <w:rsid w:val="63D40BE9"/>
    <w:rsid w:val="64102431"/>
    <w:rsid w:val="641C15A0"/>
    <w:rsid w:val="643E02CA"/>
    <w:rsid w:val="649315FC"/>
    <w:rsid w:val="64A5243A"/>
    <w:rsid w:val="64F531DE"/>
    <w:rsid w:val="65373578"/>
    <w:rsid w:val="65BC5914"/>
    <w:rsid w:val="66253A4B"/>
    <w:rsid w:val="66C355F8"/>
    <w:rsid w:val="671F124A"/>
    <w:rsid w:val="67263A62"/>
    <w:rsid w:val="674C14F0"/>
    <w:rsid w:val="67795889"/>
    <w:rsid w:val="677A33C6"/>
    <w:rsid w:val="67C51AB9"/>
    <w:rsid w:val="67FF0373"/>
    <w:rsid w:val="681271F9"/>
    <w:rsid w:val="681F6961"/>
    <w:rsid w:val="68610A2F"/>
    <w:rsid w:val="68805514"/>
    <w:rsid w:val="68E36DED"/>
    <w:rsid w:val="69316E2F"/>
    <w:rsid w:val="694E2071"/>
    <w:rsid w:val="69766163"/>
    <w:rsid w:val="697A3B33"/>
    <w:rsid w:val="69D44760"/>
    <w:rsid w:val="6A4D20CD"/>
    <w:rsid w:val="6A520EC7"/>
    <w:rsid w:val="6ABD740F"/>
    <w:rsid w:val="6AF87E20"/>
    <w:rsid w:val="6B322639"/>
    <w:rsid w:val="6B3D6961"/>
    <w:rsid w:val="6B835C69"/>
    <w:rsid w:val="6BD40E11"/>
    <w:rsid w:val="6C636C38"/>
    <w:rsid w:val="6DB34098"/>
    <w:rsid w:val="6DB545B6"/>
    <w:rsid w:val="6DB72E89"/>
    <w:rsid w:val="6DBC2D7B"/>
    <w:rsid w:val="6DDC0A12"/>
    <w:rsid w:val="6DE02FB4"/>
    <w:rsid w:val="6E007687"/>
    <w:rsid w:val="6E514CED"/>
    <w:rsid w:val="6E6F3F6F"/>
    <w:rsid w:val="6EB563D5"/>
    <w:rsid w:val="6EC37A10"/>
    <w:rsid w:val="6ED92677"/>
    <w:rsid w:val="6EE44E6B"/>
    <w:rsid w:val="6F225983"/>
    <w:rsid w:val="6F584ECD"/>
    <w:rsid w:val="6FFC5590"/>
    <w:rsid w:val="70367FE4"/>
    <w:rsid w:val="706B546C"/>
    <w:rsid w:val="706D1DD0"/>
    <w:rsid w:val="70856B87"/>
    <w:rsid w:val="70D527EE"/>
    <w:rsid w:val="70D70CB1"/>
    <w:rsid w:val="71470BBC"/>
    <w:rsid w:val="715B5300"/>
    <w:rsid w:val="71D27F8A"/>
    <w:rsid w:val="72553024"/>
    <w:rsid w:val="725B146D"/>
    <w:rsid w:val="72BA1C83"/>
    <w:rsid w:val="72EB7997"/>
    <w:rsid w:val="73004895"/>
    <w:rsid w:val="73122968"/>
    <w:rsid w:val="731F5D5E"/>
    <w:rsid w:val="733058B6"/>
    <w:rsid w:val="739E1E6F"/>
    <w:rsid w:val="73C51AD5"/>
    <w:rsid w:val="741E793C"/>
    <w:rsid w:val="745A31E4"/>
    <w:rsid w:val="745E3944"/>
    <w:rsid w:val="75C67560"/>
    <w:rsid w:val="7635099D"/>
    <w:rsid w:val="769C365E"/>
    <w:rsid w:val="77762421"/>
    <w:rsid w:val="77B56B1F"/>
    <w:rsid w:val="77BA4C41"/>
    <w:rsid w:val="780F09F4"/>
    <w:rsid w:val="78A90480"/>
    <w:rsid w:val="792E1F68"/>
    <w:rsid w:val="7A364017"/>
    <w:rsid w:val="7A5F2933"/>
    <w:rsid w:val="7A8265E1"/>
    <w:rsid w:val="7A8971A3"/>
    <w:rsid w:val="7A90033F"/>
    <w:rsid w:val="7B485B8B"/>
    <w:rsid w:val="7B686D42"/>
    <w:rsid w:val="7B841746"/>
    <w:rsid w:val="7B9318AB"/>
    <w:rsid w:val="7C3C4038"/>
    <w:rsid w:val="7C6C5AC7"/>
    <w:rsid w:val="7C7C38A2"/>
    <w:rsid w:val="7CAD6954"/>
    <w:rsid w:val="7CC6544B"/>
    <w:rsid w:val="7D0239FF"/>
    <w:rsid w:val="7D532081"/>
    <w:rsid w:val="7D5E40CD"/>
    <w:rsid w:val="7D875E02"/>
    <w:rsid w:val="7D983576"/>
    <w:rsid w:val="7DB31DAA"/>
    <w:rsid w:val="7DCD56F2"/>
    <w:rsid w:val="7E176B90"/>
    <w:rsid w:val="7E4B18FA"/>
    <w:rsid w:val="7E502BE9"/>
    <w:rsid w:val="7F001CE7"/>
    <w:rsid w:val="7F370B6C"/>
    <w:rsid w:val="7F692720"/>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qFormat="1"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locked/>
    <w:uiPriority w:val="99"/>
    <w:pPr>
      <w:keepNext/>
      <w:overflowPunct w:val="0"/>
      <w:snapToGrid w:val="0"/>
      <w:spacing w:line="360" w:lineRule="auto"/>
      <w:ind w:left="0" w:firstLine="0"/>
      <w:jc w:val="center"/>
      <w:outlineLvl w:val="0"/>
    </w:pPr>
    <w:rPr>
      <w:rFonts w:ascii="Times New Roman" w:hAnsi="Times New Roman" w:eastAsia="黑体"/>
      <w:bCs/>
      <w:color w:val="000000"/>
      <w:kern w:val="44"/>
      <w:sz w:val="30"/>
      <w:szCs w:val="30"/>
    </w:rPr>
  </w:style>
  <w:style w:type="paragraph" w:styleId="4">
    <w:name w:val="heading 2"/>
    <w:basedOn w:val="1"/>
    <w:next w:val="1"/>
    <w:qFormat/>
    <w:locked/>
    <w:uiPriority w:val="0"/>
    <w:pPr>
      <w:keepNext/>
      <w:keepLines/>
      <w:ind w:firstLine="0" w:firstLineChars="0"/>
      <w:outlineLvl w:val="1"/>
    </w:pPr>
    <w:rPr>
      <w:b/>
      <w:bCs/>
      <w:szCs w:val="32"/>
    </w:rPr>
  </w:style>
  <w:style w:type="paragraph" w:styleId="5">
    <w:name w:val="heading 3"/>
    <w:basedOn w:val="1"/>
    <w:next w:val="1"/>
    <w:qFormat/>
    <w:locked/>
    <w:uiPriority w:val="0"/>
    <w:pPr>
      <w:keepNext/>
      <w:keepLines/>
      <w:spacing w:before="260" w:after="260" w:line="416" w:lineRule="auto"/>
      <w:outlineLvl w:val="2"/>
    </w:pPr>
    <w:rPr>
      <w:b/>
      <w:bCs/>
      <w:sz w:val="32"/>
      <w:szCs w:val="32"/>
    </w:rPr>
  </w:style>
  <w:style w:type="paragraph" w:styleId="6">
    <w:name w:val="heading 4"/>
    <w:basedOn w:val="1"/>
    <w:next w:val="1"/>
    <w:qFormat/>
    <w:locked/>
    <w:uiPriority w:val="0"/>
    <w:pPr>
      <w:spacing w:line="240" w:lineRule="auto"/>
      <w:ind w:firstLine="600" w:firstLineChars="200"/>
      <w:outlineLvl w:val="3"/>
    </w:pPr>
    <w:rPr>
      <w:rFonts w:ascii="Times New Roman" w:hAnsi="Times New Roman" w:eastAsia="宋体"/>
      <w:b/>
      <w:bCs/>
      <w:sz w:val="21"/>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locked/>
    <w:uiPriority w:val="0"/>
    <w:pPr>
      <w:ind w:firstLine="420" w:firstLineChars="200"/>
    </w:pPr>
  </w:style>
  <w:style w:type="paragraph" w:styleId="7">
    <w:name w:val="annotation text"/>
    <w:basedOn w:val="1"/>
    <w:link w:val="34"/>
    <w:semiHidden/>
    <w:qFormat/>
    <w:uiPriority w:val="0"/>
    <w:pPr>
      <w:jc w:val="left"/>
    </w:pPr>
    <w:rPr>
      <w:kern w:val="0"/>
      <w:sz w:val="24"/>
      <w:szCs w:val="20"/>
    </w:rPr>
  </w:style>
  <w:style w:type="paragraph" w:styleId="8">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9">
    <w:name w:val="Body Text Indent"/>
    <w:basedOn w:val="1"/>
    <w:next w:val="6"/>
    <w:qFormat/>
    <w:uiPriority w:val="0"/>
    <w:pPr>
      <w:spacing w:after="120"/>
      <w:ind w:left="420" w:leftChars="200"/>
    </w:pPr>
    <w:rPr>
      <w:kern w:val="0"/>
      <w:sz w:val="24"/>
      <w:szCs w:val="20"/>
    </w:rPr>
  </w:style>
  <w:style w:type="paragraph" w:styleId="10">
    <w:name w:val="List Bullet 5"/>
    <w:basedOn w:val="1"/>
    <w:qFormat/>
    <w:locked/>
    <w:uiPriority w:val="0"/>
    <w:pPr>
      <w:numPr>
        <w:ilvl w:val="0"/>
        <w:numId w:val="1"/>
      </w:numPr>
    </w:pPr>
  </w:style>
  <w:style w:type="paragraph" w:styleId="11">
    <w:name w:val="Date"/>
    <w:basedOn w:val="1"/>
    <w:next w:val="1"/>
    <w:link w:val="36"/>
    <w:qFormat/>
    <w:uiPriority w:val="0"/>
    <w:pPr>
      <w:ind w:left="100" w:leftChars="2500"/>
    </w:pPr>
    <w:rPr>
      <w:kern w:val="0"/>
      <w:sz w:val="24"/>
      <w:szCs w:val="20"/>
    </w:rPr>
  </w:style>
  <w:style w:type="paragraph" w:styleId="12">
    <w:name w:val="Balloon Text"/>
    <w:basedOn w:val="1"/>
    <w:link w:val="37"/>
    <w:semiHidden/>
    <w:qFormat/>
    <w:uiPriority w:val="0"/>
    <w:rPr>
      <w:kern w:val="0"/>
      <w:sz w:val="18"/>
      <w:szCs w:val="20"/>
    </w:rPr>
  </w:style>
  <w:style w:type="paragraph" w:styleId="13">
    <w:name w:val="footer"/>
    <w:basedOn w:val="1"/>
    <w:link w:val="38"/>
    <w:qFormat/>
    <w:uiPriority w:val="99"/>
    <w:pPr>
      <w:tabs>
        <w:tab w:val="center" w:pos="4153"/>
        <w:tab w:val="right" w:pos="8306"/>
      </w:tabs>
      <w:snapToGrid w:val="0"/>
      <w:jc w:val="left"/>
    </w:pPr>
    <w:rPr>
      <w:kern w:val="0"/>
      <w:sz w:val="18"/>
      <w:szCs w:val="20"/>
    </w:rPr>
  </w:style>
  <w:style w:type="paragraph" w:styleId="14">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locked/>
    <w:uiPriority w:val="39"/>
    <w:rPr>
      <w:b/>
    </w:rPr>
  </w:style>
  <w:style w:type="paragraph" w:styleId="16">
    <w:name w:val="List Continue 4"/>
    <w:basedOn w:val="1"/>
    <w:next w:val="1"/>
    <w:qFormat/>
    <w:locked/>
    <w:uiPriority w:val="0"/>
    <w:pPr>
      <w:widowControl w:val="0"/>
      <w:autoSpaceDE/>
      <w:autoSpaceDN/>
      <w:spacing w:before="0" w:after="120" w:line="360" w:lineRule="auto"/>
      <w:ind w:left="1680" w:firstLine="480"/>
      <w:jc w:val="both"/>
    </w:pPr>
    <w:rPr>
      <w:rFonts w:ascii="宋体" w:eastAsia="宋体"/>
      <w:sz w:val="24"/>
    </w:rPr>
  </w:style>
  <w:style w:type="paragraph" w:styleId="17">
    <w:name w:val="Body Text Indent 3"/>
    <w:basedOn w:val="1"/>
    <w:qFormat/>
    <w:locked/>
    <w:uiPriority w:val="0"/>
    <w:pPr>
      <w:spacing w:line="500" w:lineRule="exact"/>
      <w:ind w:firstLine="200" w:firstLineChars="200"/>
    </w:pPr>
    <w:rPr>
      <w:rFonts w:eastAsia="方正仿宋简体"/>
      <w:sz w:val="28"/>
    </w:rPr>
  </w:style>
  <w:style w:type="paragraph" w:styleId="18">
    <w:name w:val="table of figures"/>
    <w:basedOn w:val="1"/>
    <w:next w:val="1"/>
    <w:unhideWhenUsed/>
    <w:qFormat/>
    <w:locked/>
    <w:uiPriority w:val="99"/>
    <w:pPr>
      <w:jc w:val="center"/>
    </w:pPr>
    <w:rPr>
      <w:sz w:val="24"/>
    </w:rPr>
  </w:style>
  <w:style w:type="paragraph" w:styleId="19">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0">
    <w:name w:val="Title"/>
    <w:basedOn w:val="1"/>
    <w:next w:val="1"/>
    <w:qFormat/>
    <w:locked/>
    <w:uiPriority w:val="0"/>
    <w:pPr>
      <w:spacing w:line="240" w:lineRule="auto"/>
      <w:jc w:val="left"/>
    </w:pPr>
    <w:rPr>
      <w:rFonts w:ascii="Times New Roman" w:hAnsi="Times New Roman"/>
      <w:b/>
      <w:bCs/>
      <w:color w:val="000000"/>
      <w:szCs w:val="20"/>
    </w:rPr>
  </w:style>
  <w:style w:type="paragraph" w:styleId="21">
    <w:name w:val="annotation subject"/>
    <w:basedOn w:val="7"/>
    <w:next w:val="7"/>
    <w:link w:val="41"/>
    <w:qFormat/>
    <w:uiPriority w:val="0"/>
    <w:rPr>
      <w:b/>
      <w:sz w:val="24"/>
      <w:szCs w:val="20"/>
    </w:rPr>
  </w:style>
  <w:style w:type="paragraph" w:styleId="22">
    <w:name w:val="Body Text First Indent"/>
    <w:basedOn w:val="8"/>
    <w:next w:val="1"/>
    <w:qFormat/>
    <w:locked/>
    <w:uiPriority w:val="0"/>
    <w:pPr>
      <w:ind w:firstLine="420" w:firstLineChars="100"/>
    </w:pPr>
  </w:style>
  <w:style w:type="paragraph" w:styleId="23">
    <w:name w:val="Body Text First Indent 2"/>
    <w:basedOn w:val="9"/>
    <w:next w:val="1"/>
    <w:qFormat/>
    <w:uiPriority w:val="0"/>
    <w:pPr>
      <w:spacing w:before="0" w:after="120" w:line="240" w:lineRule="auto"/>
      <w:ind w:left="420" w:leftChars="200" w:firstLine="420"/>
    </w:pPr>
    <w:rPr>
      <w:rFonts w:eastAsia="宋体"/>
      <w:sz w:val="24"/>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bCs/>
    </w:rPr>
  </w:style>
  <w:style w:type="character" w:styleId="28">
    <w:name w:val="page number"/>
    <w:qFormat/>
    <w:locked/>
    <w:uiPriority w:val="0"/>
  </w:style>
  <w:style w:type="character" w:styleId="29">
    <w:name w:val="Hyperlink"/>
    <w:qFormat/>
    <w:locked/>
    <w:uiPriority w:val="0"/>
    <w:rPr>
      <w:color w:val="0000FF"/>
      <w:u w:val="single"/>
    </w:rPr>
  </w:style>
  <w:style w:type="character" w:styleId="30">
    <w:name w:val="annotation reference"/>
    <w:semiHidden/>
    <w:qFormat/>
    <w:uiPriority w:val="0"/>
    <w:rPr>
      <w:sz w:val="21"/>
    </w:rPr>
  </w:style>
  <w:style w:type="paragraph" w:customStyle="1" w:styleId="31">
    <w:name w:val="Char Char Char Char Char Char Char Char Char1 Char"/>
    <w:basedOn w:val="1"/>
    <w:next w:val="32"/>
    <w:qFormat/>
    <w:uiPriority w:val="0"/>
    <w:pPr>
      <w:spacing w:line="360" w:lineRule="auto"/>
      <w:ind w:firstLine="200" w:firstLineChars="200"/>
    </w:pPr>
    <w:rPr>
      <w:rFonts w:hAnsi="宋体" w:cs="宋体"/>
      <w:spacing w:val="0"/>
      <w:sz w:val="24"/>
      <w:szCs w:val="24"/>
    </w:rPr>
  </w:style>
  <w:style w:type="paragraph" w:customStyle="1" w:styleId="32">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33">
    <w:name w:val="正文1"/>
    <w:basedOn w:val="2"/>
    <w:next w:val="1"/>
    <w:qFormat/>
    <w:uiPriority w:val="0"/>
    <w:rPr>
      <w:szCs w:val="20"/>
    </w:rPr>
  </w:style>
  <w:style w:type="character" w:customStyle="1" w:styleId="34">
    <w:name w:val="批注文字 字符"/>
    <w:link w:val="7"/>
    <w:qFormat/>
    <w:locked/>
    <w:uiPriority w:val="0"/>
    <w:rPr>
      <w:rFonts w:ascii="Times New Roman" w:hAnsi="Times New Roman" w:eastAsia="宋体"/>
      <w:sz w:val="24"/>
    </w:rPr>
  </w:style>
  <w:style w:type="character" w:customStyle="1" w:styleId="35">
    <w:name w:val="正文文本 字符"/>
    <w:link w:val="8"/>
    <w:qFormat/>
    <w:locked/>
    <w:uiPriority w:val="0"/>
    <w:rPr>
      <w:sz w:val="18"/>
    </w:rPr>
  </w:style>
  <w:style w:type="character" w:customStyle="1" w:styleId="36">
    <w:name w:val="日期 字符"/>
    <w:link w:val="11"/>
    <w:qFormat/>
    <w:locked/>
    <w:uiPriority w:val="0"/>
    <w:rPr>
      <w:rFonts w:ascii="Times New Roman" w:hAnsi="Times New Roman" w:eastAsia="宋体"/>
      <w:sz w:val="24"/>
    </w:rPr>
  </w:style>
  <w:style w:type="character" w:customStyle="1" w:styleId="37">
    <w:name w:val="批注框文本 字符"/>
    <w:link w:val="12"/>
    <w:semiHidden/>
    <w:qFormat/>
    <w:locked/>
    <w:uiPriority w:val="0"/>
    <w:rPr>
      <w:rFonts w:ascii="Times New Roman" w:hAnsi="Times New Roman" w:eastAsia="宋体"/>
      <w:sz w:val="18"/>
    </w:rPr>
  </w:style>
  <w:style w:type="character" w:customStyle="1" w:styleId="38">
    <w:name w:val="页脚 字符1"/>
    <w:link w:val="13"/>
    <w:qFormat/>
    <w:locked/>
    <w:uiPriority w:val="99"/>
    <w:rPr>
      <w:sz w:val="18"/>
    </w:rPr>
  </w:style>
  <w:style w:type="character" w:customStyle="1" w:styleId="39">
    <w:name w:val="页眉 字符"/>
    <w:link w:val="14"/>
    <w:qFormat/>
    <w:locked/>
    <w:uiPriority w:val="0"/>
    <w:rPr>
      <w:sz w:val="18"/>
    </w:rPr>
  </w:style>
  <w:style w:type="character" w:customStyle="1" w:styleId="40">
    <w:name w:val="普通(网站) 字符"/>
    <w:link w:val="19"/>
    <w:qFormat/>
    <w:locked/>
    <w:uiPriority w:val="0"/>
    <w:rPr>
      <w:rFonts w:ascii="宋体" w:hAnsi="宋体" w:eastAsia="宋体"/>
      <w:sz w:val="24"/>
    </w:rPr>
  </w:style>
  <w:style w:type="character" w:customStyle="1" w:styleId="41">
    <w:name w:val="批注主题 字符"/>
    <w:link w:val="21"/>
    <w:semiHidden/>
    <w:qFormat/>
    <w:locked/>
    <w:uiPriority w:val="0"/>
    <w:rPr>
      <w:rFonts w:ascii="Times New Roman" w:hAnsi="Times New Roman" w:eastAsia="宋体"/>
      <w:b/>
      <w:kern w:val="2"/>
      <w:sz w:val="24"/>
    </w:rPr>
  </w:style>
  <w:style w:type="paragraph" w:customStyle="1" w:styleId="42">
    <w:name w:val="Default"/>
    <w:basedOn w:val="43"/>
    <w:next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43">
    <w:name w:val="1 表头"/>
    <w:basedOn w:val="1"/>
    <w:qFormat/>
    <w:uiPriority w:val="0"/>
    <w:pPr>
      <w:adjustRightInd w:val="0"/>
      <w:snapToGrid w:val="0"/>
      <w:spacing w:line="240" w:lineRule="auto"/>
      <w:ind w:firstLine="0" w:firstLineChars="0"/>
      <w:jc w:val="center"/>
    </w:pPr>
    <w:rPr>
      <w:b/>
      <w:color w:val="000000"/>
      <w:sz w:val="21"/>
      <w:szCs w:val="21"/>
    </w:rPr>
  </w:style>
  <w:style w:type="character" w:customStyle="1" w:styleId="44">
    <w:name w:val="页脚 字符"/>
    <w:qFormat/>
    <w:uiPriority w:val="99"/>
  </w:style>
  <w:style w:type="paragraph" w:customStyle="1" w:styleId="45">
    <w:name w:val="表头"/>
    <w:basedOn w:val="1"/>
    <w:next w:val="1"/>
    <w:qFormat/>
    <w:uiPriority w:val="0"/>
    <w:pPr>
      <w:adjustRightInd w:val="0"/>
      <w:spacing w:line="360" w:lineRule="auto"/>
      <w:ind w:firstLine="640" w:firstLineChars="200"/>
      <w:jc w:val="left"/>
      <w:textAlignment w:val="baseline"/>
    </w:pPr>
    <w:rPr>
      <w:rFonts w:ascii="Times New Roman" w:hAnsi="Times New Roman" w:eastAsia="宋体" w:cs="Times New Roman"/>
      <w:b/>
      <w:kern w:val="0"/>
      <w:szCs w:val="21"/>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表格标题"/>
    <w:basedOn w:val="1"/>
    <w:next w:val="1"/>
    <w:qFormat/>
    <w:uiPriority w:val="0"/>
    <w:pPr>
      <w:spacing w:line="360" w:lineRule="auto"/>
      <w:ind w:firstLine="2168" w:firstLineChars="600"/>
      <w:jc w:val="center"/>
    </w:pPr>
    <w:rPr>
      <w:b/>
      <w:bCs/>
      <w:szCs w:val="20"/>
    </w:rPr>
  </w:style>
  <w:style w:type="paragraph" w:customStyle="1" w:styleId="48">
    <w:name w:val="表中文字"/>
    <w:basedOn w:val="1"/>
    <w:qFormat/>
    <w:uiPriority w:val="0"/>
    <w:pPr>
      <w:tabs>
        <w:tab w:val="left" w:pos="2700"/>
      </w:tabs>
      <w:spacing w:line="240" w:lineRule="auto"/>
      <w:ind w:firstLine="0" w:firstLineChars="0"/>
      <w:jc w:val="center"/>
      <w:textAlignment w:val="center"/>
    </w:pPr>
    <w:rPr>
      <w:sz w:val="21"/>
      <w:szCs w:val="21"/>
    </w:rPr>
  </w:style>
  <w:style w:type="paragraph" w:customStyle="1" w:styleId="49">
    <w:name w:val="样式3"/>
    <w:basedOn w:val="1"/>
    <w:qFormat/>
    <w:uiPriority w:val="0"/>
    <w:rPr>
      <w:szCs w:val="21"/>
    </w:rPr>
  </w:style>
  <w:style w:type="paragraph" w:customStyle="1" w:styleId="50">
    <w:name w:val="报告正文小四"/>
    <w:basedOn w:val="1"/>
    <w:qFormat/>
    <w:uiPriority w:val="0"/>
    <w:pPr>
      <w:ind w:firstLine="200"/>
    </w:pPr>
    <w:rPr>
      <w:szCs w:val="20"/>
    </w:rPr>
  </w:style>
  <w:style w:type="paragraph" w:customStyle="1" w:styleId="51">
    <w:name w:val="表格后空行"/>
    <w:basedOn w:val="1"/>
    <w:qFormat/>
    <w:uiPriority w:val="0"/>
    <w:pPr>
      <w:widowControl/>
      <w:spacing w:line="240" w:lineRule="exact"/>
      <w:textAlignment w:val="baseline"/>
    </w:pPr>
    <w:rPr>
      <w:rFonts w:ascii="宋体" w:cs="宋体"/>
      <w:color w:val="000000"/>
      <w:kern w:val="0"/>
      <w:sz w:val="18"/>
      <w:szCs w:val="20"/>
      <w:u w:val="none" w:color="000000"/>
    </w:rPr>
  </w:style>
  <w:style w:type="paragraph" w:customStyle="1" w:styleId="52">
    <w:name w:val="表格内"/>
    <w:basedOn w:val="1"/>
    <w:qFormat/>
    <w:uiPriority w:val="0"/>
    <w:pPr>
      <w:widowControl/>
      <w:adjustRightInd w:val="0"/>
      <w:snapToGrid w:val="0"/>
      <w:spacing w:after="200" w:line="360" w:lineRule="exact"/>
      <w:jc w:val="center"/>
    </w:pPr>
    <w:rPr>
      <w:rFonts w:ascii="Calibri" w:hAnsi="Calibri" w:eastAsia="微软雅黑" w:cs="Times New Roman"/>
      <w:snapToGrid w:val="0"/>
      <w:kern w:val="0"/>
      <w:sz w:val="22"/>
      <w:szCs w:val="21"/>
    </w:rPr>
  </w:style>
  <w:style w:type="paragraph" w:customStyle="1" w:styleId="53">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styleId="54">
    <w:name w:val="List Paragraph"/>
    <w:basedOn w:val="1"/>
    <w:qFormat/>
    <w:uiPriority w:val="1"/>
    <w:pPr>
      <w:ind w:left="122" w:hanging="795"/>
    </w:pPr>
    <w:rPr>
      <w:rFonts w:ascii="宋体" w:hAnsi="宋体" w:eastAsia="宋体" w:cs="宋体"/>
      <w:lang w:val="zh-CN" w:eastAsia="zh-CN" w:bidi="zh-CN"/>
    </w:rPr>
  </w:style>
  <w:style w:type="paragraph" w:customStyle="1" w:styleId="55">
    <w:name w:val="Table Paragraph"/>
    <w:basedOn w:val="1"/>
    <w:qFormat/>
    <w:uiPriority w:val="1"/>
    <w:rPr>
      <w:rFonts w:ascii="宋体" w:hAnsi="宋体" w:cs="宋体"/>
      <w:lang w:val="zh-CN" w:bidi="zh-CN"/>
    </w:rPr>
  </w:style>
  <w:style w:type="character" w:customStyle="1" w:styleId="56">
    <w:name w:val="font21"/>
    <w:qFormat/>
    <w:uiPriority w:val="0"/>
    <w:rPr>
      <w:rFonts w:hint="eastAsia" w:ascii="宋体" w:hAnsi="宋体" w:eastAsia="宋体" w:cs="宋体"/>
      <w:color w:val="000000"/>
      <w:sz w:val="21"/>
      <w:szCs w:val="21"/>
      <w:u w:val="none"/>
    </w:rPr>
  </w:style>
  <w:style w:type="character" w:customStyle="1" w:styleId="57">
    <w:name w:val="font31"/>
    <w:qFormat/>
    <w:uiPriority w:val="0"/>
    <w:rPr>
      <w:rFonts w:hint="default" w:ascii="Times New Roman" w:hAnsi="Times New Roman" w:cs="Times New Roman"/>
      <w:color w:val="000000"/>
      <w:sz w:val="21"/>
      <w:szCs w:val="21"/>
      <w:u w:val="none"/>
    </w:rPr>
  </w:style>
  <w:style w:type="paragraph" w:customStyle="1" w:styleId="58">
    <w:name w:val="正文(首行缩进)"/>
    <w:basedOn w:val="1"/>
    <w:next w:val="4"/>
    <w:qFormat/>
    <w:uiPriority w:val="0"/>
    <w:pPr>
      <w:spacing w:line="360" w:lineRule="auto"/>
      <w:ind w:firstLine="480" w:firstLineChars="200"/>
    </w:pPr>
    <w:rPr>
      <w:rFonts w:eastAsia="宋体"/>
      <w:bCs/>
      <w:color w:val="000000"/>
      <w:kern w:val="24"/>
      <w:sz w:val="24"/>
      <w:szCs w:val="24"/>
    </w:rPr>
  </w:style>
  <w:style w:type="paragraph" w:customStyle="1" w:styleId="59">
    <w:name w:val="Table Text"/>
    <w:basedOn w:val="1"/>
    <w:semiHidden/>
    <w:qFormat/>
    <w:uiPriority w:val="0"/>
    <w:rPr>
      <w:rFonts w:ascii="宋体" w:hAnsi="宋体" w:eastAsia="宋体" w:cs="宋体"/>
      <w:sz w:val="20"/>
      <w:szCs w:val="20"/>
      <w:lang w:val="en-US" w:eastAsia="en-US" w:bidi="ar-SA"/>
    </w:rPr>
  </w:style>
  <w:style w:type="table" w:customStyle="1" w:styleId="60">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61">
    <w:name w:val="准 正文 左侧:  2 字符 + 首行缩进:  2 字符"/>
    <w:basedOn w:val="1"/>
    <w:qFormat/>
    <w:uiPriority w:val="0"/>
    <w:pPr>
      <w:spacing w:line="360" w:lineRule="auto"/>
      <w:ind w:firstLine="480" w:firstLineChars="200"/>
    </w:pPr>
    <w:rPr>
      <w:rFonts w:cs="宋体"/>
      <w:sz w:val="24"/>
    </w:rPr>
  </w:style>
  <w:style w:type="paragraph" w:customStyle="1" w:styleId="62">
    <w:name w:val="_Style 61"/>
    <w:unhideWhenUsed/>
    <w:qFormat/>
    <w:uiPriority w:val="99"/>
    <w:rPr>
      <w:rFonts w:ascii="Times New Roman" w:hAnsi="Times New Roman" w:eastAsia="宋体" w:cs="Times New Roman"/>
      <w:kern w:val="2"/>
      <w:sz w:val="24"/>
      <w:szCs w:val="24"/>
      <w:lang w:val="en-US" w:eastAsia="zh-CN" w:bidi="ar-SA"/>
    </w:rPr>
  </w:style>
  <w:style w:type="paragraph" w:customStyle="1" w:styleId="63">
    <w:name w:val="正文2"/>
    <w:qFormat/>
    <w:uiPriority w:val="0"/>
    <w:pPr>
      <w:widowControl w:val="0"/>
      <w:autoSpaceDE w:val="0"/>
      <w:autoSpaceDN w:val="0"/>
      <w:adjustRightInd w:val="0"/>
      <w:spacing w:line="360" w:lineRule="auto"/>
      <w:ind w:firstLine="560" w:firstLineChars="200"/>
      <w:jc w:val="both"/>
    </w:pPr>
    <w:rPr>
      <w:rFonts w:ascii="Times New Roman" w:hAnsi="Times New Roman" w:eastAsia="宋体" w:cs="Times New Roman"/>
      <w:color w:val="auto"/>
      <w:sz w:val="24"/>
      <w:szCs w:val="24"/>
    </w:rPr>
  </w:style>
  <w:style w:type="paragraph" w:customStyle="1" w:styleId="64">
    <w:name w:val="表格正文"/>
    <w:qFormat/>
    <w:uiPriority w:val="0"/>
    <w:pPr>
      <w:autoSpaceDE w:val="0"/>
      <w:autoSpaceDN w:val="0"/>
      <w:adjustRightInd w:val="0"/>
      <w:jc w:val="center"/>
      <w:textAlignment w:val="baseline"/>
    </w:pPr>
    <w:rPr>
      <w:rFonts w:ascii="Times New Roman" w:hAnsi="Times New Roman" w:eastAsia="宋体" w:cs="Times New Roman"/>
      <w:kern w:val="0"/>
      <w:sz w:val="21"/>
      <w:szCs w:val="21"/>
    </w:rPr>
  </w:style>
  <w:style w:type="paragraph" w:customStyle="1" w:styleId="65">
    <w:name w:val="正文 + 宋体"/>
    <w:basedOn w:val="1"/>
    <w:qFormat/>
    <w:uiPriority w:val="0"/>
    <w:pPr>
      <w:widowControl/>
      <w:adjustRightInd w:val="0"/>
      <w:snapToGrid w:val="0"/>
      <w:spacing w:line="400" w:lineRule="exact"/>
      <w:ind w:firstLine="480"/>
      <w:jc w:val="left"/>
      <w:textAlignment w:val="baseline"/>
    </w:pPr>
    <w:rPr>
      <w:rFonts w:ascii="Calibri" w:hAnsi="Calibri"/>
      <w:color w:val="000000"/>
      <w:kern w:val="0"/>
      <w:sz w:val="24"/>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5MTcwMzkwNjQ1IiwKCSJHcm91cElkIiA6ICIyNzY0ODIxMTIiLAoJIkltYWdlIiA6ICJpVkJPUncwS0dnb0FBQUFOU1VoRVVnQUFCdEFBQUFLUENBWUFBQUQwVm80OEFBQUFBWE5TUjBJQXJzNGM2UUFBSUFCSlJFRlVlSnpzM1hkOFZGWCsvL0gzblFraGxkNUVxalFKRUJpeHU2aTRpc0lxK3NWVldRdnVUMUJFZzZBVWFRcUlDQUpTRmtSRVZNQWVFWldtd29vZ1JSRWxDWUhRSVdMRUFBRVNTTS9NM044ZllXYlRNNmtUNFBWOFBIdzR1WFB2dVdkQ2NuTHUrWnp6T1J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0dUL0QwTGRUc0tpSERBT0FBQUFBRWxGVGtTdVFtQ0MiLAoJIlRoZW1lIiA6ICIiLAoJIlR5cGUiIDogImZsb3ciLAoJIlVzZXJJZCIgOiAiMzE3Mzk2NzMzIiwKCSJWZXJzaW9uIiA6ICIyNyIKfQo="/>
    </extobj>
    <extobj name="ECB019B1-382A-4266-B25C-5B523AA43C14-2">
      <extobjdata type="ECB019B1-382A-4266-B25C-5B523AA43C14" data="ewoJIkZpbGVJZCIgOiAiMzg4OTE2NDEzMzI5IiwKCSJHcm91cElkIiA6ICIyNzY0ODIxMTIiLAoJIkltYWdlIiA6ICJpVkJPUncwS0dnb0FBQUFOU1VoRVVnQUFBd1FBQUFQVkNBWUFBQURZbVMxb0FBQUFBWE5TUjBJQXJzNGM2UUFBSUFCSlJFRlVlSnpzM1h1Y1RlWGl4L0h2Mm51dVRPNzlVc2dra2tKR1VSSlNSeTUxRUVsUlZEZ1YzUzhIU1NWSEtpRkN5S1VjZENIbEVpV1JKcEV3R01hZENZM0JaQ1pqekczdnZYNS9USHVmMmJQM1hNM01uckUvNzllcjE1bFo2MWxyUFh2T01yTys2N2x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M1A4RGZHQitnSUhJSWdvQUFBQUFTVVZPUks1Q1lJST0iLAoJIlRoZW1lIiA6ICIiLAoJIlR5cGUiIDogImZsb3ciLAoJIlVzZXJJZCIgOiAiMzE3Mzk2NzMzIiwKCSJWZXJzaW9uIiA6ICIyN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50</Pages>
  <Words>16610</Words>
  <Characters>18407</Characters>
  <Lines>289</Lines>
  <Paragraphs>81</Paragraphs>
  <TotalTime>9</TotalTime>
  <ScaleCrop>false</ScaleCrop>
  <LinksUpToDate>false</LinksUpToDate>
  <CharactersWithSpaces>18691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对方正在输入...... </cp:lastModifiedBy>
  <cp:lastPrinted>2021-07-27T03:09:00Z</cp:lastPrinted>
  <dcterms:modified xsi:type="dcterms:W3CDTF">2025-04-15T04:11:07Z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0AD5415D7FAE4F2190D20D01973CB415_13</vt:lpwstr>
  </property>
  <property fmtid="{D5CDD505-2E9C-101B-9397-08002B2CF9AE}" pid="4" name="KSOTemplateDocerSaveRecord">
    <vt:lpwstr>eyJoZGlkIjoiOGYyNjNhNmJiNzNmOGMxODNhOGJhZDk1MDYxMDZkMGQiLCJ1c2VySWQiOiIzMTczOTY3MzMifQ==</vt:lpwstr>
  </property>
</Properties>
</file>