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3BB58">
      <w:pPr>
        <w:ind w:left="0" w:leftChars="0" w:firstLine="0" w:firstLineChars="0"/>
        <w:rPr>
          <w:rFonts w:hint="default" w:ascii="Times New Roman" w:hAnsi="Times New Roman" w:eastAsia="仿宋_GB2312" w:cs="Times New Roman"/>
          <w:color w:val="000000"/>
          <w:sz w:val="36"/>
          <w:szCs w:val="36"/>
          <w:lang w:val="en-US"/>
        </w:rPr>
      </w:pPr>
      <w:bookmarkStart w:id="0" w:name="_Hlk57883707"/>
      <w:r>
        <w:rPr>
          <w:rFonts w:eastAsia="仿宋_GB2312" w:cs="仿宋_GB2312"/>
          <w:color w:val="000000"/>
          <w:sz w:val="36"/>
          <w:szCs w:val="36"/>
        </w:rPr>
        <w:drawing>
          <wp:anchor distT="0" distB="0" distL="114300" distR="114300" simplePos="0" relativeHeight="251663360" behindDoc="0" locked="0" layoutInCell="1" allowOverlap="1">
            <wp:simplePos x="0" y="0"/>
            <wp:positionH relativeFrom="column">
              <wp:posOffset>4035425</wp:posOffset>
            </wp:positionH>
            <wp:positionV relativeFrom="paragraph">
              <wp:posOffset>158115</wp:posOffset>
            </wp:positionV>
            <wp:extent cx="1409700" cy="704850"/>
            <wp:effectExtent l="0" t="0" r="0" b="0"/>
            <wp:wrapNone/>
            <wp:docPr id="23" name="图片 16" descr="{A5043C79-388A-4AB5-A42C-DE43107AB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A5043C79-388A-4AB5-A42C-DE43107ABCCD}"/>
                    <pic:cNvPicPr>
                      <a:picLocks noChangeAspect="1"/>
                    </pic:cNvPicPr>
                  </pic:nvPicPr>
                  <pic:blipFill>
                    <a:blip r:embed="rId12"/>
                    <a:stretch>
                      <a:fillRect/>
                    </a:stretch>
                  </pic:blipFill>
                  <pic:spPr>
                    <a:xfrm>
                      <a:off x="0" y="0"/>
                      <a:ext cx="1409700" cy="704850"/>
                    </a:xfrm>
                    <a:prstGeom prst="rect">
                      <a:avLst/>
                    </a:prstGeom>
                    <a:noFill/>
                    <a:ln>
                      <a:noFill/>
                    </a:ln>
                  </pic:spPr>
                </pic:pic>
              </a:graphicData>
            </a:graphic>
          </wp:anchor>
        </w:drawing>
      </w:r>
    </w:p>
    <w:p w14:paraId="4D77FE51">
      <w:pPr>
        <w:rPr>
          <w:rFonts w:hint="default" w:ascii="Times New Roman" w:hAnsi="Times New Roman" w:eastAsia="仿宋_GB2312" w:cs="Times New Roman"/>
          <w:color w:val="000000"/>
          <w:sz w:val="36"/>
          <w:szCs w:val="36"/>
        </w:rPr>
      </w:pPr>
    </w:p>
    <w:p w14:paraId="2470E4AB">
      <w:pPr>
        <w:pStyle w:val="12"/>
        <w:ind w:left="0" w:leftChars="0" w:firstLine="0" w:firstLineChars="0"/>
        <w:rPr>
          <w:rFonts w:hint="default"/>
        </w:rPr>
      </w:pPr>
    </w:p>
    <w:p w14:paraId="4829D968">
      <w:pPr>
        <w:pStyle w:val="12"/>
        <w:ind w:left="0" w:leftChars="0" w:firstLine="0" w:firstLineChars="0"/>
        <w:rPr>
          <w:rFonts w:hint="default"/>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0351B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522" w:type="dxa"/>
            <w:tcBorders>
              <w:tl2br w:val="nil"/>
              <w:tr2bl w:val="nil"/>
            </w:tcBorders>
            <w:vAlign w:val="center"/>
          </w:tcPr>
          <w:p w14:paraId="38048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000000"/>
                <w:sz w:val="36"/>
                <w:szCs w:val="36"/>
                <w:vertAlign w:val="baseline"/>
              </w:rPr>
            </w:pPr>
            <w:bookmarkStart w:id="1" w:name="_Toc24618"/>
            <w:r>
              <w:rPr>
                <w:rFonts w:hint="eastAsia" w:ascii="方正小标宋_GBK" w:hAnsi="方正小标宋_GBK" w:eastAsia="黑体" w:cs="Times New Roman"/>
                <w:bCs/>
                <w:sz w:val="72"/>
                <w:szCs w:val="72"/>
              </w:rPr>
              <w:t>建设项目环境影响报</w:t>
            </w:r>
            <w:r>
              <w:rPr>
                <w:rFonts w:hint="eastAsia" w:ascii="黑体" w:hAnsi="黑体" w:eastAsia="黑体" w:cs="黑体"/>
                <w:bCs/>
                <w:color w:val="000000"/>
                <w:sz w:val="72"/>
                <w:szCs w:val="72"/>
              </w:rPr>
              <w:t>告表</w:t>
            </w:r>
            <w:bookmarkEnd w:id="1"/>
          </w:p>
        </w:tc>
      </w:tr>
      <w:bookmarkEnd w:id="0"/>
      <w:tr w14:paraId="52A6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22" w:type="dxa"/>
            <w:tcBorders>
              <w:tl2br w:val="nil"/>
              <w:tr2bl w:val="nil"/>
            </w:tcBorders>
            <w:vAlign w:val="center"/>
          </w:tcPr>
          <w:p w14:paraId="3ED6A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jc w:val="center"/>
              <w:textAlignment w:val="auto"/>
              <w:outlineLvl w:val="0"/>
              <w:rPr>
                <w:rFonts w:hint="default" w:ascii="Times New Roman" w:hAnsi="Times New Roman" w:eastAsia="楷体_GB2312" w:cs="Times New Roman"/>
                <w:bCs/>
                <w:color w:val="000000"/>
                <w:sz w:val="48"/>
                <w:szCs w:val="48"/>
              </w:rPr>
            </w:pPr>
            <w:r>
              <w:rPr>
                <w:rFonts w:hint="eastAsia" w:ascii="宋体" w:hAnsi="宋体" w:eastAsia="宋体" w:cs="宋体"/>
                <w:bCs/>
                <w:color w:val="000000"/>
                <w:sz w:val="28"/>
                <w:szCs w:val="28"/>
                <w:lang w:val="en-US" w:eastAsia="zh-CN"/>
              </w:rPr>
              <w:t>（</w:t>
            </w:r>
            <w:r>
              <w:rPr>
                <w:rFonts w:hint="eastAsia" w:ascii="宋体" w:hAnsi="宋体" w:cs="宋体"/>
                <w:bCs/>
                <w:color w:val="000000"/>
                <w:sz w:val="28"/>
                <w:szCs w:val="28"/>
                <w:lang w:val="en-US" w:eastAsia="zh-CN"/>
              </w:rPr>
              <w:t>报批</w:t>
            </w:r>
            <w:r>
              <w:rPr>
                <w:rFonts w:hint="eastAsia" w:ascii="宋体" w:hAnsi="宋体" w:eastAsia="宋体" w:cs="宋体"/>
                <w:bCs/>
                <w:color w:val="000000"/>
                <w:sz w:val="28"/>
                <w:szCs w:val="28"/>
                <w:lang w:val="en-US" w:eastAsia="zh-CN"/>
              </w:rPr>
              <w:t>稿）</w:t>
            </w:r>
          </w:p>
        </w:tc>
      </w:tr>
    </w:tbl>
    <w:p w14:paraId="16D4EB47">
      <w:pPr>
        <w:ind w:left="0" w:leftChars="0" w:firstLine="0" w:firstLineChars="0"/>
        <w:rPr>
          <w:rFonts w:hint="eastAsia" w:ascii="Times New Roman" w:hAnsi="Times New Roman" w:eastAsia="仿宋" w:cs="Times New Roman"/>
          <w:color w:val="000000"/>
          <w:sz w:val="44"/>
          <w:szCs w:val="44"/>
          <w:lang w:val="en-US" w:eastAsia="zh-CN"/>
        </w:rPr>
      </w:pPr>
      <w:bookmarkStart w:id="2" w:name="_Hlk57883728"/>
    </w:p>
    <w:p w14:paraId="59D47CDD">
      <w:pPr>
        <w:pStyle w:val="12"/>
        <w:ind w:left="0" w:leftChars="0" w:firstLine="0" w:firstLineChars="0"/>
        <w:rPr>
          <w:rFonts w:hint="eastAsia"/>
          <w:lang w:val="en-US" w:eastAsia="zh-CN"/>
        </w:rPr>
      </w:pPr>
    </w:p>
    <w:p w14:paraId="00194055">
      <w:pPr>
        <w:pStyle w:val="28"/>
        <w:ind w:left="0" w:leftChars="0" w:firstLine="0" w:firstLineChars="0"/>
        <w:rPr>
          <w:rFonts w:hint="eastAsia"/>
          <w:lang w:val="en-US" w:eastAsia="zh-CN"/>
        </w:rPr>
      </w:pPr>
    </w:p>
    <w:bookmarkEnd w:id="2"/>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76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1E24F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2160" w:leftChars="0" w:right="0" w:hanging="2160" w:hangingChars="600"/>
              <w:jc w:val="both"/>
              <w:textAlignment w:val="auto"/>
              <w:rPr>
                <w:rFonts w:hint="default" w:ascii="Times New Roman" w:hAnsi="Times New Roman" w:eastAsia="黑体" w:cs="Times New Roman"/>
                <w:color w:val="000000"/>
                <w:spacing w:val="0"/>
                <w:sz w:val="36"/>
                <w:szCs w:val="36"/>
                <w:u w:val="single"/>
                <w:lang w:val="en-US" w:eastAsia="zh-CN"/>
              </w:rPr>
            </w:pPr>
            <w:r>
              <w:rPr>
                <w:rFonts w:hint="eastAsia" w:ascii="黑体" w:hAnsi="黑体" w:eastAsia="黑体" w:cs="黑体"/>
                <w:color w:val="000000"/>
                <w:spacing w:val="0"/>
                <w:sz w:val="36"/>
                <w:szCs w:val="36"/>
              </w:rPr>
              <w:t>项目名称：</w:t>
            </w:r>
            <w:r>
              <w:rPr>
                <w:rFonts w:hint="eastAsia" w:ascii="Times New Roman" w:hAnsi="Times New Roman" w:eastAsia="黑体" w:cs="Times New Roman"/>
                <w:color w:val="000000"/>
                <w:spacing w:val="0"/>
                <w:sz w:val="36"/>
                <w:szCs w:val="36"/>
                <w:u w:val="single"/>
                <w:lang w:val="en-US" w:eastAsia="zh-CN"/>
              </w:rPr>
              <w:t>博湖县兆瓦能源科技有限公司</w:t>
            </w:r>
            <w:r>
              <w:rPr>
                <w:rFonts w:hint="eastAsia" w:ascii="Times New Roman" w:hAnsi="Times New Roman" w:eastAsia="黑体" w:cs="Times New Roman"/>
                <w:sz w:val="36"/>
                <w:szCs w:val="36"/>
                <w:u w:val="single"/>
                <w:lang w:val="en-US" w:eastAsia="zh-CN"/>
              </w:rPr>
              <w:t>20MWp</w:t>
            </w:r>
            <w:r>
              <w:rPr>
                <w:rFonts w:hint="eastAsia" w:eastAsia="黑体" w:cs="Times New Roman"/>
                <w:sz w:val="36"/>
                <w:szCs w:val="36"/>
                <w:u w:val="single"/>
                <w:lang w:val="en-US" w:eastAsia="zh-CN"/>
              </w:rPr>
              <w:t xml:space="preserve">并 </w:t>
            </w:r>
          </w:p>
          <w:p w14:paraId="13A4B0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leftChars="0" w:right="0" w:firstLine="1800" w:firstLineChars="500"/>
              <w:jc w:val="both"/>
              <w:textAlignment w:val="auto"/>
              <w:rPr>
                <w:rFonts w:hint="default" w:ascii="黑体" w:hAnsi="黑体" w:eastAsia="黑体" w:cs="黑体"/>
                <w:color w:val="000000"/>
                <w:spacing w:val="0"/>
                <w:sz w:val="36"/>
                <w:szCs w:val="36"/>
                <w:vertAlign w:val="baseline"/>
                <w:lang w:val="en-US"/>
              </w:rPr>
            </w:pPr>
            <w:r>
              <w:rPr>
                <w:rFonts w:hint="eastAsia" w:ascii="Times New Roman" w:hAnsi="Times New Roman" w:eastAsia="黑体" w:cs="Times New Roman"/>
                <w:color w:val="000000"/>
                <w:spacing w:val="0"/>
                <w:sz w:val="36"/>
                <w:szCs w:val="36"/>
                <w:u w:val="single"/>
                <w:lang w:val="en-US" w:eastAsia="zh-CN"/>
              </w:rPr>
              <w:t>网太阳能光伏电站项目</w:t>
            </w:r>
            <w:r>
              <w:rPr>
                <w:rFonts w:hint="eastAsia" w:eastAsia="黑体" w:cs="Times New Roman"/>
                <w:color w:val="000000"/>
                <w:spacing w:val="0"/>
                <w:sz w:val="36"/>
                <w:szCs w:val="36"/>
                <w:u w:val="single"/>
                <w:lang w:val="en-US" w:eastAsia="zh-CN"/>
              </w:rPr>
              <w:t>配套输变电</w:t>
            </w:r>
            <w:r>
              <w:rPr>
                <w:rFonts w:hint="eastAsia" w:ascii="Times New Roman" w:hAnsi="Times New Roman" w:eastAsia="黑体" w:cs="Times New Roman"/>
                <w:color w:val="000000"/>
                <w:spacing w:val="0"/>
                <w:sz w:val="36"/>
                <w:szCs w:val="36"/>
                <w:u w:val="single"/>
                <w:lang w:val="en-US" w:eastAsia="zh-CN"/>
              </w:rPr>
              <w:t xml:space="preserve">工程                        </w:t>
            </w:r>
          </w:p>
        </w:tc>
      </w:tr>
      <w:tr w14:paraId="0679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center"/>
          </w:tcPr>
          <w:p w14:paraId="46BB32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leftChars="0" w:right="0" w:rightChars="0" w:firstLine="0" w:firstLineChars="0"/>
              <w:jc w:val="both"/>
              <w:textAlignment w:val="auto"/>
              <w:rPr>
                <w:rFonts w:hint="default" w:ascii="黑体" w:hAnsi="黑体" w:eastAsia="黑体" w:cs="黑体"/>
                <w:color w:val="000000"/>
                <w:spacing w:val="0"/>
                <w:sz w:val="36"/>
                <w:szCs w:val="36"/>
                <w:vertAlign w:val="baseline"/>
                <w:lang w:val="en-US"/>
              </w:rPr>
            </w:pPr>
            <w:r>
              <w:rPr>
                <w:rFonts w:hint="eastAsia" w:ascii="黑体" w:hAnsi="黑体" w:eastAsia="黑体" w:cs="黑体"/>
                <w:color w:val="000000"/>
                <w:spacing w:val="0"/>
                <w:sz w:val="36"/>
                <w:szCs w:val="36"/>
              </w:rPr>
              <w:t>建设单位：</w:t>
            </w:r>
            <w:r>
              <w:rPr>
                <w:rFonts w:hint="eastAsia" w:eastAsia="黑体" w:cs="Times New Roman"/>
                <w:color w:val="000000"/>
                <w:spacing w:val="0"/>
                <w:sz w:val="36"/>
                <w:szCs w:val="36"/>
                <w:u w:val="single"/>
                <w:lang w:val="en-US" w:eastAsia="zh-CN"/>
              </w:rPr>
              <w:t xml:space="preserve">      </w:t>
            </w:r>
            <w:r>
              <w:rPr>
                <w:rFonts w:hint="eastAsia" w:ascii="Times New Roman" w:hAnsi="Times New Roman" w:eastAsia="黑体" w:cs="Times New Roman"/>
                <w:color w:val="000000"/>
                <w:spacing w:val="0"/>
                <w:sz w:val="36"/>
                <w:szCs w:val="36"/>
                <w:u w:val="single"/>
                <w:lang w:val="en-US" w:eastAsia="zh-CN"/>
              </w:rPr>
              <w:t>博湖县兆瓦能源科技有限公司</w:t>
            </w:r>
            <w:r>
              <w:rPr>
                <w:rFonts w:hint="eastAsia" w:eastAsia="黑体" w:cs="Times New Roman"/>
                <w:color w:val="000000"/>
                <w:spacing w:val="0"/>
                <w:sz w:val="36"/>
                <w:szCs w:val="36"/>
                <w:u w:val="single"/>
                <w:lang w:val="en-US" w:eastAsia="zh-CN"/>
              </w:rPr>
              <w:t xml:space="preserve">   </w:t>
            </w:r>
            <w:r>
              <w:rPr>
                <w:rFonts w:hint="eastAsia" w:ascii="Times New Roman" w:hAnsi="Times New Roman" w:eastAsia="黑体" w:cs="Times New Roman"/>
                <w:color w:val="000000"/>
                <w:spacing w:val="0"/>
                <w:sz w:val="36"/>
                <w:szCs w:val="36"/>
                <w:u w:val="single"/>
                <w:lang w:val="en-US" w:eastAsia="zh-CN"/>
              </w:rPr>
              <w:t xml:space="preserve">  </w:t>
            </w:r>
          </w:p>
        </w:tc>
      </w:tr>
    </w:tbl>
    <w:p w14:paraId="5B6960FD">
      <w:pPr>
        <w:adjustRightInd w:val="0"/>
        <w:snapToGrid w:val="0"/>
        <w:spacing w:line="288" w:lineRule="auto"/>
        <w:jc w:val="both"/>
        <w:rPr>
          <w:rFonts w:hint="eastAsia" w:ascii="黑体" w:hAnsi="黑体" w:eastAsia="黑体" w:cs="黑体"/>
          <w:color w:val="000000"/>
          <w:sz w:val="36"/>
          <w:szCs w:val="36"/>
        </w:rPr>
      </w:pPr>
    </w:p>
    <w:p w14:paraId="5D102BA7">
      <w:pPr>
        <w:pStyle w:val="12"/>
        <w:ind w:left="0" w:leftChars="0" w:firstLine="0" w:firstLineChars="0"/>
        <w:rPr>
          <w:rFonts w:hint="eastAsia"/>
        </w:rPr>
      </w:pPr>
    </w:p>
    <w:p w14:paraId="49FF2FF1">
      <w:pPr>
        <w:pStyle w:val="28"/>
        <w:ind w:left="0" w:leftChars="0" w:firstLine="0" w:firstLineChars="0"/>
        <w:rPr>
          <w:rFonts w:hint="eastAsia"/>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5F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top"/>
          </w:tcPr>
          <w:p w14:paraId="235C5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jc w:val="center"/>
              <w:textAlignment w:val="auto"/>
              <w:rPr>
                <w:rFonts w:hint="default" w:ascii="黑体" w:hAnsi="黑体" w:eastAsia="黑体" w:cs="黑体"/>
                <w:color w:val="000000"/>
                <w:sz w:val="36"/>
                <w:szCs w:val="36"/>
                <w:vertAlign w:val="baseline"/>
                <w:lang w:val="en-US"/>
              </w:rPr>
            </w:pPr>
            <w:r>
              <w:rPr>
                <w:rFonts w:hint="eastAsia" w:ascii="黑体" w:hAnsi="黑体" w:eastAsia="黑体" w:cs="黑体"/>
                <w:color w:val="000000"/>
                <w:sz w:val="36"/>
                <w:szCs w:val="36"/>
                <w:lang w:val="en-US" w:eastAsia="zh-CN"/>
              </w:rPr>
              <w:t>编制单位：</w:t>
            </w:r>
            <w:r>
              <w:rPr>
                <w:rFonts w:hint="eastAsia" w:ascii="黑体" w:hAnsi="黑体" w:eastAsia="黑体" w:cs="黑体"/>
                <w:color w:val="000000"/>
                <w:sz w:val="36"/>
                <w:szCs w:val="36"/>
                <w:u w:val="single"/>
                <w:lang w:val="en-US" w:eastAsia="zh-CN"/>
              </w:rPr>
              <w:t xml:space="preserve">新疆化工设计研究院有限责任公司  </w:t>
            </w:r>
          </w:p>
        </w:tc>
      </w:tr>
      <w:tr w14:paraId="132F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vAlign w:val="top"/>
          </w:tcPr>
          <w:p w14:paraId="569E8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600" w:lineRule="exact"/>
              <w:ind w:left="0" w:right="0"/>
              <w:jc w:val="center"/>
              <w:textAlignment w:val="auto"/>
              <w:rPr>
                <w:rFonts w:hint="default" w:ascii="黑体" w:hAnsi="黑体" w:eastAsia="黑体" w:cs="黑体"/>
                <w:color w:val="000000"/>
                <w:sz w:val="36"/>
                <w:szCs w:val="36"/>
                <w:vertAlign w:val="baseline"/>
                <w:lang w:val="en-US"/>
              </w:rPr>
            </w:pPr>
            <w:r>
              <w:rPr>
                <w:rFonts w:hint="eastAsia" w:ascii="黑体" w:hAnsi="黑体" w:eastAsia="黑体" w:cs="黑体"/>
                <w:color w:val="000000"/>
                <w:sz w:val="36"/>
                <w:szCs w:val="36"/>
              </w:rPr>
              <w:t>编制日期：</w:t>
            </w:r>
            <w:r>
              <w:rPr>
                <w:rFonts w:hint="eastAsia" w:ascii="黑体" w:hAnsi="黑体" w:eastAsia="黑体" w:cs="黑体"/>
                <w:color w:val="000000"/>
                <w:sz w:val="36"/>
                <w:szCs w:val="36"/>
                <w:u w:val="single"/>
                <w:lang w:val="en-US" w:eastAsia="zh-CN"/>
              </w:rPr>
              <w:t xml:space="preserve">     二〇二五年六月        </w:t>
            </w:r>
          </w:p>
        </w:tc>
      </w:tr>
    </w:tbl>
    <w:p w14:paraId="70BACCC8">
      <w:pPr>
        <w:pStyle w:val="11"/>
        <w:ind w:left="0" w:leftChars="0" w:firstLine="0" w:firstLineChars="0"/>
      </w:pPr>
    </w:p>
    <w:p w14:paraId="24077D55">
      <w:pPr>
        <w:rPr>
          <w:rFonts w:hint="eastAsia"/>
        </w:rPr>
      </w:pPr>
    </w:p>
    <w:p w14:paraId="7BA41080">
      <w:pPr>
        <w:pStyle w:val="25"/>
        <w:ind w:left="0" w:leftChars="0" w:firstLine="0" w:firstLineChars="0"/>
      </w:pPr>
    </w:p>
    <w:p w14:paraId="32AFDF68">
      <w:pPr>
        <w:pStyle w:val="25"/>
        <w:ind w:left="0" w:leftChars="0" w:firstLine="0" w:firstLineChars="0"/>
        <w:rPr>
          <w:rFonts w:hint="eastAsia"/>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2D27494">
      <w:pPr>
        <w:jc w:val="center"/>
        <w:rPr>
          <w:rFonts w:hint="eastAsia"/>
        </w:rPr>
      </w:pPr>
      <w:r>
        <w:rPr>
          <w:rFonts w:hint="eastAsia"/>
          <w:color w:val="000000"/>
          <w:szCs w:val="21"/>
        </w:rPr>
        <mc:AlternateContent>
          <mc:Choice Requires="wps">
            <w:drawing>
              <wp:anchor distT="0" distB="0" distL="114300" distR="114300" simplePos="0" relativeHeight="251661312" behindDoc="0" locked="0" layoutInCell="1" allowOverlap="1">
                <wp:simplePos x="0" y="0"/>
                <wp:positionH relativeFrom="margin">
                  <wp:posOffset>442595</wp:posOffset>
                </wp:positionH>
                <wp:positionV relativeFrom="margin">
                  <wp:posOffset>2682875</wp:posOffset>
                </wp:positionV>
                <wp:extent cx="7917815" cy="1166495"/>
                <wp:effectExtent l="9525" t="9525" r="16510" b="24130"/>
                <wp:wrapSquare wrapText="bothSides"/>
                <wp:docPr id="2" name="文本框 90"/>
                <wp:cNvGraphicFramePr/>
                <a:graphic xmlns:a="http://schemas.openxmlformats.org/drawingml/2006/main">
                  <a:graphicData uri="http://schemas.microsoft.com/office/word/2010/wordprocessingShape">
                    <wps:wsp>
                      <wps:cNvSpPr txBox="1"/>
                      <wps:spPr>
                        <a:xfrm>
                          <a:off x="0" y="0"/>
                          <a:ext cx="7917815" cy="1166495"/>
                        </a:xfrm>
                        <a:prstGeom prst="rect">
                          <a:avLst/>
                        </a:prstGeom>
                        <a:noFill/>
                        <a:ln w="19050" cap="flat" cmpd="sng">
                          <a:solidFill>
                            <a:srgbClr val="FF0000"/>
                          </a:solidFill>
                          <a:prstDash val="solid"/>
                          <a:miter/>
                          <a:headEnd type="none" w="med" len="med"/>
                          <a:tailEnd type="none" w="med" len="med"/>
                        </a:ln>
                      </wps:spPr>
                      <wps:txbx>
                        <w:txbxContent>
                          <w:p w14:paraId="02B8BC63">
                            <w:pPr>
                              <w:jc w:val="both"/>
                              <w:outlineLvl w:val="0"/>
                              <w:rPr>
                                <w:rFonts w:hint="eastAsia" w:ascii="仿宋_GB2312" w:hAnsi="宋体" w:eastAsia="仿宋_GB2312"/>
                                <w:b/>
                                <w:color w:val="FF0000"/>
                                <w:sz w:val="30"/>
                                <w:szCs w:val="30"/>
                              </w:rPr>
                            </w:pPr>
                            <w:bookmarkStart w:id="69" w:name="_Toc60992683"/>
                          </w:p>
                          <w:bookmarkEnd w:id="69"/>
                          <w:p w14:paraId="6D418E6F">
                            <w:pPr>
                              <w:jc w:val="left"/>
                              <w:outlineLvl w:val="0"/>
                              <w:rPr>
                                <w:rFonts w:ascii="仿宋_GB2312" w:hAnsi="宋体" w:eastAsia="仿宋_GB2312"/>
                                <w:b/>
                                <w:color w:val="FF0000"/>
                                <w:sz w:val="30"/>
                                <w:szCs w:val="30"/>
                              </w:rPr>
                            </w:pPr>
                            <w:r>
                              <w:rPr>
                                <w:rFonts w:hint="eastAsia" w:ascii="仿宋_GB2312" w:hAnsi="宋体" w:eastAsia="仿宋_GB2312"/>
                                <w:b/>
                                <w:color w:val="FF0000"/>
                                <w:sz w:val="30"/>
                                <w:szCs w:val="30"/>
                              </w:rPr>
                              <w:t>仅限</w:t>
                            </w:r>
                            <w:r>
                              <w:rPr>
                                <w:rFonts w:hint="eastAsia" w:ascii="仿宋_GB2312" w:hAnsi="宋体" w:eastAsia="仿宋_GB2312"/>
                                <w:b/>
                                <w:color w:val="FF0000"/>
                                <w:sz w:val="30"/>
                                <w:szCs w:val="30"/>
                                <w:lang w:val="en-US" w:eastAsia="zh-CN"/>
                              </w:rPr>
                              <w:t>博湖县兆瓦能源科技有限公司20MWp并网太阳能光伏电站项目配套输变电工程建设项目</w:t>
                            </w:r>
                            <w:r>
                              <w:rPr>
                                <w:rFonts w:hint="eastAsia" w:ascii="仿宋_GB2312" w:hAnsi="宋体" w:eastAsia="仿宋_GB2312" w:cs="Times New Roman"/>
                                <w:b/>
                                <w:color w:val="FF0000"/>
                                <w:sz w:val="30"/>
                                <w:szCs w:val="30"/>
                              </w:rPr>
                              <w:t>环</w:t>
                            </w:r>
                            <w:r>
                              <w:rPr>
                                <w:rFonts w:hint="eastAsia" w:ascii="仿宋_GB2312" w:hAnsi="宋体" w:eastAsia="仿宋_GB2312"/>
                                <w:b/>
                                <w:color w:val="FF0000"/>
                                <w:sz w:val="30"/>
                                <w:szCs w:val="30"/>
                              </w:rPr>
                              <w:t>境影响评价专用</w:t>
                            </w:r>
                          </w:p>
                          <w:p w14:paraId="47D4BAA4">
                            <w:pPr>
                              <w:jc w:val="both"/>
                              <w:outlineLvl w:val="0"/>
                              <w:rPr>
                                <w:rFonts w:ascii="仿宋_GB2312" w:hAnsi="宋体" w:eastAsia="仿宋_GB2312"/>
                                <w:b/>
                                <w:color w:val="FF0000"/>
                                <w:sz w:val="30"/>
                                <w:szCs w:val="30"/>
                              </w:rPr>
                            </w:pPr>
                          </w:p>
                        </w:txbxContent>
                      </wps:txbx>
                      <wps:bodyPr wrap="square" lIns="0" tIns="0" rIns="0" bIns="0" upright="1"/>
                    </wps:wsp>
                  </a:graphicData>
                </a:graphic>
              </wp:anchor>
            </w:drawing>
          </mc:Choice>
          <mc:Fallback>
            <w:pict>
              <v:shape id="文本框 90" o:spid="_x0000_s1026" o:spt="202" type="#_x0000_t202" style="position:absolute;left:0pt;margin-left:34.85pt;margin-top:211.25pt;height:91.85pt;width:623.45pt;mso-position-horizontal-relative:margin;mso-position-vertical-relative:margin;mso-wrap-distance-bottom:0pt;mso-wrap-distance-left:9pt;mso-wrap-distance-right:9pt;mso-wrap-distance-top:0pt;z-index:251661312;mso-width-relative:page;mso-height-relative:page;" filled="f" stroked="t" coordsize="21600,21600" o:gfxdata="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tyU9&#10;2AAAAAsBAAAPAAAAAAAAAAEAIAAAACIAAABkcnMvZG93bnJldi54bWxQSwECFAAUAAAACACHTuJA&#10;VhqMDiECAABCBAAADgAAAAAAAAABACAAAAAnAQAAZHJzL2Uyb0RvYy54bWxQSwUGAAAAAAYABgBZ&#10;AQAAugUAAAAA&#10;">
                <v:fill on="f" focussize="0,0"/>
                <v:stroke weight="1.5pt" color="#FF0000" joinstyle="miter"/>
                <v:imagedata o:title=""/>
                <o:lock v:ext="edit" aspectratio="f"/>
                <v:textbox inset="0mm,0mm,0mm,0mm">
                  <w:txbxContent>
                    <w:p w14:paraId="02B8BC63">
                      <w:pPr>
                        <w:jc w:val="both"/>
                        <w:outlineLvl w:val="0"/>
                        <w:rPr>
                          <w:rFonts w:hint="eastAsia" w:ascii="仿宋_GB2312" w:hAnsi="宋体" w:eastAsia="仿宋_GB2312"/>
                          <w:b/>
                          <w:color w:val="FF0000"/>
                          <w:sz w:val="30"/>
                          <w:szCs w:val="30"/>
                        </w:rPr>
                      </w:pPr>
                      <w:bookmarkStart w:id="69" w:name="_Toc60992683"/>
                    </w:p>
                    <w:bookmarkEnd w:id="69"/>
                    <w:p w14:paraId="6D418E6F">
                      <w:pPr>
                        <w:jc w:val="left"/>
                        <w:outlineLvl w:val="0"/>
                        <w:rPr>
                          <w:rFonts w:ascii="仿宋_GB2312" w:hAnsi="宋体" w:eastAsia="仿宋_GB2312"/>
                          <w:b/>
                          <w:color w:val="FF0000"/>
                          <w:sz w:val="30"/>
                          <w:szCs w:val="30"/>
                        </w:rPr>
                      </w:pPr>
                      <w:r>
                        <w:rPr>
                          <w:rFonts w:hint="eastAsia" w:ascii="仿宋_GB2312" w:hAnsi="宋体" w:eastAsia="仿宋_GB2312"/>
                          <w:b/>
                          <w:color w:val="FF0000"/>
                          <w:sz w:val="30"/>
                          <w:szCs w:val="30"/>
                        </w:rPr>
                        <w:t>仅限</w:t>
                      </w:r>
                      <w:r>
                        <w:rPr>
                          <w:rFonts w:hint="eastAsia" w:ascii="仿宋_GB2312" w:hAnsi="宋体" w:eastAsia="仿宋_GB2312"/>
                          <w:b/>
                          <w:color w:val="FF0000"/>
                          <w:sz w:val="30"/>
                          <w:szCs w:val="30"/>
                          <w:lang w:val="en-US" w:eastAsia="zh-CN"/>
                        </w:rPr>
                        <w:t>博湖县兆瓦能源科技有限公司20MWp并网太阳能光伏电站项目配套输变电工程建设项目</w:t>
                      </w:r>
                      <w:r>
                        <w:rPr>
                          <w:rFonts w:hint="eastAsia" w:ascii="仿宋_GB2312" w:hAnsi="宋体" w:eastAsia="仿宋_GB2312" w:cs="Times New Roman"/>
                          <w:b/>
                          <w:color w:val="FF0000"/>
                          <w:sz w:val="30"/>
                          <w:szCs w:val="30"/>
                        </w:rPr>
                        <w:t>环</w:t>
                      </w:r>
                      <w:r>
                        <w:rPr>
                          <w:rFonts w:hint="eastAsia" w:ascii="仿宋_GB2312" w:hAnsi="宋体" w:eastAsia="仿宋_GB2312"/>
                          <w:b/>
                          <w:color w:val="FF0000"/>
                          <w:sz w:val="30"/>
                          <w:szCs w:val="30"/>
                        </w:rPr>
                        <w:t>境影响评价专用</w:t>
                      </w:r>
                    </w:p>
                    <w:p w14:paraId="47D4BAA4">
                      <w:pPr>
                        <w:jc w:val="both"/>
                        <w:outlineLvl w:val="0"/>
                        <w:rPr>
                          <w:rFonts w:ascii="仿宋_GB2312" w:hAnsi="宋体" w:eastAsia="仿宋_GB2312"/>
                          <w:b/>
                          <w:color w:val="FF0000"/>
                          <w:sz w:val="30"/>
                          <w:szCs w:val="30"/>
                        </w:rPr>
                      </w:pPr>
                    </w:p>
                  </w:txbxContent>
                </v:textbox>
                <w10:wrap type="square"/>
              </v:shape>
            </w:pict>
          </mc:Fallback>
        </mc:AlternateContent>
      </w:r>
      <w:r>
        <w:drawing>
          <wp:anchor distT="0" distB="0" distL="114300" distR="114300" simplePos="0" relativeHeight="251660288" behindDoc="0" locked="0" layoutInCell="1" allowOverlap="1">
            <wp:simplePos x="0" y="0"/>
            <wp:positionH relativeFrom="column">
              <wp:posOffset>18415</wp:posOffset>
            </wp:positionH>
            <wp:positionV relativeFrom="paragraph">
              <wp:posOffset>-8255</wp:posOffset>
            </wp:positionV>
            <wp:extent cx="8526780" cy="3966210"/>
            <wp:effectExtent l="0" t="0" r="7620" b="15240"/>
            <wp:wrapSquare wrapText="bothSides"/>
            <wp:docPr id="1"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7"/>
                    <pic:cNvPicPr>
                      <a:picLocks noChangeAspect="1"/>
                    </pic:cNvPicPr>
                  </pic:nvPicPr>
                  <pic:blipFill>
                    <a:blip r:embed="rId13"/>
                    <a:stretch>
                      <a:fillRect/>
                    </a:stretch>
                  </pic:blipFill>
                  <pic:spPr>
                    <a:xfrm>
                      <a:off x="0" y="0"/>
                      <a:ext cx="8526780" cy="3966210"/>
                    </a:xfrm>
                    <a:prstGeom prst="rect">
                      <a:avLst/>
                    </a:prstGeom>
                    <a:noFill/>
                    <a:ln>
                      <a:noFill/>
                    </a:ln>
                  </pic:spPr>
                </pic:pic>
              </a:graphicData>
            </a:graphic>
          </wp:anchor>
        </w:drawing>
      </w:r>
      <w:r>
        <w:rPr>
          <w:rFonts w:hint="eastAsia"/>
          <w:color w:val="000000"/>
          <w:szCs w:val="21"/>
        </w:rPr>
        <mc:AlternateContent>
          <mc:Choice Requires="wps">
            <w:drawing>
              <wp:anchor distT="0" distB="0" distL="114300" distR="114300" simplePos="0" relativeHeight="251662336" behindDoc="0" locked="0" layoutInCell="1" allowOverlap="1">
                <wp:simplePos x="0" y="0"/>
                <wp:positionH relativeFrom="margin">
                  <wp:posOffset>318770</wp:posOffset>
                </wp:positionH>
                <wp:positionV relativeFrom="margin">
                  <wp:posOffset>163830</wp:posOffset>
                </wp:positionV>
                <wp:extent cx="8056880" cy="1042035"/>
                <wp:effectExtent l="9525" t="9525" r="10795" b="15240"/>
                <wp:wrapSquare wrapText="bothSides"/>
                <wp:docPr id="3" name="文本框 141"/>
                <wp:cNvGraphicFramePr/>
                <a:graphic xmlns:a="http://schemas.openxmlformats.org/drawingml/2006/main">
                  <a:graphicData uri="http://schemas.microsoft.com/office/word/2010/wordprocessingShape">
                    <wps:wsp>
                      <wps:cNvSpPr txBox="1"/>
                      <wps:spPr>
                        <a:xfrm>
                          <a:off x="0" y="0"/>
                          <a:ext cx="8056880" cy="1042035"/>
                        </a:xfrm>
                        <a:prstGeom prst="rect">
                          <a:avLst/>
                        </a:prstGeom>
                        <a:noFill/>
                        <a:ln w="19050" cap="flat" cmpd="sng">
                          <a:solidFill>
                            <a:srgbClr val="FF0000"/>
                          </a:solidFill>
                          <a:prstDash val="solid"/>
                          <a:miter/>
                          <a:headEnd type="none" w="med" len="med"/>
                          <a:tailEnd type="none" w="med" len="med"/>
                        </a:ln>
                      </wps:spPr>
                      <wps:txbx>
                        <w:txbxContent>
                          <w:p w14:paraId="347E98CE">
                            <w:pPr>
                              <w:ind w:left="2849" w:hanging="2849" w:hangingChars="946"/>
                              <w:jc w:val="left"/>
                              <w:outlineLvl w:val="0"/>
                              <w:rPr>
                                <w:rFonts w:hint="eastAsia" w:ascii="仿宋_GB2312" w:hAnsi="宋体" w:eastAsia="仿宋_GB2312"/>
                                <w:b/>
                                <w:color w:val="FF0000"/>
                                <w:sz w:val="30"/>
                                <w:szCs w:val="30"/>
                              </w:rPr>
                            </w:pPr>
                          </w:p>
                          <w:p w14:paraId="1A16EC3D">
                            <w:pPr>
                              <w:jc w:val="left"/>
                              <w:outlineLvl w:val="0"/>
                              <w:rPr>
                                <w:rFonts w:ascii="仿宋_GB2312" w:hAnsi="宋体" w:eastAsia="仿宋_GB2312"/>
                                <w:b/>
                                <w:color w:val="FF0000"/>
                                <w:sz w:val="30"/>
                                <w:szCs w:val="30"/>
                              </w:rPr>
                            </w:pPr>
                            <w:r>
                              <w:rPr>
                                <w:rFonts w:hint="eastAsia" w:ascii="仿宋_GB2312" w:hAnsi="宋体" w:eastAsia="仿宋_GB2312"/>
                                <w:b/>
                                <w:color w:val="FF0000"/>
                                <w:sz w:val="30"/>
                                <w:szCs w:val="30"/>
                              </w:rPr>
                              <w:t>仅限</w:t>
                            </w:r>
                            <w:r>
                              <w:rPr>
                                <w:rFonts w:hint="eastAsia" w:ascii="仿宋_GB2312" w:hAnsi="宋体" w:eastAsia="仿宋_GB2312"/>
                                <w:b/>
                                <w:color w:val="FF0000"/>
                                <w:sz w:val="30"/>
                                <w:szCs w:val="30"/>
                                <w:lang w:val="en-US" w:eastAsia="zh-CN"/>
                              </w:rPr>
                              <w:t>博湖县兆瓦能源科技有限公司20MWp并网太阳能光伏电站项目配套输变电工程建设项目</w:t>
                            </w:r>
                            <w:r>
                              <w:rPr>
                                <w:rFonts w:hint="eastAsia" w:ascii="仿宋_GB2312" w:hAnsi="宋体" w:eastAsia="仿宋_GB2312" w:cs="Times New Roman"/>
                                <w:b/>
                                <w:color w:val="FF0000"/>
                                <w:sz w:val="30"/>
                                <w:szCs w:val="30"/>
                              </w:rPr>
                              <w:t>环</w:t>
                            </w:r>
                            <w:r>
                              <w:rPr>
                                <w:rFonts w:hint="eastAsia" w:ascii="仿宋_GB2312" w:hAnsi="宋体" w:eastAsia="仿宋_GB2312"/>
                                <w:b/>
                                <w:color w:val="FF0000"/>
                                <w:sz w:val="30"/>
                                <w:szCs w:val="30"/>
                              </w:rPr>
                              <w:t>境影响评价专用</w:t>
                            </w:r>
                          </w:p>
                        </w:txbxContent>
                      </wps:txbx>
                      <wps:bodyPr wrap="square" lIns="0" tIns="0" rIns="0" bIns="0" upright="1"/>
                    </wps:wsp>
                  </a:graphicData>
                </a:graphic>
              </wp:anchor>
            </w:drawing>
          </mc:Choice>
          <mc:Fallback>
            <w:pict>
              <v:shape id="文本框 141" o:spid="_x0000_s1026" o:spt="202" type="#_x0000_t202" style="position:absolute;left:0pt;margin-left:25.1pt;margin-top:12.9pt;height:82.05pt;width:634.4pt;mso-position-horizontal-relative:margin;mso-position-vertical-relative:margin;mso-wrap-distance-bottom:0pt;mso-wrap-distance-left:9pt;mso-wrap-distance-right:9pt;mso-wrap-distance-top:0pt;z-index:251662336;mso-width-relative:page;mso-height-relative:page;" filled="f" stroked="t" coordsize="21600,21600" o:gfxdata="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dIM0zX&#10;AAAACgEAAA8AAAAAAAAAAQAgAAAAIgAAAGRycy9kb3ducmV2LnhtbFBLAQIUABQAAAAIAIdO4kCM&#10;ltKNIQIAAEMEAAAOAAAAAAAAAAEAIAAAACYBAABkcnMvZTJvRG9jLnhtbFBLBQYAAAAABgAGAFkB&#10;AAC5BQAAAAA=&#10;">
                <v:fill on="f" focussize="0,0"/>
                <v:stroke weight="1.5pt" color="#FF0000" joinstyle="miter"/>
                <v:imagedata o:title=""/>
                <o:lock v:ext="edit" aspectratio="f"/>
                <v:textbox inset="0mm,0mm,0mm,0mm">
                  <w:txbxContent>
                    <w:p w14:paraId="347E98CE">
                      <w:pPr>
                        <w:ind w:left="2849" w:hanging="2849" w:hangingChars="946"/>
                        <w:jc w:val="left"/>
                        <w:outlineLvl w:val="0"/>
                        <w:rPr>
                          <w:rFonts w:hint="eastAsia" w:ascii="仿宋_GB2312" w:hAnsi="宋体" w:eastAsia="仿宋_GB2312"/>
                          <w:b/>
                          <w:color w:val="FF0000"/>
                          <w:sz w:val="30"/>
                          <w:szCs w:val="30"/>
                        </w:rPr>
                      </w:pPr>
                    </w:p>
                    <w:p w14:paraId="1A16EC3D">
                      <w:pPr>
                        <w:jc w:val="left"/>
                        <w:outlineLvl w:val="0"/>
                        <w:rPr>
                          <w:rFonts w:ascii="仿宋_GB2312" w:hAnsi="宋体" w:eastAsia="仿宋_GB2312"/>
                          <w:b/>
                          <w:color w:val="FF0000"/>
                          <w:sz w:val="30"/>
                          <w:szCs w:val="30"/>
                        </w:rPr>
                      </w:pPr>
                      <w:r>
                        <w:rPr>
                          <w:rFonts w:hint="eastAsia" w:ascii="仿宋_GB2312" w:hAnsi="宋体" w:eastAsia="仿宋_GB2312"/>
                          <w:b/>
                          <w:color w:val="FF0000"/>
                          <w:sz w:val="30"/>
                          <w:szCs w:val="30"/>
                        </w:rPr>
                        <w:t>仅限</w:t>
                      </w:r>
                      <w:r>
                        <w:rPr>
                          <w:rFonts w:hint="eastAsia" w:ascii="仿宋_GB2312" w:hAnsi="宋体" w:eastAsia="仿宋_GB2312"/>
                          <w:b/>
                          <w:color w:val="FF0000"/>
                          <w:sz w:val="30"/>
                          <w:szCs w:val="30"/>
                          <w:lang w:val="en-US" w:eastAsia="zh-CN"/>
                        </w:rPr>
                        <w:t>博湖县兆瓦能源科技有限公司20MWp并网太阳能光伏电站项目配套输变电工程建设项目</w:t>
                      </w:r>
                      <w:r>
                        <w:rPr>
                          <w:rFonts w:hint="eastAsia" w:ascii="仿宋_GB2312" w:hAnsi="宋体" w:eastAsia="仿宋_GB2312" w:cs="Times New Roman"/>
                          <w:b/>
                          <w:color w:val="FF0000"/>
                          <w:sz w:val="30"/>
                          <w:szCs w:val="30"/>
                        </w:rPr>
                        <w:t>环</w:t>
                      </w:r>
                      <w:r>
                        <w:rPr>
                          <w:rFonts w:hint="eastAsia" w:ascii="仿宋_GB2312" w:hAnsi="宋体" w:eastAsia="仿宋_GB2312"/>
                          <w:b/>
                          <w:color w:val="FF0000"/>
                          <w:sz w:val="30"/>
                          <w:szCs w:val="30"/>
                        </w:rPr>
                        <w:t>境影响评价专用</w:t>
                      </w:r>
                    </w:p>
                  </w:txbxContent>
                </v:textbox>
                <w10:wrap type="square"/>
              </v:shape>
            </w:pict>
          </mc:Fallback>
        </mc:AlternateContent>
      </w:r>
    </w:p>
    <w:p w14:paraId="0CAADCDC">
      <w:pPr>
        <w:pStyle w:val="25"/>
        <w:adjustRightInd w:val="0"/>
        <w:snapToGrid w:val="0"/>
        <w:spacing w:before="0" w:beforeAutospacing="0" w:after="0" w:afterAutospacing="0" w:line="408" w:lineRule="auto"/>
        <w:rPr>
          <w:rFonts w:hint="eastAsia" w:ascii="黑体" w:hAnsi="黑体" w:eastAsia="黑体"/>
          <w:snapToGrid w:val="0"/>
          <w:sz w:val="32"/>
          <w:szCs w:val="32"/>
        </w:rPr>
      </w:pPr>
    </w:p>
    <w:p w14:paraId="649A963F">
      <w:pPr>
        <w:pStyle w:val="25"/>
        <w:jc w:val="center"/>
        <w:rPr>
          <w:rFonts w:hint="eastAsia" w:ascii="Times New Roman" w:hAnsi="Times New Roman" w:eastAsia="黑体"/>
          <w:snapToGrid w:val="0"/>
          <w:color w:val="000000"/>
          <w:sz w:val="30"/>
          <w:szCs w:val="30"/>
        </w:rPr>
        <w:sectPr>
          <w:footerReference r:id="rId6"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4875AA8">
      <w:pPr>
        <w:tabs>
          <w:tab w:val="right" w:leader="dot" w:pos="8306"/>
        </w:tabs>
        <w:spacing w:before="360" w:after="360" w:line="480" w:lineRule="auto"/>
        <w:ind w:firstLine="0" w:firstLineChars="0"/>
        <w:jc w:val="center"/>
        <w:rPr>
          <w:rFonts w:hint="eastAsia" w:ascii="Times New Roman" w:hAnsi="Times New Roman" w:eastAsia="宋体" w:cs="Times New Roman"/>
          <w:kern w:val="2"/>
          <w:sz w:val="24"/>
          <w:szCs w:val="32"/>
          <w:lang w:val="zh-CN" w:eastAsia="zh-CN" w:bidi="ar-SA"/>
        </w:rPr>
      </w:pPr>
      <w:r>
        <w:rPr>
          <w:rFonts w:hint="eastAsia" w:ascii="黑体" w:hAnsi="黑体" w:eastAsia="黑体" w:cs="黑体"/>
          <w:sz w:val="30"/>
          <w:szCs w:val="30"/>
        </w:rPr>
        <w:t>目录</w:t>
      </w:r>
      <w:r>
        <w:rPr>
          <w:rFonts w:hint="eastAsia"/>
          <w:sz w:val="32"/>
          <w:szCs w:val="32"/>
          <w:lang w:val="zh-CN"/>
        </w:rPr>
        <w:fldChar w:fldCharType="begin"/>
      </w:r>
      <w:r>
        <w:rPr>
          <w:rFonts w:hint="eastAsia"/>
          <w:sz w:val="32"/>
          <w:szCs w:val="32"/>
          <w:lang w:val="zh-CN"/>
        </w:rPr>
        <w:instrText xml:space="preserve">TOC \o "1-1" \h \u </w:instrText>
      </w:r>
      <w:r>
        <w:rPr>
          <w:rFonts w:hint="eastAsia"/>
          <w:sz w:val="32"/>
          <w:szCs w:val="32"/>
          <w:lang w:val="zh-CN"/>
        </w:rPr>
        <w:fldChar w:fldCharType="separate"/>
      </w:r>
    </w:p>
    <w:p w14:paraId="011A1D5E">
      <w:pPr>
        <w:pStyle w:val="20"/>
        <w:tabs>
          <w:tab w:val="right" w:leader="dot" w:pos="8844"/>
          <w:tab w:val="clear" w:pos="8306"/>
        </w:tabs>
      </w:pPr>
    </w:p>
    <w:p w14:paraId="54D48D1D">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_Toc28529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rPr>
        <w:t>一、建设项目基本情况</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_Toc28529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1</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13BC8898">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_Toc28806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rPr>
        <w:t>二、</w:t>
      </w:r>
      <w:r>
        <w:rPr>
          <w:rFonts w:ascii="Times New Roman" w:hAnsi="Times New Roman" w:eastAsia="宋体" w:cs="黑体"/>
          <w:b w:val="0"/>
          <w:bCs w:val="0"/>
          <w:caps/>
          <w:smallCaps w:val="0"/>
          <w:spacing w:val="-3"/>
          <w:sz w:val="24"/>
          <w:szCs w:val="30"/>
        </w:rPr>
        <w:t>建设内容</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_Toc28806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16</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415DCA09">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_Toc18206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rPr>
        <w:t>三、</w:t>
      </w:r>
      <w:r>
        <w:rPr>
          <w:rFonts w:hint="eastAsia" w:ascii="Times New Roman" w:hAnsi="Times New Roman" w:eastAsia="宋体" w:cs="黑体"/>
          <w:b w:val="0"/>
          <w:bCs w:val="0"/>
          <w:caps/>
          <w:smallCaps w:val="0"/>
          <w:spacing w:val="-3"/>
          <w:sz w:val="24"/>
          <w:szCs w:val="30"/>
          <w:lang w:val="en-US" w:eastAsia="zh-CN"/>
        </w:rPr>
        <w:t>生态环境现状、保护目标及评价标准</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_Toc18206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26</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096598E4">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_Toc24206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rPr>
        <w:t>四、生态环境影响分析</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_Toc24206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39</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0BFDD889">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_Toc29956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rPr>
        <w:t>五、主要生态环境保护措施</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_Toc29956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48</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130D9A53">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_Toc20481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cs="黑体"/>
          <w:b w:val="0"/>
          <w:bCs w:val="0"/>
          <w:caps/>
          <w:smallCaps w:val="0"/>
          <w:spacing w:val="-2"/>
          <w:sz w:val="24"/>
          <w:szCs w:val="30"/>
          <w:lang w:val="en-US" w:eastAsia="zh-CN"/>
        </w:rPr>
        <w:t>六、</w:t>
      </w:r>
      <w:r>
        <w:rPr>
          <w:rFonts w:hint="eastAsia" w:ascii="Times New Roman" w:hAnsi="Times New Roman" w:eastAsia="宋体"/>
          <w:b w:val="0"/>
          <w:bCs w:val="0"/>
          <w:caps/>
          <w:smallCaps w:val="0"/>
          <w:sz w:val="24"/>
          <w:lang w:val="en-US" w:eastAsia="zh-CN"/>
        </w:rPr>
        <w:t>生态环境保护措施监督检查清单</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_Toc20481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58</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161BFB3C">
      <w:pPr>
        <w:pStyle w:val="20"/>
        <w:tabs>
          <w:tab w:val="right" w:leader="dot" w:pos="8844"/>
          <w:tab w:val="clear" w:pos="8306"/>
        </w:tabs>
        <w:rPr>
          <w:rFonts w:ascii="Times New Roman" w:hAnsi="Times New Roman" w:eastAsia="宋体"/>
          <w:b w:val="0"/>
          <w:bCs w:val="0"/>
          <w:caps/>
          <w:smallCaps w:val="0"/>
          <w:sz w:val="24"/>
        </w:rPr>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_Toc19189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lang w:val="en-US" w:eastAsia="zh-CN"/>
        </w:rPr>
        <w:t>七</w:t>
      </w:r>
      <w:r>
        <w:rPr>
          <w:rFonts w:hint="eastAsia" w:ascii="Times New Roman" w:hAnsi="Times New Roman" w:eastAsia="宋体"/>
          <w:b w:val="0"/>
          <w:bCs w:val="0"/>
          <w:caps/>
          <w:smallCaps w:val="0"/>
          <w:sz w:val="24"/>
        </w:rPr>
        <w:t>、结论</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_Toc19189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60</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76415487">
      <w:pPr>
        <w:pStyle w:val="20"/>
        <w:tabs>
          <w:tab w:val="right" w:leader="dot" w:pos="8844"/>
          <w:tab w:val="clear" w:pos="8306"/>
        </w:tabs>
      </w:pPr>
      <w:r>
        <w:rPr>
          <w:rFonts w:hint="eastAsia" w:ascii="Times New Roman" w:hAnsi="Times New Roman" w:eastAsia="宋体"/>
          <w:b w:val="0"/>
          <w:bCs w:val="0"/>
          <w:caps/>
          <w:smallCaps w:val="0"/>
          <w:sz w:val="24"/>
          <w:szCs w:val="32"/>
          <w:lang w:val="zh-CN"/>
        </w:rPr>
        <w:fldChar w:fldCharType="begin"/>
      </w:r>
      <w:r>
        <w:rPr>
          <w:rFonts w:hint="eastAsia" w:ascii="Times New Roman" w:hAnsi="Times New Roman" w:eastAsia="宋体"/>
          <w:b w:val="0"/>
          <w:bCs w:val="0"/>
          <w:caps/>
          <w:smallCaps w:val="0"/>
          <w:sz w:val="24"/>
          <w:szCs w:val="32"/>
          <w:lang w:val="zh-CN"/>
        </w:rPr>
        <w:instrText xml:space="preserve"> HYPERLINK \l _Toc12938 </w:instrText>
      </w:r>
      <w:r>
        <w:rPr>
          <w:rFonts w:hint="eastAsia" w:ascii="Times New Roman" w:hAnsi="Times New Roman" w:eastAsia="宋体"/>
          <w:b w:val="0"/>
          <w:bCs w:val="0"/>
          <w:caps/>
          <w:smallCaps w:val="0"/>
          <w:sz w:val="24"/>
          <w:szCs w:val="32"/>
          <w:lang w:val="zh-CN"/>
        </w:rPr>
        <w:fldChar w:fldCharType="separate"/>
      </w:r>
      <w:r>
        <w:rPr>
          <w:rFonts w:hint="eastAsia" w:ascii="Times New Roman" w:hAnsi="Times New Roman" w:eastAsia="宋体"/>
          <w:b w:val="0"/>
          <w:bCs w:val="0"/>
          <w:caps/>
          <w:smallCaps w:val="0"/>
          <w:sz w:val="24"/>
          <w:szCs w:val="44"/>
          <w:lang w:val="en-US" w:eastAsia="zh-CN"/>
        </w:rPr>
        <w:t>电磁环境影响专题评价</w:t>
      </w:r>
      <w:r>
        <w:rPr>
          <w:rFonts w:ascii="Times New Roman" w:hAnsi="Times New Roman" w:eastAsia="宋体"/>
          <w:b w:val="0"/>
          <w:bCs w:val="0"/>
          <w:caps/>
          <w:smallCaps w:val="0"/>
          <w:sz w:val="24"/>
        </w:rPr>
        <w:tab/>
      </w:r>
      <w:r>
        <w:rPr>
          <w:rFonts w:ascii="Times New Roman" w:hAnsi="Times New Roman" w:eastAsia="宋体"/>
          <w:b w:val="0"/>
          <w:bCs w:val="0"/>
          <w:caps/>
          <w:smallCaps w:val="0"/>
          <w:sz w:val="24"/>
        </w:rPr>
        <w:fldChar w:fldCharType="begin"/>
      </w:r>
      <w:r>
        <w:rPr>
          <w:rFonts w:ascii="Times New Roman" w:hAnsi="Times New Roman" w:eastAsia="宋体"/>
          <w:b w:val="0"/>
          <w:bCs w:val="0"/>
          <w:caps/>
          <w:smallCaps w:val="0"/>
          <w:sz w:val="24"/>
        </w:rPr>
        <w:instrText xml:space="preserve"> PAGEREF _Toc12938 \h </w:instrText>
      </w:r>
      <w:r>
        <w:rPr>
          <w:rFonts w:ascii="Times New Roman" w:hAnsi="Times New Roman" w:eastAsia="宋体"/>
          <w:b w:val="0"/>
          <w:bCs w:val="0"/>
          <w:caps/>
          <w:smallCaps w:val="0"/>
          <w:sz w:val="24"/>
        </w:rPr>
        <w:fldChar w:fldCharType="separate"/>
      </w:r>
      <w:r>
        <w:rPr>
          <w:rFonts w:ascii="Times New Roman" w:hAnsi="Times New Roman" w:eastAsia="宋体"/>
          <w:b w:val="0"/>
          <w:bCs w:val="0"/>
          <w:caps/>
          <w:smallCaps w:val="0"/>
          <w:sz w:val="24"/>
        </w:rPr>
        <w:t>61</w:t>
      </w:r>
      <w:r>
        <w:rPr>
          <w:rFonts w:ascii="Times New Roman" w:hAnsi="Times New Roman" w:eastAsia="宋体"/>
          <w:b w:val="0"/>
          <w:bCs w:val="0"/>
          <w:caps/>
          <w:smallCaps w:val="0"/>
          <w:sz w:val="24"/>
        </w:rPr>
        <w:fldChar w:fldCharType="end"/>
      </w:r>
      <w:r>
        <w:rPr>
          <w:rFonts w:hint="eastAsia" w:ascii="Times New Roman" w:hAnsi="Times New Roman" w:eastAsia="宋体"/>
          <w:b w:val="0"/>
          <w:bCs w:val="0"/>
          <w:caps/>
          <w:smallCaps w:val="0"/>
          <w:sz w:val="24"/>
          <w:szCs w:val="32"/>
          <w:lang w:val="zh-CN"/>
        </w:rPr>
        <w:fldChar w:fldCharType="end"/>
      </w:r>
    </w:p>
    <w:p w14:paraId="0681C5BA">
      <w:pPr>
        <w:pStyle w:val="20"/>
        <w:spacing w:before="360" w:after="360" w:line="480" w:lineRule="auto"/>
        <w:ind w:firstLine="0" w:firstLineChars="0"/>
        <w:jc w:val="center"/>
        <w:rPr>
          <w:rFonts w:hint="eastAsia"/>
          <w:szCs w:val="32"/>
          <w:lang w:val="zh-CN"/>
        </w:rPr>
      </w:pPr>
      <w:r>
        <w:rPr>
          <w:rFonts w:hint="eastAsia"/>
          <w:szCs w:val="32"/>
          <w:lang w:val="zh-CN"/>
        </w:rPr>
        <w:fldChar w:fldCharType="end"/>
      </w:r>
    </w:p>
    <w:p w14:paraId="41A13D4E">
      <w:pPr>
        <w:rPr>
          <w:rFonts w:hint="eastAsia"/>
          <w:szCs w:val="32"/>
          <w:lang w:val="zh-CN"/>
        </w:rPr>
      </w:pPr>
    </w:p>
    <w:p w14:paraId="42B1EFF3">
      <w:pPr>
        <w:ind w:left="0" w:leftChars="0" w:firstLine="0" w:firstLineChars="0"/>
        <w:rPr>
          <w:rFonts w:hint="eastAsia"/>
          <w:szCs w:val="32"/>
          <w:lang w:val="zh-CN"/>
        </w:rPr>
      </w:pPr>
    </w:p>
    <w:p w14:paraId="1BA5D54C">
      <w:pPr>
        <w:rPr>
          <w:rFonts w:hint="eastAsia"/>
          <w:szCs w:val="32"/>
          <w:lang w:val="zh-CN"/>
        </w:rPr>
      </w:pPr>
    </w:p>
    <w:p w14:paraId="1D987B06">
      <w:pPr>
        <w:rPr>
          <w:rFonts w:hint="eastAsia"/>
          <w:szCs w:val="32"/>
          <w:lang w:val="zh-CN"/>
        </w:rPr>
      </w:pPr>
    </w:p>
    <w:p w14:paraId="34DF861F">
      <w:pPr>
        <w:rPr>
          <w:rFonts w:hint="eastAsia"/>
          <w:szCs w:val="32"/>
          <w:lang w:val="zh-CN"/>
        </w:rPr>
      </w:pPr>
    </w:p>
    <w:p w14:paraId="4C8B3AC6">
      <w:pPr>
        <w:pStyle w:val="28"/>
        <w:rPr>
          <w:rFonts w:hint="eastAsia"/>
          <w:szCs w:val="32"/>
          <w:lang w:val="zh-CN"/>
        </w:rPr>
      </w:pPr>
    </w:p>
    <w:p w14:paraId="3ACE6DEE">
      <w:pPr>
        <w:pStyle w:val="12"/>
        <w:rPr>
          <w:rFonts w:hint="eastAsia"/>
          <w:szCs w:val="32"/>
          <w:lang w:val="zh-CN"/>
        </w:rPr>
      </w:pPr>
    </w:p>
    <w:p w14:paraId="094921C7">
      <w:pPr>
        <w:pStyle w:val="12"/>
        <w:rPr>
          <w:rFonts w:hint="eastAsia"/>
          <w:szCs w:val="32"/>
          <w:lang w:val="zh-CN"/>
        </w:rPr>
      </w:pPr>
    </w:p>
    <w:p w14:paraId="7C71B603">
      <w:pPr>
        <w:pStyle w:val="12"/>
        <w:rPr>
          <w:rFonts w:hint="eastAsia"/>
          <w:szCs w:val="32"/>
          <w:lang w:val="zh-CN"/>
        </w:rPr>
      </w:pPr>
    </w:p>
    <w:p w14:paraId="3D2CA0EB">
      <w:pPr>
        <w:pStyle w:val="12"/>
        <w:rPr>
          <w:rFonts w:hint="eastAsia"/>
          <w:szCs w:val="32"/>
          <w:lang w:val="zh-CN"/>
        </w:rPr>
      </w:pPr>
    </w:p>
    <w:p w14:paraId="56F45175">
      <w:pPr>
        <w:pStyle w:val="12"/>
        <w:rPr>
          <w:rFonts w:hint="eastAsia"/>
          <w:szCs w:val="32"/>
          <w:lang w:val="zh-CN"/>
        </w:rPr>
      </w:pPr>
    </w:p>
    <w:p w14:paraId="3A563720">
      <w:pPr>
        <w:pStyle w:val="12"/>
        <w:rPr>
          <w:rFonts w:hint="eastAsia"/>
          <w:szCs w:val="32"/>
          <w:lang w:val="zh-CN"/>
        </w:rPr>
      </w:pPr>
    </w:p>
    <w:p w14:paraId="0B988006">
      <w:pPr>
        <w:pStyle w:val="3"/>
        <w:keepNext/>
        <w:keepLines w:val="0"/>
        <w:pageBreakBefore w:val="0"/>
        <w:widowControl w:val="0"/>
        <w:kinsoku/>
        <w:wordWrap/>
        <w:overflowPunct w:val="0"/>
        <w:topLinePunct w:val="0"/>
        <w:autoSpaceDE/>
        <w:autoSpaceDN/>
        <w:bidi w:val="0"/>
        <w:adjustRightInd/>
        <w:snapToGrid w:val="0"/>
        <w:spacing w:before="0" w:after="0" w:line="360" w:lineRule="auto"/>
        <w:ind w:left="0" w:firstLine="0" w:firstLineChars="0"/>
        <w:textAlignment w:val="auto"/>
        <w:rPr>
          <w:rFonts w:hint="eastAsia"/>
        </w:rPr>
      </w:pPr>
      <w:bookmarkStart w:id="3" w:name="_Toc28529"/>
      <w:r>
        <w:rPr>
          <w:rFonts w:hint="eastAsia"/>
        </w:rPr>
        <w:t>一、建设项目基本情况</w:t>
      </w:r>
      <w:bookmarkEnd w:id="3"/>
    </w:p>
    <w:tbl>
      <w:tblPr>
        <w:tblStyle w:val="29"/>
        <w:tblW w:w="48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
        <w:gridCol w:w="430"/>
        <w:gridCol w:w="43"/>
        <w:gridCol w:w="416"/>
        <w:gridCol w:w="311"/>
        <w:gridCol w:w="122"/>
        <w:gridCol w:w="312"/>
        <w:gridCol w:w="249"/>
        <w:gridCol w:w="1021"/>
        <w:gridCol w:w="875"/>
        <w:gridCol w:w="806"/>
        <w:gridCol w:w="237"/>
        <w:gridCol w:w="666"/>
        <w:gridCol w:w="180"/>
        <w:gridCol w:w="2086"/>
        <w:gridCol w:w="9"/>
        <w:gridCol w:w="74"/>
        <w:gridCol w:w="739"/>
      </w:tblGrid>
      <w:tr w14:paraId="48D64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1098" w:type="pct"/>
            <w:gridSpan w:val="8"/>
            <w:tcBorders>
              <w:top w:val="single" w:color="auto" w:sz="8" w:space="0"/>
            </w:tcBorders>
            <w:noWrap w:val="0"/>
            <w:tcMar>
              <w:top w:w="16" w:type="dxa"/>
              <w:left w:w="16" w:type="dxa"/>
              <w:right w:w="16" w:type="dxa"/>
            </w:tcMar>
            <w:vAlign w:val="center"/>
          </w:tcPr>
          <w:p w14:paraId="09B9929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建设项目名称</w:t>
            </w:r>
          </w:p>
        </w:tc>
        <w:tc>
          <w:tcPr>
            <w:tcW w:w="3901" w:type="pct"/>
            <w:gridSpan w:val="10"/>
            <w:tcBorders>
              <w:top w:val="single" w:color="auto" w:sz="8" w:space="0"/>
            </w:tcBorders>
            <w:noWrap w:val="0"/>
            <w:vAlign w:val="center"/>
          </w:tcPr>
          <w:p w14:paraId="3180291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leftChars="0" w:right="0" w:firstLine="0" w:firstLineChars="0"/>
              <w:jc w:val="center"/>
              <w:textAlignment w:val="auto"/>
              <w:outlineLvl w:val="0"/>
              <w:rPr>
                <w:rFonts w:hint="eastAsia" w:eastAsia="宋体" w:cs="宋体"/>
                <w:color w:val="000000"/>
                <w:sz w:val="24"/>
                <w:szCs w:val="24"/>
                <w:lang w:val="en-US" w:eastAsia="zh-CN"/>
              </w:rPr>
            </w:pPr>
            <w:bookmarkStart w:id="4" w:name="_Toc2259"/>
            <w:bookmarkStart w:id="5" w:name="_Toc30735"/>
            <w:r>
              <w:rPr>
                <w:rFonts w:hint="eastAsia" w:ascii="Times New Roman" w:hAnsi="Times New Roman" w:eastAsia="宋体" w:cs="宋体"/>
                <w:b w:val="0"/>
                <w:bCs/>
                <w:color w:val="000000" w:themeColor="text1"/>
                <w:sz w:val="24"/>
                <w:szCs w:val="24"/>
                <w:lang w:val="en-US" w:eastAsia="zh-CN"/>
                <w14:textFill>
                  <w14:solidFill>
                    <w14:schemeClr w14:val="tx1"/>
                  </w14:solidFill>
                </w14:textFill>
              </w:rPr>
              <w:t>博湖县兆瓦能源科技有限公司20MWp并网太阳能光伏电站项目配套</w:t>
            </w:r>
            <w:r>
              <w:rPr>
                <w:rFonts w:hint="eastAsia" w:cs="宋体"/>
                <w:b w:val="0"/>
                <w:bCs/>
                <w:color w:val="000000" w:themeColor="text1"/>
                <w:sz w:val="24"/>
                <w:szCs w:val="24"/>
                <w:lang w:val="en-US" w:eastAsia="zh-CN"/>
                <w14:textFill>
                  <w14:solidFill>
                    <w14:schemeClr w14:val="tx1"/>
                  </w14:solidFill>
                </w14:textFill>
              </w:rPr>
              <w:t>输变电</w:t>
            </w:r>
            <w:r>
              <w:rPr>
                <w:rFonts w:hint="eastAsia" w:ascii="Times New Roman" w:hAnsi="Times New Roman" w:eastAsia="宋体" w:cs="宋体"/>
                <w:b w:val="0"/>
                <w:bCs/>
                <w:color w:val="000000" w:themeColor="text1"/>
                <w:sz w:val="24"/>
                <w:szCs w:val="24"/>
                <w:lang w:val="en-US" w:eastAsia="zh-CN"/>
                <w14:textFill>
                  <w14:solidFill>
                    <w14:schemeClr w14:val="tx1"/>
                  </w14:solidFill>
                </w14:textFill>
              </w:rPr>
              <w:t>工程</w:t>
            </w:r>
            <w:bookmarkEnd w:id="4"/>
            <w:bookmarkEnd w:id="5"/>
          </w:p>
        </w:tc>
      </w:tr>
      <w:tr w14:paraId="179E8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34898E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项目代码</w:t>
            </w:r>
          </w:p>
        </w:tc>
        <w:tc>
          <w:tcPr>
            <w:tcW w:w="3901" w:type="pct"/>
            <w:gridSpan w:val="10"/>
            <w:noWrap w:val="0"/>
            <w:vAlign w:val="center"/>
          </w:tcPr>
          <w:p w14:paraId="568B50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eastAsia="宋体" w:cs="宋体"/>
                <w:color w:val="000000"/>
                <w:sz w:val="24"/>
                <w:szCs w:val="24"/>
                <w:lang w:eastAsia="zh-CN"/>
              </w:rPr>
            </w:pPr>
            <w:r>
              <w:rPr>
                <w:rFonts w:hint="eastAsia" w:cs="宋体"/>
                <w:color w:val="000000"/>
                <w:sz w:val="24"/>
                <w:szCs w:val="24"/>
                <w:lang w:val="en-US" w:eastAsia="zh-CN"/>
              </w:rPr>
              <w:t>/</w:t>
            </w:r>
          </w:p>
        </w:tc>
      </w:tr>
      <w:tr w14:paraId="6CF88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4A0574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建设单位联系人</w:t>
            </w:r>
          </w:p>
        </w:tc>
        <w:tc>
          <w:tcPr>
            <w:tcW w:w="1105" w:type="pct"/>
            <w:gridSpan w:val="2"/>
            <w:noWrap w:val="0"/>
            <w:vAlign w:val="center"/>
          </w:tcPr>
          <w:p w14:paraId="6E6CDD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eastAsia="宋体" w:cs="宋体"/>
                <w:color w:val="000000"/>
                <w:sz w:val="24"/>
                <w:szCs w:val="24"/>
                <w:highlight w:val="none"/>
                <w:lang w:val="en-US" w:eastAsia="zh-CN"/>
              </w:rPr>
            </w:pPr>
          </w:p>
        </w:tc>
        <w:tc>
          <w:tcPr>
            <w:tcW w:w="995" w:type="pct"/>
            <w:gridSpan w:val="3"/>
            <w:noWrap w:val="0"/>
            <w:vAlign w:val="center"/>
          </w:tcPr>
          <w:p w14:paraId="7E50D6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cs="宋体"/>
                <w:color w:val="000000"/>
                <w:sz w:val="24"/>
                <w:szCs w:val="24"/>
                <w:highlight w:val="none"/>
              </w:rPr>
            </w:pPr>
            <w:r>
              <w:rPr>
                <w:rFonts w:hint="eastAsia" w:cs="宋体"/>
                <w:color w:val="000000"/>
                <w:sz w:val="24"/>
                <w:szCs w:val="24"/>
                <w:highlight w:val="none"/>
              </w:rPr>
              <w:t>联系方式</w:t>
            </w:r>
          </w:p>
        </w:tc>
        <w:tc>
          <w:tcPr>
            <w:tcW w:w="1800" w:type="pct"/>
            <w:gridSpan w:val="5"/>
            <w:noWrap w:val="0"/>
            <w:vAlign w:val="center"/>
          </w:tcPr>
          <w:p w14:paraId="417D78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eastAsia="宋体" w:cs="宋体"/>
                <w:color w:val="000000"/>
                <w:sz w:val="24"/>
                <w:szCs w:val="24"/>
                <w:highlight w:val="none"/>
                <w:lang w:val="en-US" w:eastAsia="zh-CN"/>
              </w:rPr>
            </w:pPr>
          </w:p>
        </w:tc>
      </w:tr>
      <w:tr w14:paraId="78D4D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47301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建设地点</w:t>
            </w:r>
          </w:p>
        </w:tc>
        <w:tc>
          <w:tcPr>
            <w:tcW w:w="3901" w:type="pct"/>
            <w:gridSpan w:val="10"/>
            <w:noWrap w:val="0"/>
            <w:vAlign w:val="center"/>
          </w:tcPr>
          <w:p w14:paraId="70EAF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s="宋体"/>
                <w:color w:val="000000" w:themeColor="text1"/>
                <w:sz w:val="24"/>
                <w:szCs w:val="24"/>
                <w14:textFill>
                  <w14:solidFill>
                    <w14:schemeClr w14:val="tx1"/>
                  </w14:solidFill>
                </w14:textFill>
              </w:rPr>
            </w:pPr>
            <w:r>
              <w:rPr>
                <w:rFonts w:hint="default"/>
                <w:color w:val="000000" w:themeColor="text1"/>
                <w:spacing w:val="-1"/>
                <w14:textFill>
                  <w14:solidFill>
                    <w14:schemeClr w14:val="tx1"/>
                  </w14:solidFill>
                </w14:textFill>
              </w:rPr>
              <w:t>新疆巴音郭楞蒙古自治州博湖县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博斯腾湖乡</w:t>
            </w:r>
          </w:p>
        </w:tc>
      </w:tr>
      <w:tr w14:paraId="70CF3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2E020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地理坐标</w:t>
            </w:r>
          </w:p>
        </w:tc>
        <w:tc>
          <w:tcPr>
            <w:tcW w:w="3901" w:type="pct"/>
            <w:gridSpan w:val="10"/>
            <w:noWrap w:val="0"/>
            <w:vAlign w:val="center"/>
          </w:tcPr>
          <w:p w14:paraId="077F55E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color w:val="000000" w:themeColor="text1"/>
                <w:kern w:val="0"/>
                <w:sz w:val="24"/>
                <w:szCs w:val="24"/>
                <w:lang w:eastAsia="zh-CN"/>
                <w14:textFill>
                  <w14:solidFill>
                    <w14:schemeClr w14:val="tx1"/>
                  </w14:solidFill>
                </w14:textFill>
              </w:rPr>
            </w:pPr>
          </w:p>
        </w:tc>
      </w:tr>
      <w:tr w14:paraId="18821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1" w:hRule="atLeast"/>
          <w:jc w:val="center"/>
        </w:trPr>
        <w:tc>
          <w:tcPr>
            <w:tcW w:w="1098" w:type="pct"/>
            <w:gridSpan w:val="8"/>
            <w:noWrap w:val="0"/>
            <w:tcMar>
              <w:top w:w="16" w:type="dxa"/>
              <w:left w:w="16" w:type="dxa"/>
              <w:right w:w="16" w:type="dxa"/>
            </w:tcMar>
            <w:vAlign w:val="center"/>
          </w:tcPr>
          <w:p w14:paraId="48E7FC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rPr>
            </w:pPr>
            <w:r>
              <w:rPr>
                <w:rFonts w:hint="eastAsia" w:ascii="Times New Roman" w:hAnsi="Times New Roman" w:cs="Times New Roman"/>
              </w:rPr>
              <w:t>建设项目</w:t>
            </w:r>
          </w:p>
          <w:p w14:paraId="4D7A8A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Times New Roman" w:hAnsi="Times New Roman" w:cs="Times New Roman"/>
              </w:rPr>
              <w:t>行业类别</w:t>
            </w:r>
          </w:p>
        </w:tc>
        <w:tc>
          <w:tcPr>
            <w:tcW w:w="1105" w:type="pct"/>
            <w:gridSpan w:val="2"/>
            <w:noWrap w:val="0"/>
            <w:vAlign w:val="center"/>
          </w:tcPr>
          <w:p w14:paraId="6529B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120" w:rightChars="-50" w:firstLine="0" w:firstLineChars="0"/>
              <w:jc w:val="both"/>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五十五、核与辐射</w:t>
            </w:r>
          </w:p>
          <w:p w14:paraId="642E6D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161</w:t>
            </w:r>
            <w:r>
              <w:rPr>
                <w:rFonts w:hint="eastAsia" w:ascii="宋体" w:hAnsi="宋体" w:eastAsia="宋体" w:cs="宋体"/>
                <w:color w:val="000000" w:themeColor="text1"/>
                <w:sz w:val="24"/>
                <w:szCs w:val="24"/>
                <w:highlight w:val="none"/>
                <w:lang w:val="en-US" w:eastAsia="zh-CN"/>
                <w14:textFill>
                  <w14:solidFill>
                    <w14:schemeClr w14:val="tx1"/>
                  </w14:solidFill>
                </w14:textFill>
              </w:rPr>
              <w:t>输变电工程</w:t>
            </w:r>
          </w:p>
        </w:tc>
        <w:tc>
          <w:tcPr>
            <w:tcW w:w="995" w:type="pct"/>
            <w:gridSpan w:val="3"/>
            <w:noWrap w:val="0"/>
            <w:vAlign w:val="center"/>
          </w:tcPr>
          <w:p w14:paraId="05250E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用地（用海）面积（</w:t>
            </w:r>
            <w:r>
              <w:rPr>
                <w:rFonts w:hint="default" w:ascii="Times New Roman" w:hAnsi="Times New Roman" w:cs="宋体"/>
                <w:color w:val="000000" w:themeColor="text1"/>
                <w:sz w:val="24"/>
                <w:szCs w:val="24"/>
                <w:highlight w:val="none"/>
                <w14:textFill>
                  <w14:solidFill>
                    <w14:schemeClr w14:val="tx1"/>
                  </w14:solidFill>
                </w14:textFill>
              </w:rPr>
              <w:t>m</w:t>
            </w:r>
            <w:r>
              <w:rPr>
                <w:rFonts w:hint="default" w:ascii="Times New Roman" w:hAnsi="Times New Roman" w:cs="宋体"/>
                <w:color w:val="000000" w:themeColor="text1"/>
                <w:sz w:val="24"/>
                <w:szCs w:val="24"/>
                <w:highlight w:val="none"/>
                <w:vertAlign w:val="superscript"/>
                <w14:textFill>
                  <w14:solidFill>
                    <w14:schemeClr w14:val="tx1"/>
                  </w14:solidFill>
                </w14:textFill>
              </w:rPr>
              <w:t>2</w:t>
            </w:r>
            <w:r>
              <w:rPr>
                <w:rFonts w:hint="eastAsia" w:ascii="Times New Roman" w:hAnsi="Times New Roman" w:cs="宋体"/>
                <w:color w:val="000000" w:themeColor="text1"/>
                <w:sz w:val="24"/>
                <w:szCs w:val="24"/>
                <w:highlight w:val="none"/>
                <w14:textFill>
                  <w14:solidFill>
                    <w14:schemeClr w14:val="tx1"/>
                  </w14:solidFill>
                </w14:textFill>
              </w:rPr>
              <w:t>）</w:t>
            </w:r>
            <w:r>
              <w:rPr>
                <w:rFonts w:hint="default" w:ascii="Times New Roman" w:hAnsi="Times New Roman" w:cs="宋体"/>
                <w:color w:val="000000" w:themeColor="text1"/>
                <w:sz w:val="24"/>
                <w:szCs w:val="24"/>
                <w:highlight w:val="none"/>
                <w14:textFill>
                  <w14:solidFill>
                    <w14:schemeClr w14:val="tx1"/>
                  </w14:solidFill>
                </w14:textFill>
              </w:rPr>
              <w:t>/</w:t>
            </w:r>
            <w:r>
              <w:rPr>
                <w:rFonts w:hint="eastAsia" w:ascii="Times New Roman" w:hAnsi="Times New Roman" w:cs="宋体"/>
                <w:color w:val="000000" w:themeColor="text1"/>
                <w:sz w:val="24"/>
                <w:szCs w:val="24"/>
                <w:highlight w:val="none"/>
                <w14:textFill>
                  <w14:solidFill>
                    <w14:schemeClr w14:val="tx1"/>
                  </w14:solidFill>
                </w14:textFill>
              </w:rPr>
              <w:t>长度（</w:t>
            </w:r>
            <w:r>
              <w:rPr>
                <w:rFonts w:hint="default" w:ascii="Times New Roman" w:hAnsi="Times New Roman" w:cs="宋体"/>
                <w:color w:val="000000" w:themeColor="text1"/>
                <w:sz w:val="24"/>
                <w:szCs w:val="24"/>
                <w:highlight w:val="none"/>
                <w14:textFill>
                  <w14:solidFill>
                    <w14:schemeClr w14:val="tx1"/>
                  </w14:solidFill>
                </w14:textFill>
              </w:rPr>
              <w:t>km</w:t>
            </w:r>
            <w:r>
              <w:rPr>
                <w:rFonts w:hint="eastAsia" w:ascii="Times New Roman" w:hAnsi="Times New Roman" w:cs="宋体"/>
                <w:color w:val="000000" w:themeColor="text1"/>
                <w:sz w:val="24"/>
                <w:szCs w:val="24"/>
                <w:highlight w:val="none"/>
                <w:lang w:eastAsia="zh-CN"/>
                <w14:textFill>
                  <w14:solidFill>
                    <w14:schemeClr w14:val="tx1"/>
                  </w14:solidFill>
                </w14:textFill>
              </w:rPr>
              <w:t>）</w:t>
            </w:r>
          </w:p>
        </w:tc>
        <w:tc>
          <w:tcPr>
            <w:tcW w:w="1800" w:type="pct"/>
            <w:gridSpan w:val="5"/>
            <w:noWrap w:val="0"/>
            <w:vAlign w:val="center"/>
          </w:tcPr>
          <w:p w14:paraId="599A0E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left"/>
              <w:textAlignment w:val="auto"/>
              <w:rPr>
                <w:rFonts w:hint="eastAsia" w:cs="Times New Roman"/>
                <w:color w:val="000000" w:themeColor="text1"/>
                <w:sz w:val="24"/>
                <w:szCs w:val="24"/>
                <w:highlight w:val="none"/>
                <w:vertAlign w:val="superscript"/>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永久占</w:t>
            </w:r>
            <w:r>
              <w:rPr>
                <w:rFonts w:hint="default" w:ascii="Times New Roman" w:hAnsi="Times New Roman" w:cs="Times New Roman"/>
                <w:color w:val="000000" w:themeColor="text1"/>
                <w:sz w:val="24"/>
                <w:highlight w:val="none"/>
                <w14:textFill>
                  <w14:solidFill>
                    <w14:schemeClr w14:val="tx1"/>
                  </w14:solidFill>
                </w14:textFill>
              </w:rPr>
              <w:t>地：</w:t>
            </w:r>
            <w:r>
              <w:rPr>
                <w:rFonts w:hint="eastAsia" w:cs="Times New Roman"/>
                <w:color w:val="000000" w:themeColor="text1"/>
                <w:sz w:val="24"/>
                <w:highlight w:val="none"/>
                <w:lang w:val="en-US" w:eastAsia="zh-CN"/>
                <w14:textFill>
                  <w14:solidFill>
                    <w14:schemeClr w14:val="tx1"/>
                  </w14:solidFill>
                </w14:textFill>
              </w:rPr>
              <w:t>4426</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2</w:t>
            </w:r>
          </w:p>
          <w:p w14:paraId="1C738EC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vertAlign w:val="baseline"/>
                <w:lang w:val="en-US" w:eastAsia="zh-CN"/>
                <w14:textFill>
                  <w14:solidFill>
                    <w14:schemeClr w14:val="tx1"/>
                  </w14:solidFill>
                </w14:textFill>
              </w:rPr>
              <w:t>临时占地：12600</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m</w:t>
            </w:r>
            <w:r>
              <w:rPr>
                <w:rFonts w:hint="eastAsia" w:ascii="Times New Roman" w:hAnsi="Times New Roman" w:eastAsia="宋体" w:cs="Times New Roman"/>
                <w:bCs w:val="0"/>
                <w:color w:val="000000" w:themeColor="text1"/>
                <w:spacing w:val="0"/>
                <w:kern w:val="0"/>
                <w:sz w:val="24"/>
                <w:szCs w:val="28"/>
                <w:vertAlign w:val="superscript"/>
                <w:lang w:val="en-US" w:eastAsia="zh-CN" w:bidi="ar-SA"/>
                <w14:textFill>
                  <w14:solidFill>
                    <w14:schemeClr w14:val="tx1"/>
                  </w14:solidFill>
                </w14:textFill>
              </w:rPr>
              <w:t>2</w:t>
            </w:r>
          </w:p>
          <w:p w14:paraId="21A7EA8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lef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线路长度：2.98km</w:t>
            </w:r>
          </w:p>
        </w:tc>
      </w:tr>
      <w:tr w14:paraId="74202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98" w:type="pct"/>
            <w:gridSpan w:val="8"/>
            <w:noWrap w:val="0"/>
            <w:tcMar>
              <w:top w:w="16" w:type="dxa"/>
              <w:left w:w="16" w:type="dxa"/>
              <w:right w:w="16" w:type="dxa"/>
            </w:tcMar>
            <w:vAlign w:val="center"/>
          </w:tcPr>
          <w:p w14:paraId="3500B5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建设性质</w:t>
            </w:r>
          </w:p>
        </w:tc>
        <w:tc>
          <w:tcPr>
            <w:tcW w:w="1105" w:type="pct"/>
            <w:gridSpan w:val="2"/>
            <w:noWrap w:val="0"/>
            <w:vAlign w:val="center"/>
          </w:tcPr>
          <w:p w14:paraId="142D8064">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sym w:font="Wingdings 2" w:char="0052"/>
            </w:r>
            <w:r>
              <w:rPr>
                <w:rFonts w:hint="eastAsia" w:cs="宋体"/>
                <w:color w:val="000000" w:themeColor="text1"/>
                <w:sz w:val="24"/>
                <w:szCs w:val="24"/>
                <w14:textFill>
                  <w14:solidFill>
                    <w14:schemeClr w14:val="tx1"/>
                  </w14:solidFill>
                </w14:textFill>
              </w:rPr>
              <w:t>新建（迁建）</w:t>
            </w:r>
          </w:p>
          <w:p w14:paraId="765D4C79">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sym w:font="Wingdings 2" w:char="00A3"/>
            </w:r>
            <w:r>
              <w:rPr>
                <w:rFonts w:hint="eastAsia" w:cs="宋体"/>
                <w:color w:val="000000" w:themeColor="text1"/>
                <w:sz w:val="24"/>
                <w:szCs w:val="24"/>
                <w14:textFill>
                  <w14:solidFill>
                    <w14:schemeClr w14:val="tx1"/>
                  </w14:solidFill>
                </w14:textFill>
              </w:rPr>
              <w:t>改建</w:t>
            </w:r>
          </w:p>
          <w:p w14:paraId="53AD39B0">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sym w:font="Wingdings 2" w:char="00A3"/>
            </w:r>
            <w:r>
              <w:rPr>
                <w:rFonts w:hint="eastAsia" w:cs="宋体"/>
                <w:color w:val="000000" w:themeColor="text1"/>
                <w:sz w:val="24"/>
                <w:szCs w:val="24"/>
                <w14:textFill>
                  <w14:solidFill>
                    <w14:schemeClr w14:val="tx1"/>
                  </w14:solidFill>
                </w14:textFill>
              </w:rPr>
              <w:t>扩建</w:t>
            </w:r>
          </w:p>
          <w:p w14:paraId="578BA55C">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sym w:font="Wingdings 2" w:char="00A3"/>
            </w:r>
            <w:r>
              <w:rPr>
                <w:rFonts w:hint="eastAsia" w:cs="宋体"/>
                <w:color w:val="000000" w:themeColor="text1"/>
                <w:sz w:val="24"/>
                <w:szCs w:val="24"/>
                <w14:textFill>
                  <w14:solidFill>
                    <w14:schemeClr w14:val="tx1"/>
                  </w14:solidFill>
                </w14:textFill>
              </w:rPr>
              <w:t>技术改造</w:t>
            </w:r>
          </w:p>
        </w:tc>
        <w:tc>
          <w:tcPr>
            <w:tcW w:w="995" w:type="pct"/>
            <w:gridSpan w:val="3"/>
            <w:noWrap w:val="0"/>
            <w:vAlign w:val="center"/>
          </w:tcPr>
          <w:p w14:paraId="149BDA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建设项目</w:t>
            </w:r>
          </w:p>
          <w:p w14:paraId="3D98E0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申报情形</w:t>
            </w:r>
          </w:p>
        </w:tc>
        <w:tc>
          <w:tcPr>
            <w:tcW w:w="1800" w:type="pct"/>
            <w:gridSpan w:val="5"/>
            <w:noWrap w:val="0"/>
            <w:vAlign w:val="center"/>
          </w:tcPr>
          <w:p w14:paraId="70DE73DE">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sym w:font="Wingdings 2" w:char="0052"/>
            </w:r>
            <w:r>
              <w:rPr>
                <w:rFonts w:hint="eastAsia" w:cs="宋体"/>
                <w:color w:val="000000" w:themeColor="text1"/>
                <w:sz w:val="24"/>
                <w:szCs w:val="24"/>
                <w14:textFill>
                  <w14:solidFill>
                    <w14:schemeClr w14:val="tx1"/>
                  </w14:solidFill>
                </w14:textFill>
              </w:rPr>
              <w:t>首次申报项目</w:t>
            </w:r>
          </w:p>
          <w:p w14:paraId="04A7BB6B">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□不予批准后再次申报项目</w:t>
            </w:r>
          </w:p>
          <w:p w14:paraId="02A7D99D">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default"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□超五年重新审核项目</w:t>
            </w:r>
          </w:p>
          <w:p w14:paraId="55ADC6A3">
            <w:pPr>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firstLine="0" w:firstLineChars="0"/>
              <w:jc w:val="left"/>
              <w:textAlignment w:val="auto"/>
              <w:rPr>
                <w:rFonts w:hint="default" w:cs="宋体"/>
                <w:color w:val="000000" w:themeColor="text1"/>
                <w:sz w:val="24"/>
                <w:szCs w:val="24"/>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14:textFill>
                  <w14:solidFill>
                    <w14:schemeClr w14:val="tx1"/>
                  </w14:solidFill>
                </w14:textFill>
              </w:rPr>
              <w:t>重大变动重新报批项目</w:t>
            </w:r>
          </w:p>
        </w:tc>
      </w:tr>
      <w:tr w14:paraId="4AD45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8" w:type="pct"/>
            <w:gridSpan w:val="8"/>
            <w:noWrap w:val="0"/>
            <w:tcMar>
              <w:top w:w="16" w:type="dxa"/>
              <w:left w:w="16" w:type="dxa"/>
              <w:right w:w="16" w:type="dxa"/>
            </w:tcMar>
            <w:vAlign w:val="center"/>
          </w:tcPr>
          <w:p w14:paraId="6DA9E6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项目审批（核准/备案）部门</w:t>
            </w:r>
          </w:p>
          <w:p w14:paraId="344408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（选填）</w:t>
            </w:r>
          </w:p>
        </w:tc>
        <w:tc>
          <w:tcPr>
            <w:tcW w:w="1105" w:type="pct"/>
            <w:gridSpan w:val="2"/>
            <w:noWrap w:val="0"/>
            <w:vAlign w:val="center"/>
          </w:tcPr>
          <w:p w14:paraId="5B04C6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国网新疆电力公司</w:t>
            </w:r>
          </w:p>
        </w:tc>
        <w:tc>
          <w:tcPr>
            <w:tcW w:w="995" w:type="pct"/>
            <w:gridSpan w:val="3"/>
            <w:noWrap w:val="0"/>
            <w:vAlign w:val="center"/>
          </w:tcPr>
          <w:p w14:paraId="12F942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项目审批（核准</w:t>
            </w:r>
            <w:r>
              <w:rPr>
                <w:rFonts w:hint="default" w:cs="宋体"/>
                <w:bCs/>
                <w:color w:val="000000" w:themeColor="text1"/>
                <w:sz w:val="24"/>
                <w:szCs w:val="24"/>
                <w14:textFill>
                  <w14:solidFill>
                    <w14:schemeClr w14:val="tx1"/>
                  </w14:solidFill>
                </w14:textFill>
              </w:rPr>
              <w:t>/</w:t>
            </w:r>
            <w:r>
              <w:rPr>
                <w:rFonts w:hint="eastAsia" w:cs="宋体"/>
                <w:bCs/>
                <w:color w:val="000000" w:themeColor="text1"/>
                <w:sz w:val="24"/>
                <w:szCs w:val="24"/>
                <w14:textFill>
                  <w14:solidFill>
                    <w14:schemeClr w14:val="tx1"/>
                  </w14:solidFill>
                </w14:textFill>
              </w:rPr>
              <w:t>备案）文号</w:t>
            </w:r>
          </w:p>
          <w:p w14:paraId="23A0CA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（选填）</w:t>
            </w:r>
          </w:p>
        </w:tc>
        <w:tc>
          <w:tcPr>
            <w:tcW w:w="1800" w:type="pct"/>
            <w:gridSpan w:val="5"/>
            <w:noWrap w:val="0"/>
            <w:vAlign w:val="center"/>
          </w:tcPr>
          <w:p w14:paraId="02C1CC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eastAsia="宋体" w:cs="宋体"/>
                <w:color w:val="000000" w:themeColor="text1"/>
                <w:sz w:val="24"/>
                <w:szCs w:val="24"/>
                <w:lang w:val="en-US" w:eastAsia="zh-CN"/>
                <w14:textFill>
                  <w14:solidFill>
                    <w14:schemeClr w14:val="tx1"/>
                  </w14:solidFill>
                </w14:textFill>
              </w:rPr>
            </w:pPr>
            <w:r>
              <w:rPr>
                <w:rFonts w:hint="eastAsia" w:eastAsia="宋体" w:cs="宋体"/>
                <w:color w:val="000000" w:themeColor="text1"/>
                <w:sz w:val="24"/>
                <w:szCs w:val="24"/>
                <w:lang w:eastAsia="zh-CN"/>
                <w14:textFill>
                  <w14:solidFill>
                    <w14:schemeClr w14:val="tx1"/>
                  </w14:solidFill>
                </w14:textFill>
              </w:rPr>
              <w:t>新电发</w:t>
            </w:r>
            <w:r>
              <w:rPr>
                <w:rFonts w:hint="default" w:ascii="Times New Roman" w:hAnsi="Times New Roman"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2015</w:t>
            </w:r>
            <w:r>
              <w:rPr>
                <w:rFonts w:hint="default" w:ascii="Times New Roman" w:hAnsi="Times New Roman" w:eastAsia="宋体" w:cs="宋体"/>
                <w:color w:val="000000" w:themeColor="text1"/>
                <w:sz w:val="24"/>
                <w:szCs w:val="24"/>
                <w:lang w:eastAsia="zh-CN"/>
                <w14:textFill>
                  <w14:solidFill>
                    <w14:schemeClr w14:val="tx1"/>
                  </w14:solidFill>
                </w14:textFill>
              </w:rPr>
              <w:t>〕</w:t>
            </w:r>
            <w:r>
              <w:rPr>
                <w:rFonts w:hint="eastAsia" w:eastAsia="宋体" w:cs="宋体"/>
                <w:color w:val="000000" w:themeColor="text1"/>
                <w:sz w:val="24"/>
                <w:szCs w:val="24"/>
                <w:lang w:eastAsia="zh-CN"/>
                <w14:textFill>
                  <w14:solidFill>
                    <w14:schemeClr w14:val="tx1"/>
                  </w14:solidFill>
                </w14:textFill>
              </w:rPr>
              <w:t>570号</w:t>
            </w:r>
          </w:p>
        </w:tc>
      </w:tr>
      <w:tr w14:paraId="55B2C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1A0D81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总投资（万元）</w:t>
            </w:r>
          </w:p>
        </w:tc>
        <w:tc>
          <w:tcPr>
            <w:tcW w:w="1105" w:type="pct"/>
            <w:gridSpan w:val="2"/>
            <w:noWrap w:val="0"/>
            <w:vAlign w:val="center"/>
          </w:tcPr>
          <w:p w14:paraId="523101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517.96</w:t>
            </w:r>
          </w:p>
        </w:tc>
        <w:tc>
          <w:tcPr>
            <w:tcW w:w="995" w:type="pct"/>
            <w:gridSpan w:val="3"/>
            <w:noWrap w:val="0"/>
            <w:tcMar>
              <w:top w:w="16" w:type="dxa"/>
              <w:left w:w="16" w:type="dxa"/>
              <w:right w:w="16" w:type="dxa"/>
            </w:tcMar>
            <w:vAlign w:val="center"/>
          </w:tcPr>
          <w:p w14:paraId="147457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center"/>
              <w:textAlignment w:val="auto"/>
              <w:rPr>
                <w:rFonts w:hint="default" w:cs="Times New Roman"/>
                <w:bCs/>
                <w:color w:val="000000" w:themeColor="text1"/>
                <w:sz w:val="24"/>
                <w:szCs w:val="24"/>
                <w14:textFill>
                  <w14:solidFill>
                    <w14:schemeClr w14:val="tx1"/>
                  </w14:solidFill>
                </w14:textFill>
              </w:rPr>
            </w:pPr>
            <w:r>
              <w:rPr>
                <w:rFonts w:hint="default" w:cs="Times New Roman"/>
                <w:bCs/>
                <w:color w:val="000000" w:themeColor="text1"/>
                <w:sz w:val="24"/>
                <w:szCs w:val="24"/>
                <w14:textFill>
                  <w14:solidFill>
                    <w14:schemeClr w14:val="tx1"/>
                  </w14:solidFill>
                </w14:textFill>
              </w:rPr>
              <w:t>环保投资（万元）</w:t>
            </w:r>
          </w:p>
        </w:tc>
        <w:tc>
          <w:tcPr>
            <w:tcW w:w="1800" w:type="pct"/>
            <w:gridSpan w:val="5"/>
            <w:noWrap w:val="0"/>
            <w:vAlign w:val="center"/>
          </w:tcPr>
          <w:p w14:paraId="1A34BF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24.5</w:t>
            </w:r>
          </w:p>
        </w:tc>
      </w:tr>
      <w:tr w14:paraId="42175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4EB896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环保投资</w:t>
            </w:r>
          </w:p>
          <w:p w14:paraId="5CCCB6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占比（%）</w:t>
            </w:r>
          </w:p>
        </w:tc>
        <w:tc>
          <w:tcPr>
            <w:tcW w:w="1105" w:type="pct"/>
            <w:gridSpan w:val="2"/>
            <w:noWrap w:val="0"/>
            <w:vAlign w:val="center"/>
          </w:tcPr>
          <w:p w14:paraId="036040C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4.7</w:t>
            </w:r>
          </w:p>
        </w:tc>
        <w:tc>
          <w:tcPr>
            <w:tcW w:w="995" w:type="pct"/>
            <w:gridSpan w:val="3"/>
            <w:noWrap w:val="0"/>
            <w:tcMar>
              <w:top w:w="16" w:type="dxa"/>
              <w:left w:w="16" w:type="dxa"/>
              <w:right w:w="16" w:type="dxa"/>
            </w:tcMar>
            <w:vAlign w:val="center"/>
          </w:tcPr>
          <w:p w14:paraId="0112E10E">
            <w:pPr>
              <w:keepNext w:val="0"/>
              <w:keepLines w:val="0"/>
              <w:pageBreakBefore w:val="0"/>
              <w:widowControl w:val="0"/>
              <w:suppressLineNumbers w:val="0"/>
              <w:tabs>
                <w:tab w:val="center" w:pos="1318"/>
                <w:tab w:val="right" w:pos="1556"/>
              </w:tabs>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s="Times New Roman"/>
                <w:bCs/>
                <w:color w:val="000000" w:themeColor="text1"/>
                <w:sz w:val="24"/>
                <w:szCs w:val="24"/>
                <w:lang w:eastAsia="zh-CN"/>
                <w14:textFill>
                  <w14:solidFill>
                    <w14:schemeClr w14:val="tx1"/>
                  </w14:solidFill>
                </w14:textFill>
              </w:rPr>
            </w:pPr>
            <w:r>
              <w:rPr>
                <w:rFonts w:hint="default" w:cs="Times New Roman"/>
                <w:bCs/>
                <w:color w:val="000000" w:themeColor="text1"/>
                <w:sz w:val="24"/>
                <w:szCs w:val="24"/>
                <w14:textFill>
                  <w14:solidFill>
                    <w14:schemeClr w14:val="tx1"/>
                  </w14:solidFill>
                </w14:textFill>
              </w:rPr>
              <w:t>施工工期</w:t>
            </w:r>
          </w:p>
        </w:tc>
        <w:tc>
          <w:tcPr>
            <w:tcW w:w="1800" w:type="pct"/>
            <w:gridSpan w:val="5"/>
            <w:noWrap w:val="0"/>
            <w:vAlign w:val="center"/>
          </w:tcPr>
          <w:p w14:paraId="6D28C5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4个月</w:t>
            </w:r>
          </w:p>
        </w:tc>
      </w:tr>
      <w:tr w14:paraId="19B66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8" w:type="pct"/>
            <w:gridSpan w:val="8"/>
            <w:noWrap w:val="0"/>
            <w:tcMar>
              <w:top w:w="16" w:type="dxa"/>
              <w:left w:w="16" w:type="dxa"/>
              <w:right w:w="16" w:type="dxa"/>
            </w:tcMar>
            <w:vAlign w:val="center"/>
          </w:tcPr>
          <w:p w14:paraId="18BC574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ascii="宋体" w:hAnsi="宋体" w:cs="宋体"/>
                <w:bCs/>
                <w:color w:val="000000"/>
                <w:sz w:val="24"/>
                <w:szCs w:val="24"/>
              </w:rPr>
            </w:pPr>
            <w:r>
              <w:rPr>
                <w:rFonts w:hint="eastAsia" w:ascii="宋体" w:hAnsi="宋体" w:cs="宋体"/>
                <w:bCs/>
                <w:color w:val="000000"/>
                <w:sz w:val="24"/>
                <w:szCs w:val="24"/>
              </w:rPr>
              <w:t>是否开工建设</w:t>
            </w:r>
          </w:p>
        </w:tc>
        <w:tc>
          <w:tcPr>
            <w:tcW w:w="3901" w:type="pct"/>
            <w:gridSpan w:val="10"/>
            <w:noWrap w:val="0"/>
            <w:vAlign w:val="center"/>
          </w:tcPr>
          <w:p w14:paraId="054F5EC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firstLine="0" w:firstLineChars="0"/>
              <w:jc w:val="left"/>
              <w:textAlignment w:val="auto"/>
              <w:rPr>
                <w:rFonts w:hint="default" w:cs="Times New Roman"/>
                <w:color w:val="000000" w:themeColor="text1"/>
                <w:sz w:val="24"/>
                <w:szCs w:val="24"/>
                <w14:textFill>
                  <w14:solidFill>
                    <w14:schemeClr w14:val="tx1"/>
                  </w14:solidFill>
                </w14:textFill>
              </w:rPr>
            </w:pPr>
            <w:r>
              <w:rPr>
                <w:rFonts w:hint="default" w:cs="Times New Roman"/>
                <w:color w:val="000000" w:themeColor="text1"/>
                <w:sz w:val="24"/>
                <w:szCs w:val="24"/>
                <w14:textFill>
                  <w14:solidFill>
                    <w14:schemeClr w14:val="tx1"/>
                  </w14:solidFill>
                </w14:textFill>
              </w:rPr>
              <w:sym w:font="Wingdings 2" w:char="00A3"/>
            </w:r>
            <w:r>
              <w:rPr>
                <w:rFonts w:hint="default" w:cs="Times New Roman"/>
                <w:color w:val="000000" w:themeColor="text1"/>
                <w:sz w:val="24"/>
                <w:szCs w:val="24"/>
                <w14:textFill>
                  <w14:solidFill>
                    <w14:schemeClr w14:val="tx1"/>
                  </w14:solidFill>
                </w14:textFill>
              </w:rPr>
              <w:t>否</w:t>
            </w:r>
          </w:p>
          <w:p w14:paraId="09A74B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left"/>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14:textFill>
                  <w14:solidFill>
                    <w14:schemeClr w14:val="tx1"/>
                  </w14:solidFill>
                </w14:textFill>
              </w:rPr>
              <w:sym w:font="Wingdings 2" w:char="0052"/>
            </w:r>
            <w:r>
              <w:rPr>
                <w:rFonts w:hint="default" w:cs="Times New Roman"/>
                <w:color w:val="000000" w:themeColor="text1"/>
                <w:sz w:val="24"/>
                <w:szCs w:val="24"/>
                <w14:textFill>
                  <w14:solidFill>
                    <w14:schemeClr w14:val="tx1"/>
                  </w14:solidFill>
                </w14:textFill>
              </w:rPr>
              <w:t>是</w:t>
            </w:r>
          </w:p>
        </w:tc>
      </w:tr>
      <w:tr w14:paraId="55EBC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restart"/>
            <w:noWrap w:val="0"/>
            <w:vAlign w:val="center"/>
          </w:tcPr>
          <w:p w14:paraId="12F33E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ascii="宋体" w:hAnsi="宋体" w:cs="宋体"/>
                <w:bCs/>
                <w:color w:val="000000"/>
                <w:kern w:val="0"/>
                <w:sz w:val="24"/>
                <w:szCs w:val="24"/>
              </w:rPr>
            </w:pPr>
            <w:r>
              <w:rPr>
                <w:rFonts w:hint="eastAsia" w:ascii="宋体" w:hAnsi="宋体" w:cs="宋体"/>
                <w:bCs/>
                <w:color w:val="000000"/>
                <w:kern w:val="0"/>
                <w:sz w:val="24"/>
                <w:szCs w:val="24"/>
              </w:rPr>
              <w:t>专项评价</w:t>
            </w:r>
          </w:p>
          <w:p w14:paraId="6ADAD7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ascii="宋体" w:hAnsi="宋体" w:cs="宋体"/>
                <w:bCs/>
                <w:color w:val="000000"/>
                <w:kern w:val="0"/>
                <w:sz w:val="24"/>
                <w:szCs w:val="24"/>
              </w:rPr>
            </w:pPr>
            <w:r>
              <w:rPr>
                <w:rFonts w:hint="eastAsia" w:ascii="宋体" w:hAnsi="宋体" w:cs="宋体"/>
                <w:bCs/>
                <w:color w:val="000000"/>
                <w:kern w:val="0"/>
                <w:sz w:val="24"/>
                <w:szCs w:val="24"/>
              </w:rPr>
              <w:t>设置情况</w:t>
            </w:r>
          </w:p>
        </w:tc>
        <w:tc>
          <w:tcPr>
            <w:tcW w:w="3901" w:type="pct"/>
            <w:gridSpan w:val="10"/>
            <w:noWrap w:val="0"/>
            <w:vAlign w:val="center"/>
          </w:tcPr>
          <w:p w14:paraId="233805F8">
            <w:pPr>
              <w:keepNext w:val="0"/>
              <w:keepLines w:val="0"/>
              <w:pageBreakBefore w:val="0"/>
              <w:widowControl w:val="0"/>
              <w:suppressLineNumbers w:val="0"/>
              <w:kinsoku/>
              <w:wordWrap/>
              <w:overflowPunct/>
              <w:topLinePunct w:val="0"/>
              <w:autoSpaceDE w:val="0"/>
              <w:autoSpaceDN w:val="0"/>
              <w:bidi w:val="0"/>
              <w:adjustRightInd w:val="0"/>
              <w:snapToGrid w:val="0"/>
              <w:spacing w:before="60" w:beforeAutospacing="0" w:after="0" w:afterAutospacing="0" w:line="360" w:lineRule="auto"/>
              <w:ind w:left="0" w:right="0" w:firstLine="0" w:firstLineChars="0"/>
              <w:jc w:val="center"/>
              <w:textAlignment w:val="auto"/>
              <w:rPr>
                <w:rFonts w:hint="default" w:eastAsia="宋体" w:cs="宋体"/>
                <w:color w:val="000000" w:themeColor="text1"/>
                <w:kern w:val="0"/>
                <w:sz w:val="24"/>
                <w:szCs w:val="24"/>
                <w:lang w:val="en-US" w:eastAsia="zh-CN"/>
                <w14:textFill>
                  <w14:solidFill>
                    <w14:schemeClr w14:val="tx1"/>
                  </w14:solidFill>
                </w14:textFill>
              </w:rPr>
            </w:pPr>
            <w:r>
              <w:rPr>
                <w:rFonts w:hint="eastAsia" w:eastAsia="黑体" w:cs="Times New Roman"/>
                <w:b/>
                <w:bCs/>
                <w:color w:val="000000" w:themeColor="text1"/>
                <w:sz w:val="24"/>
                <w14:textFill>
                  <w14:solidFill>
                    <w14:schemeClr w14:val="tx1"/>
                  </w14:solidFill>
                </w14:textFill>
              </w:rPr>
              <w:t>表</w:t>
            </w:r>
            <w:r>
              <w:rPr>
                <w:rFonts w:hint="eastAsia" w:eastAsia="黑体" w:cs="Times New Roman"/>
                <w:b/>
                <w:bCs/>
                <w:color w:val="000000" w:themeColor="text1"/>
                <w:sz w:val="24"/>
                <w:lang w:val="en-US" w:eastAsia="zh-CN"/>
                <w14:textFill>
                  <w14:solidFill>
                    <w14:schemeClr w14:val="tx1"/>
                  </w14:solidFill>
                </w14:textFill>
              </w:rPr>
              <w:t xml:space="preserve">1-1 </w:t>
            </w: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专项设置</w:t>
            </w:r>
          </w:p>
        </w:tc>
      </w:tr>
      <w:tr w14:paraId="22DC7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gridSpan w:val="8"/>
            <w:vMerge w:val="continue"/>
            <w:noWrap w:val="0"/>
            <w:vAlign w:val="center"/>
          </w:tcPr>
          <w:p w14:paraId="020A79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rPr>
            </w:pPr>
          </w:p>
        </w:tc>
        <w:tc>
          <w:tcPr>
            <w:tcW w:w="595" w:type="pct"/>
            <w:noWrap w:val="0"/>
            <w:vAlign w:val="center"/>
          </w:tcPr>
          <w:p w14:paraId="741263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专项评价的类别</w:t>
            </w:r>
          </w:p>
        </w:tc>
        <w:tc>
          <w:tcPr>
            <w:tcW w:w="2875" w:type="pct"/>
            <w:gridSpan w:val="8"/>
            <w:noWrap w:val="0"/>
            <w:vAlign w:val="center"/>
          </w:tcPr>
          <w:p w14:paraId="1E2D20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涉及项目类别</w:t>
            </w:r>
          </w:p>
        </w:tc>
        <w:tc>
          <w:tcPr>
            <w:tcW w:w="430" w:type="pct"/>
            <w:noWrap w:val="0"/>
            <w:vAlign w:val="center"/>
          </w:tcPr>
          <w:p w14:paraId="24E335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s="宋体"/>
                <w:color w:val="000000" w:themeColor="text1"/>
                <w:kern w:val="0"/>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专项设置</w:t>
            </w:r>
          </w:p>
        </w:tc>
      </w:tr>
      <w:tr w14:paraId="55D4B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44302B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595" w:type="pct"/>
            <w:noWrap w:val="0"/>
            <w:vAlign w:val="center"/>
          </w:tcPr>
          <w:p w14:paraId="353095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s="宋体"/>
                <w:color w:val="000000" w:themeColor="text1"/>
                <w:kern w:val="0"/>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地表水</w:t>
            </w:r>
          </w:p>
        </w:tc>
        <w:tc>
          <w:tcPr>
            <w:tcW w:w="2875" w:type="pct"/>
            <w:gridSpan w:val="8"/>
            <w:noWrap w:val="0"/>
            <w:vAlign w:val="center"/>
          </w:tcPr>
          <w:p w14:paraId="197C1F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水力发电：引水式发电、涉及调峰发电的项目；人工湖、人工湿地：全部；水库：全部；引水工程：全部（配套的管线工程等除外）；防洪除涝工程：包含水库的项目；</w:t>
            </w:r>
          </w:p>
          <w:p w14:paraId="6CCB81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eastAsia="宋体" w:cs="宋体"/>
                <w:color w:val="000000" w:themeColor="text1"/>
                <w:kern w:val="0"/>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河湖整治：涉及清淤且底泥存在重金属污染的项目</w:t>
            </w:r>
          </w:p>
        </w:tc>
        <w:tc>
          <w:tcPr>
            <w:tcW w:w="430" w:type="pct"/>
            <w:noWrap w:val="0"/>
            <w:vAlign w:val="center"/>
          </w:tcPr>
          <w:p w14:paraId="13533F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s="宋体"/>
                <w:color w:val="000000" w:themeColor="text1"/>
                <w:kern w:val="0"/>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否</w:t>
            </w:r>
          </w:p>
        </w:tc>
      </w:tr>
      <w:tr w14:paraId="6E717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5D38E3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595" w:type="pct"/>
            <w:noWrap w:val="0"/>
            <w:vAlign w:val="center"/>
          </w:tcPr>
          <w:p w14:paraId="59FA58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s="宋体"/>
                <w:color w:val="000000"/>
                <w:kern w:val="0"/>
                <w:sz w:val="21"/>
                <w:szCs w:val="21"/>
                <w:lang w:val="en-US" w:eastAsia="zh-CN"/>
              </w:rPr>
            </w:pPr>
            <w:r>
              <w:rPr>
                <w:rFonts w:hint="default"/>
                <w:color w:val="auto"/>
                <w:sz w:val="21"/>
                <w:szCs w:val="21"/>
              </w:rPr>
              <w:t>地</w:t>
            </w:r>
            <w:r>
              <w:rPr>
                <w:rFonts w:hint="eastAsia"/>
                <w:color w:val="auto"/>
                <w:sz w:val="21"/>
                <w:szCs w:val="21"/>
                <w:lang w:val="en-US" w:eastAsia="zh-CN"/>
              </w:rPr>
              <w:t>下</w:t>
            </w:r>
            <w:r>
              <w:rPr>
                <w:rFonts w:hint="default"/>
                <w:color w:val="auto"/>
                <w:sz w:val="21"/>
                <w:szCs w:val="21"/>
              </w:rPr>
              <w:t>水</w:t>
            </w:r>
          </w:p>
        </w:tc>
        <w:tc>
          <w:tcPr>
            <w:tcW w:w="2875" w:type="pct"/>
            <w:gridSpan w:val="8"/>
            <w:noWrap w:val="0"/>
            <w:vAlign w:val="center"/>
          </w:tcPr>
          <w:p w14:paraId="3BFC60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eastAsia="宋体" w:cs="宋体"/>
                <w:color w:val="000000"/>
                <w:kern w:val="0"/>
                <w:sz w:val="21"/>
                <w:szCs w:val="21"/>
                <w:lang w:val="en-US" w:eastAsia="zh-CN"/>
              </w:rPr>
            </w:pPr>
            <w:r>
              <w:rPr>
                <w:rFonts w:hint="default"/>
                <w:color w:val="auto"/>
                <w:sz w:val="21"/>
                <w:szCs w:val="21"/>
              </w:rPr>
              <w:t>陆地石油和天然气开采：全部；地下水（含矿泉水）开采：全部；水利、水电、交通等：含穿越可溶岩地层隧道的项目</w:t>
            </w:r>
          </w:p>
        </w:tc>
        <w:tc>
          <w:tcPr>
            <w:tcW w:w="430" w:type="pct"/>
            <w:noWrap w:val="0"/>
            <w:vAlign w:val="center"/>
          </w:tcPr>
          <w:p w14:paraId="6DA326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eastAsia="宋体" w:cs="宋体"/>
                <w:color w:val="000000"/>
                <w:kern w:val="0"/>
                <w:sz w:val="21"/>
                <w:szCs w:val="21"/>
                <w:lang w:val="en-US" w:eastAsia="zh-CN"/>
              </w:rPr>
            </w:pPr>
            <w:r>
              <w:rPr>
                <w:rFonts w:hint="default"/>
                <w:color w:val="auto"/>
                <w:sz w:val="21"/>
                <w:szCs w:val="21"/>
              </w:rPr>
              <w:t>否</w:t>
            </w:r>
          </w:p>
        </w:tc>
      </w:tr>
      <w:tr w14:paraId="01D4B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1E3923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595" w:type="pct"/>
            <w:noWrap w:val="0"/>
            <w:vAlign w:val="center"/>
          </w:tcPr>
          <w:p w14:paraId="792383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生态</w:t>
            </w:r>
          </w:p>
        </w:tc>
        <w:tc>
          <w:tcPr>
            <w:tcW w:w="2875" w:type="pct"/>
            <w:gridSpan w:val="8"/>
            <w:noWrap w:val="0"/>
            <w:vAlign w:val="center"/>
          </w:tcPr>
          <w:p w14:paraId="1FACA3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color w:val="auto"/>
                <w:sz w:val="21"/>
                <w:szCs w:val="21"/>
              </w:rPr>
            </w:pPr>
            <w:r>
              <w:rPr>
                <w:rFonts w:hint="default"/>
                <w:color w:val="auto"/>
                <w:sz w:val="21"/>
                <w:szCs w:val="21"/>
              </w:rPr>
              <w:t>涉及环境敏感区（不包括饮用水水源保护区，以居住、医疗卫生、文化教育、科研、行政办公为主要功能的区域，以及文物保护单位）的项目</w:t>
            </w:r>
          </w:p>
        </w:tc>
        <w:tc>
          <w:tcPr>
            <w:tcW w:w="430" w:type="pct"/>
            <w:noWrap w:val="0"/>
            <w:vAlign w:val="center"/>
          </w:tcPr>
          <w:p w14:paraId="5C0170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eastAsia"/>
                <w:color w:val="auto"/>
                <w:sz w:val="21"/>
                <w:szCs w:val="21"/>
                <w:lang w:val="en-US" w:eastAsia="zh-CN"/>
              </w:rPr>
              <w:t>否</w:t>
            </w:r>
          </w:p>
        </w:tc>
      </w:tr>
      <w:tr w14:paraId="0B58A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6DCE63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595" w:type="pct"/>
            <w:noWrap w:val="0"/>
            <w:vAlign w:val="center"/>
          </w:tcPr>
          <w:p w14:paraId="1B277B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大气</w:t>
            </w:r>
          </w:p>
        </w:tc>
        <w:tc>
          <w:tcPr>
            <w:tcW w:w="2875" w:type="pct"/>
            <w:gridSpan w:val="8"/>
            <w:noWrap w:val="0"/>
            <w:vAlign w:val="center"/>
          </w:tcPr>
          <w:p w14:paraId="0D90FE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color w:val="auto"/>
                <w:sz w:val="21"/>
                <w:szCs w:val="21"/>
              </w:rPr>
            </w:pPr>
            <w:r>
              <w:rPr>
                <w:rFonts w:hint="default"/>
                <w:color w:val="auto"/>
                <w:sz w:val="21"/>
                <w:szCs w:val="21"/>
              </w:rPr>
              <w:t>油气、液体化工码头：全部；干散货（含煤炭、矿石）、件杂、多用途、通用码头：涉及粉尘、挥发性有机物排放的项目</w:t>
            </w:r>
          </w:p>
        </w:tc>
        <w:tc>
          <w:tcPr>
            <w:tcW w:w="430" w:type="pct"/>
            <w:noWrap w:val="0"/>
            <w:vAlign w:val="center"/>
          </w:tcPr>
          <w:p w14:paraId="3E0641F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否</w:t>
            </w:r>
          </w:p>
        </w:tc>
      </w:tr>
      <w:tr w14:paraId="70193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22545D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595" w:type="pct"/>
            <w:noWrap w:val="0"/>
            <w:vAlign w:val="center"/>
          </w:tcPr>
          <w:p w14:paraId="5BD0E4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噪声</w:t>
            </w:r>
          </w:p>
        </w:tc>
        <w:tc>
          <w:tcPr>
            <w:tcW w:w="2875" w:type="pct"/>
            <w:gridSpan w:val="8"/>
            <w:noWrap w:val="0"/>
            <w:vAlign w:val="center"/>
          </w:tcPr>
          <w:p w14:paraId="634AFA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color w:val="auto"/>
                <w:sz w:val="21"/>
                <w:szCs w:val="21"/>
              </w:rPr>
            </w:pPr>
            <w:r>
              <w:rPr>
                <w:rFonts w:hint="default"/>
                <w:color w:val="auto"/>
                <w:sz w:val="21"/>
                <w:szCs w:val="21"/>
              </w:rPr>
              <w:t>公路、铁路、机场等交通运输业涉及环境敏感区（以居住、医疗卫生、文化教育、科研、行政办公为主要功能的区域）的项目；城市道路（不含维护，不含支路、人行天桥、人行地道）：全部</w:t>
            </w:r>
          </w:p>
        </w:tc>
        <w:tc>
          <w:tcPr>
            <w:tcW w:w="430" w:type="pct"/>
            <w:noWrap w:val="0"/>
            <w:vAlign w:val="center"/>
          </w:tcPr>
          <w:p w14:paraId="343310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否</w:t>
            </w:r>
          </w:p>
        </w:tc>
      </w:tr>
      <w:tr w14:paraId="66227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4E7F31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595" w:type="pct"/>
            <w:noWrap w:val="0"/>
            <w:vAlign w:val="center"/>
          </w:tcPr>
          <w:p w14:paraId="2E2041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环境风险</w:t>
            </w:r>
          </w:p>
        </w:tc>
        <w:tc>
          <w:tcPr>
            <w:tcW w:w="2875" w:type="pct"/>
            <w:gridSpan w:val="8"/>
            <w:noWrap w:val="0"/>
            <w:vAlign w:val="center"/>
          </w:tcPr>
          <w:p w14:paraId="557F449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color w:val="auto"/>
                <w:sz w:val="21"/>
                <w:szCs w:val="21"/>
              </w:rPr>
            </w:pPr>
            <w:r>
              <w:rPr>
                <w:rFonts w:hint="default"/>
                <w:color w:val="auto"/>
                <w:sz w:val="21"/>
                <w:szCs w:val="21"/>
              </w:rPr>
              <w:t>石油和天然气开采：全部；油气、液体化工码头：全部；</w:t>
            </w:r>
          </w:p>
          <w:p w14:paraId="483DCC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both"/>
              <w:textAlignment w:val="auto"/>
              <w:rPr>
                <w:rFonts w:hint="default"/>
                <w:color w:val="auto"/>
                <w:sz w:val="21"/>
                <w:szCs w:val="21"/>
              </w:rPr>
            </w:pPr>
            <w:r>
              <w:rPr>
                <w:rFonts w:hint="default"/>
                <w:color w:val="auto"/>
                <w:sz w:val="21"/>
                <w:szCs w:val="21"/>
              </w:rPr>
              <w:t>原油、成品油、天然气管线（不含城镇天然气管线、企业厂区内管线），危险化学品输送管线（不含企业厂区内管线）：全部</w:t>
            </w:r>
          </w:p>
        </w:tc>
        <w:tc>
          <w:tcPr>
            <w:tcW w:w="430" w:type="pct"/>
            <w:noWrap w:val="0"/>
            <w:vAlign w:val="center"/>
          </w:tcPr>
          <w:p w14:paraId="1BB6E1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olor w:val="auto"/>
                <w:sz w:val="21"/>
                <w:szCs w:val="21"/>
              </w:rPr>
            </w:pPr>
            <w:r>
              <w:rPr>
                <w:rFonts w:hint="default"/>
                <w:color w:val="auto"/>
                <w:sz w:val="21"/>
                <w:szCs w:val="21"/>
              </w:rPr>
              <w:t>否</w:t>
            </w:r>
          </w:p>
        </w:tc>
      </w:tr>
      <w:tr w14:paraId="529D2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98" w:type="pct"/>
            <w:gridSpan w:val="8"/>
            <w:vMerge w:val="continue"/>
            <w:noWrap w:val="0"/>
            <w:vAlign w:val="center"/>
          </w:tcPr>
          <w:p w14:paraId="561CDF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both"/>
              <w:textAlignment w:val="auto"/>
              <w:rPr>
                <w:rFonts w:hint="default" w:eastAsia="宋体" w:cs="宋体"/>
                <w:color w:val="000000"/>
                <w:kern w:val="0"/>
                <w:sz w:val="24"/>
                <w:szCs w:val="24"/>
                <w:lang w:val="en-US" w:eastAsia="zh-CN"/>
              </w:rPr>
            </w:pPr>
          </w:p>
        </w:tc>
        <w:tc>
          <w:tcPr>
            <w:tcW w:w="3901" w:type="pct"/>
            <w:gridSpan w:val="10"/>
            <w:noWrap w:val="0"/>
            <w:vAlign w:val="center"/>
          </w:tcPr>
          <w:p w14:paraId="3BFFAB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auto"/>
              <w:rPr>
                <w:rFonts w:hint="default"/>
                <w:sz w:val="21"/>
                <w:szCs w:val="21"/>
              </w:rPr>
            </w:pPr>
          </w:p>
          <w:p w14:paraId="52BCB0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firstLine="480" w:firstLineChars="200"/>
              <w:jc w:val="both"/>
              <w:textAlignment w:val="auto"/>
              <w:rPr>
                <w:rFonts w:hint="default"/>
                <w:spacing w:val="8"/>
                <w:lang w:val="en-US" w:eastAsia="zh-CN"/>
              </w:rPr>
            </w:pPr>
            <w:r>
              <w:rPr>
                <w:rFonts w:hint="eastAsia" w:ascii="宋体" w:hAnsi="宋体" w:cs="宋体"/>
                <w:color w:val="000000"/>
                <w:kern w:val="0"/>
                <w:sz w:val="24"/>
                <w:szCs w:val="24"/>
                <w:highlight w:val="none"/>
                <w:lang w:val="en-US" w:eastAsia="zh-CN"/>
              </w:rPr>
              <w:t>根据</w:t>
            </w:r>
            <w:r>
              <w:rPr>
                <w:rFonts w:hint="default" w:ascii="宋体" w:hAnsi="宋体"/>
                <w:color w:val="000000"/>
                <w:sz w:val="24"/>
                <w:szCs w:val="24"/>
                <w:highlight w:val="none"/>
              </w:rPr>
              <w:t>《环境影响评价技术导则</w:t>
            </w:r>
            <w:r>
              <w:rPr>
                <w:rFonts w:hint="eastAsia" w:ascii="宋体" w:hAnsi="宋体"/>
                <w:color w:val="000000"/>
                <w:sz w:val="24"/>
                <w:szCs w:val="24"/>
                <w:highlight w:val="none"/>
                <w:lang w:val="en-US" w:eastAsia="zh-CN"/>
              </w:rPr>
              <w:t xml:space="preserve"> </w:t>
            </w:r>
            <w:r>
              <w:rPr>
                <w:rFonts w:hint="default" w:ascii="宋体" w:hAnsi="宋体"/>
                <w:color w:val="000000"/>
                <w:sz w:val="24"/>
                <w:szCs w:val="24"/>
                <w:highlight w:val="none"/>
              </w:rPr>
              <w:t>输变</w:t>
            </w:r>
            <w:r>
              <w:rPr>
                <w:rFonts w:hint="eastAsia" w:ascii="宋体" w:hAnsi="宋体" w:eastAsia="宋体" w:cs="宋体"/>
                <w:color w:val="000000"/>
                <w:sz w:val="24"/>
                <w:szCs w:val="24"/>
                <w:highlight w:val="none"/>
              </w:rPr>
              <w:t>电》</w:t>
            </w:r>
            <w:r>
              <w:rPr>
                <w:rFonts w:hint="eastAsia" w:ascii="Times New Roman" w:hAnsi="Times New Roman" w:eastAsia="宋体" w:cs="宋体"/>
                <w:color w:val="000000"/>
                <w:sz w:val="24"/>
                <w:szCs w:val="24"/>
                <w:highlight w:val="none"/>
              </w:rPr>
              <w:t>（HJ</w:t>
            </w:r>
            <w:r>
              <w:rPr>
                <w:rFonts w:hint="eastAsia" w:cs="宋体"/>
                <w:color w:val="000000"/>
                <w:sz w:val="24"/>
                <w:szCs w:val="24"/>
                <w:highlight w:val="none"/>
                <w:lang w:val="en-US" w:eastAsia="zh-CN"/>
              </w:rPr>
              <w:t xml:space="preserve"> </w:t>
            </w:r>
            <w:r>
              <w:rPr>
                <w:rFonts w:hint="eastAsia" w:ascii="Times New Roman" w:hAnsi="Times New Roman" w:eastAsia="宋体" w:cs="宋体"/>
                <w:color w:val="000000"/>
                <w:sz w:val="24"/>
                <w:szCs w:val="24"/>
                <w:highlight w:val="none"/>
              </w:rPr>
              <w:t>24-2020）</w:t>
            </w:r>
            <w:r>
              <w:rPr>
                <w:rFonts w:hint="eastAsia" w:ascii="Times New Roman" w:hAnsi="Times New Roman" w:eastAsia="宋体" w:cs="宋体"/>
                <w:color w:val="000000"/>
                <w:sz w:val="24"/>
                <w:szCs w:val="24"/>
                <w:highlight w:val="none"/>
                <w:lang w:val="en-US" w:eastAsia="zh-CN"/>
              </w:rPr>
              <w:t>附录B</w:t>
            </w:r>
            <w:r>
              <w:rPr>
                <w:rFonts w:hint="eastAsia" w:ascii="宋体" w:hAnsi="宋体" w:eastAsia="宋体" w:cs="宋体"/>
                <w:color w:val="000000"/>
                <w:sz w:val="24"/>
                <w:szCs w:val="24"/>
                <w:highlight w:val="none"/>
                <w:lang w:val="en-US" w:eastAsia="zh-CN"/>
              </w:rPr>
              <w:t>要求：输变电建设项目环境影响报告表应设电磁环境影响专题评价。本工程属于编制环境影响报告表的输变电工程，因此设置电磁环境影响专题评价。</w:t>
            </w:r>
          </w:p>
        </w:tc>
      </w:tr>
      <w:tr w14:paraId="1FDC0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098" w:type="pct"/>
            <w:gridSpan w:val="8"/>
            <w:noWrap w:val="0"/>
            <w:vAlign w:val="center"/>
          </w:tcPr>
          <w:p w14:paraId="7C0207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eastAsia" w:cs="宋体"/>
                <w:bCs/>
                <w:color w:val="000000"/>
                <w:kern w:val="0"/>
                <w:sz w:val="24"/>
                <w:szCs w:val="24"/>
              </w:rPr>
            </w:pPr>
            <w:r>
              <w:rPr>
                <w:rFonts w:hint="eastAsia" w:cs="宋体"/>
                <w:bCs/>
                <w:color w:val="000000"/>
                <w:sz w:val="24"/>
                <w:szCs w:val="24"/>
              </w:rPr>
              <w:t>规划情况</w:t>
            </w:r>
          </w:p>
        </w:tc>
        <w:tc>
          <w:tcPr>
            <w:tcW w:w="3901" w:type="pct"/>
            <w:gridSpan w:val="10"/>
            <w:noWrap w:val="0"/>
            <w:vAlign w:val="center"/>
          </w:tcPr>
          <w:p w14:paraId="73B5A9C2">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firstLine="0" w:firstLineChars="0"/>
              <w:jc w:val="center"/>
              <w:textAlignment w:val="auto"/>
              <w:rPr>
                <w:rFonts w:hint="eastAsia" w:eastAsia="宋体" w:cs="Times New Roman"/>
                <w:sz w:val="24"/>
                <w:lang w:val="en-US" w:eastAsia="zh-CN"/>
              </w:rPr>
            </w:pPr>
            <w:r>
              <w:rPr>
                <w:rFonts w:hint="eastAsia"/>
                <w:lang w:val="en-US" w:eastAsia="zh-CN"/>
              </w:rPr>
              <w:t>无</w:t>
            </w:r>
          </w:p>
        </w:tc>
      </w:tr>
      <w:tr w14:paraId="7EAF7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gridSpan w:val="8"/>
            <w:noWrap w:val="0"/>
            <w:vAlign w:val="center"/>
          </w:tcPr>
          <w:p w14:paraId="309BAA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default" w:cs="宋体"/>
                <w:bCs/>
                <w:color w:val="000000"/>
                <w:sz w:val="24"/>
                <w:szCs w:val="24"/>
              </w:rPr>
            </w:pPr>
            <w:r>
              <w:rPr>
                <w:rFonts w:hint="eastAsia" w:cs="宋体"/>
                <w:bCs/>
                <w:color w:val="000000"/>
                <w:sz w:val="24"/>
                <w:szCs w:val="24"/>
              </w:rPr>
              <w:t>规划环境影响</w:t>
            </w:r>
          </w:p>
          <w:p w14:paraId="752443D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0" w:firstLineChars="0"/>
              <w:jc w:val="center"/>
              <w:textAlignment w:val="auto"/>
              <w:rPr>
                <w:rFonts w:hint="eastAsia" w:cs="宋体"/>
                <w:bCs/>
                <w:color w:val="000000"/>
                <w:kern w:val="0"/>
                <w:sz w:val="24"/>
                <w:szCs w:val="24"/>
              </w:rPr>
            </w:pPr>
            <w:r>
              <w:rPr>
                <w:rFonts w:hint="eastAsia" w:cs="宋体"/>
                <w:bCs/>
                <w:color w:val="000000"/>
                <w:sz w:val="24"/>
                <w:szCs w:val="24"/>
              </w:rPr>
              <w:t>评价情况</w:t>
            </w:r>
          </w:p>
        </w:tc>
        <w:tc>
          <w:tcPr>
            <w:tcW w:w="3901" w:type="pct"/>
            <w:gridSpan w:val="10"/>
            <w:noWrap w:val="0"/>
            <w:vAlign w:val="center"/>
          </w:tcPr>
          <w:p w14:paraId="209245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4"/>
                <w:szCs w:val="24"/>
                <w:lang w:val="en-US" w:eastAsia="zh-CN" w:bidi="ar-SA"/>
              </w:rPr>
            </w:pPr>
            <w:r>
              <w:rPr>
                <w:rFonts w:hint="eastAsia" w:cs="Times New Roman"/>
                <w:bCs/>
                <w:color w:val="000000"/>
                <w:kern w:val="2"/>
                <w:sz w:val="24"/>
                <w:szCs w:val="24"/>
                <w:lang w:val="en-US" w:eastAsia="zh-CN" w:bidi="ar-SA"/>
              </w:rPr>
              <w:t>无</w:t>
            </w:r>
          </w:p>
        </w:tc>
      </w:tr>
      <w:tr w14:paraId="688EC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gridSpan w:val="8"/>
            <w:noWrap w:val="0"/>
            <w:vAlign w:val="center"/>
          </w:tcPr>
          <w:p w14:paraId="60D664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60" w:afterAutospacing="0" w:line="360" w:lineRule="exact"/>
              <w:ind w:left="0" w:leftChars="0" w:right="0" w:firstLine="0" w:firstLineChars="0"/>
              <w:jc w:val="center"/>
              <w:textAlignment w:val="auto"/>
              <w:rPr>
                <w:rFonts w:hint="eastAsia" w:ascii="Times New Roman" w:hAnsi="Times New Roman" w:eastAsia="宋体" w:cs="Times New Roman"/>
                <w:bCs/>
                <w:color w:val="000000"/>
                <w:kern w:val="2"/>
                <w:sz w:val="24"/>
                <w:szCs w:val="24"/>
                <w:lang w:val="en-US" w:eastAsia="zh-CN" w:bidi="ar-SA"/>
              </w:rPr>
            </w:pPr>
            <w:r>
              <w:rPr>
                <w:rFonts w:hint="eastAsia" w:ascii="Times New Roman" w:hAnsi="Times New Roman" w:eastAsia="宋体" w:cs="宋体"/>
                <w:bCs/>
                <w:color w:val="000000"/>
                <w:sz w:val="24"/>
                <w:szCs w:val="24"/>
                <w:lang w:val="en-US" w:eastAsia="zh-CN"/>
              </w:rPr>
              <w:t>规划及规划环境影响评价符合性分析</w:t>
            </w:r>
          </w:p>
        </w:tc>
        <w:tc>
          <w:tcPr>
            <w:tcW w:w="3901" w:type="pct"/>
            <w:gridSpan w:val="10"/>
            <w:noWrap w:val="0"/>
            <w:vAlign w:val="center"/>
          </w:tcPr>
          <w:p w14:paraId="70E3AB54">
            <w:pPr>
              <w:pStyle w:val="1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4"/>
                <w:szCs w:val="24"/>
                <w:shd w:val="clear" w:color="auto" w:fill="auto"/>
                <w:lang w:val="en-US" w:eastAsia="zh-CN" w:bidi="ar-SA"/>
              </w:rPr>
            </w:pPr>
            <w:r>
              <w:rPr>
                <w:rFonts w:hint="eastAsia" w:eastAsia="宋体" w:cs="Times New Roman"/>
                <w:bCs/>
                <w:color w:val="000000"/>
                <w:kern w:val="2"/>
                <w:sz w:val="24"/>
                <w:szCs w:val="24"/>
                <w:shd w:val="clear" w:color="auto" w:fill="auto"/>
                <w:lang w:val="en-US" w:eastAsia="zh-CN" w:bidi="ar-SA"/>
              </w:rPr>
              <w:t>无</w:t>
            </w:r>
          </w:p>
        </w:tc>
      </w:tr>
      <w:tr w14:paraId="4EBC4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8"/>
            <w:noWrap w:val="0"/>
            <w:vAlign w:val="center"/>
          </w:tcPr>
          <w:p w14:paraId="50FAF1AA">
            <w:pPr>
              <w:pStyle w:val="152"/>
              <w:keepNext w:val="0"/>
              <w:keepLines w:val="0"/>
              <w:pageBreakBefore w:val="0"/>
              <w:widowControl w:val="0"/>
              <w:suppressLineNumbers w:val="0"/>
              <w:kinsoku/>
              <w:wordWrap/>
              <w:overflowPunct w:val="0"/>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eastAsia="宋体" w:cs="Times New Roman"/>
                <w:bCs/>
                <w:color w:val="000000"/>
                <w:kern w:val="2"/>
                <w:sz w:val="24"/>
                <w:szCs w:val="24"/>
                <w:shd w:val="clear" w:color="auto" w:fill="auto"/>
                <w:lang w:val="en-US" w:eastAsia="zh-CN" w:bidi="ar-SA"/>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其他符合性分析</w:t>
            </w:r>
          </w:p>
        </w:tc>
      </w:tr>
      <w:tr w14:paraId="7DB75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8"/>
            <w:noWrap w:val="0"/>
            <w:vAlign w:val="center"/>
          </w:tcPr>
          <w:p w14:paraId="7BCE6C1E">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rPr>
            </w:pPr>
            <w:r>
              <w:rPr>
                <w:rFonts w:hint="eastAsia" w:cs="Times New Roman"/>
              </w:rPr>
              <w:t>1.</w:t>
            </w:r>
            <w:r>
              <w:rPr>
                <w:rFonts w:hint="eastAsia" w:ascii="Times New Roman" w:hAnsi="Times New Roman" w:eastAsia="宋体" w:cs="Times New Roman"/>
              </w:rPr>
              <w:t>1</w:t>
            </w:r>
            <w:r>
              <w:rPr>
                <w:rFonts w:hint="eastAsia" w:ascii="Times New Roman" w:hAnsi="Times New Roman" w:eastAsia="宋体" w:cs="Times New Roman"/>
                <w:lang w:val="en-US" w:eastAsia="zh-CN"/>
              </w:rPr>
              <w:t>其他符合性分析</w:t>
            </w:r>
          </w:p>
          <w:p w14:paraId="0C1DDFFB">
            <w:pPr>
              <w:pStyle w:val="127"/>
              <w:keepNext w:val="0"/>
              <w:keepLines w:val="0"/>
              <w:suppressLineNumbers w:val="0"/>
              <w:bidi w:val="0"/>
              <w:spacing w:before="0" w:beforeAutospacing="0" w:after="0" w:afterAutospacing="0"/>
              <w:ind w:left="0" w:leftChars="0" w:right="0" w:firstLine="0" w:firstLineChars="0"/>
              <w:outlineLvl w:val="9"/>
              <w:rPr>
                <w:rFonts w:cs="Times New Roman"/>
              </w:rPr>
            </w:pPr>
            <w:r>
              <w:rPr>
                <w:rFonts w:hint="eastAsia" w:cs="Times New Roman"/>
                <w:lang w:val="en-US" w:eastAsia="zh-CN"/>
              </w:rPr>
              <w:t>1.1.1</w:t>
            </w:r>
            <w:r>
              <w:rPr>
                <w:rFonts w:cs="Times New Roman"/>
              </w:rPr>
              <w:t>产业政策符合性</w:t>
            </w:r>
          </w:p>
          <w:p w14:paraId="3E937E0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cs="Times New Roman"/>
              </w:rPr>
            </w:pPr>
            <w:r>
              <w:rPr>
                <w:rFonts w:hint="eastAsia" w:ascii="Times New Roman" w:hAnsi="Times New Roman" w:eastAsia="宋体" w:cs="宋体"/>
                <w:color w:val="000000"/>
                <w:kern w:val="2"/>
                <w:sz w:val="24"/>
                <w:szCs w:val="24"/>
                <w:highlight w:val="none"/>
                <w:lang w:val="en-US" w:eastAsia="zh-CN" w:bidi="ar-SA"/>
              </w:rPr>
              <w:t>根据《产业结构调整指导目录（2024年本）》，本项目属于“鼓励类”第四项电力第2条电力基础设施建设的电网改造与建设</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sz w:val="24"/>
                <w:highlight w:val="none"/>
                <w14:textFill>
                  <w14:solidFill>
                    <w14:schemeClr w14:val="tx1"/>
                  </w14:solidFill>
                </w14:textFill>
              </w:rPr>
              <w:t>国家鼓励类项目，</w:t>
            </w:r>
            <w:r>
              <w:rPr>
                <w:rFonts w:hint="eastAsia" w:ascii="Times New Roman" w:hAnsi="Times New Roman" w:eastAsia="宋体" w:cs="宋体"/>
                <w:color w:val="000000"/>
                <w:kern w:val="2"/>
                <w:sz w:val="24"/>
                <w:szCs w:val="24"/>
                <w:highlight w:val="none"/>
                <w:lang w:val="en-US" w:eastAsia="zh-CN" w:bidi="ar-SA"/>
              </w:rPr>
              <w:t>符合国家有关的产业政策。</w:t>
            </w:r>
          </w:p>
          <w:p w14:paraId="048CF6E5">
            <w:pPr>
              <w:pStyle w:val="127"/>
              <w:keepNext w:val="0"/>
              <w:keepLines w:val="0"/>
              <w:suppressLineNumbers w:val="0"/>
              <w:bidi w:val="0"/>
              <w:spacing w:before="0" w:beforeAutospacing="0" w:after="0" w:afterAutospacing="0"/>
              <w:ind w:left="0" w:leftChars="0" w:right="0" w:firstLine="0" w:firstLineChars="0"/>
              <w:outlineLvl w:val="9"/>
              <w:rPr>
                <w:b/>
                <w:bCs/>
                <w:spacing w:val="-3"/>
              </w:rPr>
            </w:pPr>
            <w:r>
              <w:rPr>
                <w:rFonts w:hint="eastAsia" w:cs="Times New Roman"/>
              </w:rPr>
              <w:t>1.</w:t>
            </w:r>
            <w:r>
              <w:rPr>
                <w:rFonts w:hint="eastAsia" w:cs="Times New Roman"/>
                <w:lang w:val="en-US" w:eastAsia="zh-CN"/>
              </w:rPr>
              <w:t>1.</w:t>
            </w:r>
            <w:r>
              <w:rPr>
                <w:rFonts w:cs="Times New Roman"/>
              </w:rPr>
              <w:t>2</w:t>
            </w:r>
            <w:r>
              <w:rPr>
                <w:b/>
                <w:bCs/>
                <w:spacing w:val="-3"/>
              </w:rPr>
              <w:t>与《新疆生态环境保护“十四五”规划》的符合性分析</w:t>
            </w:r>
          </w:p>
          <w:p w14:paraId="70A66E2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宋体"/>
                <w:color w:val="000000"/>
                <w:kern w:val="2"/>
                <w:sz w:val="24"/>
                <w:szCs w:val="24"/>
                <w:highlight w:val="none"/>
                <w:lang w:val="en-US" w:eastAsia="zh-CN" w:bidi="ar-SA"/>
              </w:rPr>
              <w:t>根据《新疆生态环境保护“十四五”规划》第三章坚持创新引领，推动绿色低碳发展第三节建设清洁低碳能源体系，“大力发展清洁能源。进一步壮大清洁能源产业，着力转变能源生产和消费模式，推动化石能源转型升级。加快非化石能源发展，推进风电和太阳能发电基地建设，积极开发分布式太阳能发电和分散式风电，</w:t>
            </w:r>
            <w:r>
              <w:rPr>
                <w:rFonts w:hint="eastAsia" w:ascii="Times New Roman" w:hAnsi="Times New Roman" w:eastAsia="宋体" w:cs="Times New Roman"/>
                <w:color w:val="000000"/>
                <w:kern w:val="2"/>
                <w:sz w:val="24"/>
                <w:szCs w:val="24"/>
                <w:highlight w:val="none"/>
                <w:lang w:val="en-US" w:eastAsia="zh-CN" w:bidi="ar-SA"/>
              </w:rPr>
              <w:t>支持可再生能源与工业、建筑、交通、农业、生态等产业和设施协同发展，配套发展储能产业，推进抽水蓄能电站建设，加快新型储能示范推广应用。积极发展可再生能源微电网、局域网，提高可再生能源的推广和消纳能力。”</w:t>
            </w:r>
          </w:p>
          <w:p w14:paraId="0554812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本项目位于巴音郭楞蒙古自治州博湖县</w:t>
            </w:r>
            <w:r>
              <w:rPr>
                <w:rFonts w:hint="eastAsia" w:ascii="Times New Roman" w:hAnsi="Times New Roman" w:cs="Times New Roman"/>
                <w:b w:val="0"/>
                <w:bCs w:val="0"/>
                <w:kern w:val="2"/>
                <w:sz w:val="24"/>
                <w:szCs w:val="24"/>
                <w:highlight w:val="none"/>
                <w:lang w:val="en-US" w:eastAsia="zh-CN" w:bidi="ar-SA"/>
              </w:rPr>
              <w:t>东南约</w:t>
            </w:r>
            <w:r>
              <w:rPr>
                <w:rFonts w:hint="default" w:ascii="Times New Roman" w:hAnsi="Times New Roman" w:cs="Times New Roman"/>
                <w:b w:val="0"/>
                <w:bCs w:val="0"/>
                <w:kern w:val="2"/>
                <w:sz w:val="24"/>
                <w:szCs w:val="24"/>
                <w:highlight w:val="none"/>
                <w:lang w:val="en-US" w:eastAsia="zh-CN" w:bidi="ar-SA"/>
              </w:rPr>
              <w:t>3</w:t>
            </w:r>
            <w:r>
              <w:rPr>
                <w:rFonts w:hint="eastAsia" w:ascii="Times New Roman" w:hAnsi="Times New Roman" w:cs="Times New Roman"/>
                <w:b w:val="0"/>
                <w:bCs w:val="0"/>
                <w:kern w:val="2"/>
                <w:sz w:val="24"/>
                <w:szCs w:val="24"/>
                <w:highlight w:val="none"/>
                <w:lang w:val="en-US" w:eastAsia="zh-CN" w:bidi="ar-SA"/>
              </w:rPr>
              <w:t>6</w:t>
            </w:r>
            <w:r>
              <w:rPr>
                <w:rFonts w:hint="default" w:ascii="Times New Roman" w:hAnsi="Times New Roman" w:cs="Times New Roman"/>
                <w:b w:val="0"/>
                <w:bCs w:val="0"/>
                <w:kern w:val="2"/>
                <w:sz w:val="24"/>
                <w:szCs w:val="24"/>
                <w:highlight w:val="none"/>
                <w:lang w:val="en-US" w:eastAsia="zh-CN" w:bidi="ar-SA"/>
              </w:rPr>
              <w:t>km</w:t>
            </w:r>
            <w:r>
              <w:rPr>
                <w:rFonts w:hint="eastAsia" w:ascii="Times New Roman" w:hAnsi="Times New Roman" w:cs="Times New Roman"/>
                <w:b w:val="0"/>
                <w:bCs w:val="0"/>
                <w:kern w:val="2"/>
                <w:sz w:val="24"/>
                <w:szCs w:val="24"/>
                <w:highlight w:val="none"/>
                <w:lang w:val="en-US" w:eastAsia="zh-CN" w:bidi="ar-SA"/>
              </w:rPr>
              <w:t>处</w:t>
            </w:r>
            <w:r>
              <w:rPr>
                <w:rFonts w:hint="eastAsia" w:ascii="Times New Roman" w:hAnsi="Times New Roman" w:eastAsia="宋体" w:cs="Times New Roman"/>
                <w:color w:val="000000"/>
                <w:kern w:val="2"/>
                <w:sz w:val="24"/>
                <w:szCs w:val="24"/>
                <w:highlight w:val="none"/>
                <w:lang w:val="en-US" w:eastAsia="zh-CN" w:bidi="ar-SA"/>
              </w:rPr>
              <w:t>，为太</w:t>
            </w:r>
            <w:r>
              <w:rPr>
                <w:rFonts w:hint="eastAsia" w:ascii="Times New Roman" w:hAnsi="Times New Roman" w:cs="Times New Roman"/>
                <w:bCs/>
                <w:color w:val="000000"/>
                <w:sz w:val="24"/>
                <w:szCs w:val="24"/>
                <w:lang w:val="en-US" w:eastAsia="zh-CN"/>
              </w:rPr>
              <w:t>阳能光伏电站项目配套工程</w:t>
            </w:r>
            <w:r>
              <w:rPr>
                <w:rFonts w:hint="eastAsia" w:ascii="Times New Roman" w:hAnsi="Times New Roman" w:eastAsia="宋体" w:cs="Times New Roman"/>
                <w:color w:val="000000"/>
                <w:kern w:val="2"/>
                <w:sz w:val="24"/>
                <w:szCs w:val="24"/>
                <w:highlight w:val="none"/>
                <w:lang w:val="en-US" w:eastAsia="zh-CN" w:bidi="ar-SA"/>
              </w:rPr>
              <w:t>，符合“大力发展清洁能源。进一步壮大清洁能源产业，着力转变能源生产和消费模式，推动化石能源转型升级。加快非化石能源发展，推进风电和太阳能发电基地建设”的要求。</w:t>
            </w:r>
          </w:p>
          <w:p w14:paraId="0B82EB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both"/>
              <w:rPr>
                <w:rFonts w:hint="default"/>
                <w:b/>
                <w:bCs/>
                <w:color w:val="000000" w:themeColor="text1"/>
                <w:spacing w:val="-3"/>
                <w14:textFill>
                  <w14:solidFill>
                    <w14:schemeClr w14:val="tx1"/>
                  </w14:solidFill>
                </w14:textFill>
              </w:rPr>
            </w:pPr>
            <w:r>
              <w:rPr>
                <w:rFonts w:hint="eastAsia" w:ascii="Times New Roman" w:hAnsi="Times New Roman" w:eastAsia="宋体" w:cs="Times New Roman"/>
                <w:b/>
                <w:bCs/>
                <w:color w:val="000000" w:themeColor="text1"/>
                <w:spacing w:val="-3"/>
                <w:kern w:val="2"/>
                <w:sz w:val="24"/>
                <w:szCs w:val="24"/>
                <w:lang w:val="en-US" w:eastAsia="zh-CN" w:bidi="ar-SA"/>
                <w14:textFill>
                  <w14:solidFill>
                    <w14:schemeClr w14:val="tx1"/>
                  </w14:solidFill>
                </w14:textFill>
              </w:rPr>
              <w:t>1.1.3与《巴音郭楞蒙古自治州生态环境“十四五”规划</w:t>
            </w:r>
            <w:r>
              <w:rPr>
                <w:rFonts w:hint="default"/>
                <w:b/>
                <w:bCs/>
                <w:color w:val="000000" w:themeColor="text1"/>
                <w:spacing w:val="-3"/>
                <w14:textFill>
                  <w14:solidFill>
                    <w14:schemeClr w14:val="tx1"/>
                  </w14:solidFill>
                </w14:textFill>
              </w:rPr>
              <w:t>》的符合性分析</w:t>
            </w:r>
          </w:p>
          <w:p w14:paraId="0BEE3E0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根据《巴音郭楞蒙古自治州生态环境“十四五”规划》，“加快工业结构绿色转型升级。加快高端装备制造、新能源、新材料等战略性新兴产业发展，推广适用的煤化工节能减排技术，提升行业清洁生产水平，降低对油气资源的依赖，逐步实现循环发展。合理规划清洁能源建设及消费，大力发展天然气与可再生能源。”</w:t>
            </w:r>
          </w:p>
          <w:p w14:paraId="06B63299">
            <w:pPr>
              <w:pStyle w:val="127"/>
              <w:keepNext w:val="0"/>
              <w:keepLines w:val="0"/>
              <w:suppressLineNumbers w:val="0"/>
              <w:bidi w:val="0"/>
              <w:spacing w:before="0" w:beforeAutospacing="0" w:after="0" w:afterAutospacing="0"/>
              <w:ind w:left="0" w:leftChars="0" w:right="0" w:firstLine="480" w:firstLineChars="200"/>
              <w:outlineLvl w:val="9"/>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本项目属于可再生能源太阳能发电项目配套工程，符合《巴音郭楞蒙古自治州生态环境“十四五”规划》要求。</w:t>
            </w:r>
          </w:p>
          <w:p w14:paraId="68C33099">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rPr>
            </w:pPr>
            <w:r>
              <w:rPr>
                <w:rFonts w:hint="eastAsia"/>
                <w:b/>
                <w:bCs/>
                <w:spacing w:val="-3"/>
                <w:lang w:val="en-US" w:eastAsia="zh-CN"/>
              </w:rPr>
              <w:t>1.1.4</w:t>
            </w:r>
            <w:r>
              <w:rPr>
                <w:rFonts w:hint="eastAsia" w:cs="Times New Roman"/>
              </w:rPr>
              <w:t>与</w:t>
            </w:r>
            <w:r>
              <w:rPr>
                <w:rFonts w:hint="eastAsia" w:cs="Times New Roman"/>
                <w:lang w:eastAsia="zh-CN"/>
              </w:rPr>
              <w:t>《</w:t>
            </w:r>
            <w:r>
              <w:rPr>
                <w:rFonts w:hint="eastAsia"/>
                <w:b/>
                <w:bCs/>
                <w:spacing w:val="-3"/>
                <w:lang w:val="en-US" w:eastAsia="zh-CN"/>
              </w:rPr>
              <w:t>博湖县国民经济和社会发展第十四个五年规划纲要</w:t>
            </w:r>
            <w:r>
              <w:rPr>
                <w:rFonts w:hint="eastAsia" w:cs="Times New Roman"/>
              </w:rPr>
              <w:t>》相符性分析</w:t>
            </w:r>
          </w:p>
          <w:p w14:paraId="1E40CC47">
            <w:pPr>
              <w:pStyle w:val="127"/>
              <w:keepNext w:val="0"/>
              <w:keepLines w:val="0"/>
              <w:suppressLineNumbers w:val="0"/>
              <w:bidi w:val="0"/>
              <w:spacing w:before="0" w:beforeAutospacing="0" w:after="0" w:afterAutospacing="0"/>
              <w:ind w:left="0" w:leftChars="0" w:right="0" w:firstLine="480" w:firstLineChars="200"/>
              <w:outlineLvl w:val="9"/>
              <w:rPr>
                <w:rFonts w:hint="eastAsia" w:ascii="Times New Roman" w:hAnsi="Times New Roman" w:eastAsia="宋体" w:cs="宋体"/>
                <w:b w:val="0"/>
                <w:bCs w:val="0"/>
                <w:color w:val="000000"/>
                <w:kern w:val="2"/>
                <w:sz w:val="24"/>
                <w:szCs w:val="24"/>
                <w:highlight w:val="none"/>
                <w:lang w:val="en-US" w:eastAsia="zh-CN" w:bidi="ar-SA"/>
              </w:rPr>
            </w:pPr>
            <w:r>
              <w:rPr>
                <w:rFonts w:hint="eastAsia" w:ascii="Times New Roman" w:hAnsi="Times New Roman" w:eastAsia="宋体" w:cs="宋体"/>
                <w:b w:val="0"/>
                <w:bCs w:val="0"/>
                <w:color w:val="000000"/>
                <w:kern w:val="2"/>
                <w:sz w:val="24"/>
                <w:szCs w:val="24"/>
                <w:highlight w:val="none"/>
                <w:lang w:val="en-US" w:eastAsia="zh-CN" w:bidi="ar-SA"/>
              </w:rPr>
              <w:t>根据《博湖县国民经济和社会发展第十四个五年规划纲要》，“有序发展以光伏发电为主的新能源产业，优化能源结构，构建广泛互联、智能互动、安全可靠、清洁低碳、安全高效的供能体系。稳步推进太阳能发电基础设施建设。”</w:t>
            </w:r>
          </w:p>
          <w:p w14:paraId="3A03CF76">
            <w:pPr>
              <w:pStyle w:val="127"/>
              <w:keepNext w:val="0"/>
              <w:keepLines w:val="0"/>
              <w:suppressLineNumbers w:val="0"/>
              <w:bidi w:val="0"/>
              <w:spacing w:before="0" w:beforeAutospacing="0" w:after="0" w:afterAutospacing="0"/>
              <w:ind w:left="0" w:leftChars="0" w:right="0" w:firstLine="480" w:firstLineChars="200"/>
              <w:outlineLvl w:val="9"/>
              <w:rPr>
                <w:rFonts w:hint="default"/>
                <w:spacing w:val="1"/>
                <w:lang w:val="en-US" w:eastAsia="zh-CN"/>
              </w:rPr>
            </w:pPr>
            <w:r>
              <w:rPr>
                <w:rFonts w:hint="eastAsia" w:ascii="Times New Roman" w:hAnsi="Times New Roman" w:eastAsia="宋体" w:cs="宋体"/>
                <w:b w:val="0"/>
                <w:bCs w:val="0"/>
                <w:color w:val="000000"/>
                <w:kern w:val="2"/>
                <w:sz w:val="24"/>
                <w:szCs w:val="24"/>
                <w:highlight w:val="none"/>
                <w:lang w:val="en-US" w:eastAsia="zh-CN" w:bidi="ar-SA"/>
              </w:rPr>
              <w:t>本项目属于太阳能发电项目配套工程，能够推动博湖县太阳能发电基础设施建设，提高新能源在能源结构</w:t>
            </w:r>
            <w:r>
              <w:rPr>
                <w:rFonts w:hint="eastAsia" w:cs="宋体"/>
                <w:b w:val="0"/>
                <w:bCs w:val="0"/>
                <w:color w:val="000000"/>
                <w:kern w:val="2"/>
                <w:sz w:val="24"/>
                <w:szCs w:val="24"/>
                <w:highlight w:val="none"/>
                <w:lang w:val="en-US" w:eastAsia="zh-CN" w:bidi="ar-SA"/>
              </w:rPr>
              <w:t>中的</w:t>
            </w:r>
            <w:r>
              <w:rPr>
                <w:rFonts w:hint="eastAsia" w:ascii="Times New Roman" w:hAnsi="Times New Roman" w:eastAsia="宋体" w:cs="宋体"/>
                <w:b w:val="0"/>
                <w:bCs w:val="0"/>
                <w:color w:val="000000"/>
                <w:kern w:val="2"/>
                <w:sz w:val="24"/>
                <w:szCs w:val="24"/>
                <w:highlight w:val="none"/>
                <w:lang w:val="en-US" w:eastAsia="zh-CN" w:bidi="ar-SA"/>
              </w:rPr>
              <w:t>比重，符合《博湖县国民经济和社会发展第十四个五年规划纲要》要求。</w:t>
            </w:r>
          </w:p>
          <w:p w14:paraId="1C6C1A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both"/>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1.1.5与《巴音郭楞蒙古自治州国土空间总体规划》相符性分析</w:t>
            </w:r>
          </w:p>
          <w:p w14:paraId="2CDECB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imes New Roman" w:hAnsi="Times New Roman" w:eastAsia="宋体" w:cs="宋体"/>
                <w:b w:val="0"/>
                <w:bCs w:val="0"/>
                <w:color w:val="000000"/>
                <w:kern w:val="2"/>
                <w:sz w:val="24"/>
                <w:szCs w:val="24"/>
                <w:highlight w:val="none"/>
                <w:lang w:val="en-US" w:eastAsia="zh-CN" w:bidi="ar-SA"/>
              </w:rPr>
            </w:pPr>
            <w:r>
              <w:rPr>
                <w:rFonts w:hint="eastAsia" w:ascii="Times New Roman" w:hAnsi="Times New Roman" w:eastAsia="宋体" w:cs="宋体"/>
                <w:b w:val="0"/>
                <w:bCs w:val="0"/>
                <w:color w:val="000000"/>
                <w:kern w:val="2"/>
                <w:sz w:val="24"/>
                <w:szCs w:val="24"/>
                <w:highlight w:val="none"/>
                <w:lang w:val="en-US" w:eastAsia="zh-CN" w:bidi="ar-SA"/>
              </w:rPr>
              <w:t>根据《巴音郭楞蒙古自治州国土空间总体规划</w:t>
            </w:r>
            <w:r>
              <w:rPr>
                <w:rFonts w:hint="default" w:ascii="Times New Roman" w:hAnsi="Times New Roman" w:eastAsia="宋体" w:cs="宋体"/>
                <w:b w:val="0"/>
                <w:bCs w:val="0"/>
                <w:color w:val="000000"/>
                <w:kern w:val="2"/>
                <w:sz w:val="24"/>
                <w:szCs w:val="24"/>
                <w:highlight w:val="none"/>
                <w:lang w:val="en-US" w:eastAsia="zh-CN" w:bidi="ar-SA"/>
              </w:rPr>
              <w:t>（2021—2035年）</w:t>
            </w:r>
            <w:r>
              <w:rPr>
                <w:rFonts w:hint="eastAsia" w:ascii="Times New Roman" w:hAnsi="Times New Roman" w:eastAsia="宋体" w:cs="宋体"/>
                <w:b w:val="0"/>
                <w:bCs w:val="0"/>
                <w:color w:val="000000"/>
                <w:kern w:val="2"/>
                <w:sz w:val="24"/>
                <w:szCs w:val="24"/>
                <w:highlight w:val="none"/>
                <w:lang w:val="en-US" w:eastAsia="zh-CN" w:bidi="ar-SA"/>
              </w:rPr>
              <w:t>》，“国土空间战略定位——核心功能”：新疆重要新能源新材料产业基地；构建和完善重要能源基地和通道；推动库尔勒市、若羌、且末、和静、轮台、和硕、焉耆、尉犁、博湖等县市建设风光电场区。</w:t>
            </w:r>
          </w:p>
          <w:p w14:paraId="570809BE">
            <w:pPr>
              <w:pStyle w:val="127"/>
              <w:keepNext w:val="0"/>
              <w:keepLines w:val="0"/>
              <w:suppressLineNumbers w:val="0"/>
              <w:bidi w:val="0"/>
              <w:spacing w:before="0" w:beforeAutospacing="0" w:after="0" w:afterAutospacing="0"/>
              <w:ind w:left="0" w:leftChars="0" w:right="0" w:firstLine="480" w:firstLineChars="200"/>
              <w:outlineLvl w:val="9"/>
              <w:rPr>
                <w:rFonts w:hint="default" w:ascii="Times New Roman" w:hAnsi="Times New Roman" w:eastAsia="宋体" w:cs="Times New Roman"/>
                <w:b/>
                <w:bCs/>
                <w:color w:val="000000"/>
                <w:kern w:val="2"/>
                <w:sz w:val="24"/>
                <w:szCs w:val="24"/>
                <w:lang w:val="en-US" w:eastAsia="zh-CN" w:bidi="ar-SA"/>
              </w:rPr>
            </w:pPr>
            <w:r>
              <w:rPr>
                <w:rFonts w:hint="eastAsia" w:cs="宋体"/>
                <w:b w:val="0"/>
                <w:bCs w:val="0"/>
                <w:color w:val="000000"/>
                <w:kern w:val="2"/>
                <w:sz w:val="24"/>
                <w:szCs w:val="24"/>
                <w:highlight w:val="none"/>
                <w:lang w:val="en-US" w:eastAsia="zh-CN" w:bidi="ar-SA"/>
              </w:rPr>
              <w:t>光伏产业作为新能源的重要组成部分。其配套输变电工程对于将光伏发电转化为可输送、可利用的电能至关重要，是实现新能源产业发展、支撑产业基地建设的关键环节，有利于推动博湖县</w:t>
            </w:r>
            <w:r>
              <w:rPr>
                <w:rFonts w:hint="eastAsia" w:ascii="Times New Roman" w:hAnsi="Times New Roman" w:eastAsia="宋体" w:cs="宋体"/>
                <w:b w:val="0"/>
                <w:bCs w:val="0"/>
                <w:color w:val="000000"/>
                <w:kern w:val="2"/>
                <w:sz w:val="24"/>
                <w:szCs w:val="24"/>
                <w:highlight w:val="none"/>
                <w:lang w:val="en-US" w:eastAsia="zh-CN" w:bidi="ar-SA"/>
              </w:rPr>
              <w:t>光电场区</w:t>
            </w:r>
            <w:r>
              <w:rPr>
                <w:rFonts w:hint="eastAsia" w:cs="宋体"/>
                <w:b w:val="0"/>
                <w:bCs w:val="0"/>
                <w:color w:val="000000"/>
                <w:kern w:val="2"/>
                <w:sz w:val="24"/>
                <w:szCs w:val="24"/>
                <w:highlight w:val="none"/>
                <w:lang w:val="en-US" w:eastAsia="zh-CN" w:bidi="ar-SA"/>
              </w:rPr>
              <w:t>的发展。故</w:t>
            </w:r>
            <w:r>
              <w:rPr>
                <w:rFonts w:hint="eastAsia" w:ascii="Times New Roman" w:hAnsi="Times New Roman" w:eastAsia="宋体" w:cs="宋体"/>
                <w:b w:val="0"/>
                <w:bCs w:val="0"/>
                <w:color w:val="000000"/>
                <w:kern w:val="2"/>
                <w:sz w:val="24"/>
                <w:szCs w:val="24"/>
                <w:highlight w:val="none"/>
                <w:lang w:val="en-US" w:eastAsia="zh-CN" w:bidi="ar-SA"/>
              </w:rPr>
              <w:t>本项目符合《巴音郭楞蒙古自治州国土空间总体规划》要求。</w:t>
            </w:r>
          </w:p>
          <w:p w14:paraId="687247CC">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lang w:val="en-US" w:eastAsia="zh-CN"/>
              </w:rPr>
            </w:pPr>
            <w:r>
              <w:rPr>
                <w:rFonts w:hint="eastAsia" w:ascii="Times New Roman" w:hAnsi="Times New Roman" w:eastAsia="宋体" w:cs="Times New Roman"/>
                <w:b/>
                <w:bCs/>
                <w:color w:val="000000"/>
                <w:kern w:val="2"/>
                <w:sz w:val="24"/>
                <w:szCs w:val="24"/>
                <w:lang w:val="en-US" w:eastAsia="zh-CN" w:bidi="ar-SA"/>
              </w:rPr>
              <w:t>1.1.6与《博湖县国土空间总体规划》</w:t>
            </w:r>
            <w:r>
              <w:rPr>
                <w:rFonts w:hint="eastAsia" w:cs="Times New Roman"/>
              </w:rPr>
              <w:t>相符性分析</w:t>
            </w:r>
          </w:p>
          <w:p w14:paraId="4DDE6C6B">
            <w:pPr>
              <w:pStyle w:val="127"/>
              <w:keepNext w:val="0"/>
              <w:keepLines w:val="0"/>
              <w:suppressLineNumbers w:val="0"/>
              <w:bidi w:val="0"/>
              <w:spacing w:before="0" w:beforeAutospacing="0" w:after="0" w:afterAutospacing="0"/>
              <w:ind w:left="0" w:leftChars="0" w:right="0" w:firstLine="480" w:firstLineChars="200"/>
              <w:outlineLvl w:val="9"/>
              <w:rPr>
                <w:rFonts w:hint="eastAsia"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根据《博湖县国土空间总体规划</w:t>
            </w:r>
            <w:r>
              <w:rPr>
                <w:rFonts w:hint="default" w:cs="宋体"/>
                <w:b w:val="0"/>
                <w:bCs w:val="0"/>
                <w:color w:val="000000"/>
                <w:kern w:val="2"/>
                <w:sz w:val="24"/>
                <w:szCs w:val="24"/>
                <w:highlight w:val="none"/>
                <w:lang w:val="en-US" w:eastAsia="zh-CN" w:bidi="ar-SA"/>
              </w:rPr>
              <w:t>（2021—2035年）</w:t>
            </w:r>
            <w:r>
              <w:rPr>
                <w:rFonts w:hint="eastAsia" w:cs="宋体"/>
                <w:b w:val="0"/>
                <w:bCs w:val="0"/>
                <w:color w:val="000000"/>
                <w:kern w:val="2"/>
                <w:sz w:val="24"/>
                <w:szCs w:val="24"/>
                <w:highlight w:val="none"/>
                <w:lang w:val="en-US" w:eastAsia="zh-CN" w:bidi="ar-SA"/>
              </w:rPr>
              <w:t>》，依托博斯腾湖乡，打造为一二三产业融合发展区。</w:t>
            </w:r>
          </w:p>
          <w:p w14:paraId="607E4CF7">
            <w:pPr>
              <w:pStyle w:val="127"/>
              <w:keepNext w:val="0"/>
              <w:keepLines w:val="0"/>
              <w:suppressLineNumbers w:val="0"/>
              <w:bidi w:val="0"/>
              <w:spacing w:before="0" w:beforeAutospacing="0" w:after="0" w:afterAutospacing="0"/>
              <w:ind w:left="0" w:leftChars="0" w:right="0" w:firstLine="480" w:firstLineChars="200"/>
              <w:outlineLvl w:val="9"/>
              <w:rPr>
                <w:rFonts w:hint="default"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本项目位于博湖县南部发展区，属于太阳能发电项目配套工程，是提供电力资源的必要工程，为一二三产业之间的协同发展提供了动力支持。故</w:t>
            </w:r>
            <w:r>
              <w:rPr>
                <w:rFonts w:hint="eastAsia" w:ascii="Times New Roman" w:hAnsi="Times New Roman" w:eastAsia="宋体" w:cs="宋体"/>
                <w:b w:val="0"/>
                <w:bCs w:val="0"/>
                <w:color w:val="000000"/>
                <w:kern w:val="2"/>
                <w:sz w:val="24"/>
                <w:szCs w:val="24"/>
                <w:highlight w:val="none"/>
                <w:lang w:val="en-US" w:eastAsia="zh-CN" w:bidi="ar-SA"/>
              </w:rPr>
              <w:t>本项目符合《</w:t>
            </w:r>
            <w:r>
              <w:rPr>
                <w:rFonts w:hint="eastAsia" w:cs="宋体"/>
                <w:b w:val="0"/>
                <w:bCs w:val="0"/>
                <w:color w:val="000000"/>
                <w:kern w:val="2"/>
                <w:sz w:val="24"/>
                <w:szCs w:val="24"/>
                <w:highlight w:val="none"/>
                <w:lang w:val="en-US" w:eastAsia="zh-CN" w:bidi="ar-SA"/>
              </w:rPr>
              <w:t>博湖县国土空间总体规划</w:t>
            </w:r>
            <w:r>
              <w:rPr>
                <w:rFonts w:hint="eastAsia" w:ascii="Times New Roman" w:hAnsi="Times New Roman" w:eastAsia="宋体" w:cs="宋体"/>
                <w:b w:val="0"/>
                <w:bCs w:val="0"/>
                <w:color w:val="000000"/>
                <w:kern w:val="2"/>
                <w:sz w:val="24"/>
                <w:szCs w:val="24"/>
                <w:highlight w:val="none"/>
                <w:lang w:val="en-US" w:eastAsia="zh-CN" w:bidi="ar-SA"/>
              </w:rPr>
              <w:t>》要求。</w:t>
            </w:r>
          </w:p>
          <w:p w14:paraId="69BF4911">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rPr>
            </w:pPr>
            <w:r>
              <w:rPr>
                <w:rFonts w:hint="eastAsia" w:cs="Times New Roman"/>
                <w:lang w:val="en-US" w:eastAsia="zh-CN"/>
              </w:rPr>
              <w:t>1.1.7</w:t>
            </w:r>
            <w:r>
              <w:rPr>
                <w:rFonts w:hint="eastAsia" w:cs="Times New Roman"/>
              </w:rPr>
              <w:t>与《</w:t>
            </w:r>
            <w:r>
              <w:rPr>
                <w:rFonts w:ascii="宋体" w:hAnsi="宋体" w:eastAsia="宋体" w:cs="宋体"/>
                <w:b/>
                <w:bCs/>
                <w:spacing w:val="-2"/>
              </w:rPr>
              <w:t>输变电建设项目环境保护技术要求</w:t>
            </w:r>
            <w:r>
              <w:rPr>
                <w:rFonts w:hint="eastAsia" w:cs="Times New Roman"/>
              </w:rPr>
              <w:t>》相符性分析</w:t>
            </w:r>
          </w:p>
          <w:p w14:paraId="6244E80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imes New Roman" w:hAnsi="Times New Roman" w:eastAsia="宋体" w:cs="宋体"/>
                <w:color w:val="000000"/>
                <w:kern w:val="2"/>
                <w:sz w:val="24"/>
                <w:szCs w:val="24"/>
                <w:highlight w:val="none"/>
                <w:lang w:val="en-US" w:eastAsia="zh-CN" w:bidi="ar-SA"/>
              </w:rPr>
            </w:pPr>
            <w:r>
              <w:rPr>
                <w:rFonts w:hint="eastAsia" w:ascii="Times New Roman" w:hAnsi="Times New Roman" w:eastAsia="宋体" w:cs="宋体"/>
                <w:color w:val="000000"/>
                <w:kern w:val="2"/>
                <w:sz w:val="24"/>
                <w:szCs w:val="24"/>
                <w:highlight w:val="none"/>
                <w:lang w:val="en-US" w:eastAsia="zh-CN" w:bidi="ar-SA"/>
              </w:rPr>
              <w:t>本项目与《输变电建设项目环境保护技术要求》(HJ1113-2020)的符合性分析，见下表。</w:t>
            </w:r>
          </w:p>
          <w:p w14:paraId="11EE29C3">
            <w:pPr>
              <w:pStyle w:val="135"/>
              <w:keepNext w:val="0"/>
              <w:keepLines w:val="0"/>
              <w:pageBreakBefore w:val="0"/>
              <w:widowControl w:val="0"/>
              <w:suppressLineNumbers w:val="0"/>
              <w:kinsoku/>
              <w:wordWrap/>
              <w:overflowPunct/>
              <w:topLinePunct w:val="0"/>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ascii="Times New Roman" w:hAnsi="Times New Roman" w:eastAsia="宋体" w:cs="宋体"/>
                <w:color w:val="000000"/>
                <w:kern w:val="2"/>
                <w:sz w:val="24"/>
                <w:szCs w:val="24"/>
                <w:highlight w:val="none"/>
                <w:lang w:val="en-US" w:eastAsia="zh-CN" w:bidi="ar-SA"/>
              </w:rPr>
            </w:pPr>
            <w:r>
              <w:rPr>
                <w:rFonts w:hint="eastAsia" w:ascii="Times New Roman" w:hAnsi="Times New Roman" w:eastAsia="黑体" w:cs="Times New Roman"/>
                <w:b/>
                <w:bCs/>
                <w:color w:val="000000"/>
                <w:kern w:val="0"/>
                <w:sz w:val="24"/>
                <w:szCs w:val="20"/>
                <w:lang w:val="en-US" w:eastAsia="zh-CN" w:bidi="ar-SA"/>
              </w:rPr>
              <w:t>表1-2 与《输变电建设项目环境保护技术要求》的符合性分析</w:t>
            </w:r>
          </w:p>
        </w:tc>
      </w:tr>
      <w:tr w14:paraId="550B1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noWrap w:val="0"/>
            <w:vAlign w:val="center"/>
          </w:tcPr>
          <w:p w14:paraId="32FD5919">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序号</w:t>
            </w:r>
          </w:p>
        </w:tc>
        <w:tc>
          <w:tcPr>
            <w:tcW w:w="2561" w:type="pct"/>
            <w:gridSpan w:val="10"/>
            <w:noWrap w:val="0"/>
            <w:vAlign w:val="center"/>
          </w:tcPr>
          <w:p w14:paraId="19018388">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《输变电建设项目环境保护技术要求》</w:t>
            </w:r>
          </w:p>
        </w:tc>
        <w:tc>
          <w:tcPr>
            <w:tcW w:w="1709" w:type="pct"/>
            <w:gridSpan w:val="3"/>
            <w:noWrap w:val="0"/>
            <w:vAlign w:val="center"/>
          </w:tcPr>
          <w:p w14:paraId="768D0FB0">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相符性分析</w:t>
            </w:r>
          </w:p>
        </w:tc>
        <w:tc>
          <w:tcPr>
            <w:tcW w:w="477" w:type="pct"/>
            <w:gridSpan w:val="3"/>
            <w:noWrap w:val="0"/>
            <w:vAlign w:val="center"/>
          </w:tcPr>
          <w:p w14:paraId="1398DAB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p w14:paraId="5DB10DCF">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情况</w:t>
            </w:r>
          </w:p>
        </w:tc>
      </w:tr>
      <w:tr w14:paraId="476E2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restart"/>
            <w:noWrap w:val="0"/>
            <w:vAlign w:val="center"/>
          </w:tcPr>
          <w:p w14:paraId="1BC29116">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1</w:t>
            </w:r>
          </w:p>
        </w:tc>
        <w:tc>
          <w:tcPr>
            <w:tcW w:w="521" w:type="pct"/>
            <w:gridSpan w:val="4"/>
            <w:vMerge w:val="restart"/>
            <w:noWrap w:val="0"/>
            <w:vAlign w:val="center"/>
          </w:tcPr>
          <w:p w14:paraId="585EC445">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sz w:val="21"/>
                <w:szCs w:val="21"/>
                <w:highlight w:val="none"/>
              </w:rPr>
              <w:t>选址选线</w:t>
            </w:r>
          </w:p>
        </w:tc>
        <w:tc>
          <w:tcPr>
            <w:tcW w:w="2039" w:type="pct"/>
            <w:gridSpan w:val="6"/>
            <w:noWrap w:val="0"/>
            <w:vAlign w:val="center"/>
          </w:tcPr>
          <w:p w14:paraId="5A67876F">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sz w:val="21"/>
                <w:szCs w:val="21"/>
                <w:highlight w:val="none"/>
              </w:rPr>
              <w:t>输变电建设项目选址选线应符合生态保护红线管控要求，避让自然保护区、饮用水水源保护区等环境敏感区。确实因自然条件等因素限制无法避让自然保护区试验区、饮用水水源二级保护区等环境敏感区的输电线路，应在满足相关法律法规及管理要求的前提下对线路方案进行唯一性论证，并采取无害化方式通过。</w:t>
            </w:r>
          </w:p>
        </w:tc>
        <w:tc>
          <w:tcPr>
            <w:tcW w:w="1709" w:type="pct"/>
            <w:gridSpan w:val="3"/>
            <w:noWrap w:val="0"/>
            <w:vAlign w:val="center"/>
          </w:tcPr>
          <w:p w14:paraId="660D69D6">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sz w:val="21"/>
                <w:szCs w:val="21"/>
                <w:highlight w:val="none"/>
              </w:rPr>
              <w:t>本工程不在生态保护红线管控区内，不涉及自然保护区、饮用水水源保护区等环境敏感区</w:t>
            </w:r>
            <w:r>
              <w:rPr>
                <w:rFonts w:hint="eastAsia" w:ascii="Times New Roman" w:hAnsi="Times New Roman" w:eastAsia="宋体" w:cs="Times New Roman"/>
                <w:sz w:val="21"/>
                <w:szCs w:val="21"/>
                <w:highlight w:val="none"/>
                <w:lang w:eastAsia="zh-CN"/>
              </w:rPr>
              <w:t>。</w:t>
            </w:r>
          </w:p>
        </w:tc>
        <w:tc>
          <w:tcPr>
            <w:tcW w:w="477" w:type="pct"/>
            <w:gridSpan w:val="3"/>
            <w:noWrap w:val="0"/>
            <w:vAlign w:val="center"/>
          </w:tcPr>
          <w:p w14:paraId="3AB728A6">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1317B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7871C340">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2C5001B3">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29450608">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变电工程在选址时应按终期规模综合考虑进出线走廊规划，避免进出线进入自然保护区、饮用水水源保护区等环境敏感区。</w:t>
            </w:r>
          </w:p>
        </w:tc>
        <w:tc>
          <w:tcPr>
            <w:tcW w:w="1709" w:type="pct"/>
            <w:gridSpan w:val="3"/>
            <w:noWrap w:val="0"/>
            <w:vAlign w:val="center"/>
          </w:tcPr>
          <w:p w14:paraId="6207EEC9">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本工程评价范围内不涉及环境敏感区。</w:t>
            </w:r>
          </w:p>
        </w:tc>
        <w:tc>
          <w:tcPr>
            <w:tcW w:w="477" w:type="pct"/>
            <w:gridSpan w:val="3"/>
            <w:noWrap w:val="0"/>
            <w:vAlign w:val="center"/>
          </w:tcPr>
          <w:p w14:paraId="24564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146A5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4CD7AF22">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576D9BAD">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334A497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户外变电工程及规划架空进出线选址选线时，应关注以居住、医疗卫生、文化教育、科研、行政办公等为主要功能的区域，采取综合措施，减少电磁和声环境影响。</w:t>
            </w:r>
          </w:p>
        </w:tc>
        <w:tc>
          <w:tcPr>
            <w:tcW w:w="1709" w:type="pct"/>
            <w:gridSpan w:val="3"/>
            <w:noWrap w:val="0"/>
            <w:vAlign w:val="center"/>
          </w:tcPr>
          <w:p w14:paraId="003F78DB">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本工程不涉及医疗卫生、文化教育、科研、行政办公等功能的区域，避让集中居住区。</w:t>
            </w:r>
          </w:p>
        </w:tc>
        <w:tc>
          <w:tcPr>
            <w:tcW w:w="477" w:type="pct"/>
            <w:gridSpan w:val="3"/>
            <w:noWrap w:val="0"/>
            <w:vAlign w:val="center"/>
          </w:tcPr>
          <w:p w14:paraId="3DFF1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2496B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7D9E122A">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2464942E">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3D2032C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同一走廊内的多回输电线路，宜采取同塔多回架设、并行架设等形式，减少新开辟走廊，优化线路走廊间距，降低环境影响。</w:t>
            </w:r>
          </w:p>
        </w:tc>
        <w:tc>
          <w:tcPr>
            <w:tcW w:w="1709" w:type="pct"/>
            <w:gridSpan w:val="3"/>
            <w:noWrap w:val="0"/>
            <w:vAlign w:val="center"/>
          </w:tcPr>
          <w:p w14:paraId="53C58E00">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线路为单回</w:t>
            </w:r>
            <w:r>
              <w:rPr>
                <w:rFonts w:hint="eastAsia" w:ascii="Times New Roman" w:hAnsi="Times New Roman" w:eastAsia="宋体" w:cs="Times New Roman"/>
                <w:sz w:val="21"/>
                <w:szCs w:val="21"/>
                <w:highlight w:val="none"/>
              </w:rPr>
              <w:t>输电</w:t>
            </w:r>
            <w:r>
              <w:rPr>
                <w:rFonts w:hint="eastAsia" w:ascii="Times New Roman" w:hAnsi="Times New Roman" w:eastAsia="宋体" w:cs="Times New Roman"/>
                <w:sz w:val="21"/>
                <w:szCs w:val="21"/>
                <w:highlight w:val="none"/>
                <w:lang w:val="en-US" w:eastAsia="zh-CN"/>
              </w:rPr>
              <w:t>线路</w:t>
            </w:r>
            <w:r>
              <w:rPr>
                <w:rFonts w:hint="eastAsia" w:ascii="Times New Roman" w:hAnsi="Times New Roman" w:eastAsia="宋体" w:cs="Times New Roman"/>
                <w:sz w:val="21"/>
                <w:szCs w:val="21"/>
                <w:highlight w:val="none"/>
              </w:rPr>
              <w:t>。</w:t>
            </w:r>
          </w:p>
        </w:tc>
        <w:tc>
          <w:tcPr>
            <w:tcW w:w="477" w:type="pct"/>
            <w:gridSpan w:val="3"/>
            <w:noWrap w:val="0"/>
            <w:vAlign w:val="center"/>
          </w:tcPr>
          <w:p w14:paraId="60DC8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2C1D4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705D17F6">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24B68D46">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11F837B5">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原则上避免在0类声环境功能区建设变电工程。</w:t>
            </w:r>
          </w:p>
        </w:tc>
        <w:tc>
          <w:tcPr>
            <w:tcW w:w="1709" w:type="pct"/>
            <w:gridSpan w:val="3"/>
            <w:noWrap w:val="0"/>
            <w:vAlign w:val="center"/>
          </w:tcPr>
          <w:p w14:paraId="13BAFF30">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不涉及</w:t>
            </w:r>
            <w:r>
              <w:rPr>
                <w:rFonts w:hint="eastAsia" w:ascii="Times New Roman" w:hAnsi="Times New Roman" w:eastAsia="宋体" w:cs="Times New Roman"/>
                <w:sz w:val="21"/>
                <w:szCs w:val="21"/>
                <w:highlight w:val="none"/>
              </w:rPr>
              <w:t>0类声环境功能区</w:t>
            </w:r>
          </w:p>
        </w:tc>
        <w:tc>
          <w:tcPr>
            <w:tcW w:w="477" w:type="pct"/>
            <w:gridSpan w:val="3"/>
            <w:noWrap w:val="0"/>
            <w:vAlign w:val="center"/>
          </w:tcPr>
          <w:p w14:paraId="6349E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00DDB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6937C1A6">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43D1869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3FEB8F3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变电工程选址时，应综合考虑减少土地占用、植被砍伐和弃土弃渣等，以减少对生态环境的不利影响。</w:t>
            </w:r>
          </w:p>
        </w:tc>
        <w:tc>
          <w:tcPr>
            <w:tcW w:w="1709" w:type="pct"/>
            <w:gridSpan w:val="3"/>
            <w:noWrap w:val="0"/>
            <w:vAlign w:val="center"/>
          </w:tcPr>
          <w:p w14:paraId="39602F9A">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已</w:t>
            </w:r>
            <w:r>
              <w:rPr>
                <w:rFonts w:hint="eastAsia" w:ascii="Times New Roman" w:hAnsi="Times New Roman" w:eastAsia="宋体" w:cs="Times New Roman"/>
                <w:sz w:val="21"/>
                <w:szCs w:val="21"/>
                <w:highlight w:val="none"/>
              </w:rPr>
              <w:t>综合考虑减少土地占用、植被砍伐和弃土弃渣等。</w:t>
            </w:r>
          </w:p>
        </w:tc>
        <w:tc>
          <w:tcPr>
            <w:tcW w:w="477" w:type="pct"/>
            <w:gridSpan w:val="3"/>
            <w:noWrap w:val="0"/>
            <w:vAlign w:val="center"/>
          </w:tcPr>
          <w:p w14:paraId="59E0F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15A56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634F1548">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61C03E71">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70DD6009">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输电线路宜避让集中林区，以减少林木砍伐，保护生态环境。</w:t>
            </w:r>
          </w:p>
        </w:tc>
        <w:tc>
          <w:tcPr>
            <w:tcW w:w="1709" w:type="pct"/>
            <w:gridSpan w:val="3"/>
            <w:noWrap w:val="0"/>
            <w:vAlign w:val="center"/>
          </w:tcPr>
          <w:p w14:paraId="046E3EC5">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不涉及</w:t>
            </w:r>
            <w:r>
              <w:rPr>
                <w:rFonts w:hint="eastAsia" w:ascii="Times New Roman" w:hAnsi="Times New Roman" w:eastAsia="宋体" w:cs="Times New Roman"/>
                <w:sz w:val="21"/>
                <w:szCs w:val="21"/>
                <w:highlight w:val="none"/>
              </w:rPr>
              <w:t>集中林区</w:t>
            </w:r>
            <w:r>
              <w:rPr>
                <w:rFonts w:hint="eastAsia" w:ascii="Times New Roman" w:hAnsi="Times New Roman" w:eastAsia="宋体" w:cs="Times New Roman"/>
                <w:sz w:val="21"/>
                <w:szCs w:val="21"/>
                <w:highlight w:val="none"/>
                <w:lang w:eastAsia="zh-CN"/>
              </w:rPr>
              <w:t>。</w:t>
            </w:r>
          </w:p>
        </w:tc>
        <w:tc>
          <w:tcPr>
            <w:tcW w:w="477" w:type="pct"/>
            <w:gridSpan w:val="3"/>
            <w:noWrap w:val="0"/>
            <w:vAlign w:val="center"/>
          </w:tcPr>
          <w:p w14:paraId="22E59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14F71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5333514D">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19A2F7D2">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z w:val="21"/>
                <w:szCs w:val="21"/>
                <w:highlight w:val="none"/>
              </w:rPr>
            </w:pPr>
          </w:p>
        </w:tc>
        <w:tc>
          <w:tcPr>
            <w:tcW w:w="2039" w:type="pct"/>
            <w:gridSpan w:val="6"/>
            <w:noWrap w:val="0"/>
            <w:vAlign w:val="center"/>
          </w:tcPr>
          <w:p w14:paraId="6A18115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进入自然保护区的输电线路，应按照HJ19的要求开展生态环境现状调查，避让保护对象的集中分布区。</w:t>
            </w:r>
          </w:p>
        </w:tc>
        <w:tc>
          <w:tcPr>
            <w:tcW w:w="1709" w:type="pct"/>
            <w:gridSpan w:val="3"/>
            <w:noWrap w:val="0"/>
            <w:vAlign w:val="center"/>
          </w:tcPr>
          <w:p w14:paraId="569DB0EC">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本工程不涉及自然保护区。</w:t>
            </w:r>
          </w:p>
        </w:tc>
        <w:tc>
          <w:tcPr>
            <w:tcW w:w="477" w:type="pct"/>
            <w:gridSpan w:val="3"/>
            <w:noWrap w:val="0"/>
            <w:vAlign w:val="center"/>
          </w:tcPr>
          <w:p w14:paraId="697BCB1E">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符合</w:t>
            </w:r>
          </w:p>
        </w:tc>
      </w:tr>
      <w:tr w14:paraId="3E24C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restart"/>
            <w:noWrap w:val="0"/>
            <w:vAlign w:val="center"/>
          </w:tcPr>
          <w:p w14:paraId="04E4EA48">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2</w:t>
            </w:r>
          </w:p>
        </w:tc>
        <w:tc>
          <w:tcPr>
            <w:tcW w:w="521" w:type="pct"/>
            <w:gridSpan w:val="4"/>
            <w:vMerge w:val="restart"/>
            <w:noWrap w:val="0"/>
            <w:vAlign w:val="center"/>
          </w:tcPr>
          <w:p w14:paraId="26BB4C34">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设计</w:t>
            </w:r>
          </w:p>
        </w:tc>
        <w:tc>
          <w:tcPr>
            <w:tcW w:w="2039" w:type="pct"/>
            <w:gridSpan w:val="6"/>
            <w:noWrap w:val="0"/>
            <w:vAlign w:val="center"/>
          </w:tcPr>
          <w:p w14:paraId="49D373B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7"/>
                <w:sz w:val="21"/>
                <w:szCs w:val="21"/>
              </w:rPr>
              <w:t>输电线路进入自然保护区实验区、饮</w:t>
            </w:r>
            <w:r>
              <w:rPr>
                <w:rFonts w:hint="default" w:ascii="Times New Roman" w:hAnsi="Times New Roman" w:eastAsia="宋体" w:cs="Times New Roman"/>
                <w:spacing w:val="7"/>
                <w:sz w:val="21"/>
                <w:szCs w:val="21"/>
              </w:rPr>
              <w:t>用水水源二级保护区等环境敏感区</w:t>
            </w:r>
            <w:r>
              <w:rPr>
                <w:rFonts w:hint="default" w:ascii="Times New Roman" w:hAnsi="Times New Roman" w:eastAsia="宋体" w:cs="Times New Roman"/>
                <w:spacing w:val="-7"/>
                <w:sz w:val="21"/>
                <w:szCs w:val="21"/>
              </w:rPr>
              <w:t>时，应采取塔基定位避让、减少进入</w:t>
            </w:r>
            <w:r>
              <w:rPr>
                <w:rFonts w:hint="default" w:ascii="Times New Roman" w:hAnsi="Times New Roman" w:eastAsia="宋体" w:cs="Times New Roman"/>
                <w:spacing w:val="7"/>
                <w:sz w:val="21"/>
                <w:szCs w:val="21"/>
              </w:rPr>
              <w:t>长度、控制导线高度等环境保护措施，减少对环境保护对象的不利影</w:t>
            </w:r>
            <w:r>
              <w:rPr>
                <w:rFonts w:hint="default" w:ascii="Times New Roman" w:hAnsi="Times New Roman" w:eastAsia="宋体" w:cs="Times New Roman"/>
                <w:spacing w:val="-9"/>
                <w:sz w:val="21"/>
                <w:szCs w:val="21"/>
              </w:rPr>
              <w:t>响。</w:t>
            </w:r>
          </w:p>
        </w:tc>
        <w:tc>
          <w:tcPr>
            <w:tcW w:w="1709" w:type="pct"/>
            <w:gridSpan w:val="3"/>
            <w:noWrap w:val="0"/>
            <w:vAlign w:val="center"/>
          </w:tcPr>
          <w:p w14:paraId="23F6B7CB">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1"/>
                <w:sz w:val="21"/>
                <w:szCs w:val="21"/>
              </w:rPr>
              <w:t>本项目评价范围内不涉及自然保护区实验区、饮用水水源二</w:t>
            </w:r>
            <w:r>
              <w:rPr>
                <w:rFonts w:hint="default" w:ascii="Times New Roman" w:hAnsi="Times New Roman" w:eastAsia="宋体" w:cs="Times New Roman"/>
                <w:spacing w:val="-1"/>
                <w:sz w:val="21"/>
                <w:szCs w:val="21"/>
              </w:rPr>
              <w:t>级保护区等环境敏感区。</w:t>
            </w:r>
          </w:p>
        </w:tc>
        <w:tc>
          <w:tcPr>
            <w:tcW w:w="477" w:type="pct"/>
            <w:gridSpan w:val="3"/>
            <w:noWrap w:val="0"/>
            <w:vAlign w:val="center"/>
          </w:tcPr>
          <w:p w14:paraId="53CDA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5A53E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18D06D22">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73F8FD2B">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2039" w:type="pct"/>
            <w:gridSpan w:val="6"/>
            <w:noWrap w:val="0"/>
            <w:vAlign w:val="top"/>
          </w:tcPr>
          <w:p w14:paraId="026918BE">
            <w:pPr>
              <w:keepNext w:val="0"/>
              <w:keepLines w:val="0"/>
              <w:pageBreakBefore w:val="0"/>
              <w:widowControl w:val="0"/>
              <w:suppressLineNumbers w:val="0"/>
              <w:kinsoku/>
              <w:wordWrap/>
              <w:topLinePunct w:val="0"/>
              <w:bidi w:val="0"/>
              <w:adjustRightInd/>
              <w:snapToGrid/>
              <w:spacing w:before="68"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4"/>
                <w:sz w:val="21"/>
                <w:szCs w:val="21"/>
              </w:rPr>
              <w:t>输电线路设计应因地制宜选择线路</w:t>
            </w:r>
            <w:r>
              <w:rPr>
                <w:rFonts w:hint="default" w:ascii="Times New Roman" w:hAnsi="Times New Roman" w:eastAsia="宋体" w:cs="Times New Roman"/>
                <w:spacing w:val="-9"/>
                <w:sz w:val="21"/>
                <w:szCs w:val="21"/>
              </w:rPr>
              <w:t>型式、架设高度、杆塔塔型、导线参</w:t>
            </w:r>
            <w:r>
              <w:rPr>
                <w:rFonts w:hint="default" w:ascii="Times New Roman" w:hAnsi="Times New Roman" w:eastAsia="宋体" w:cs="Times New Roman"/>
                <w:spacing w:val="-17"/>
                <w:sz w:val="21"/>
                <w:szCs w:val="21"/>
              </w:rPr>
              <w:t>数、相序布置等，减少电磁环境影响。</w:t>
            </w:r>
          </w:p>
        </w:tc>
        <w:tc>
          <w:tcPr>
            <w:tcW w:w="1709" w:type="pct"/>
            <w:gridSpan w:val="3"/>
            <w:noWrap w:val="0"/>
            <w:vAlign w:val="top"/>
          </w:tcPr>
          <w:p w14:paraId="4333AD5B">
            <w:pPr>
              <w:keepNext w:val="0"/>
              <w:keepLines w:val="0"/>
              <w:pageBreakBefore w:val="0"/>
              <w:widowControl w:val="0"/>
              <w:suppressLineNumbers w:val="0"/>
              <w:kinsoku/>
              <w:wordWrap/>
              <w:topLinePunct w:val="0"/>
              <w:bidi w:val="0"/>
              <w:adjustRightInd/>
              <w:snapToGrid/>
              <w:spacing w:before="55"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2"/>
                <w:sz w:val="21"/>
                <w:szCs w:val="21"/>
              </w:rPr>
              <w:t>本项目设计阶段即选取适宜的</w:t>
            </w:r>
            <w:r>
              <w:rPr>
                <w:rFonts w:hint="default" w:ascii="Times New Roman" w:hAnsi="Times New Roman" w:eastAsia="宋体" w:cs="Times New Roman"/>
                <w:spacing w:val="-12"/>
                <w:sz w:val="21"/>
                <w:szCs w:val="21"/>
              </w:rPr>
              <w:t>杆塔等，以减少电磁环境影响。</w:t>
            </w:r>
            <w:r>
              <w:rPr>
                <w:rFonts w:hint="default" w:ascii="Times New Roman" w:hAnsi="Times New Roman" w:eastAsia="宋体" w:cs="Times New Roman"/>
                <w:spacing w:val="-3"/>
                <w:sz w:val="21"/>
                <w:szCs w:val="21"/>
              </w:rPr>
              <w:t>输电线路型式、架设高度、杆</w:t>
            </w:r>
            <w:r>
              <w:rPr>
                <w:rFonts w:hint="default" w:ascii="Times New Roman" w:hAnsi="Times New Roman" w:eastAsia="宋体" w:cs="Times New Roman"/>
                <w:spacing w:val="-2"/>
                <w:sz w:val="21"/>
                <w:szCs w:val="21"/>
              </w:rPr>
              <w:t>塔塔型、导线参数、相序布置</w:t>
            </w:r>
            <w:r>
              <w:rPr>
                <w:rFonts w:hint="default" w:ascii="Times New Roman" w:hAnsi="Times New Roman" w:eastAsia="宋体" w:cs="Times New Roman"/>
                <w:spacing w:val="-6"/>
                <w:sz w:val="21"/>
                <w:szCs w:val="21"/>
              </w:rPr>
              <w:t>等均满足相关要求。</w:t>
            </w:r>
          </w:p>
        </w:tc>
        <w:tc>
          <w:tcPr>
            <w:tcW w:w="477" w:type="pct"/>
            <w:gridSpan w:val="3"/>
            <w:noWrap w:val="0"/>
            <w:vAlign w:val="center"/>
          </w:tcPr>
          <w:p w14:paraId="21221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40A32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41869FD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2A3AD008">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2039" w:type="pct"/>
            <w:gridSpan w:val="6"/>
            <w:noWrap w:val="0"/>
            <w:vAlign w:val="top"/>
          </w:tcPr>
          <w:p w14:paraId="16DEAD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7"/>
                <w:sz w:val="21"/>
                <w:szCs w:val="21"/>
              </w:rPr>
              <w:t>架空输电线路经过电磁环境敏感目</w:t>
            </w:r>
            <w:r>
              <w:rPr>
                <w:rFonts w:hint="default" w:ascii="Times New Roman" w:hAnsi="Times New Roman" w:eastAsia="宋体" w:cs="Times New Roman"/>
                <w:spacing w:val="-7"/>
                <w:sz w:val="21"/>
                <w:szCs w:val="21"/>
              </w:rPr>
              <w:t>标时，应采取避让或增加导线对地高</w:t>
            </w:r>
            <w:r>
              <w:rPr>
                <w:rFonts w:hint="default" w:ascii="Times New Roman" w:hAnsi="Times New Roman" w:eastAsia="宋体" w:cs="Times New Roman"/>
                <w:spacing w:val="-2"/>
                <w:sz w:val="21"/>
                <w:szCs w:val="21"/>
              </w:rPr>
              <w:t>度等措施，减少电磁环境影响。</w:t>
            </w:r>
          </w:p>
        </w:tc>
        <w:tc>
          <w:tcPr>
            <w:tcW w:w="1709" w:type="pct"/>
            <w:gridSpan w:val="3"/>
            <w:noWrap w:val="0"/>
            <w:vAlign w:val="top"/>
          </w:tcPr>
          <w:p w14:paraId="7E073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cs="Times New Roman"/>
                <w:color w:val="000000" w:themeColor="text1"/>
                <w:sz w:val="21"/>
                <w:szCs w:val="21"/>
                <w:highlight w:val="none"/>
                <w14:textFill>
                  <w14:solidFill>
                    <w14:schemeClr w14:val="tx1"/>
                  </w14:solidFill>
                </w14:textFill>
              </w:rPr>
              <w:t>本工程</w:t>
            </w:r>
            <w:r>
              <w:rPr>
                <w:rFonts w:hint="eastAsia" w:cs="Times New Roman"/>
                <w:color w:val="000000" w:themeColor="text1"/>
                <w:sz w:val="21"/>
                <w:szCs w:val="21"/>
                <w:highlight w:val="none"/>
                <w:lang w:val="en-US" w:eastAsia="zh-CN"/>
                <w14:textFill>
                  <w14:solidFill>
                    <w14:schemeClr w14:val="tx1"/>
                  </w14:solidFill>
                </w14:textFill>
              </w:rPr>
              <w:t>线路选线已尽可能</w:t>
            </w:r>
            <w:r>
              <w:rPr>
                <w:rFonts w:hint="default" w:ascii="Times New Roman" w:hAnsi="Times New Roman" w:cs="Times New Roman"/>
                <w:color w:val="000000" w:themeColor="text1"/>
                <w:sz w:val="21"/>
                <w:szCs w:val="21"/>
                <w:highlight w:val="none"/>
                <w14:textFill>
                  <w14:solidFill>
                    <w14:schemeClr w14:val="tx1"/>
                  </w14:solidFill>
                </w14:textFill>
              </w:rPr>
              <w:t>避让电磁环境敏感目标。</w:t>
            </w:r>
          </w:p>
        </w:tc>
        <w:tc>
          <w:tcPr>
            <w:tcW w:w="477" w:type="pct"/>
            <w:gridSpan w:val="3"/>
            <w:noWrap w:val="0"/>
            <w:vAlign w:val="center"/>
          </w:tcPr>
          <w:p w14:paraId="6EA8F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734EA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40EDB63D">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40E4C6B0">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2039" w:type="pct"/>
            <w:gridSpan w:val="6"/>
            <w:noWrap w:val="0"/>
            <w:vAlign w:val="top"/>
          </w:tcPr>
          <w:p w14:paraId="75D92139">
            <w:pPr>
              <w:keepNext w:val="0"/>
              <w:keepLines w:val="0"/>
              <w:pageBreakBefore w:val="0"/>
              <w:widowControl w:val="0"/>
              <w:suppressLineNumbers w:val="0"/>
              <w:kinsoku/>
              <w:wordWrap/>
              <w:topLinePunct w:val="0"/>
              <w:bidi w:val="0"/>
              <w:adjustRightInd/>
              <w:snapToGrid/>
              <w:spacing w:before="174" w:beforeAutospacing="0" w:after="0" w:afterAutospacing="0" w:line="360" w:lineRule="exact"/>
              <w:ind w:left="0" w:leftChars="0" w:right="34" w:rightChars="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7"/>
                <w:sz w:val="21"/>
                <w:szCs w:val="21"/>
              </w:rPr>
              <w:t>输变电建设项目在设计过程中应按</w:t>
            </w:r>
            <w:r>
              <w:rPr>
                <w:rFonts w:hint="default" w:ascii="Times New Roman" w:hAnsi="Times New Roman" w:eastAsia="宋体" w:cs="Times New Roman"/>
                <w:spacing w:val="-7"/>
                <w:sz w:val="21"/>
                <w:szCs w:val="21"/>
              </w:rPr>
              <w:t>照避让、减缓、恢复的次序提出生态</w:t>
            </w:r>
            <w:r>
              <w:rPr>
                <w:rFonts w:hint="default" w:ascii="Times New Roman" w:hAnsi="Times New Roman" w:eastAsia="宋体" w:cs="Times New Roman"/>
                <w:spacing w:val="-2"/>
                <w:sz w:val="21"/>
                <w:szCs w:val="21"/>
              </w:rPr>
              <w:t>影响防护与恢复的措施。</w:t>
            </w:r>
          </w:p>
        </w:tc>
        <w:tc>
          <w:tcPr>
            <w:tcW w:w="1709" w:type="pct"/>
            <w:gridSpan w:val="3"/>
            <w:noWrap w:val="0"/>
            <w:vAlign w:val="top"/>
          </w:tcPr>
          <w:p w14:paraId="12C7A560">
            <w:pPr>
              <w:keepNext w:val="0"/>
              <w:keepLines w:val="0"/>
              <w:pageBreakBefore w:val="0"/>
              <w:widowControl w:val="0"/>
              <w:suppressLineNumbers w:val="0"/>
              <w:kinsoku/>
              <w:wordWrap/>
              <w:topLinePunct w:val="0"/>
              <w:bidi w:val="0"/>
              <w:adjustRightInd/>
              <w:snapToGrid/>
              <w:spacing w:before="174" w:beforeAutospacing="0" w:after="0" w:afterAutospacing="0" w:line="360" w:lineRule="exact"/>
              <w:ind w:left="0" w:leftChars="0" w:right="27" w:rightChars="0" w:firstLine="0" w:firstLineChars="0"/>
              <w:jc w:val="left"/>
              <w:textAlignment w:val="auto"/>
              <w:rPr>
                <w:rFonts w:hint="eastAsia" w:ascii="Times New Roman" w:hAnsi="Times New Roman" w:eastAsia="宋体" w:cs="Times New Roman"/>
                <w:bCs/>
                <w:color w:val="000000"/>
                <w:kern w:val="2"/>
                <w:sz w:val="21"/>
                <w:szCs w:val="21"/>
                <w:highlight w:val="none"/>
                <w:shd w:val="clear" w:color="auto" w:fill="auto"/>
                <w:lang w:val="en-US" w:eastAsia="zh-CN" w:bidi="ar-SA"/>
              </w:rPr>
            </w:pPr>
            <w:r>
              <w:rPr>
                <w:rFonts w:hint="eastAsia"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经调查，</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14:textFill>
                  <w14:solidFill>
                    <w14:schemeClr w14:val="tx1"/>
                  </w14:solidFill>
                </w14:textFill>
              </w:rPr>
              <w:t>已按照避让、减缓、恢复的次序采取生态影响防护与恢复的措施。</w:t>
            </w:r>
          </w:p>
        </w:tc>
        <w:tc>
          <w:tcPr>
            <w:tcW w:w="477" w:type="pct"/>
            <w:gridSpan w:val="3"/>
            <w:noWrap w:val="0"/>
            <w:vAlign w:val="center"/>
          </w:tcPr>
          <w:p w14:paraId="7B7B0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6AB29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57E2F523">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4FCC178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2039" w:type="pct"/>
            <w:gridSpan w:val="6"/>
            <w:noWrap w:val="0"/>
            <w:vAlign w:val="top"/>
          </w:tcPr>
          <w:p w14:paraId="6F903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7"/>
                <w:sz w:val="21"/>
                <w:szCs w:val="21"/>
              </w:rPr>
              <w:t>输变电建设项目临时占地，应因地制</w:t>
            </w:r>
            <w:r>
              <w:rPr>
                <w:rFonts w:hint="default" w:ascii="Times New Roman" w:hAnsi="Times New Roman" w:eastAsia="宋体" w:cs="Times New Roman"/>
                <w:spacing w:val="-1"/>
                <w:sz w:val="21"/>
                <w:szCs w:val="21"/>
              </w:rPr>
              <w:t>宜进行土地功能恢复设计。</w:t>
            </w:r>
          </w:p>
        </w:tc>
        <w:tc>
          <w:tcPr>
            <w:tcW w:w="1709" w:type="pct"/>
            <w:gridSpan w:val="3"/>
            <w:noWrap w:val="0"/>
            <w:vAlign w:val="top"/>
          </w:tcPr>
          <w:p w14:paraId="31151E5C">
            <w:pPr>
              <w:keepNext w:val="0"/>
              <w:keepLines w:val="0"/>
              <w:pageBreakBefore w:val="0"/>
              <w:widowControl w:val="0"/>
              <w:suppressLineNumbers w:val="0"/>
              <w:kinsoku/>
              <w:wordWrap/>
              <w:topLinePunct w:val="0"/>
              <w:bidi w:val="0"/>
              <w:adjustRightInd/>
              <w:snapToGrid/>
              <w:spacing w:before="59"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highlight w:val="none"/>
                <w:shd w:val="clear" w:color="auto" w:fill="auto"/>
                <w:lang w:val="en-US" w:eastAsia="zh-CN" w:bidi="ar-SA"/>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本项目</w:t>
            </w: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已对</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临时</w:t>
            </w: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占地进行恢复，恢复至原生态、</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土地功能。</w:t>
            </w:r>
          </w:p>
        </w:tc>
        <w:tc>
          <w:tcPr>
            <w:tcW w:w="477" w:type="pct"/>
            <w:gridSpan w:val="3"/>
            <w:noWrap w:val="0"/>
            <w:vAlign w:val="center"/>
          </w:tcPr>
          <w:p w14:paraId="5E523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0062E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vMerge w:val="continue"/>
            <w:noWrap w:val="0"/>
            <w:vAlign w:val="center"/>
          </w:tcPr>
          <w:p w14:paraId="1283988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521" w:type="pct"/>
            <w:gridSpan w:val="4"/>
            <w:vMerge w:val="continue"/>
            <w:noWrap w:val="0"/>
            <w:vAlign w:val="center"/>
          </w:tcPr>
          <w:p w14:paraId="305674AD">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kern w:val="2"/>
                <w:sz w:val="21"/>
                <w:szCs w:val="21"/>
                <w:shd w:val="clear" w:color="auto" w:fill="auto"/>
                <w:lang w:val="en-US" w:eastAsia="zh-CN" w:bidi="ar-SA"/>
              </w:rPr>
            </w:pPr>
          </w:p>
        </w:tc>
        <w:tc>
          <w:tcPr>
            <w:tcW w:w="2039" w:type="pct"/>
            <w:gridSpan w:val="6"/>
            <w:noWrap w:val="0"/>
            <w:vAlign w:val="top"/>
          </w:tcPr>
          <w:p w14:paraId="5C0C9816">
            <w:pPr>
              <w:keepNext w:val="0"/>
              <w:keepLines w:val="0"/>
              <w:pageBreakBefore w:val="0"/>
              <w:widowControl w:val="0"/>
              <w:suppressLineNumbers w:val="0"/>
              <w:kinsoku/>
              <w:wordWrap/>
              <w:topLinePunct w:val="0"/>
              <w:bidi w:val="0"/>
              <w:adjustRightInd/>
              <w:snapToGrid/>
              <w:spacing w:before="126"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8"/>
                <w:sz w:val="21"/>
                <w:szCs w:val="21"/>
              </w:rPr>
              <w:t>进入自然保护区的输电线路，应根据生态现状调查结果，制定相应的保护</w:t>
            </w:r>
            <w:r>
              <w:rPr>
                <w:rFonts w:hint="default" w:ascii="Times New Roman" w:hAnsi="Times New Roman" w:eastAsia="宋体" w:cs="Times New Roman"/>
                <w:spacing w:val="6"/>
                <w:sz w:val="21"/>
                <w:szCs w:val="21"/>
              </w:rPr>
              <w:t>方案。塔基定位应避让珍稀濒危物</w:t>
            </w:r>
            <w:r>
              <w:rPr>
                <w:rFonts w:hint="default" w:ascii="Times New Roman" w:hAnsi="Times New Roman" w:eastAsia="宋体" w:cs="Times New Roman"/>
                <w:spacing w:val="-5"/>
                <w:sz w:val="21"/>
                <w:szCs w:val="21"/>
              </w:rPr>
              <w:t>种、保护植物和保护动物的栖息地，</w:t>
            </w:r>
            <w:r>
              <w:rPr>
                <w:rFonts w:hint="default" w:ascii="Times New Roman" w:hAnsi="Times New Roman" w:eastAsia="宋体" w:cs="Times New Roman"/>
                <w:spacing w:val="6"/>
                <w:sz w:val="21"/>
                <w:szCs w:val="21"/>
              </w:rPr>
              <w:t>根据保护对象的特性设计相应的生</w:t>
            </w:r>
            <w:r>
              <w:rPr>
                <w:rFonts w:hint="default" w:ascii="Times New Roman" w:hAnsi="Times New Roman" w:eastAsia="宋体" w:cs="Times New Roman"/>
                <w:spacing w:val="-2"/>
                <w:sz w:val="21"/>
                <w:szCs w:val="21"/>
              </w:rPr>
              <w:t>态环境保护措施、设施等。</w:t>
            </w:r>
          </w:p>
        </w:tc>
        <w:tc>
          <w:tcPr>
            <w:tcW w:w="1709" w:type="pct"/>
            <w:gridSpan w:val="3"/>
            <w:noWrap w:val="0"/>
            <w:vAlign w:val="top"/>
          </w:tcPr>
          <w:p w14:paraId="17CD76D6">
            <w:pPr>
              <w:keepNext w:val="0"/>
              <w:keepLines w:val="0"/>
              <w:pageBreakBefore w:val="0"/>
              <w:widowControl w:val="0"/>
              <w:suppressLineNumbers w:val="0"/>
              <w:kinsoku/>
              <w:wordWrap/>
              <w:topLinePunct w:val="0"/>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sz w:val="21"/>
                <w:szCs w:val="21"/>
              </w:rPr>
            </w:pPr>
          </w:p>
          <w:p w14:paraId="1944B24A">
            <w:pPr>
              <w:keepNext w:val="0"/>
              <w:keepLines w:val="0"/>
              <w:pageBreakBefore w:val="0"/>
              <w:widowControl w:val="0"/>
              <w:suppressLineNumbers w:val="0"/>
              <w:kinsoku/>
              <w:wordWrap/>
              <w:topLinePunct w:val="0"/>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sz w:val="21"/>
                <w:szCs w:val="21"/>
              </w:rPr>
            </w:pPr>
          </w:p>
          <w:p w14:paraId="56F33AA4">
            <w:pPr>
              <w:keepNext w:val="0"/>
              <w:keepLines w:val="0"/>
              <w:pageBreakBefore w:val="0"/>
              <w:widowControl w:val="0"/>
              <w:suppressLineNumbers w:val="0"/>
              <w:kinsoku/>
              <w:wordWrap/>
              <w:topLinePunct w:val="0"/>
              <w:bidi w:val="0"/>
              <w:adjustRightInd/>
              <w:snapToGrid/>
              <w:spacing w:before="68" w:beforeAutospacing="0" w:after="0" w:afterAutospacing="0" w:line="360" w:lineRule="exact"/>
              <w:ind w:left="0" w:leftChars="0" w:right="27" w:rightChars="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1"/>
                <w:sz w:val="21"/>
                <w:szCs w:val="21"/>
              </w:rPr>
              <w:t>本项目评价范围内不涉及自然</w:t>
            </w:r>
            <w:r>
              <w:rPr>
                <w:rFonts w:hint="default" w:ascii="Times New Roman" w:hAnsi="Times New Roman" w:eastAsia="宋体" w:cs="Times New Roman"/>
                <w:spacing w:val="-2"/>
                <w:sz w:val="21"/>
                <w:szCs w:val="21"/>
              </w:rPr>
              <w:t>保护区。</w:t>
            </w:r>
          </w:p>
        </w:tc>
        <w:tc>
          <w:tcPr>
            <w:tcW w:w="477" w:type="pct"/>
            <w:gridSpan w:val="3"/>
            <w:noWrap w:val="0"/>
            <w:vAlign w:val="center"/>
          </w:tcPr>
          <w:p w14:paraId="16CE1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27B74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gridSpan w:val="2"/>
            <w:noWrap w:val="0"/>
            <w:vAlign w:val="center"/>
          </w:tcPr>
          <w:p w14:paraId="54035A7C">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3</w:t>
            </w:r>
          </w:p>
        </w:tc>
        <w:tc>
          <w:tcPr>
            <w:tcW w:w="521" w:type="pct"/>
            <w:gridSpan w:val="4"/>
            <w:noWrap w:val="0"/>
            <w:vAlign w:val="center"/>
          </w:tcPr>
          <w:p w14:paraId="77AB17F4">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运行</w:t>
            </w:r>
          </w:p>
        </w:tc>
        <w:tc>
          <w:tcPr>
            <w:tcW w:w="2039" w:type="pct"/>
            <w:gridSpan w:val="6"/>
            <w:noWrap w:val="0"/>
            <w:vAlign w:val="top"/>
          </w:tcPr>
          <w:p w14:paraId="4A866124">
            <w:pPr>
              <w:keepNext w:val="0"/>
              <w:keepLines w:val="0"/>
              <w:pageBreakBefore w:val="0"/>
              <w:widowControl w:val="0"/>
              <w:suppressLineNumbers w:val="0"/>
              <w:kinsoku/>
              <w:wordWrap/>
              <w:topLinePunct w:val="0"/>
              <w:bidi w:val="0"/>
              <w:adjustRightInd/>
              <w:snapToGrid/>
              <w:spacing w:before="0" w:beforeAutospacing="0" w:after="0" w:afterAutospacing="0" w:line="360" w:lineRule="exact"/>
              <w:ind w:left="0" w:right="0"/>
              <w:jc w:val="left"/>
              <w:textAlignment w:val="auto"/>
              <w:rPr>
                <w:rFonts w:hint="default" w:ascii="Times New Roman" w:hAnsi="Times New Roman" w:eastAsia="宋体" w:cs="Times New Roman"/>
                <w:sz w:val="21"/>
                <w:szCs w:val="21"/>
              </w:rPr>
            </w:pPr>
          </w:p>
          <w:p w14:paraId="62DDE83C">
            <w:pPr>
              <w:pStyle w:val="135"/>
              <w:keepNext w:val="0"/>
              <w:keepLines w:val="0"/>
              <w:pageBreakBefore w:val="0"/>
              <w:widowControl w:val="0"/>
              <w:suppressLineNumbers w:val="0"/>
              <w:kinsoku/>
              <w:wordWrap/>
              <w:topLinePunct w:val="0"/>
              <w:bidi w:val="0"/>
              <w:adjustRightInd/>
              <w:snapToGrid/>
              <w:spacing w:before="59" w:beforeAutospacing="0" w:after="0" w:afterAutospacing="0" w:line="360" w:lineRule="exact"/>
              <w:ind w:left="0" w:leftChars="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6"/>
                <w:sz w:val="21"/>
                <w:szCs w:val="21"/>
              </w:rPr>
              <w:t>运行期做好环境保护设施的维护</w:t>
            </w:r>
            <w:r>
              <w:rPr>
                <w:rFonts w:hint="default" w:ascii="Times New Roman" w:hAnsi="Times New Roman" w:eastAsia="宋体" w:cs="Times New Roman"/>
                <w:spacing w:val="-6"/>
                <w:sz w:val="21"/>
                <w:szCs w:val="21"/>
              </w:rPr>
              <w:t>和运行管理，加强巡查和检查，保障发</w:t>
            </w:r>
            <w:r>
              <w:rPr>
                <w:rFonts w:hint="default" w:ascii="Times New Roman" w:hAnsi="Times New Roman" w:eastAsia="宋体" w:cs="Times New Roman"/>
                <w:spacing w:val="-4"/>
                <w:sz w:val="21"/>
                <w:szCs w:val="21"/>
              </w:rPr>
              <w:t>挥环境保护作用。定期开展环境监测，</w:t>
            </w:r>
            <w:r>
              <w:rPr>
                <w:rFonts w:hint="default" w:ascii="Times New Roman" w:hAnsi="Times New Roman" w:eastAsia="宋体" w:cs="Times New Roman"/>
                <w:spacing w:val="17"/>
                <w:sz w:val="21"/>
                <w:szCs w:val="21"/>
              </w:rPr>
              <w:t>确保电磁、噪声、废水排放符合</w:t>
            </w:r>
            <w:r>
              <w:rPr>
                <w:rFonts w:hint="default" w:ascii="Times New Roman" w:hAnsi="Times New Roman" w:eastAsia="宋体" w:cs="Times New Roman"/>
                <w:spacing w:val="-4"/>
                <w:sz w:val="21"/>
                <w:szCs w:val="21"/>
              </w:rPr>
              <w:t>GB8702、GB12348、GB8978等国家标</w:t>
            </w:r>
            <w:r>
              <w:rPr>
                <w:rFonts w:hint="default" w:ascii="Times New Roman" w:hAnsi="Times New Roman" w:eastAsia="宋体" w:cs="Times New Roman"/>
                <w:spacing w:val="-6"/>
                <w:sz w:val="21"/>
                <w:szCs w:val="21"/>
              </w:rPr>
              <w:t>准要求，并及时解决公众合理的环境保</w:t>
            </w:r>
            <w:r>
              <w:rPr>
                <w:rFonts w:hint="default" w:ascii="Times New Roman" w:hAnsi="Times New Roman" w:eastAsia="宋体" w:cs="Times New Roman"/>
                <w:spacing w:val="-7"/>
                <w:sz w:val="21"/>
                <w:szCs w:val="21"/>
              </w:rPr>
              <w:t>护诉求。</w:t>
            </w:r>
          </w:p>
        </w:tc>
        <w:tc>
          <w:tcPr>
            <w:tcW w:w="1709" w:type="pct"/>
            <w:gridSpan w:val="3"/>
            <w:noWrap w:val="0"/>
            <w:vAlign w:val="top"/>
          </w:tcPr>
          <w:p w14:paraId="5FAD2372">
            <w:pPr>
              <w:pStyle w:val="135"/>
              <w:keepNext w:val="0"/>
              <w:keepLines w:val="0"/>
              <w:pageBreakBefore w:val="0"/>
              <w:widowControl w:val="0"/>
              <w:suppressLineNumbers w:val="0"/>
              <w:kinsoku/>
              <w:wordWrap/>
              <w:topLinePunct w:val="0"/>
              <w:bidi w:val="0"/>
              <w:adjustRightInd/>
              <w:snapToGrid/>
              <w:spacing w:before="44" w:beforeAutospacing="0" w:after="0" w:afterAutospacing="0" w:line="360" w:lineRule="exact"/>
              <w:ind w:left="0" w:leftChars="0" w:right="16" w:rightChars="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default" w:ascii="Times New Roman" w:hAnsi="Times New Roman" w:eastAsia="宋体" w:cs="Times New Roman"/>
                <w:spacing w:val="11"/>
                <w:sz w:val="21"/>
                <w:szCs w:val="21"/>
              </w:rPr>
              <w:t>要求建设单位运行期应做好环境</w:t>
            </w:r>
            <w:r>
              <w:rPr>
                <w:rFonts w:hint="default" w:ascii="Times New Roman" w:hAnsi="Times New Roman" w:eastAsia="宋体" w:cs="Times New Roman"/>
                <w:spacing w:val="-1"/>
                <w:sz w:val="21"/>
                <w:szCs w:val="21"/>
              </w:rPr>
              <w:t>保护设施的维护和运行管理，加强巡查和检查，保障发挥环境保护作用。定期开展环境监测，确保电磁环境影响符合</w:t>
            </w:r>
            <w:r>
              <w:rPr>
                <w:rFonts w:hint="default" w:ascii="Times New Roman" w:hAnsi="Times New Roman" w:eastAsia="宋体" w:cs="Times New Roman"/>
                <w:spacing w:val="4"/>
                <w:sz w:val="21"/>
                <w:szCs w:val="21"/>
              </w:rPr>
              <w:t>《电磁环境控制限值》(</w:t>
            </w:r>
            <w:r>
              <w:rPr>
                <w:rFonts w:hint="default" w:ascii="Times New Roman" w:hAnsi="Times New Roman" w:eastAsia="宋体" w:cs="Times New Roman"/>
                <w:sz w:val="21"/>
                <w:szCs w:val="21"/>
              </w:rPr>
              <w:t>GB</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pacing w:val="4"/>
                <w:sz w:val="21"/>
                <w:szCs w:val="21"/>
              </w:rPr>
              <w:t>8702-2014)</w:t>
            </w:r>
            <w:r>
              <w:rPr>
                <w:rFonts w:hint="default" w:ascii="Times New Roman" w:hAnsi="Times New Roman" w:eastAsia="宋体" w:cs="Times New Roman"/>
                <w:spacing w:val="2"/>
                <w:sz w:val="21"/>
                <w:szCs w:val="21"/>
              </w:rPr>
              <w:t>规定</w:t>
            </w:r>
            <w:r>
              <w:rPr>
                <w:rFonts w:hint="eastAsia" w:ascii="Times New Roman" w:hAnsi="Times New Roman" w:cs="Times New Roman"/>
                <w:spacing w:val="10"/>
                <w:sz w:val="21"/>
                <w:szCs w:val="21"/>
                <w:lang w:eastAsia="zh-CN"/>
              </w:rPr>
              <w:t>；</w:t>
            </w:r>
            <w:r>
              <w:rPr>
                <w:rFonts w:hint="default" w:ascii="Times New Roman" w:hAnsi="Times New Roman" w:eastAsia="宋体" w:cs="Times New Roman"/>
                <w:spacing w:val="10"/>
                <w:sz w:val="21"/>
                <w:szCs w:val="21"/>
              </w:rPr>
              <w:t>线路沿线声环境满足</w:t>
            </w:r>
            <w:r>
              <w:rPr>
                <w:rFonts w:hint="default" w:ascii="Times New Roman" w:hAnsi="Times New Roman" w:eastAsia="宋体" w:cs="Times New Roman"/>
                <w:spacing w:val="1"/>
                <w:sz w:val="21"/>
                <w:szCs w:val="21"/>
              </w:rPr>
              <w:t>《声环境质量标准》</w:t>
            </w:r>
            <w:r>
              <w:rPr>
                <w:rFonts w:hint="eastAsia" w:ascii="Times New Roman" w:hAnsi="Times New Roman" w:cs="Times New Roman"/>
                <w:spacing w:val="1"/>
                <w:sz w:val="21"/>
                <w:szCs w:val="21"/>
                <w:lang w:val="en-US" w:eastAsia="zh-CN"/>
              </w:rPr>
              <w:t>(</w:t>
            </w:r>
            <w:r>
              <w:rPr>
                <w:rFonts w:hint="default" w:ascii="Times New Roman" w:hAnsi="Times New Roman" w:eastAsia="宋体" w:cs="Times New Roman"/>
                <w:sz w:val="21"/>
                <w:szCs w:val="21"/>
              </w:rPr>
              <w:t>GB</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pacing w:val="1"/>
                <w:sz w:val="21"/>
                <w:szCs w:val="21"/>
              </w:rPr>
              <w:t>3096-2008</w:t>
            </w:r>
            <w:r>
              <w:rPr>
                <w:rFonts w:hint="eastAsia" w:ascii="Times New Roman" w:hAnsi="Times New Roman" w:cs="Times New Roman"/>
                <w:spacing w:val="1"/>
                <w:sz w:val="21"/>
                <w:szCs w:val="21"/>
                <w:lang w:val="en-US" w:eastAsia="zh-CN"/>
              </w:rPr>
              <w:t>)</w:t>
            </w:r>
            <w:r>
              <w:rPr>
                <w:rFonts w:hint="default" w:ascii="Times New Roman" w:hAnsi="Times New Roman" w:eastAsia="宋体" w:cs="Times New Roman"/>
                <w:spacing w:val="2"/>
                <w:sz w:val="21"/>
                <w:szCs w:val="21"/>
              </w:rPr>
              <w:t>规定</w:t>
            </w:r>
            <w:r>
              <w:rPr>
                <w:rFonts w:hint="eastAsia" w:ascii="Times New Roman" w:hAnsi="Times New Roman" w:cs="Times New Roman"/>
                <w:spacing w:val="-1"/>
                <w:sz w:val="21"/>
                <w:szCs w:val="21"/>
                <w:lang w:eastAsia="zh-CN"/>
              </w:rPr>
              <w:t>；</w:t>
            </w:r>
            <w:r>
              <w:rPr>
                <w:rFonts w:hint="eastAsia" w:ascii="Times New Roman" w:hAnsi="Times New Roman" w:eastAsia="宋体" w:cs="Times New Roman"/>
                <w:spacing w:val="10"/>
                <w:sz w:val="21"/>
                <w:szCs w:val="21"/>
                <w:lang w:val="en-US" w:eastAsia="zh-CN"/>
              </w:rPr>
              <w:t>升压站</w:t>
            </w:r>
            <w:r>
              <w:rPr>
                <w:rFonts w:hint="default" w:ascii="Times New Roman" w:hAnsi="Times New Roman" w:eastAsia="宋体" w:cs="Times New Roman"/>
                <w:spacing w:val="10"/>
                <w:sz w:val="21"/>
                <w:szCs w:val="21"/>
              </w:rPr>
              <w:t>站界</w:t>
            </w:r>
            <w:r>
              <w:rPr>
                <w:rFonts w:hint="eastAsia" w:ascii="Times New Roman" w:hAnsi="Times New Roman" w:eastAsia="宋体" w:cs="Times New Roman"/>
                <w:spacing w:val="10"/>
                <w:sz w:val="21"/>
                <w:szCs w:val="21"/>
                <w:lang w:val="en-US" w:eastAsia="zh-CN"/>
              </w:rPr>
              <w:t>噪声</w:t>
            </w:r>
            <w:r>
              <w:rPr>
                <w:rFonts w:hint="eastAsia" w:ascii="Times New Roman" w:hAnsi="Times New Roman" w:cs="Times New Roman"/>
                <w:spacing w:val="10"/>
                <w:sz w:val="21"/>
                <w:szCs w:val="21"/>
                <w:lang w:val="en-US" w:eastAsia="zh-CN"/>
              </w:rPr>
              <w:t>满足</w:t>
            </w:r>
            <w:r>
              <w:rPr>
                <w:rFonts w:hint="default" w:ascii="Times New Roman" w:hAnsi="Times New Roman" w:eastAsia="宋体" w:cs="Times New Roman"/>
                <w:spacing w:val="10"/>
                <w:sz w:val="21"/>
                <w:szCs w:val="21"/>
              </w:rPr>
              <w:t>《工业企业厂界环境噪声排放标准》</w:t>
            </w:r>
            <w:r>
              <w:rPr>
                <w:rFonts w:hint="eastAsia" w:ascii="Times New Roman" w:hAnsi="Times New Roman" w:cs="Times New Roman"/>
                <w:spacing w:val="10"/>
                <w:sz w:val="21"/>
                <w:szCs w:val="21"/>
                <w:lang w:val="en-US" w:eastAsia="zh-CN"/>
              </w:rPr>
              <w:t>(</w:t>
            </w:r>
            <w:r>
              <w:rPr>
                <w:rFonts w:hint="default" w:ascii="Times New Roman" w:hAnsi="Times New Roman" w:eastAsia="宋体" w:cs="Times New Roman"/>
                <w:spacing w:val="10"/>
                <w:sz w:val="21"/>
                <w:szCs w:val="21"/>
              </w:rPr>
              <w:t>GB</w:t>
            </w:r>
            <w:r>
              <w:rPr>
                <w:rFonts w:hint="eastAsia" w:ascii="Times New Roman" w:hAnsi="Times New Roman" w:cs="Times New Roman"/>
                <w:spacing w:val="10"/>
                <w:sz w:val="21"/>
                <w:szCs w:val="21"/>
                <w:lang w:val="en-US" w:eastAsia="zh-CN"/>
              </w:rPr>
              <w:t xml:space="preserve"> </w:t>
            </w:r>
            <w:r>
              <w:rPr>
                <w:rFonts w:hint="default" w:ascii="Times New Roman" w:hAnsi="Times New Roman" w:eastAsia="宋体" w:cs="Times New Roman"/>
                <w:spacing w:val="10"/>
                <w:sz w:val="21"/>
                <w:szCs w:val="21"/>
              </w:rPr>
              <w:t>12348-2008</w:t>
            </w:r>
            <w:r>
              <w:rPr>
                <w:rFonts w:hint="eastAsia" w:ascii="Times New Roman" w:hAnsi="Times New Roman" w:cs="Times New Roman"/>
                <w:spacing w:val="10"/>
                <w:sz w:val="21"/>
                <w:szCs w:val="21"/>
                <w:lang w:val="en-US" w:eastAsia="zh-CN"/>
              </w:rPr>
              <w:t>)</w:t>
            </w:r>
            <w:r>
              <w:rPr>
                <w:rFonts w:hint="default" w:ascii="Times New Roman" w:hAnsi="Times New Roman" w:eastAsia="宋体" w:cs="Times New Roman"/>
                <w:spacing w:val="2"/>
                <w:sz w:val="21"/>
                <w:szCs w:val="21"/>
              </w:rPr>
              <w:t>规定</w:t>
            </w:r>
            <w:r>
              <w:rPr>
                <w:rFonts w:hint="eastAsia" w:ascii="Times New Roman" w:hAnsi="Times New Roman" w:cs="Times New Roman"/>
                <w:spacing w:val="2"/>
                <w:sz w:val="21"/>
                <w:szCs w:val="21"/>
                <w:lang w:eastAsia="zh-CN"/>
              </w:rPr>
              <w:t>，</w:t>
            </w:r>
            <w:r>
              <w:rPr>
                <w:rFonts w:hint="default" w:ascii="Times New Roman" w:hAnsi="Times New Roman" w:eastAsia="宋体" w:cs="Times New Roman"/>
                <w:spacing w:val="10"/>
                <w:sz w:val="21"/>
                <w:szCs w:val="21"/>
              </w:rPr>
              <w:t>并及时</w:t>
            </w:r>
            <w:r>
              <w:rPr>
                <w:rFonts w:hint="default" w:ascii="Times New Roman" w:hAnsi="Times New Roman" w:eastAsia="宋体" w:cs="Times New Roman"/>
                <w:spacing w:val="-1"/>
                <w:sz w:val="21"/>
                <w:szCs w:val="21"/>
              </w:rPr>
              <w:t>解决公众合</w:t>
            </w:r>
            <w:r>
              <w:rPr>
                <w:rFonts w:hint="default" w:ascii="Times New Roman" w:hAnsi="Times New Roman" w:eastAsia="宋体" w:cs="Times New Roman"/>
                <w:spacing w:val="-4"/>
                <w:sz w:val="21"/>
                <w:szCs w:val="21"/>
              </w:rPr>
              <w:t>理的环境保护诉求。</w:t>
            </w:r>
          </w:p>
        </w:tc>
        <w:tc>
          <w:tcPr>
            <w:tcW w:w="477" w:type="pct"/>
            <w:gridSpan w:val="3"/>
            <w:noWrap w:val="0"/>
            <w:vAlign w:val="center"/>
          </w:tcPr>
          <w:p w14:paraId="25F817BF">
            <w:pPr>
              <w:pStyle w:val="152"/>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bCs/>
                <w:color w:val="000000"/>
                <w:kern w:val="2"/>
                <w:sz w:val="21"/>
                <w:szCs w:val="21"/>
                <w:shd w:val="clear" w:color="auto" w:fill="auto"/>
                <w:lang w:val="en-US" w:eastAsia="zh-CN" w:bidi="ar-SA"/>
              </w:rPr>
            </w:pPr>
            <w:r>
              <w:rPr>
                <w:rFonts w:hint="eastAsia" w:ascii="Times New Roman" w:hAnsi="Times New Roman" w:eastAsia="宋体" w:cs="Times New Roman"/>
                <w:bCs/>
                <w:color w:val="000000"/>
                <w:kern w:val="2"/>
                <w:sz w:val="21"/>
                <w:szCs w:val="21"/>
                <w:shd w:val="clear" w:color="auto" w:fill="auto"/>
                <w:lang w:val="en-US" w:eastAsia="zh-CN" w:bidi="ar-SA"/>
              </w:rPr>
              <w:t>符合</w:t>
            </w:r>
          </w:p>
        </w:tc>
      </w:tr>
      <w:tr w14:paraId="5D9BA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4998" w:type="pct"/>
            <w:gridSpan w:val="17"/>
            <w:noWrap w:val="0"/>
            <w:vAlign w:val="center"/>
          </w:tcPr>
          <w:p w14:paraId="0E89B1D7">
            <w:pPr>
              <w:pStyle w:val="1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480" w:firstLineChars="200"/>
              <w:jc w:val="left"/>
              <w:textAlignment w:val="auto"/>
              <w:outlineLvl w:val="9"/>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pPr>
          </w:p>
          <w:p w14:paraId="486829F8">
            <w:pPr>
              <w:pStyle w:val="127"/>
              <w:keepNext w:val="0"/>
              <w:keepLines w:val="0"/>
              <w:suppressLineNumbers w:val="0"/>
              <w:bidi w:val="0"/>
              <w:spacing w:before="0" w:beforeAutospacing="0" w:after="0" w:afterAutospacing="0"/>
              <w:ind w:left="0" w:leftChars="0" w:right="0" w:firstLine="480" w:firstLineChars="200"/>
              <w:jc w:val="left"/>
              <w:outlineLvl w:val="9"/>
              <w:rPr>
                <w:rFonts w:hint="eastAsia" w:cs="Times New Roman"/>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综上所述，本工程符合《输变电工程项目环境保护技术要求》相关技术要求。</w:t>
            </w:r>
          </w:p>
          <w:p w14:paraId="1341F33D">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1.1.8</w:t>
            </w:r>
            <w:r>
              <w:rPr>
                <w:rFonts w:hint="eastAsia" w:cs="Times New Roman"/>
                <w:color w:val="000000" w:themeColor="text1"/>
                <w14:textFill>
                  <w14:solidFill>
                    <w14:schemeClr w14:val="tx1"/>
                  </w14:solidFill>
                </w14:textFill>
              </w:rPr>
              <w:t>与生态环境分区管控</w:t>
            </w:r>
            <w:r>
              <w:rPr>
                <w:rFonts w:hint="eastAsia" w:cs="Times New Roman"/>
                <w:color w:val="000000" w:themeColor="text1"/>
                <w:lang w:val="en-US" w:eastAsia="zh-CN"/>
                <w14:textFill>
                  <w14:solidFill>
                    <w14:schemeClr w14:val="tx1"/>
                  </w14:solidFill>
                </w14:textFill>
              </w:rPr>
              <w:t>符合</w:t>
            </w:r>
            <w:r>
              <w:rPr>
                <w:rFonts w:hint="eastAsia" w:cs="Times New Roman"/>
                <w:color w:val="000000" w:themeColor="text1"/>
                <w14:textFill>
                  <w14:solidFill>
                    <w14:schemeClr w14:val="tx1"/>
                  </w14:solidFill>
                </w14:textFill>
              </w:rPr>
              <w:t>性分析</w:t>
            </w:r>
          </w:p>
          <w:p w14:paraId="4DF76C36">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b/>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t>1.</w:t>
            </w:r>
            <w:r>
              <w:rPr>
                <w:rFonts w:hint="eastAsia" w:cs="Times New Roman"/>
                <w:b/>
                <w:bCs w:val="0"/>
                <w:color w:val="000000" w:themeColor="text1"/>
                <w:kern w:val="0"/>
                <w:sz w:val="24"/>
                <w:szCs w:val="24"/>
                <w:lang w:val="en-US" w:eastAsia="zh-CN" w:bidi="ar-SA"/>
                <w14:textFill>
                  <w14:solidFill>
                    <w14:schemeClr w14:val="tx1"/>
                  </w14:solidFill>
                </w14:textFill>
              </w:rPr>
              <w:t>1.8</w:t>
            </w:r>
            <w:r>
              <w:rPr>
                <w:rFonts w:hint="eastAsia"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t>.</w:t>
            </w:r>
            <w:r>
              <w:rPr>
                <w:rFonts w:hint="eastAsia" w:cs="Times New Roman"/>
                <w:b/>
                <w:bCs w:val="0"/>
                <w:color w:val="000000" w:themeColor="text1"/>
                <w:kern w:val="0"/>
                <w:sz w:val="24"/>
                <w:szCs w:val="24"/>
                <w:lang w:val="en-US" w:eastAsia="zh-CN" w:bidi="ar-SA"/>
                <w14:textFill>
                  <w14:solidFill>
                    <w14:schemeClr w14:val="tx1"/>
                  </w14:solidFill>
                </w14:textFill>
              </w:rPr>
              <w:t>1与</w:t>
            </w:r>
            <w:r>
              <w:rPr>
                <w:rFonts w:ascii="Times New Roman" w:hAnsi="Times New Roman" w:eastAsia="宋体" w:cs="Times New Roman"/>
                <w:spacing w:val="-5"/>
                <w:sz w:val="24"/>
                <w:szCs w:val="24"/>
              </w:rPr>
              <w:t>《新疆维吾尔自治区生态环境分区管控动态更新成果》</w:t>
            </w:r>
            <w:r>
              <w:rPr>
                <w:rFonts w:hint="eastAsia" w:ascii="Times New Roman" w:hAnsi="Times New Roman" w:eastAsia="宋体" w:cs="Times New Roman"/>
                <w:b/>
                <w:bCs/>
                <w:color w:val="000000"/>
                <w:spacing w:val="-5"/>
                <w:kern w:val="2"/>
                <w:sz w:val="24"/>
                <w:szCs w:val="24"/>
                <w:lang w:val="en-US" w:eastAsia="zh-CN" w:bidi="ar-SA"/>
              </w:rPr>
              <w:t>符合</w:t>
            </w:r>
            <w:r>
              <w:rPr>
                <w:rFonts w:hint="eastAsia" w:cs="Times New Roman"/>
                <w:b/>
                <w:bCs w:val="0"/>
                <w:color w:val="000000" w:themeColor="text1"/>
                <w:kern w:val="0"/>
                <w:sz w:val="24"/>
                <w:szCs w:val="24"/>
                <w:lang w:val="en-US" w:eastAsia="zh-CN" w:bidi="ar-SA"/>
                <w14:textFill>
                  <w14:solidFill>
                    <w14:schemeClr w14:val="tx1"/>
                  </w14:solidFill>
                </w14:textFill>
              </w:rPr>
              <w:t>性分析</w:t>
            </w:r>
          </w:p>
          <w:p w14:paraId="30EB1AF7">
            <w:pPr>
              <w:pStyle w:val="127"/>
              <w:keepNext w:val="0"/>
              <w:keepLines w:val="0"/>
              <w:suppressLineNumbers w:val="0"/>
              <w:bidi w:val="0"/>
              <w:spacing w:before="0" w:beforeAutospacing="0" w:after="0" w:afterAutospacing="0"/>
              <w:ind w:left="0" w:leftChars="0" w:right="0" w:firstLine="480" w:firstLineChars="200"/>
              <w:outlineLvl w:val="9"/>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t>2024年11月，新疆维吾尔自治区生态环境厅发布了《关于印发〈新疆维吾尔自治区生态环境分区管控动态更新成果＞的通知》（新环环评发〔2024〕157号），与其符合性分析内容见</w:t>
            </w:r>
            <w:r>
              <w:rPr>
                <w:rFonts w:hint="eastAsia" w:ascii="Times New Roman" w:hAnsi="Times New Roman" w:eastAsia="宋体" w:cs="Times New Roman"/>
                <w:b w:val="0"/>
                <w:bCs w:val="0"/>
                <w:sz w:val="24"/>
                <w:szCs w:val="24"/>
                <w:lang w:val="en-US" w:eastAsia="zh-CN"/>
              </w:rPr>
              <w:t>下</w:t>
            </w:r>
            <w:r>
              <w:rPr>
                <w:rFonts w:ascii="Times New Roman" w:hAnsi="Times New Roman" w:eastAsia="宋体" w:cs="Times New Roman"/>
                <w:b w:val="0"/>
                <w:bCs w:val="0"/>
                <w:sz w:val="24"/>
                <w:szCs w:val="24"/>
              </w:rPr>
              <w:t>表。</w:t>
            </w:r>
          </w:p>
          <w:p w14:paraId="18307BA2">
            <w:pPr>
              <w:pStyle w:val="127"/>
              <w:keepNext w:val="0"/>
              <w:keepLines w:val="0"/>
              <w:suppressLineNumbers w:val="0"/>
              <w:bidi w:val="0"/>
              <w:spacing w:before="0" w:beforeAutospacing="0" w:after="0" w:afterAutospacing="0"/>
              <w:ind w:left="0" w:leftChars="0" w:right="0" w:firstLine="480" w:firstLineChars="200"/>
              <w:outlineLvl w:val="9"/>
              <w:rPr>
                <w:rFonts w:ascii="Times New Roman" w:hAnsi="Times New Roman" w:eastAsia="宋体" w:cs="Times New Roman"/>
                <w:b w:val="0"/>
                <w:bCs w:val="0"/>
                <w:sz w:val="24"/>
                <w:szCs w:val="24"/>
              </w:rPr>
            </w:pPr>
          </w:p>
          <w:p w14:paraId="7C9AD360">
            <w:pPr>
              <w:pStyle w:val="127"/>
              <w:keepNext w:val="0"/>
              <w:keepLines w:val="0"/>
              <w:suppressLineNumbers w:val="0"/>
              <w:bidi w:val="0"/>
              <w:spacing w:before="0" w:beforeAutospacing="0" w:after="0" w:afterAutospacing="0"/>
              <w:ind w:left="0" w:leftChars="0" w:right="0" w:firstLine="0" w:firstLineChars="0"/>
              <w:jc w:val="center"/>
              <w:outlineLvl w:val="9"/>
              <w:rPr>
                <w:rFonts w:hint="eastAsia" w:cs="Times New Roman"/>
                <w:b/>
                <w:bCs/>
                <w:color w:val="000000" w:themeColor="text1"/>
                <w14:textFill>
                  <w14:solidFill>
                    <w14:schemeClr w14:val="tx1"/>
                  </w14:solidFill>
                </w14:textFill>
              </w:rPr>
            </w:pPr>
            <w:r>
              <w:rPr>
                <w:rFonts w:hint="eastAsia" w:eastAsia="黑体" w:cs="Times New Roman"/>
                <w:b/>
                <w:bCs/>
                <w:color w:val="000000" w:themeColor="text1"/>
                <w:sz w:val="24"/>
                <w14:textFill>
                  <w14:solidFill>
                    <w14:schemeClr w14:val="tx1"/>
                  </w14:solidFill>
                </w14:textFill>
              </w:rPr>
              <w:t>表</w:t>
            </w:r>
            <w:r>
              <w:rPr>
                <w:rFonts w:hint="eastAsia" w:eastAsia="黑体" w:cs="Times New Roman"/>
                <w:b/>
                <w:bCs/>
                <w:color w:val="000000" w:themeColor="text1"/>
                <w:sz w:val="24"/>
                <w:lang w:val="en-US" w:eastAsia="zh-CN"/>
                <w14:textFill>
                  <w14:solidFill>
                    <w14:schemeClr w14:val="tx1"/>
                  </w14:solidFill>
                </w14:textFill>
              </w:rPr>
              <w:t>1-3</w:t>
            </w:r>
            <w:r>
              <w:rPr>
                <w:rFonts w:hint="eastAsia" w:ascii="Times New Roman" w:hAnsi="Times New Roman" w:eastAsia="黑体" w:cs="Times New Roman"/>
                <w:b/>
                <w:bCs/>
                <w:color w:val="000000" w:themeColor="text1"/>
                <w:sz w:val="24"/>
                <w:lang w:val="en-US" w:eastAsia="zh-CN"/>
                <w14:textFill>
                  <w14:solidFill>
                    <w14:schemeClr w14:val="tx1"/>
                  </w14:solidFill>
                </w14:textFill>
              </w:rPr>
              <w:t xml:space="preserve"> 与</w:t>
            </w:r>
            <w:r>
              <w:rPr>
                <w:rFonts w:hint="eastAsia" w:ascii="Times New Roman" w:hAnsi="Times New Roman" w:eastAsia="黑体" w:cs="Times New Roman"/>
                <w:b/>
                <w:bCs/>
                <w:color w:val="000000" w:themeColor="text1"/>
                <w:sz w:val="24"/>
                <w14:textFill>
                  <w14:solidFill>
                    <w14:schemeClr w14:val="tx1"/>
                  </w14:solidFill>
                </w14:textFill>
              </w:rPr>
              <w:t>《新疆维吾尔自治区生态环境分区管控动态更新成果》（摘选涉及部分）相符性分析</w:t>
            </w:r>
          </w:p>
        </w:tc>
      </w:tr>
      <w:tr w14:paraId="06B65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700" w:type="pct"/>
            <w:gridSpan w:val="4"/>
            <w:noWrap w:val="0"/>
            <w:vAlign w:val="center"/>
          </w:tcPr>
          <w:p w14:paraId="4F924D3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shd w:val="clear" w:color="auto" w:fill="auto"/>
                <w14:textFill>
                  <w14:solidFill>
                    <w14:schemeClr w14:val="tx1"/>
                  </w14:solidFill>
                </w14:textFill>
              </w:rPr>
              <w:t>管控</w:t>
            </w:r>
            <w:r>
              <w:rPr>
                <w:rFonts w:hint="eastAsia" w:ascii="Times New Roman" w:hAnsi="Times New Roman" w:eastAsia="宋体" w:cs="Times New Roman"/>
                <w:b w:val="0"/>
                <w:bCs w:val="0"/>
                <w:color w:val="000000" w:themeColor="text1"/>
                <w:sz w:val="21"/>
                <w:szCs w:val="21"/>
                <w:shd w:val="clear" w:color="auto" w:fill="auto"/>
                <w:lang w:val="en-US" w:eastAsia="zh-CN"/>
                <w14:textFill>
                  <w14:solidFill>
                    <w14:schemeClr w14:val="tx1"/>
                  </w14:solidFill>
                </w14:textFill>
              </w:rPr>
              <w:t>纬度</w:t>
            </w:r>
          </w:p>
        </w:tc>
        <w:tc>
          <w:tcPr>
            <w:tcW w:w="1973" w:type="pct"/>
            <w:gridSpan w:val="6"/>
            <w:noWrap w:val="0"/>
            <w:vAlign w:val="center"/>
          </w:tcPr>
          <w:p w14:paraId="5504F1B4">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shd w:val="clear" w:color="auto" w:fill="auto"/>
                <w14:textFill>
                  <w14:solidFill>
                    <w14:schemeClr w14:val="tx1"/>
                  </w14:solidFill>
                </w14:textFill>
              </w:rPr>
              <w:t>管控要求</w:t>
            </w:r>
          </w:p>
        </w:tc>
        <w:tc>
          <w:tcPr>
            <w:tcW w:w="1847" w:type="pct"/>
            <w:gridSpan w:val="4"/>
            <w:noWrap w:val="0"/>
            <w:vAlign w:val="center"/>
          </w:tcPr>
          <w:p w14:paraId="52E39AC5">
            <w:pPr>
              <w:pStyle w:val="11"/>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shd w:val="clear" w:color="auto" w:fill="auto"/>
                <w:lang w:val="en-US" w:eastAsia="zh-CN"/>
                <w14:textFill>
                  <w14:solidFill>
                    <w14:schemeClr w14:val="tx1"/>
                  </w14:solidFill>
                </w14:textFill>
              </w:rPr>
              <w:t>符合性分析</w:t>
            </w:r>
          </w:p>
        </w:tc>
        <w:tc>
          <w:tcPr>
            <w:tcW w:w="477" w:type="pct"/>
            <w:gridSpan w:val="3"/>
            <w:noWrap w:val="0"/>
            <w:vAlign w:val="center"/>
          </w:tcPr>
          <w:p w14:paraId="6A1E6070">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shd w:val="clear" w:color="auto" w:fill="auto"/>
                <w14:textFill>
                  <w14:solidFill>
                    <w14:schemeClr w14:val="tx1"/>
                  </w14:solidFill>
                </w14:textFill>
              </w:rPr>
              <w:t>是否符合</w:t>
            </w:r>
          </w:p>
        </w:tc>
      </w:tr>
      <w:tr w14:paraId="06CE7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restart"/>
            <w:noWrap w:val="0"/>
            <w:vAlign w:val="center"/>
          </w:tcPr>
          <w:p w14:paraId="1BCC7A90">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A1空间布局约束</w:t>
            </w:r>
          </w:p>
        </w:tc>
        <w:tc>
          <w:tcPr>
            <w:tcW w:w="425" w:type="pct"/>
            <w:gridSpan w:val="2"/>
            <w:vMerge w:val="restart"/>
            <w:noWrap w:val="0"/>
            <w:vAlign w:val="center"/>
          </w:tcPr>
          <w:p w14:paraId="39786117">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A1.1禁止开发建设的活动</w:t>
            </w:r>
          </w:p>
        </w:tc>
        <w:tc>
          <w:tcPr>
            <w:tcW w:w="1973" w:type="pct"/>
            <w:gridSpan w:val="6"/>
            <w:noWrap w:val="0"/>
            <w:vAlign w:val="center"/>
          </w:tcPr>
          <w:p w14:paraId="718AE78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A1.1-1</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禁止新建、扩建《产业结构调整指导目录（2024年本）》中淘汰类项目。禁止引入《市场准入负面清单（2022年版）》禁止准入类事项。</w:t>
            </w:r>
          </w:p>
        </w:tc>
        <w:tc>
          <w:tcPr>
            <w:tcW w:w="1847" w:type="pct"/>
            <w:gridSpan w:val="4"/>
            <w:noWrap w:val="0"/>
            <w:vAlign w:val="center"/>
          </w:tcPr>
          <w:p w14:paraId="4563F46E">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2"/>
                <w:sz w:val="21"/>
                <w:szCs w:val="21"/>
                <w:highlight w:val="none"/>
                <w:lang w:val="en-US" w:eastAsia="zh-CN" w:bidi="ar-SA"/>
              </w:rPr>
              <w:t>本项目属于《产业结构调整指导目录（2024年本）》中</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鼓励类项目</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且</w:t>
            </w:r>
            <w:r>
              <w:rPr>
                <w:rFonts w:hint="default" w:ascii="Times New Roman" w:hAnsi="Times New Roman" w:eastAsia="宋体" w:cs="Times New Roman"/>
                <w:b w:val="0"/>
                <w:bCs w:val="0"/>
                <w:sz w:val="21"/>
                <w:szCs w:val="21"/>
              </w:rPr>
              <w:t>也不属于《关于印发</w:t>
            </w:r>
            <w:r>
              <w:rPr>
                <w:rFonts w:hint="eastAsia" w:ascii="Times New Roman" w:hAnsi="Times New Roman" w:eastAsia="宋体" w:cs="Times New Roman"/>
                <w:b w:val="0"/>
                <w:bCs w:val="0"/>
                <w:sz w:val="21"/>
                <w:szCs w:val="21"/>
                <w:lang w:val="en-US" w:eastAsia="zh-CN"/>
              </w:rPr>
              <w:t>&lt;</w:t>
            </w:r>
            <w:r>
              <w:rPr>
                <w:rFonts w:hint="default" w:ascii="Times New Roman" w:hAnsi="Times New Roman" w:eastAsia="宋体" w:cs="Times New Roman"/>
                <w:b w:val="0"/>
                <w:bCs w:val="0"/>
                <w:sz w:val="21"/>
                <w:szCs w:val="21"/>
              </w:rPr>
              <w:t>市场准入负面清单（2022年版）</w:t>
            </w:r>
            <w:r>
              <w:rPr>
                <w:rFonts w:hint="eastAsia" w:ascii="Times New Roman" w:hAnsi="Times New Roman" w:eastAsia="宋体" w:cs="Times New Roman"/>
                <w:b w:val="0"/>
                <w:bCs w:val="0"/>
                <w:sz w:val="21"/>
                <w:szCs w:val="21"/>
                <w:lang w:val="en-US" w:eastAsia="zh-CN"/>
              </w:rPr>
              <w:t>&gt;</w:t>
            </w:r>
            <w:r>
              <w:rPr>
                <w:rFonts w:hint="default" w:ascii="Times New Roman" w:hAnsi="Times New Roman" w:eastAsia="宋体" w:cs="Times New Roman"/>
                <w:b w:val="0"/>
                <w:bCs w:val="0"/>
                <w:sz w:val="21"/>
                <w:szCs w:val="21"/>
              </w:rPr>
              <w:t>的通知》（发改体改规〔2022〕397号）中的禁止类。</w:t>
            </w:r>
          </w:p>
        </w:tc>
        <w:tc>
          <w:tcPr>
            <w:tcW w:w="477" w:type="pct"/>
            <w:gridSpan w:val="3"/>
            <w:noWrap w:val="0"/>
            <w:vAlign w:val="center"/>
          </w:tcPr>
          <w:p w14:paraId="6CA13CCD">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3FAB5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2D007AC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p>
        </w:tc>
        <w:tc>
          <w:tcPr>
            <w:tcW w:w="425" w:type="pct"/>
            <w:gridSpan w:val="2"/>
            <w:vMerge w:val="continue"/>
            <w:noWrap w:val="0"/>
            <w:vAlign w:val="center"/>
          </w:tcPr>
          <w:p w14:paraId="709AA927">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p>
        </w:tc>
        <w:tc>
          <w:tcPr>
            <w:tcW w:w="1973" w:type="pct"/>
            <w:gridSpan w:val="6"/>
            <w:noWrap w:val="0"/>
            <w:vAlign w:val="center"/>
          </w:tcPr>
          <w:p w14:paraId="2EC33782">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A1.1-2</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禁止建设不符合国家和自治区环境保护标准的项目。</w:t>
            </w:r>
          </w:p>
        </w:tc>
        <w:tc>
          <w:tcPr>
            <w:tcW w:w="1847" w:type="pct"/>
            <w:gridSpan w:val="4"/>
            <w:noWrap w:val="0"/>
            <w:vAlign w:val="center"/>
          </w:tcPr>
          <w:p w14:paraId="37172CF4">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本项目</w:t>
            </w:r>
            <w:r>
              <w:rPr>
                <w:rFonts w:hint="eastAsia" w:ascii="Times New Roman" w:hAnsi="Times New Roman" w:eastAsia="宋体" w:cs="Times New Roman"/>
                <w:b w:val="0"/>
                <w:bCs w:val="0"/>
                <w:sz w:val="21"/>
                <w:szCs w:val="21"/>
                <w:lang w:val="en-US" w:eastAsia="zh-CN"/>
              </w:rPr>
              <w:t>运营</w:t>
            </w:r>
            <w:r>
              <w:rPr>
                <w:rFonts w:hint="default" w:ascii="Times New Roman" w:hAnsi="Times New Roman" w:eastAsia="宋体" w:cs="Times New Roman"/>
                <w:b w:val="0"/>
                <w:bCs w:val="0"/>
                <w:sz w:val="21"/>
                <w:szCs w:val="21"/>
              </w:rPr>
              <w:t>期污染物执行标准符合国家和自治区环境保护标准。</w:t>
            </w:r>
          </w:p>
        </w:tc>
        <w:tc>
          <w:tcPr>
            <w:tcW w:w="477" w:type="pct"/>
            <w:gridSpan w:val="3"/>
            <w:noWrap w:val="0"/>
            <w:vAlign w:val="center"/>
          </w:tcPr>
          <w:p w14:paraId="6EA124A6">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64153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0E4DB062">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425" w:type="pct"/>
            <w:gridSpan w:val="2"/>
            <w:vMerge w:val="continue"/>
            <w:noWrap w:val="0"/>
            <w:vAlign w:val="center"/>
          </w:tcPr>
          <w:p w14:paraId="7CEF66D6">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1973" w:type="pct"/>
            <w:gridSpan w:val="6"/>
            <w:noWrap w:val="0"/>
            <w:vAlign w:val="center"/>
          </w:tcPr>
          <w:p w14:paraId="1155947E">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A1.1-3</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禁止在饮用水水源保护区、风景名胜区、自然保护区的核心区和缓冲区、城镇居民区、文化教育科学研究区等人口集中区域以及法律法规规定的其他禁止养殖区域建设畜禽养殖场、养殖小区。</w:t>
            </w:r>
          </w:p>
        </w:tc>
        <w:tc>
          <w:tcPr>
            <w:tcW w:w="1847" w:type="pct"/>
            <w:gridSpan w:val="4"/>
            <w:noWrap w:val="0"/>
            <w:vAlign w:val="center"/>
          </w:tcPr>
          <w:p w14:paraId="46CB49BE">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本项目选址不涉及所列区域。</w:t>
            </w:r>
          </w:p>
        </w:tc>
        <w:tc>
          <w:tcPr>
            <w:tcW w:w="477" w:type="pct"/>
            <w:gridSpan w:val="3"/>
            <w:shd w:val="clear" w:color="auto" w:fill="auto"/>
            <w:noWrap w:val="0"/>
            <w:vAlign w:val="center"/>
          </w:tcPr>
          <w:p w14:paraId="1C5A09A4">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10A17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6EC9C83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425" w:type="pct"/>
            <w:gridSpan w:val="2"/>
            <w:vMerge w:val="continue"/>
            <w:noWrap w:val="0"/>
            <w:vAlign w:val="center"/>
          </w:tcPr>
          <w:p w14:paraId="345672CD">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1973" w:type="pct"/>
            <w:gridSpan w:val="6"/>
            <w:noWrap w:val="0"/>
            <w:vAlign w:val="center"/>
          </w:tcPr>
          <w:p w14:paraId="31B0E599">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847" w:type="pct"/>
            <w:gridSpan w:val="4"/>
            <w:noWrap w:val="0"/>
            <w:vAlign w:val="center"/>
          </w:tcPr>
          <w:p w14:paraId="06F780E9">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本项目运行期</w:t>
            </w:r>
            <w:r>
              <w:rPr>
                <w:rFonts w:hint="eastAsia" w:ascii="Times New Roman" w:hAnsi="Times New Roman" w:eastAsia="宋体" w:cs="Times New Roman"/>
                <w:b w:val="0"/>
                <w:bCs w:val="0"/>
                <w:color w:val="000000" w:themeColor="text1"/>
                <w:kern w:val="2"/>
                <w:sz w:val="21"/>
                <w:szCs w:val="21"/>
                <w:highlight w:val="none"/>
                <w:shd w:val="clear" w:color="auto" w:fill="auto"/>
                <w:lang w:val="en-US" w:eastAsia="zh-CN" w:bidi="ar-SA"/>
                <w14:textFill>
                  <w14:solidFill>
                    <w14:schemeClr w14:val="tx1"/>
                  </w14:solidFill>
                </w14:textFill>
              </w:rPr>
              <w:t>无废气废水污染物排放</w:t>
            </w: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，不属于高污染（排放）、高能（水）耗、高环境风险的工业项目。</w:t>
            </w:r>
          </w:p>
        </w:tc>
        <w:tc>
          <w:tcPr>
            <w:tcW w:w="477" w:type="pct"/>
            <w:gridSpan w:val="3"/>
            <w:noWrap w:val="0"/>
            <w:vAlign w:val="center"/>
          </w:tcPr>
          <w:p w14:paraId="3C2019F0">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6F79B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6B98A48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425" w:type="pct"/>
            <w:gridSpan w:val="2"/>
            <w:vMerge w:val="restart"/>
            <w:noWrap w:val="0"/>
            <w:vAlign w:val="center"/>
          </w:tcPr>
          <w:p w14:paraId="5E0D6D93">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A1.2限制开发建设的活动</w:t>
            </w:r>
          </w:p>
        </w:tc>
        <w:tc>
          <w:tcPr>
            <w:tcW w:w="1973" w:type="pct"/>
            <w:gridSpan w:val="6"/>
            <w:noWrap w:val="0"/>
            <w:vAlign w:val="center"/>
          </w:tcPr>
          <w:p w14:paraId="098989C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A1.2-1</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严格控制缺水地区、水污染严重区域和敏感区域高耗水高污染行业发展</w:t>
            </w:r>
            <w:r>
              <w:rPr>
                <w:rFonts w:hint="eastAsia" w:ascii="Times New Roman" w:hAnsi="Times New Roman" w:eastAsia="宋体" w:cs="Times New Roman"/>
                <w:b w:val="0"/>
                <w:bCs w:val="0"/>
                <w:sz w:val="21"/>
                <w:szCs w:val="21"/>
                <w:lang w:eastAsia="zh-CN"/>
              </w:rPr>
              <w:t>。</w:t>
            </w:r>
          </w:p>
        </w:tc>
        <w:tc>
          <w:tcPr>
            <w:tcW w:w="1847" w:type="pct"/>
            <w:gridSpan w:val="4"/>
            <w:noWrap w:val="0"/>
            <w:vAlign w:val="center"/>
          </w:tcPr>
          <w:p w14:paraId="137A7C3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本项目不属于</w:t>
            </w:r>
            <w:r>
              <w:rPr>
                <w:rFonts w:hint="default" w:ascii="Times New Roman" w:hAnsi="Times New Roman" w:eastAsia="宋体" w:cs="Times New Roman"/>
                <w:b w:val="0"/>
                <w:bCs w:val="0"/>
                <w:sz w:val="21"/>
                <w:szCs w:val="21"/>
              </w:rPr>
              <w:t>高耗水高污染</w:t>
            </w:r>
            <w:r>
              <w:rPr>
                <w:rFonts w:hint="eastAsia" w:ascii="Times New Roman" w:hAnsi="Times New Roman" w:eastAsia="宋体" w:cs="Times New Roman"/>
                <w:b w:val="0"/>
                <w:bCs w:val="0"/>
                <w:sz w:val="21"/>
                <w:szCs w:val="21"/>
                <w:lang w:val="en-US" w:eastAsia="zh-CN"/>
              </w:rPr>
              <w:t>项目。</w:t>
            </w:r>
          </w:p>
        </w:tc>
        <w:tc>
          <w:tcPr>
            <w:tcW w:w="477" w:type="pct"/>
            <w:gridSpan w:val="3"/>
            <w:noWrap w:val="0"/>
            <w:vAlign w:val="center"/>
          </w:tcPr>
          <w:p w14:paraId="3FCC044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742AE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44D34164">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p>
        </w:tc>
        <w:tc>
          <w:tcPr>
            <w:tcW w:w="425" w:type="pct"/>
            <w:gridSpan w:val="2"/>
            <w:vMerge w:val="continue"/>
            <w:noWrap w:val="0"/>
            <w:vAlign w:val="center"/>
          </w:tcPr>
          <w:p w14:paraId="589D54D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p>
        </w:tc>
        <w:tc>
          <w:tcPr>
            <w:tcW w:w="1973" w:type="pct"/>
            <w:gridSpan w:val="6"/>
            <w:noWrap w:val="0"/>
            <w:vAlign w:val="center"/>
          </w:tcPr>
          <w:p w14:paraId="44CEB4C0">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847" w:type="pct"/>
            <w:gridSpan w:val="4"/>
            <w:noWrap w:val="0"/>
            <w:vAlign w:val="center"/>
          </w:tcPr>
          <w:p w14:paraId="20B0EA0D">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项目用地</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类型为</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未利用地</w:t>
            </w:r>
            <w:r>
              <w:rPr>
                <w:rFonts w:hint="eastAsia" w:cs="Times New Roman"/>
                <w:b w:val="0"/>
                <w:bCs w:val="0"/>
                <w:color w:val="000000" w:themeColor="text1"/>
                <w:sz w:val="21"/>
                <w:szCs w:val="21"/>
                <w:highlight w:val="none"/>
                <w:lang w:val="en-US" w:eastAsia="zh-CN"/>
                <w14:textFill>
                  <w14:solidFill>
                    <w14:schemeClr w14:val="tx1"/>
                  </w14:solidFill>
                </w14:textFill>
              </w:rPr>
              <w:t>（裸土地）</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未</w:t>
            </w:r>
            <w:r>
              <w:rPr>
                <w:rFonts w:hint="eastAsia" w:ascii="Times New Roman" w:hAnsi="Times New Roman" w:eastAsia="宋体" w:cs="Times New Roman"/>
                <w:b w:val="0"/>
                <w:bCs w:val="0"/>
                <w:color w:val="000000" w:themeColor="text1"/>
                <w:sz w:val="21"/>
                <w:szCs w:val="21"/>
                <w14:textFill>
                  <w14:solidFill>
                    <w14:schemeClr w14:val="tx1"/>
                  </w14:solidFill>
                </w14:textFill>
              </w:rPr>
              <w:t>占用基本农田</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477" w:type="pct"/>
            <w:gridSpan w:val="3"/>
            <w:noWrap w:val="0"/>
            <w:vAlign w:val="center"/>
          </w:tcPr>
          <w:p w14:paraId="00724C20">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1F394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4676048E">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425" w:type="pct"/>
            <w:gridSpan w:val="2"/>
            <w:vMerge w:val="continue"/>
            <w:noWrap w:val="0"/>
            <w:vAlign w:val="center"/>
          </w:tcPr>
          <w:p w14:paraId="0A13255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1973" w:type="pct"/>
            <w:gridSpan w:val="6"/>
            <w:noWrap w:val="0"/>
            <w:vAlign w:val="center"/>
          </w:tcPr>
          <w:p w14:paraId="3143CB5B">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A1.2-3</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以用途变更为住宅、公共管理与公共服务用地的地块为重点，严格建设用地准入管理和风险管控，未依法完成土壤污染状况调查或风险评估的地块，不得开工建设与风险管控和修复无关的项目。</w:t>
            </w:r>
          </w:p>
        </w:tc>
        <w:tc>
          <w:tcPr>
            <w:tcW w:w="1847" w:type="pct"/>
            <w:gridSpan w:val="4"/>
            <w:noWrap w:val="0"/>
            <w:vAlign w:val="center"/>
          </w:tcPr>
          <w:p w14:paraId="5BE4164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本</w:t>
            </w:r>
            <w:r>
              <w:rPr>
                <w:rFonts w:hint="eastAsia" w:ascii="Times New Roman" w:hAnsi="Times New Roman" w:eastAsia="宋体" w:cs="Times New Roman"/>
                <w:b w:val="0"/>
                <w:bCs w:val="0"/>
                <w:sz w:val="21"/>
                <w:szCs w:val="21"/>
                <w:lang w:val="en-US" w:eastAsia="zh-CN"/>
              </w:rPr>
              <w:t>项目所在地</w:t>
            </w:r>
            <w:r>
              <w:rPr>
                <w:rFonts w:hint="default" w:ascii="Times New Roman" w:hAnsi="Times New Roman" w:eastAsia="宋体" w:cs="Times New Roman"/>
                <w:b w:val="0"/>
                <w:bCs w:val="0"/>
                <w:sz w:val="21"/>
                <w:szCs w:val="21"/>
              </w:rPr>
              <w:t>不涉及用地性质变更等</w:t>
            </w:r>
            <w:r>
              <w:rPr>
                <w:rFonts w:hint="eastAsia" w:ascii="Times New Roman" w:hAnsi="Times New Roman" w:eastAsia="宋体" w:cs="Times New Roman"/>
                <w:b w:val="0"/>
                <w:bCs w:val="0"/>
                <w:sz w:val="21"/>
                <w:szCs w:val="21"/>
                <w:lang w:val="en-US" w:eastAsia="zh-CN"/>
              </w:rPr>
              <w:t>情况</w:t>
            </w:r>
            <w:r>
              <w:rPr>
                <w:rFonts w:hint="default" w:ascii="Times New Roman" w:hAnsi="Times New Roman" w:eastAsia="宋体" w:cs="Times New Roman"/>
                <w:b w:val="0"/>
                <w:bCs w:val="0"/>
                <w:sz w:val="21"/>
                <w:szCs w:val="21"/>
              </w:rPr>
              <w:t>。</w:t>
            </w:r>
          </w:p>
        </w:tc>
        <w:tc>
          <w:tcPr>
            <w:tcW w:w="477" w:type="pct"/>
            <w:gridSpan w:val="3"/>
            <w:noWrap w:val="0"/>
            <w:vAlign w:val="center"/>
          </w:tcPr>
          <w:p w14:paraId="44818CC2">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7D1F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0A477393">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425" w:type="pct"/>
            <w:gridSpan w:val="2"/>
            <w:noWrap w:val="0"/>
            <w:vAlign w:val="center"/>
          </w:tcPr>
          <w:p w14:paraId="2200BF04">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A1.3不符合空间布局要求活动的退出要求</w:t>
            </w:r>
          </w:p>
        </w:tc>
        <w:tc>
          <w:tcPr>
            <w:tcW w:w="1973" w:type="pct"/>
            <w:gridSpan w:val="6"/>
            <w:noWrap w:val="0"/>
            <w:vAlign w:val="center"/>
          </w:tcPr>
          <w:p w14:paraId="11FF2D1F">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〔A1.3-1〕任何单位和个人不得在水源涵养区、饮用水水源保护区内和河流、湖泊、水库周围建设重化工、涉重金属等工业污染项目;对已建成的工业污染项目，当地人民政府应当组织限期搬迁。</w:t>
            </w:r>
          </w:p>
        </w:tc>
        <w:tc>
          <w:tcPr>
            <w:tcW w:w="1847" w:type="pct"/>
            <w:gridSpan w:val="4"/>
            <w:noWrap w:val="0"/>
            <w:vAlign w:val="center"/>
          </w:tcPr>
          <w:p w14:paraId="273D81C9">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rPr>
              <w:t>本</w:t>
            </w:r>
            <w:r>
              <w:rPr>
                <w:rFonts w:hint="eastAsia" w:ascii="Times New Roman" w:hAnsi="Times New Roman" w:eastAsia="宋体" w:cs="Times New Roman"/>
                <w:b w:val="0"/>
                <w:bCs w:val="0"/>
                <w:sz w:val="21"/>
                <w:szCs w:val="21"/>
                <w:lang w:val="en-US" w:eastAsia="zh-CN"/>
              </w:rPr>
              <w:t>项目所在地不属于</w:t>
            </w:r>
            <w:r>
              <w:rPr>
                <w:rFonts w:hint="eastAsia" w:ascii="Times New Roman" w:hAnsi="Times New Roman" w:eastAsia="宋体" w:cs="Times New Roman"/>
                <w:b w:val="0"/>
                <w:bCs w:val="0"/>
                <w:color w:val="000000" w:themeColor="text1"/>
                <w:sz w:val="21"/>
                <w:szCs w:val="21"/>
                <w14:textFill>
                  <w14:solidFill>
                    <w14:schemeClr w14:val="tx1"/>
                  </w14:solidFill>
                </w14:textFill>
              </w:rPr>
              <w:t>水源涵养区、饮用水水源保护区内和河流、湖泊、水库</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等区域；且不属于</w:t>
            </w:r>
            <w:r>
              <w:rPr>
                <w:rFonts w:hint="eastAsia" w:ascii="Times New Roman" w:hAnsi="Times New Roman" w:eastAsia="宋体" w:cs="Times New Roman"/>
                <w:b w:val="0"/>
                <w:bCs w:val="0"/>
                <w:color w:val="000000" w:themeColor="text1"/>
                <w:sz w:val="21"/>
                <w:szCs w:val="21"/>
                <w14:textFill>
                  <w14:solidFill>
                    <w14:schemeClr w14:val="tx1"/>
                  </w14:solidFill>
                </w14:textFill>
              </w:rPr>
              <w:t>工业污染项目</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477" w:type="pct"/>
            <w:gridSpan w:val="3"/>
            <w:noWrap w:val="0"/>
            <w:vAlign w:val="center"/>
          </w:tcPr>
          <w:p w14:paraId="2DA2B842">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797A1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70" w:hRule="atLeast"/>
          <w:jc w:val="center"/>
        </w:trPr>
        <w:tc>
          <w:tcPr>
            <w:tcW w:w="275" w:type="pct"/>
            <w:gridSpan w:val="2"/>
            <w:vMerge w:val="continue"/>
            <w:noWrap w:val="0"/>
            <w:vAlign w:val="center"/>
          </w:tcPr>
          <w:p w14:paraId="577B6750">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p>
        </w:tc>
        <w:tc>
          <w:tcPr>
            <w:tcW w:w="425" w:type="pct"/>
            <w:gridSpan w:val="2"/>
            <w:noWrap w:val="0"/>
            <w:vAlign w:val="center"/>
          </w:tcPr>
          <w:p w14:paraId="01AC8EB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A1.4其它布局要求</w:t>
            </w:r>
          </w:p>
        </w:tc>
        <w:tc>
          <w:tcPr>
            <w:tcW w:w="1973" w:type="pct"/>
            <w:gridSpan w:val="6"/>
            <w:noWrap w:val="0"/>
            <w:vAlign w:val="center"/>
          </w:tcPr>
          <w:p w14:paraId="21E197E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A1.4-1</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847" w:type="pct"/>
            <w:gridSpan w:val="4"/>
            <w:noWrap w:val="0"/>
            <w:vAlign w:val="center"/>
          </w:tcPr>
          <w:p w14:paraId="0CACA15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sz w:val="21"/>
                <w:szCs w:val="21"/>
              </w:rPr>
              <w:t>本项目与自治区区域主体功能区划目标相协调</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符合自治区生态环境功能区划</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符合</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rPr>
              <w:t>巴音郭楞蒙古自治州国土空间总体规划</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等相关规划</w:t>
            </w:r>
            <w:r>
              <w:rPr>
                <w:rFonts w:hint="eastAsia" w:ascii="Times New Roman" w:hAnsi="Times New Roman" w:eastAsia="宋体" w:cs="Times New Roman"/>
                <w:b w:val="0"/>
                <w:bCs w:val="0"/>
                <w:sz w:val="21"/>
                <w:szCs w:val="21"/>
                <w:lang w:eastAsia="zh-CN"/>
              </w:rPr>
              <w:t>。</w:t>
            </w:r>
          </w:p>
        </w:tc>
        <w:tc>
          <w:tcPr>
            <w:tcW w:w="477" w:type="pct"/>
            <w:gridSpan w:val="3"/>
            <w:noWrap w:val="0"/>
            <w:vAlign w:val="center"/>
          </w:tcPr>
          <w:p w14:paraId="64A206F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725F1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116" w:hRule="atLeast"/>
          <w:jc w:val="center"/>
        </w:trPr>
        <w:tc>
          <w:tcPr>
            <w:tcW w:w="275" w:type="pct"/>
            <w:gridSpan w:val="2"/>
            <w:noWrap w:val="0"/>
            <w:vAlign w:val="center"/>
          </w:tcPr>
          <w:p w14:paraId="2FF3513B">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A2污染物排放管控</w:t>
            </w:r>
          </w:p>
        </w:tc>
        <w:tc>
          <w:tcPr>
            <w:tcW w:w="425" w:type="pct"/>
            <w:gridSpan w:val="2"/>
            <w:noWrap w:val="0"/>
            <w:vAlign w:val="center"/>
          </w:tcPr>
          <w:p w14:paraId="5F83171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A2.2污染控制措施要求</w:t>
            </w:r>
          </w:p>
        </w:tc>
        <w:tc>
          <w:tcPr>
            <w:tcW w:w="1973" w:type="pct"/>
            <w:gridSpan w:val="6"/>
            <w:noWrap w:val="0"/>
            <w:vAlign w:val="center"/>
          </w:tcPr>
          <w:p w14:paraId="201C88A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1847" w:type="pct"/>
            <w:gridSpan w:val="4"/>
            <w:noWrap w:val="0"/>
            <w:vAlign w:val="center"/>
          </w:tcPr>
          <w:p w14:paraId="1A6A98E0">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right="0" w:firstLine="0" w:firstLineChars="0"/>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w:t>
            </w:r>
            <w:r>
              <w:rPr>
                <w:rFonts w:hint="default" w:ascii="Times New Roman" w:hAnsi="Times New Roman" w:eastAsia="宋体" w:cs="Times New Roman"/>
                <w:b w:val="0"/>
                <w:bCs w:val="0"/>
                <w:color w:val="000000" w:themeColor="text1"/>
                <w:sz w:val="21"/>
                <w:szCs w:val="21"/>
                <w14:textFill>
                  <w14:solidFill>
                    <w14:schemeClr w14:val="tx1"/>
                  </w14:solidFill>
                </w14:textFill>
              </w:rPr>
              <w:t>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为光伏</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项目配套工程，运行期无</w:t>
            </w:r>
            <w:r>
              <w:rPr>
                <w:rFonts w:hint="eastAsia" w:ascii="Times New Roman" w:hAnsi="Times New Roman" w:eastAsia="宋体" w:cs="Times New Roman"/>
                <w:b w:val="0"/>
                <w:bCs w:val="0"/>
                <w:sz w:val="21"/>
                <w:szCs w:val="21"/>
              </w:rPr>
              <w:t>温室气体排放</w:t>
            </w:r>
            <w:r>
              <w:rPr>
                <w:rFonts w:hint="eastAsia" w:ascii="Times New Roman" w:hAnsi="Times New Roman" w:eastAsia="宋体" w:cs="Times New Roman"/>
                <w:b w:val="0"/>
                <w:bCs w:val="0"/>
                <w:sz w:val="21"/>
                <w:szCs w:val="21"/>
                <w:lang w:val="en-US" w:eastAsia="zh-CN"/>
              </w:rPr>
              <w:t>；</w:t>
            </w:r>
            <w:r>
              <w:rPr>
                <w:rFonts w:hint="eastAsia" w:ascii="Times New Roman" w:hAnsi="Times New Roman" w:eastAsia="宋体" w:cs="Times New Roman"/>
                <w:b w:val="0"/>
                <w:bCs w:val="0"/>
                <w:color w:val="000000"/>
                <w:sz w:val="21"/>
                <w:szCs w:val="21"/>
              </w:rPr>
              <w:t>不新增劳动人员，</w:t>
            </w:r>
            <w:r>
              <w:rPr>
                <w:rFonts w:hint="eastAsia" w:ascii="Times New Roman" w:hAnsi="Times New Roman" w:eastAsia="宋体" w:cs="Times New Roman"/>
                <w:b w:val="0"/>
                <w:bCs w:val="0"/>
                <w:color w:val="000000"/>
                <w:sz w:val="21"/>
                <w:szCs w:val="21"/>
                <w:lang w:val="en-US" w:eastAsia="zh-CN"/>
              </w:rPr>
              <w:t>在现有员工中进行内部调配；工作</w:t>
            </w:r>
            <w:r>
              <w:rPr>
                <w:rFonts w:hint="eastAsia" w:ascii="Times New Roman" w:hAnsi="Times New Roman" w:eastAsia="宋体" w:cs="Times New Roman"/>
                <w:b w:val="0"/>
                <w:bCs w:val="0"/>
                <w:color w:val="000000"/>
                <w:sz w:val="21"/>
                <w:szCs w:val="21"/>
              </w:rPr>
              <w:t>人员</w:t>
            </w:r>
            <w:r>
              <w:rPr>
                <w:rFonts w:hint="eastAsia" w:ascii="Times New Roman" w:hAnsi="Times New Roman" w:eastAsia="宋体" w:cs="Times New Roman"/>
                <w:b w:val="0"/>
                <w:bCs w:val="0"/>
                <w:color w:val="000000"/>
                <w:sz w:val="21"/>
                <w:szCs w:val="21"/>
                <w:lang w:val="en-US" w:eastAsia="zh-CN"/>
              </w:rPr>
              <w:t>生活污水依托</w:t>
            </w:r>
            <w:r>
              <w:rPr>
                <w:rFonts w:hint="eastAsia" w:ascii="Times New Roman" w:hAnsi="Times New Roman" w:eastAsia="宋体" w:cs="Times New Roman"/>
                <w:b w:val="0"/>
                <w:bCs w:val="0"/>
                <w:sz w:val="21"/>
                <w:szCs w:val="21"/>
                <w:lang w:val="en-US" w:eastAsia="zh-CN"/>
              </w:rPr>
              <w:t>主体工程项目处理</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kern w:val="2"/>
                <w:sz w:val="21"/>
                <w:szCs w:val="21"/>
                <w:lang w:val="en-US" w:eastAsia="zh-CN" w:bidi="ar-SA"/>
              </w:rPr>
              <w:t>生活</w:t>
            </w:r>
            <w:r>
              <w:rPr>
                <w:rFonts w:hint="eastAsia" w:ascii="Times New Roman" w:hAnsi="Times New Roman" w:eastAsia="宋体" w:cs="Times New Roman"/>
                <w:b w:val="0"/>
                <w:bCs w:val="0"/>
                <w:kern w:val="2"/>
                <w:sz w:val="21"/>
                <w:szCs w:val="21"/>
                <w:lang w:val="en-US" w:eastAsia="zh-CN" w:bidi="ar-SA"/>
              </w:rPr>
              <w:t>垃圾</w:t>
            </w:r>
            <w:r>
              <w:rPr>
                <w:rFonts w:hint="default" w:ascii="Times New Roman" w:hAnsi="Times New Roman" w:eastAsia="宋体" w:cs="Times New Roman"/>
                <w:b w:val="0"/>
                <w:bCs w:val="0"/>
                <w:sz w:val="21"/>
                <w:szCs w:val="21"/>
              </w:rPr>
              <w:t>集中收集后，交由环卫部门处理。</w:t>
            </w:r>
          </w:p>
          <w:p w14:paraId="61D8CF82">
            <w:pPr>
              <w:keepNext w:val="0"/>
              <w:keepLines w:val="0"/>
              <w:pageBreakBefore w:val="0"/>
              <w:suppressLineNumbers w:val="0"/>
              <w:kinsoku/>
              <w:wordWrap/>
              <w:overflowPunct/>
              <w:topLinePunct/>
              <w:autoSpaceDE/>
              <w:autoSpaceDN/>
              <w:bidi w:val="0"/>
              <w:adjustRightInd/>
              <w:spacing w:before="0" w:beforeAutospacing="0" w:after="0" w:afterAutospacing="0" w:line="360" w:lineRule="exact"/>
              <w:ind w:left="0" w:right="0" w:firstLine="0" w:firstLineChars="0"/>
              <w:textAlignment w:val="auto"/>
              <w:rPr>
                <w:rFonts w:hint="default" w:ascii="Times New Roman" w:hAnsi="Times New Roman" w:eastAsia="宋体" w:cs="Times New Roman"/>
                <w:b w:val="0"/>
                <w:bCs w:val="0"/>
                <w:color w:val="000000"/>
                <w:sz w:val="21"/>
                <w:szCs w:val="21"/>
                <w:lang w:val="en-US" w:eastAsia="zh-CN"/>
              </w:rPr>
            </w:pPr>
          </w:p>
          <w:p w14:paraId="6048778F">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lang w:val="en-US" w:eastAsia="zh-CN"/>
              </w:rPr>
            </w:pPr>
          </w:p>
        </w:tc>
        <w:tc>
          <w:tcPr>
            <w:tcW w:w="477" w:type="pct"/>
            <w:gridSpan w:val="3"/>
            <w:noWrap w:val="0"/>
            <w:vAlign w:val="center"/>
          </w:tcPr>
          <w:p w14:paraId="412608A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02512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275" w:type="pct"/>
            <w:gridSpan w:val="2"/>
            <w:noWrap w:val="0"/>
            <w:vAlign w:val="center"/>
          </w:tcPr>
          <w:p w14:paraId="51F568C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rPr>
              <w:t>A3环境风险防控</w:t>
            </w:r>
          </w:p>
        </w:tc>
        <w:tc>
          <w:tcPr>
            <w:tcW w:w="425" w:type="pct"/>
            <w:gridSpan w:val="2"/>
            <w:noWrap w:val="0"/>
            <w:vAlign w:val="center"/>
          </w:tcPr>
          <w:p w14:paraId="474A3F41">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A3.2联防联控要求</w:t>
            </w:r>
          </w:p>
        </w:tc>
        <w:tc>
          <w:tcPr>
            <w:tcW w:w="1973" w:type="pct"/>
            <w:gridSpan w:val="6"/>
            <w:noWrap w:val="0"/>
            <w:vAlign w:val="center"/>
          </w:tcPr>
          <w:p w14:paraId="1FCCFC8E">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〔A3.2-2〕依法推行农用地分类管理制度，强化受污染耕地安全利用和风险管控。因地制宜制定实施安全利用方案，鼓励采取种植结构调整等措施，确保受污染耕地全部实现安全利用。</w:t>
            </w:r>
          </w:p>
        </w:tc>
        <w:tc>
          <w:tcPr>
            <w:tcW w:w="1847" w:type="pct"/>
            <w:gridSpan w:val="4"/>
            <w:noWrap w:val="0"/>
            <w:vAlign w:val="center"/>
          </w:tcPr>
          <w:p w14:paraId="39E6FFB3">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项目用地</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类型为</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未利用地</w:t>
            </w:r>
            <w:r>
              <w:rPr>
                <w:rFonts w:hint="eastAsia" w:cs="Times New Roman"/>
                <w:b w:val="0"/>
                <w:bCs w:val="0"/>
                <w:color w:val="000000" w:themeColor="text1"/>
                <w:sz w:val="21"/>
                <w:szCs w:val="21"/>
                <w:highlight w:val="none"/>
                <w:lang w:val="en-US" w:eastAsia="zh-CN"/>
                <w14:textFill>
                  <w14:solidFill>
                    <w14:schemeClr w14:val="tx1"/>
                  </w14:solidFill>
                </w14:textFill>
              </w:rPr>
              <w:t>（裸土地）</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未</w:t>
            </w:r>
            <w:r>
              <w:rPr>
                <w:rFonts w:hint="eastAsia" w:ascii="Times New Roman" w:hAnsi="Times New Roman" w:eastAsia="宋体" w:cs="Times New Roman"/>
                <w:b w:val="0"/>
                <w:bCs w:val="0"/>
                <w:color w:val="000000" w:themeColor="text1"/>
                <w:sz w:val="21"/>
                <w:szCs w:val="21"/>
                <w14:textFill>
                  <w14:solidFill>
                    <w14:schemeClr w14:val="tx1"/>
                  </w14:solidFill>
                </w14:textFill>
              </w:rPr>
              <w:t>占用农用地</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477" w:type="pct"/>
            <w:gridSpan w:val="3"/>
            <w:noWrap w:val="0"/>
            <w:vAlign w:val="center"/>
          </w:tcPr>
          <w:p w14:paraId="41B3AB19">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66CE9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757" w:hRule="atLeast"/>
          <w:jc w:val="center"/>
        </w:trPr>
        <w:tc>
          <w:tcPr>
            <w:tcW w:w="275" w:type="pct"/>
            <w:gridSpan w:val="2"/>
            <w:vMerge w:val="restart"/>
            <w:noWrap w:val="0"/>
            <w:vAlign w:val="center"/>
          </w:tcPr>
          <w:p w14:paraId="5F033CE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A4资源利用要求</w:t>
            </w:r>
          </w:p>
        </w:tc>
        <w:tc>
          <w:tcPr>
            <w:tcW w:w="425" w:type="pct"/>
            <w:gridSpan w:val="2"/>
            <w:noWrap w:val="0"/>
            <w:vAlign w:val="center"/>
          </w:tcPr>
          <w:p w14:paraId="2E01019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A4.2土地资源</w:t>
            </w:r>
          </w:p>
        </w:tc>
        <w:tc>
          <w:tcPr>
            <w:tcW w:w="1973" w:type="pct"/>
            <w:gridSpan w:val="6"/>
            <w:noWrap w:val="0"/>
            <w:vAlign w:val="center"/>
          </w:tcPr>
          <w:p w14:paraId="5476C4FC">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A4.2-1</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土地资源上线指标控制在最终批复的国土空间规划控制指标内。</w:t>
            </w:r>
          </w:p>
        </w:tc>
        <w:tc>
          <w:tcPr>
            <w:tcW w:w="1847" w:type="pct"/>
            <w:gridSpan w:val="4"/>
            <w:noWrap w:val="0"/>
            <w:vAlign w:val="center"/>
          </w:tcPr>
          <w:p w14:paraId="28943550">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rPr>
              <w:t>本项目</w:t>
            </w:r>
            <w:r>
              <w:rPr>
                <w:rFonts w:hint="eastAsia" w:cs="Times New Roman"/>
                <w:b w:val="0"/>
                <w:bCs w:val="0"/>
                <w:sz w:val="21"/>
                <w:szCs w:val="21"/>
                <w:lang w:val="en-US" w:eastAsia="zh-CN"/>
              </w:rPr>
              <w:t>符合</w:t>
            </w:r>
            <w:r>
              <w:rPr>
                <w:rFonts w:hint="default" w:ascii="Times New Roman" w:hAnsi="Times New Roman" w:eastAsia="宋体" w:cs="Times New Roman"/>
                <w:b w:val="0"/>
                <w:bCs w:val="0"/>
                <w:sz w:val="21"/>
                <w:szCs w:val="21"/>
              </w:rPr>
              <w:t>国土空间规划</w:t>
            </w:r>
            <w:r>
              <w:rPr>
                <w:rFonts w:hint="eastAsia" w:ascii="Times New Roman" w:hAnsi="Times New Roman" w:eastAsia="宋体" w:cs="Times New Roman"/>
                <w:b w:val="0"/>
                <w:bCs w:val="0"/>
                <w:sz w:val="21"/>
                <w:szCs w:val="21"/>
                <w:lang w:val="en-US" w:eastAsia="zh-CN"/>
              </w:rPr>
              <w:t>要求。</w:t>
            </w:r>
          </w:p>
        </w:tc>
        <w:tc>
          <w:tcPr>
            <w:tcW w:w="477" w:type="pct"/>
            <w:gridSpan w:val="3"/>
            <w:noWrap w:val="0"/>
            <w:vAlign w:val="center"/>
          </w:tcPr>
          <w:p w14:paraId="4F03039E">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2C841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757" w:hRule="atLeast"/>
          <w:jc w:val="center"/>
        </w:trPr>
        <w:tc>
          <w:tcPr>
            <w:tcW w:w="275" w:type="pct"/>
            <w:gridSpan w:val="2"/>
            <w:vMerge w:val="continue"/>
            <w:noWrap w:val="0"/>
            <w:vAlign w:val="center"/>
          </w:tcPr>
          <w:p w14:paraId="0DA5BF1F">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p>
        </w:tc>
        <w:tc>
          <w:tcPr>
            <w:tcW w:w="425" w:type="pct"/>
            <w:gridSpan w:val="2"/>
            <w:noWrap w:val="0"/>
            <w:vAlign w:val="center"/>
          </w:tcPr>
          <w:p w14:paraId="6C8BE0C3">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A4.5资源综合</w:t>
            </w:r>
          </w:p>
        </w:tc>
        <w:tc>
          <w:tcPr>
            <w:tcW w:w="1973" w:type="pct"/>
            <w:gridSpan w:val="6"/>
            <w:noWrap w:val="0"/>
            <w:vAlign w:val="center"/>
          </w:tcPr>
          <w:p w14:paraId="321AF09B">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A4.5-1</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sz w:val="21"/>
                <w:szCs w:val="21"/>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847" w:type="pct"/>
            <w:gridSpan w:val="4"/>
            <w:noWrap w:val="0"/>
            <w:vAlign w:val="center"/>
          </w:tcPr>
          <w:p w14:paraId="61400626">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本项目</w:t>
            </w:r>
            <w:r>
              <w:rPr>
                <w:rFonts w:hint="eastAsia" w:ascii="Times New Roman" w:hAnsi="Times New Roman" w:eastAsia="宋体" w:cs="Times New Roman"/>
                <w:b w:val="0"/>
                <w:bCs w:val="0"/>
                <w:spacing w:val="2"/>
                <w:kern w:val="2"/>
                <w:sz w:val="21"/>
                <w:szCs w:val="21"/>
                <w:lang w:val="en-US" w:eastAsia="zh-CN" w:bidi="ar-SA"/>
              </w:rPr>
              <w:t>工作人员</w:t>
            </w:r>
            <w:r>
              <w:rPr>
                <w:rFonts w:hint="default" w:ascii="Times New Roman" w:hAnsi="Times New Roman" w:eastAsia="宋体" w:cs="Times New Roman"/>
                <w:b w:val="0"/>
                <w:bCs w:val="0"/>
                <w:spacing w:val="2"/>
                <w:kern w:val="2"/>
                <w:sz w:val="21"/>
                <w:szCs w:val="21"/>
                <w:lang w:val="en-US" w:eastAsia="zh-CN" w:bidi="ar-SA"/>
              </w:rPr>
              <w:t>生活垃圾集中收集后，交由环卫部门处理</w:t>
            </w:r>
            <w:r>
              <w:rPr>
                <w:rFonts w:hint="eastAsia" w:ascii="Times New Roman" w:hAnsi="Times New Roman" w:eastAsia="宋体" w:cs="Times New Roman"/>
                <w:b w:val="0"/>
                <w:bCs w:val="0"/>
                <w:spacing w:val="2"/>
                <w:kern w:val="2"/>
                <w:sz w:val="21"/>
                <w:szCs w:val="21"/>
                <w:lang w:val="en-US" w:eastAsia="zh-CN" w:bidi="ar-SA"/>
              </w:rPr>
              <w:t>；检修废弃物交旧退库回收处理，由公司物资管理部门按公司制度统一处置。</w:t>
            </w:r>
          </w:p>
        </w:tc>
        <w:tc>
          <w:tcPr>
            <w:tcW w:w="477" w:type="pct"/>
            <w:gridSpan w:val="3"/>
            <w:noWrap w:val="0"/>
            <w:vAlign w:val="center"/>
          </w:tcPr>
          <w:p w14:paraId="7567DCE4">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7CD56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4998" w:type="pct"/>
            <w:gridSpan w:val="17"/>
            <w:noWrap w:val="0"/>
            <w:vAlign w:val="center"/>
          </w:tcPr>
          <w:p w14:paraId="25A6A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80"/>
              <w:textAlignment w:val="auto"/>
              <w:rPr>
                <w:rFonts w:hint="eastAsia"/>
                <w:color w:val="000000" w:themeColor="text1"/>
                <w:highlight w:val="none"/>
                <w14:textFill>
                  <w14:solidFill>
                    <w14:schemeClr w14:val="tx1"/>
                  </w14:solidFill>
                </w14:textFill>
              </w:rPr>
            </w:pPr>
          </w:p>
          <w:p w14:paraId="058132B9">
            <w:pPr>
              <w:keepNext w:val="0"/>
              <w:keepLines w:val="0"/>
              <w:suppressLineNumbers w:val="0"/>
              <w:spacing w:before="0" w:beforeAutospacing="0" w:after="0" w:afterAutospacing="0"/>
              <w:ind w:left="0" w:right="0" w:firstLine="480"/>
              <w:rPr>
                <w:rFonts w:hint="eastAsia"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由上表可知，项目建设符合</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《新疆维吾尔自治区生态环境分区管控动态更新成果》</w:t>
            </w:r>
            <w:r>
              <w:rPr>
                <w:rFonts w:hint="eastAsia"/>
                <w:color w:val="000000" w:themeColor="text1"/>
                <w:highlight w:val="none"/>
                <w14:textFill>
                  <w14:solidFill>
                    <w14:schemeClr w14:val="tx1"/>
                  </w14:solidFill>
                </w14:textFill>
              </w:rPr>
              <w:t>的</w:t>
            </w:r>
            <w:r>
              <w:rPr>
                <w:rFonts w:hint="eastAsia"/>
                <w:color w:val="000000" w:themeColor="text1"/>
                <w:highlight w:val="none"/>
                <w:lang w:val="en-US" w:eastAsia="zh-CN"/>
                <w14:textFill>
                  <w14:solidFill>
                    <w14:schemeClr w14:val="tx1"/>
                  </w14:solidFill>
                </w14:textFill>
              </w:rPr>
              <w:t>相关</w:t>
            </w:r>
            <w:r>
              <w:rPr>
                <w:rFonts w:hint="eastAsia"/>
                <w:color w:val="000000" w:themeColor="text1"/>
                <w:highlight w:val="none"/>
                <w14:textFill>
                  <w14:solidFill>
                    <w14:schemeClr w14:val="tx1"/>
                  </w14:solidFill>
                </w14:textFill>
              </w:rPr>
              <w:t>要求。</w:t>
            </w:r>
          </w:p>
          <w:p w14:paraId="03303C12">
            <w:pPr>
              <w:keepNext w:val="0"/>
              <w:keepLines w:val="0"/>
              <w:suppressLineNumbers w:val="0"/>
              <w:bidi w:val="0"/>
              <w:spacing w:before="0" w:beforeAutospacing="0" w:after="0" w:afterAutospacing="0"/>
              <w:ind w:left="0" w:leftChars="0" w:right="0" w:firstLine="0" w:firstLineChars="0"/>
              <w:outlineLvl w:val="9"/>
              <w:rPr>
                <w:rFonts w:hint="eastAsia" w:cs="Times New Roman"/>
                <w:b/>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t>1.</w:t>
            </w:r>
            <w:r>
              <w:rPr>
                <w:rFonts w:hint="eastAsia" w:cs="Times New Roman"/>
                <w:b/>
                <w:bCs w:val="0"/>
                <w:color w:val="000000" w:themeColor="text1"/>
                <w:kern w:val="0"/>
                <w:sz w:val="24"/>
                <w:szCs w:val="24"/>
                <w:lang w:val="en-US" w:eastAsia="zh-CN" w:bidi="ar-SA"/>
                <w14:textFill>
                  <w14:solidFill>
                    <w14:schemeClr w14:val="tx1"/>
                  </w14:solidFill>
                </w14:textFill>
              </w:rPr>
              <w:t>1.8</w:t>
            </w:r>
            <w:r>
              <w:rPr>
                <w:rFonts w:hint="eastAsia" w:ascii="Times New Roman" w:hAnsi="Times New Roman" w:eastAsia="宋体" w:cs="Times New Roman"/>
                <w:b/>
                <w:bCs w:val="0"/>
                <w:color w:val="000000" w:themeColor="text1"/>
                <w:kern w:val="0"/>
                <w:sz w:val="24"/>
                <w:szCs w:val="24"/>
                <w:lang w:val="en-US" w:eastAsia="zh-CN" w:bidi="ar-SA"/>
                <w14:textFill>
                  <w14:solidFill>
                    <w14:schemeClr w14:val="tx1"/>
                  </w14:solidFill>
                </w14:textFill>
              </w:rPr>
              <w:t>.</w:t>
            </w:r>
            <w:r>
              <w:rPr>
                <w:rFonts w:hint="eastAsia" w:cs="Times New Roman"/>
                <w:b/>
                <w:bCs w:val="0"/>
                <w:color w:val="000000" w:themeColor="text1"/>
                <w:kern w:val="0"/>
                <w:sz w:val="24"/>
                <w:szCs w:val="24"/>
                <w:lang w:val="en-US" w:eastAsia="zh-CN" w:bidi="ar-SA"/>
                <w14:textFill>
                  <w14:solidFill>
                    <w14:schemeClr w14:val="tx1"/>
                  </w14:solidFill>
                </w14:textFill>
              </w:rPr>
              <w:t>2与</w:t>
            </w:r>
            <w:r>
              <w:rPr>
                <w:rFonts w:hint="eastAsia" w:ascii="Times New Roman" w:hAnsi="Times New Roman" w:eastAsia="宋体" w:cs="Times New Roman"/>
                <w:b/>
                <w:bCs/>
                <w:color w:val="000000"/>
                <w:spacing w:val="-5"/>
                <w:kern w:val="2"/>
                <w:sz w:val="24"/>
                <w:szCs w:val="24"/>
                <w:lang w:val="en-US" w:eastAsia="zh-CN" w:bidi="ar-SA"/>
              </w:rPr>
              <w:t>《巴音郭楞蒙古自治州“三线一单”生态环境分区管控动态更新成果（2023年）》符合</w:t>
            </w:r>
            <w:r>
              <w:rPr>
                <w:rFonts w:hint="eastAsia" w:cs="Times New Roman"/>
                <w:b/>
                <w:bCs w:val="0"/>
                <w:color w:val="000000" w:themeColor="text1"/>
                <w:kern w:val="0"/>
                <w:sz w:val="24"/>
                <w:szCs w:val="24"/>
                <w:lang w:val="en-US" w:eastAsia="zh-CN" w:bidi="ar-SA"/>
                <w14:textFill>
                  <w14:solidFill>
                    <w14:schemeClr w14:val="tx1"/>
                  </w14:solidFill>
                </w14:textFill>
              </w:rPr>
              <w:t>性分析</w:t>
            </w:r>
          </w:p>
          <w:p w14:paraId="4A006D05">
            <w:pPr>
              <w:keepNext w:val="0"/>
              <w:keepLines w:val="0"/>
              <w:suppressLineNumbers w:val="0"/>
              <w:bidi w:val="0"/>
              <w:spacing w:before="0" w:beforeAutospacing="0" w:after="0" w:afterAutospacing="0"/>
              <w:ind w:left="0" w:leftChars="0" w:right="0" w:firstLine="480" w:firstLineChars="200"/>
              <w:outlineLvl w:val="9"/>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与生态环境分区管控相符性分析</w:t>
            </w:r>
          </w:p>
          <w:p w14:paraId="5FA3B62A">
            <w:pPr>
              <w:keepNext w:val="0"/>
              <w:keepLines w:val="0"/>
              <w:suppressLineNumbers w:val="0"/>
              <w:bidi w:val="0"/>
              <w:spacing w:before="0" w:beforeAutospacing="0" w:after="0" w:afterAutospacing="0"/>
              <w:ind w:left="0" w:leftChars="0" w:right="0" w:firstLine="480" w:firstLineChars="200"/>
              <w:outlineLvl w:val="9"/>
              <w:rPr>
                <w:rFonts w:hint="eastAsia"/>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依</w:t>
            </w:r>
            <w:r>
              <w:rPr>
                <w:rFonts w:hint="eastAsia" w:ascii="Times New Roman" w:hAnsi="Times New Roman" w:cs="Times New Roman"/>
                <w:color w:val="000000" w:themeColor="text1"/>
                <w:sz w:val="24"/>
                <w:szCs w:val="24"/>
                <w:lang w:val="en-US" w:eastAsia="zh-CN"/>
                <w14:textFill>
                  <w14:solidFill>
                    <w14:schemeClr w14:val="tx1"/>
                  </w14:solidFill>
                </w14:textFill>
              </w:rPr>
              <w:t>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《巴音郭楞蒙古自治州“三线一单”生态环境分区管控动态更新成果（2023年）》</w:t>
            </w:r>
            <w:r>
              <w:rPr>
                <w:rFonts w:hint="eastAsia" w:ascii="Times New Roman" w:hAnsi="Times New Roman" w:cs="Times New Roman"/>
                <w:color w:val="000000" w:themeColor="text1"/>
                <w:sz w:val="24"/>
                <w:szCs w:val="24"/>
                <w:lang w:val="en-US" w:eastAsia="zh-CN"/>
                <w14:textFill>
                  <w14:solidFill>
                    <w14:schemeClr w14:val="tx1"/>
                  </w14:solidFill>
                </w14:textFill>
              </w:rPr>
              <w:t>的通知，对本项目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生态环境分区管控相符性分析如</w:t>
            </w:r>
            <w:r>
              <w:rPr>
                <w:rFonts w:hint="eastAsia" w:ascii="Times New Roman" w:hAnsi="Times New Roman" w:cs="Times New Roman"/>
                <w:color w:val="000000" w:themeColor="text1"/>
                <w:sz w:val="24"/>
                <w:szCs w:val="24"/>
                <w:lang w:val="en-US" w:eastAsia="zh-CN"/>
                <w14:textFill>
                  <w14:solidFill>
                    <w14:schemeClr w14:val="tx1"/>
                  </w14:solidFill>
                </w14:textFill>
              </w:rPr>
              <w:t>下：</w:t>
            </w:r>
          </w:p>
          <w:p w14:paraId="3B5E00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outlineLvl w:val="9"/>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①</w:t>
            </w:r>
            <w:r>
              <w:rPr>
                <w:rFonts w:hint="eastAsia" w:ascii="Times New Roman" w:hAnsi="Times New Roman" w:cs="Times New Roman"/>
                <w:color w:val="000000" w:themeColor="text1"/>
                <w:sz w:val="24"/>
                <w:szCs w:val="24"/>
                <w14:textFill>
                  <w14:solidFill>
                    <w14:schemeClr w14:val="tx1"/>
                  </w14:solidFill>
                </w14:textFill>
              </w:rPr>
              <w:t>生态保护红线</w:t>
            </w:r>
            <w:r>
              <w:rPr>
                <w:rFonts w:hint="eastAsia"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按照“生态功能不降低、面积不减少</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性质不改变”的基本要求，对划定的生态保护红线实施严格管控保障和维护师市生态安全的底线和生命线。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本项目建设地点位于新疆巴音郭楞蒙古自治州博湖县东南约3</w:t>
            </w:r>
            <w:r>
              <w:rPr>
                <w:rFonts w:hint="eastAsia" w:cs="Times New Roman"/>
                <w:color w:val="000000" w:themeColor="text1"/>
                <w:kern w:val="2"/>
                <w:sz w:val="24"/>
                <w:szCs w:val="24"/>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km处</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经核实，项目</w:t>
            </w:r>
            <w:r>
              <w:rPr>
                <w:rFonts w:hint="default" w:ascii="Times New Roman" w:hAnsi="Times New Roman" w:eastAsia="宋体" w:cs="Times New Roman"/>
                <w:color w:val="000000" w:themeColor="text1"/>
                <w14:textFill>
                  <w14:solidFill>
                    <w14:schemeClr w14:val="tx1"/>
                  </w14:solidFill>
                </w14:textFill>
              </w:rPr>
              <w:t>不在生态保护红线区及一般生态空间范围内，</w:t>
            </w:r>
            <w:r>
              <w:rPr>
                <w:rFonts w:hint="default" w:ascii="Times New Roman" w:hAnsi="Times New Roman" w:cs="Times New Roman"/>
                <w:color w:val="000000" w:themeColor="text1"/>
                <w:sz w:val="24"/>
                <w14:textFill>
                  <w14:solidFill>
                    <w14:schemeClr w14:val="tx1"/>
                  </w14:solidFill>
                </w14:textFill>
              </w:rPr>
              <w:t>所在区域不存在自然保护区、风景名胜区、饮用水水源保护区等需要特别保护的区域</w:t>
            </w:r>
            <w:r>
              <w:rPr>
                <w:rFonts w:hint="eastAsia" w:ascii="Times New Roman" w:hAnsi="Times New Roman" w:cs="Times New Roman"/>
                <w:color w:val="000000" w:themeColor="text1"/>
                <w:sz w:val="24"/>
                <w:szCs w:val="24"/>
                <w:lang w:val="en-US" w:eastAsia="zh-CN"/>
                <w14:textFill>
                  <w14:solidFill>
                    <w14:schemeClr w14:val="tx1"/>
                  </w14:solidFill>
                </w14:textFill>
              </w:rPr>
              <w:t>，满足“生态功能不降低、面积不减少、性质不改变”的基本要求。因此，本项目不涉及生态保护红线要求</w:t>
            </w:r>
            <w:r>
              <w:rPr>
                <w:rFonts w:hint="default"/>
                <w:color w:val="000000" w:themeColor="text1"/>
                <w14:textFill>
                  <w14:solidFill>
                    <w14:schemeClr w14:val="tx1"/>
                  </w14:solidFill>
                </w14:textFill>
              </w:rPr>
              <w:t>，不会影响所在区域内生态服务功能</w:t>
            </w:r>
            <w:r>
              <w:rPr>
                <w:rFonts w:hint="eastAsia" w:cs="宋体"/>
                <w:color w:val="000000" w:themeColor="text1"/>
                <w:kern w:val="0"/>
                <w14:textFill>
                  <w14:solidFill>
                    <w14:schemeClr w14:val="tx1"/>
                  </w14:solidFill>
                </w14:textFill>
              </w:rPr>
              <w:t>，符合要求</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4DD792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②</w:t>
            </w:r>
            <w:r>
              <w:rPr>
                <w:rFonts w:hint="eastAsia" w:ascii="Times New Roman" w:hAnsi="Times New Roman" w:cs="Times New Roman"/>
                <w:color w:val="000000" w:themeColor="text1"/>
                <w:sz w:val="24"/>
                <w:szCs w:val="24"/>
                <w14:textFill>
                  <w14:solidFill>
                    <w14:schemeClr w14:val="tx1"/>
                  </w14:solidFill>
                </w14:textFill>
              </w:rPr>
              <w:t>环境质量底线</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olor w:val="000000" w:themeColor="text1"/>
                <w:spacing w:val="-1"/>
                <w:sz w:val="24"/>
                <w:szCs w:val="24"/>
                <w14:textFill>
                  <w14:solidFill>
                    <w14:schemeClr w14:val="tx1"/>
                  </w14:solidFill>
                </w14:textFill>
              </w:rPr>
              <w:t>本项目</w:t>
            </w:r>
            <w:r>
              <w:rPr>
                <w:rFonts w:hint="eastAsia"/>
                <w:color w:val="000000" w:themeColor="text1"/>
                <w:spacing w:val="-1"/>
                <w:sz w:val="24"/>
                <w:szCs w:val="24"/>
                <w:lang w:val="en-US" w:eastAsia="zh-CN"/>
                <w14:textFill>
                  <w14:solidFill>
                    <w14:schemeClr w14:val="tx1"/>
                  </w14:solidFill>
                </w14:textFill>
              </w:rPr>
              <w:t>属于</w:t>
            </w:r>
            <w:r>
              <w:rPr>
                <w:rFonts w:hint="eastAsia" w:ascii="Times New Roman" w:hAnsi="Times New Roman" w:eastAsia="宋体"/>
                <w:color w:val="000000" w:themeColor="text1"/>
                <w:spacing w:val="-1"/>
                <w:sz w:val="24"/>
                <w:szCs w:val="24"/>
                <w:lang w:val="en-US" w:eastAsia="zh-CN"/>
                <w14:textFill>
                  <w14:solidFill>
                    <w14:schemeClr w14:val="tx1"/>
                  </w14:solidFill>
                </w14:textFill>
              </w:rPr>
              <w:t>光伏项目配套</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工程，运行期间不产生废气、废水等污染物，</w:t>
            </w:r>
            <w:r>
              <w:rPr>
                <w:rFonts w:hint="default" w:ascii="宋体" w:hAnsi="宋体" w:eastAsia="宋体" w:cs="宋体"/>
                <w:color w:val="000000" w:themeColor="text1"/>
                <w:sz w:val="24"/>
                <w:szCs w:val="24"/>
                <w14:textFill>
                  <w14:solidFill>
                    <w14:schemeClr w14:val="tx1"/>
                  </w14:solidFill>
                </w14:textFill>
              </w:rPr>
              <w:t>不会对区域环境质量造成明显影响</w:t>
            </w:r>
            <w:r>
              <w:rPr>
                <w:rFonts w:hint="eastAsia" w:ascii="宋体" w:hAnsi="宋体" w:cs="宋体"/>
                <w:color w:val="000000" w:themeColor="text1"/>
                <w:sz w:val="24"/>
                <w:szCs w:val="24"/>
                <w:lang w:eastAsia="zh-CN"/>
                <w14:textFill>
                  <w14:solidFill>
                    <w14:schemeClr w14:val="tx1"/>
                  </w14:solidFill>
                </w14:textFill>
              </w:rPr>
              <w:t>；</w:t>
            </w:r>
            <w:r>
              <w:rPr>
                <w:rFonts w:hint="default" w:ascii="Times New Roman" w:hAnsi="Times New Roman" w:eastAsia="宋体" w:cs="Times New Roman"/>
                <w:spacing w:val="10"/>
                <w:sz w:val="24"/>
                <w:szCs w:val="24"/>
              </w:rPr>
              <w:t>线路沿线声环境满足</w:t>
            </w:r>
            <w:r>
              <w:rPr>
                <w:rFonts w:hint="default" w:ascii="Times New Roman" w:hAnsi="Times New Roman" w:eastAsia="宋体" w:cs="Times New Roman"/>
                <w:spacing w:val="1"/>
                <w:sz w:val="24"/>
                <w:szCs w:val="24"/>
              </w:rPr>
              <w:t>《声环境质量标准》</w:t>
            </w:r>
            <w:r>
              <w:rPr>
                <w:rFonts w:hint="eastAsia" w:ascii="Times New Roman" w:hAnsi="Times New Roman" w:cs="Times New Roman"/>
                <w:spacing w:val="1"/>
                <w:sz w:val="24"/>
                <w:szCs w:val="24"/>
                <w:lang w:val="en-US" w:eastAsia="zh-CN"/>
              </w:rPr>
              <w:t>(</w:t>
            </w:r>
            <w:r>
              <w:rPr>
                <w:rFonts w:hint="default" w:ascii="Times New Roman" w:hAnsi="Times New Roman" w:eastAsia="宋体" w:cs="Times New Roman"/>
                <w:sz w:val="24"/>
                <w:szCs w:val="24"/>
              </w:rPr>
              <w:t>GB</w:t>
            </w:r>
            <w:r>
              <w:rPr>
                <w:rFonts w:hint="eastAsia" w:cs="Times New Roman"/>
                <w:sz w:val="24"/>
                <w:szCs w:val="24"/>
                <w:lang w:val="en-US" w:eastAsia="zh-CN"/>
              </w:rPr>
              <w:t xml:space="preserve"> </w:t>
            </w:r>
            <w:r>
              <w:rPr>
                <w:rFonts w:hint="default" w:ascii="Times New Roman" w:hAnsi="Times New Roman" w:eastAsia="宋体" w:cs="Times New Roman"/>
                <w:spacing w:val="1"/>
                <w:sz w:val="24"/>
                <w:szCs w:val="24"/>
              </w:rPr>
              <w:t>3096-2008</w:t>
            </w:r>
            <w:r>
              <w:rPr>
                <w:rFonts w:hint="eastAsia" w:ascii="Times New Roman" w:hAnsi="Times New Roman" w:cs="Times New Roman"/>
                <w:spacing w:val="1"/>
                <w:sz w:val="24"/>
                <w:szCs w:val="24"/>
                <w:lang w:val="en-US" w:eastAsia="zh-CN"/>
              </w:rPr>
              <w:t>)</w:t>
            </w:r>
            <w:r>
              <w:rPr>
                <w:rFonts w:hint="default" w:ascii="Times New Roman" w:hAnsi="Times New Roman" w:eastAsia="宋体" w:cs="Times New Roman"/>
                <w:spacing w:val="2"/>
                <w:sz w:val="24"/>
                <w:szCs w:val="24"/>
              </w:rPr>
              <w:t>规定</w:t>
            </w:r>
            <w:r>
              <w:rPr>
                <w:rFonts w:hint="eastAsia" w:ascii="Times New Roman" w:hAnsi="Times New Roman" w:cs="Times New Roman"/>
                <w:spacing w:val="-1"/>
                <w:sz w:val="24"/>
                <w:szCs w:val="24"/>
                <w:lang w:eastAsia="zh-CN"/>
              </w:rPr>
              <w:t>；</w:t>
            </w:r>
            <w:r>
              <w:rPr>
                <w:rFonts w:hint="eastAsia" w:ascii="Times New Roman" w:hAnsi="Times New Roman" w:eastAsia="宋体" w:cs="Times New Roman"/>
                <w:spacing w:val="10"/>
                <w:sz w:val="24"/>
                <w:szCs w:val="24"/>
                <w:lang w:val="en-US" w:eastAsia="zh-CN"/>
              </w:rPr>
              <w:t>升压站</w:t>
            </w:r>
            <w:r>
              <w:rPr>
                <w:rFonts w:hint="default" w:ascii="Times New Roman" w:hAnsi="Times New Roman" w:eastAsia="宋体" w:cs="Times New Roman"/>
                <w:spacing w:val="10"/>
                <w:sz w:val="24"/>
                <w:szCs w:val="24"/>
              </w:rPr>
              <w:t>站界</w:t>
            </w:r>
            <w:r>
              <w:rPr>
                <w:rFonts w:hint="eastAsia" w:ascii="Times New Roman" w:hAnsi="Times New Roman" w:eastAsia="宋体" w:cs="Times New Roman"/>
                <w:spacing w:val="10"/>
                <w:sz w:val="24"/>
                <w:szCs w:val="24"/>
                <w:lang w:val="en-US" w:eastAsia="zh-CN"/>
              </w:rPr>
              <w:t>噪声</w:t>
            </w:r>
            <w:r>
              <w:rPr>
                <w:rFonts w:hint="eastAsia" w:ascii="Times New Roman" w:hAnsi="Times New Roman" w:cs="Times New Roman"/>
                <w:spacing w:val="10"/>
                <w:sz w:val="24"/>
                <w:szCs w:val="24"/>
                <w:lang w:val="en-US" w:eastAsia="zh-CN"/>
              </w:rPr>
              <w:t>满足</w:t>
            </w:r>
            <w:r>
              <w:rPr>
                <w:rFonts w:hint="default" w:ascii="Times New Roman" w:hAnsi="Times New Roman" w:eastAsia="宋体" w:cs="Times New Roman"/>
                <w:spacing w:val="10"/>
                <w:sz w:val="24"/>
                <w:szCs w:val="24"/>
              </w:rPr>
              <w:t>《工业企业厂界环境噪声排放标准》</w:t>
            </w:r>
            <w:r>
              <w:rPr>
                <w:rFonts w:hint="eastAsia" w:ascii="Times New Roman" w:hAnsi="Times New Roman" w:cs="Times New Roman"/>
                <w:spacing w:val="10"/>
                <w:sz w:val="24"/>
                <w:szCs w:val="24"/>
                <w:lang w:val="en-US" w:eastAsia="zh-CN"/>
              </w:rPr>
              <w:t>(</w:t>
            </w:r>
            <w:r>
              <w:rPr>
                <w:rFonts w:hint="default" w:ascii="Times New Roman" w:hAnsi="Times New Roman" w:eastAsia="宋体" w:cs="Times New Roman"/>
                <w:spacing w:val="10"/>
                <w:sz w:val="24"/>
                <w:szCs w:val="24"/>
              </w:rPr>
              <w:t>GB</w:t>
            </w:r>
            <w:r>
              <w:rPr>
                <w:rFonts w:hint="eastAsia" w:cs="Times New Roman"/>
                <w:spacing w:val="10"/>
                <w:sz w:val="24"/>
                <w:szCs w:val="24"/>
                <w:lang w:val="en-US" w:eastAsia="zh-CN"/>
              </w:rPr>
              <w:t xml:space="preserve"> </w:t>
            </w:r>
            <w:r>
              <w:rPr>
                <w:rFonts w:hint="default" w:ascii="Times New Roman" w:hAnsi="Times New Roman" w:eastAsia="宋体" w:cs="Times New Roman"/>
                <w:spacing w:val="10"/>
                <w:sz w:val="24"/>
                <w:szCs w:val="24"/>
              </w:rPr>
              <w:t>12348-2008</w:t>
            </w:r>
            <w:r>
              <w:rPr>
                <w:rFonts w:hint="eastAsia" w:ascii="Times New Roman" w:hAnsi="Times New Roman" w:cs="Times New Roman"/>
                <w:spacing w:val="10"/>
                <w:sz w:val="24"/>
                <w:szCs w:val="24"/>
                <w:lang w:val="en-US" w:eastAsia="zh-CN"/>
              </w:rPr>
              <w:t>)</w:t>
            </w:r>
            <w:r>
              <w:rPr>
                <w:rFonts w:hint="default" w:ascii="Times New Roman" w:hAnsi="Times New Roman" w:eastAsia="宋体" w:cs="Times New Roman"/>
                <w:spacing w:val="2"/>
                <w:sz w:val="24"/>
                <w:szCs w:val="24"/>
              </w:rPr>
              <w:t>规定</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宋体" w:hAnsi="宋体" w:eastAsia="宋体" w:cs="宋体"/>
                <w:color w:val="000000" w:themeColor="text1"/>
                <w:sz w:val="24"/>
                <w:szCs w:val="24"/>
                <w14:textFill>
                  <w14:solidFill>
                    <w14:schemeClr w14:val="tx1"/>
                  </w14:solidFill>
                </w14:textFill>
              </w:rPr>
              <w:t>本项目污染物对环境质量的影响小，不突破所在区域环境质量底线</w:t>
            </w:r>
            <w:r>
              <w:rPr>
                <w:rFonts w:hint="eastAsia" w:ascii="宋体" w:hAnsi="宋体" w:eastAsia="宋体" w:cs="宋体"/>
                <w:color w:val="000000" w:themeColor="text1"/>
                <w:sz w:val="24"/>
                <w:szCs w:val="24"/>
                <w14:textFill>
                  <w14:solidFill>
                    <w14:schemeClr w14:val="tx1"/>
                  </w14:solidFill>
                </w14:textFill>
              </w:rPr>
              <w:t>，符合要求</w:t>
            </w:r>
            <w:r>
              <w:rPr>
                <w:rFonts w:hint="default" w:ascii="宋体" w:hAnsi="宋体" w:eastAsia="宋体" w:cs="宋体"/>
                <w:color w:val="000000" w:themeColor="text1"/>
                <w:sz w:val="24"/>
                <w:szCs w:val="24"/>
                <w14:textFill>
                  <w14:solidFill>
                    <w14:schemeClr w14:val="tx1"/>
                  </w14:solidFill>
                </w14:textFill>
              </w:rPr>
              <w:t>。</w:t>
            </w:r>
          </w:p>
          <w:p w14:paraId="5780A9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③</w:t>
            </w:r>
            <w:r>
              <w:rPr>
                <w:rFonts w:hint="eastAsia" w:ascii="Times New Roman" w:hAnsi="Times New Roman" w:cs="Times New Roman"/>
                <w:color w:val="000000" w:themeColor="text1"/>
                <w:sz w:val="24"/>
                <w:szCs w:val="24"/>
                <w14:textFill>
                  <w14:solidFill>
                    <w14:schemeClr w14:val="tx1"/>
                  </w14:solidFill>
                </w14:textFill>
              </w:rPr>
              <w:t>资源利用上线</w:t>
            </w:r>
            <w:r>
              <w:rPr>
                <w:rFonts w:hint="eastAsia" w:cs="Times New Roman"/>
                <w:color w:val="000000" w:themeColor="text1"/>
                <w:sz w:val="24"/>
                <w:szCs w:val="24"/>
                <w:lang w:eastAsia="zh-CN"/>
                <w14:textFill>
                  <w14:solidFill>
                    <w14:schemeClr w14:val="tx1"/>
                  </w14:solidFill>
                </w14:textFill>
              </w:rPr>
              <w:t>：</w:t>
            </w:r>
            <w:r>
              <w:rPr>
                <w:rFonts w:hint="default" w:ascii="宋体" w:hAnsi="宋体" w:eastAsia="宋体" w:cs="宋体"/>
                <w:color w:val="000000" w:themeColor="text1"/>
                <w:sz w:val="24"/>
                <w:szCs w:val="24"/>
                <w:highlight w:val="none"/>
                <w14:textFill>
                  <w14:solidFill>
                    <w14:schemeClr w14:val="tx1"/>
                  </w14:solidFill>
                </w14:textFill>
              </w:rPr>
              <w:t>本</w:t>
            </w:r>
            <w:r>
              <w:rPr>
                <w:rFonts w:hint="default" w:ascii="宋体" w:hAnsi="宋体" w:eastAsia="宋体" w:cs="宋体"/>
                <w:color w:val="000000" w:themeColor="text1"/>
                <w:sz w:val="24"/>
                <w:szCs w:val="24"/>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为光伏</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项目配套工程</w:t>
            </w:r>
            <w:r>
              <w:rPr>
                <w:rFonts w:hint="eastAsia" w:ascii="宋体" w:hAnsi="宋体" w:eastAsia="宋体" w:cs="宋体"/>
                <w:color w:val="000000" w:themeColor="text1"/>
                <w:kern w:val="0"/>
                <w:sz w:val="24"/>
                <w:szCs w:val="24"/>
                <w:lang w:val="en-US" w:eastAsia="zh-CN" w:bidi="ar-SA"/>
                <w14:textFill>
                  <w14:solidFill>
                    <w14:schemeClr w14:val="tx1"/>
                  </w14:solidFill>
                </w14:textFill>
              </w:rPr>
              <w:t>，工程占地面积较小，造成的自然资源损失量较小。项目所在地不属于资源、能源紧缺区域，项目运营期无能源消耗，不会超过划定的资源利用上线，可以满足资源利用要求。</w:t>
            </w:r>
          </w:p>
          <w:p w14:paraId="53480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④</w:t>
            </w:r>
            <w:r>
              <w:rPr>
                <w:rFonts w:hint="eastAsia" w:ascii="Times New Roman" w:hAnsi="Times New Roman" w:cs="Times New Roman"/>
                <w:color w:val="000000" w:themeColor="text1"/>
                <w:sz w:val="24"/>
                <w:szCs w:val="24"/>
                <w:lang w:val="en-US" w:eastAsia="zh-CN"/>
                <w14:textFill>
                  <w14:solidFill>
                    <w14:schemeClr w14:val="tx1"/>
                  </w14:solidFill>
                </w14:textFill>
              </w:rPr>
              <w:t>生态环境准入清单</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本项目位于新疆巴音郭楞蒙古自治州博湖县东南约3</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km处，</w:t>
            </w:r>
            <w:r>
              <w:rPr>
                <w:rFonts w:hint="eastAsia" w:ascii="Times New Roman" w:hAnsi="Times New Roman" w:eastAsia="宋体" w:cs="Times New Roman"/>
                <w:color w:val="000000" w:themeColor="text1"/>
                <w:sz w:val="24"/>
                <w:szCs w:val="24"/>
                <w14:textFill>
                  <w14:solidFill>
                    <w14:schemeClr w14:val="tx1"/>
                  </w14:solidFill>
                </w14:textFill>
              </w:rPr>
              <w:t>选址选线较为合理；资源利用量较少；电磁环境、声环境质量能够满足相应标准要求；根据《产业结构调整指导目录(20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24</w:t>
            </w:r>
            <w:r>
              <w:rPr>
                <w:rFonts w:hint="eastAsia" w:ascii="Times New Roman" w:hAnsi="Times New Roman" w:eastAsia="宋体" w:cs="Times New Roman"/>
                <w:color w:val="000000" w:themeColor="text1"/>
                <w:sz w:val="24"/>
                <w:szCs w:val="24"/>
                <w14:textFill>
                  <w14:solidFill>
                    <w14:schemeClr w14:val="tx1"/>
                  </w14:solidFill>
                </w14:textFill>
              </w:rPr>
              <w:t>年本)》，本工程属于鼓励类项目。因此，本工程不属于</w:t>
            </w:r>
            <w:r>
              <w:rPr>
                <w:rFonts w:hint="default" w:ascii="Times New Roman" w:hAnsi="Times New Roman" w:eastAsia="宋体" w:cs="Times New Roman"/>
                <w:color w:val="000000" w:themeColor="text1"/>
                <w:sz w:val="24"/>
                <w:szCs w:val="24"/>
                <w14:textFill>
                  <w14:solidFill>
                    <w14:schemeClr w14:val="tx1"/>
                  </w14:solidFill>
                </w14:textFill>
              </w:rPr>
              <w:t>《市场准入负面清单（2022年版）</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准入负面清单内</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也不在当地生态红线范围内</w:t>
            </w:r>
            <w:r>
              <w:rPr>
                <w:rFonts w:hint="eastAsia" w:ascii="Times New Roman" w:hAnsi="Times New Roman" w:eastAsia="宋体" w:cs="Times New Roman"/>
                <w:color w:val="000000" w:themeColor="text1"/>
                <w:sz w:val="24"/>
                <w:szCs w:val="24"/>
                <w14:textFill>
                  <w14:solidFill>
                    <w14:schemeClr w14:val="tx1"/>
                  </w14:solidFill>
                </w14:textFill>
              </w:rPr>
              <w:t>。</w:t>
            </w:r>
          </w:p>
          <w:p w14:paraId="1C2628E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综上所述，本项目符合生态保护红线、环境质量底线、资源利用上线和</w:t>
            </w:r>
            <w:r>
              <w:rPr>
                <w:rFonts w:hint="eastAsia" w:ascii="Times New Roman" w:hAnsi="Times New Roman" w:cs="Times New Roman"/>
                <w:color w:val="000000" w:themeColor="text1"/>
                <w:sz w:val="24"/>
                <w:szCs w:val="24"/>
                <w:lang w:val="en-US" w:eastAsia="zh-CN"/>
                <w14:textFill>
                  <w14:solidFill>
                    <w14:schemeClr w14:val="tx1"/>
                  </w14:solidFill>
                </w14:textFill>
              </w:rPr>
              <w:t>生态环境准入清单</w:t>
            </w:r>
            <w:r>
              <w:rPr>
                <w:rFonts w:hint="eastAsia" w:ascii="Times New Roman" w:hAnsi="Times New Roman" w:cs="Times New Roman"/>
                <w:color w:val="000000" w:themeColor="text1"/>
                <w:sz w:val="24"/>
                <w:szCs w:val="24"/>
                <w14:textFill>
                  <w14:solidFill>
                    <w14:schemeClr w14:val="tx1"/>
                  </w14:solidFill>
                </w14:textFill>
              </w:rPr>
              <w:t>。</w:t>
            </w:r>
          </w:p>
          <w:p w14:paraId="602DBF25">
            <w:pPr>
              <w:keepNext w:val="0"/>
              <w:keepLines w:val="0"/>
              <w:suppressLineNumbers w:val="0"/>
              <w:bidi w:val="0"/>
              <w:spacing w:before="0" w:beforeAutospacing="0" w:after="0" w:afterAutospacing="0"/>
              <w:ind w:left="0" w:leftChars="0" w:right="0" w:firstLine="480" w:firstLineChars="200"/>
              <w:outlineLvl w:val="9"/>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（2）生态环境分区管控及相符性</w:t>
            </w:r>
          </w:p>
          <w:p w14:paraId="134001F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根据《关于印发巴音郭楞蒙古自治州“三线一单”生态环境分区管控动态更新成果(2023年)的通知》，项目所在区域单元分类为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博湖县工业园区，是重点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管控单元</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环境管控单元编码为ZH652829</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20009</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本项目符合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重点管控单元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的环境准入及管控要求见下表。</w:t>
            </w:r>
          </w:p>
          <w:p w14:paraId="33943AA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14:paraId="1CDC739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auto"/>
              <w:ind w:left="0" w:leftChars="0" w:right="0" w:firstLine="0" w:firstLineChars="0"/>
              <w:jc w:val="center"/>
              <w:textAlignment w:val="auto"/>
              <w:rPr>
                <w:rFonts w:hint="eastAsia" w:eastAsia="黑体" w:cs="Times New Roman"/>
                <w:b/>
                <w:bCs/>
                <w:color w:val="000000" w:themeColor="text1"/>
                <w:sz w:val="24"/>
                <w14:textFill>
                  <w14:solidFill>
                    <w14:schemeClr w14:val="tx1"/>
                  </w14:solidFill>
                </w14:textFill>
              </w:rPr>
            </w:pPr>
            <w:r>
              <w:rPr>
                <w:rFonts w:hint="eastAsia" w:eastAsia="黑体" w:cs="Times New Roman"/>
                <w:b/>
                <w:bCs/>
                <w:color w:val="000000" w:themeColor="text1"/>
                <w:sz w:val="24"/>
                <w14:textFill>
                  <w14:solidFill>
                    <w14:schemeClr w14:val="tx1"/>
                  </w14:solidFill>
                </w14:textFill>
              </w:rPr>
              <w:t>表</w:t>
            </w:r>
            <w:r>
              <w:rPr>
                <w:rFonts w:hint="eastAsia" w:eastAsia="黑体" w:cs="Times New Roman"/>
                <w:b/>
                <w:bCs/>
                <w:color w:val="000000" w:themeColor="text1"/>
                <w:sz w:val="24"/>
                <w:lang w:val="en-US" w:eastAsia="zh-CN"/>
                <w14:textFill>
                  <w14:solidFill>
                    <w14:schemeClr w14:val="tx1"/>
                  </w14:solidFill>
                </w14:textFill>
              </w:rPr>
              <w:t xml:space="preserve">1-4 </w:t>
            </w:r>
            <w:r>
              <w:rPr>
                <w:rFonts w:hint="eastAsia" w:eastAsia="黑体" w:cs="Times New Roman"/>
                <w:b/>
                <w:bCs/>
                <w:color w:val="000000" w:themeColor="text1"/>
                <w:sz w:val="24"/>
                <w14:textFill>
                  <w14:solidFill>
                    <w14:schemeClr w14:val="tx1"/>
                  </w14:solidFill>
                </w14:textFill>
              </w:rPr>
              <w:t>管控单元管控要求及相符性分析</w:t>
            </w:r>
          </w:p>
        </w:tc>
      </w:tr>
      <w:tr w14:paraId="57DA3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953" w:type="pct"/>
            <w:gridSpan w:val="6"/>
            <w:noWrap w:val="0"/>
            <w:vAlign w:val="center"/>
          </w:tcPr>
          <w:p w14:paraId="1A2A500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管控类别</w:t>
            </w:r>
          </w:p>
        </w:tc>
        <w:tc>
          <w:tcPr>
            <w:tcW w:w="2351" w:type="pct"/>
            <w:gridSpan w:val="7"/>
            <w:noWrap w:val="0"/>
            <w:vAlign w:val="center"/>
          </w:tcPr>
          <w:p w14:paraId="76D23CB4">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管控要求</w:t>
            </w:r>
          </w:p>
        </w:tc>
        <w:tc>
          <w:tcPr>
            <w:tcW w:w="1221" w:type="pct"/>
            <w:gridSpan w:val="2"/>
            <w:noWrap w:val="0"/>
            <w:vAlign w:val="center"/>
          </w:tcPr>
          <w:p w14:paraId="0741DC17">
            <w:pPr>
              <w:pStyle w:val="11"/>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符合性分析</w:t>
            </w:r>
          </w:p>
        </w:tc>
        <w:tc>
          <w:tcPr>
            <w:tcW w:w="471" w:type="pct"/>
            <w:gridSpan w:val="2"/>
            <w:noWrap w:val="0"/>
            <w:vAlign w:val="center"/>
          </w:tcPr>
          <w:p w14:paraId="3D746025">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是否</w:t>
            </w:r>
          </w:p>
          <w:p w14:paraId="5B4798F2">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符合</w:t>
            </w:r>
          </w:p>
        </w:tc>
      </w:tr>
      <w:tr w14:paraId="28767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518" w:type="pct"/>
            <w:gridSpan w:val="3"/>
            <w:vMerge w:val="restart"/>
            <w:noWrap w:val="0"/>
            <w:vAlign w:val="center"/>
          </w:tcPr>
          <w:p w14:paraId="18EE01A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巴音郭楞蒙古自治州总体管控要求</w:t>
            </w:r>
          </w:p>
        </w:tc>
        <w:tc>
          <w:tcPr>
            <w:tcW w:w="434" w:type="pct"/>
            <w:gridSpan w:val="3"/>
            <w:noWrap w:val="0"/>
            <w:vAlign w:val="center"/>
          </w:tcPr>
          <w:p w14:paraId="0B83419B">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空间</w:t>
            </w:r>
          </w:p>
          <w:p w14:paraId="2B4C2289">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布局</w:t>
            </w:r>
          </w:p>
          <w:p w14:paraId="32C9CCC6">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约束</w:t>
            </w:r>
          </w:p>
        </w:tc>
        <w:tc>
          <w:tcPr>
            <w:tcW w:w="2351" w:type="pct"/>
            <w:gridSpan w:val="7"/>
            <w:noWrap w:val="0"/>
            <w:vAlign w:val="center"/>
          </w:tcPr>
          <w:p w14:paraId="4DFED54F">
            <w:pPr>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360" w:lineRule="exact"/>
              <w:ind w:left="0" w:leftChars="0" w:right="0"/>
              <w:jc w:val="left"/>
              <w:textAlignment w:val="auto"/>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1.禁止在自治州行政区域内引进能（水）耗不符合相关国家标准中准入值要求，且污染物排放和环境风险防控不符合国家（地方）标准及有关产业准入条件的高污染（排放）、高能（水）耗、高环境风险的工业项目。</w:t>
            </w:r>
          </w:p>
          <w:p w14:paraId="488337D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2.禁止新建、改建、扩建严重污染大气环境的项目。</w:t>
            </w:r>
          </w:p>
        </w:tc>
        <w:tc>
          <w:tcPr>
            <w:tcW w:w="1221" w:type="pct"/>
            <w:gridSpan w:val="2"/>
            <w:noWrap w:val="0"/>
            <w:vAlign w:val="center"/>
          </w:tcPr>
          <w:p w14:paraId="6451D566">
            <w:pPr>
              <w:pStyle w:val="11"/>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本项目运行期</w:t>
            </w:r>
            <w:r>
              <w:rPr>
                <w:rFonts w:hint="eastAsia"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无废气废水污染物排放</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，不属于高污染（排放）、高能（水）耗、高环境风险的工业项目；不属于严重污染大气环境的项目</w:t>
            </w:r>
            <w:r>
              <w:rPr>
                <w:rFonts w:hint="eastAsia" w:cs="Times New Roman"/>
                <w:color w:val="000000" w:themeColor="text1"/>
                <w:kern w:val="2"/>
                <w:sz w:val="21"/>
                <w:szCs w:val="21"/>
                <w:shd w:val="clear" w:color="auto" w:fill="auto"/>
                <w:lang w:val="en-US" w:eastAsia="zh-CN" w:bidi="ar-SA"/>
                <w14:textFill>
                  <w14:solidFill>
                    <w14:schemeClr w14:val="tx1"/>
                  </w14:solidFill>
                </w14:textFill>
              </w:rPr>
              <w:t>。</w:t>
            </w:r>
          </w:p>
        </w:tc>
        <w:tc>
          <w:tcPr>
            <w:tcW w:w="471" w:type="pct"/>
            <w:gridSpan w:val="2"/>
            <w:noWrap w:val="0"/>
            <w:vAlign w:val="center"/>
          </w:tcPr>
          <w:p w14:paraId="450B7DBF">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符合</w:t>
            </w:r>
          </w:p>
        </w:tc>
      </w:tr>
      <w:tr w14:paraId="58977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256" w:hRule="atLeast"/>
          <w:jc w:val="center"/>
        </w:trPr>
        <w:tc>
          <w:tcPr>
            <w:tcW w:w="518" w:type="pct"/>
            <w:gridSpan w:val="3"/>
            <w:vMerge w:val="continue"/>
            <w:noWrap w:val="0"/>
            <w:vAlign w:val="center"/>
          </w:tcPr>
          <w:p w14:paraId="5D4D45E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p>
        </w:tc>
        <w:tc>
          <w:tcPr>
            <w:tcW w:w="434" w:type="pct"/>
            <w:gridSpan w:val="3"/>
            <w:noWrap w:val="0"/>
            <w:vAlign w:val="center"/>
          </w:tcPr>
          <w:p w14:paraId="23541D7E">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污染</w:t>
            </w:r>
          </w:p>
          <w:p w14:paraId="2B19D896">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物排</w:t>
            </w:r>
          </w:p>
          <w:p w14:paraId="7FA46720">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放管</w:t>
            </w:r>
          </w:p>
          <w:p w14:paraId="27C89919">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控</w:t>
            </w:r>
          </w:p>
        </w:tc>
        <w:tc>
          <w:tcPr>
            <w:tcW w:w="2351" w:type="pct"/>
            <w:gridSpan w:val="7"/>
            <w:noWrap w:val="0"/>
            <w:vAlign w:val="center"/>
          </w:tcPr>
          <w:p w14:paraId="0944098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所有排污单位必须依法实现全面达标排放。逐一排查工业企业排污情况，重点排污单位应按要求安装污染物在线监控设施，达标企业应采取措施确保稳定达标。定期抽查排污单位达标排放情况，结果向社会公布。加大综合惩处和处罚执行力度，建立环保领域非诉案件执行联动配合机制，对行政处罚、行政命令执行情况实施后督察。</w:t>
            </w:r>
          </w:p>
          <w:p w14:paraId="20895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自治州、铁门关市、博斯腾湖周边各级人民政府、焉耆垦区团（镇）应当采取保护和治理措施，维护和改善博斯腾湖水环境，使汇入博斯腾湖的各河流水质达到《地表水环境质量标准》（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w:t>
            </w:r>
            <w:r>
              <w:rPr>
                <w:rFonts w:hint="eastAsia"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3838—2002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Ⅱ</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类标准，博斯腾湖水质达到《地表水环境质量标准（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w:t>
            </w:r>
            <w:r>
              <w:rPr>
                <w:rFonts w:hint="eastAsia" w:cs="Times New Roman"/>
                <w:color w:val="000000" w:themeColor="text1"/>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3838—2002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Ⅲ</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类标准。</w:t>
            </w:r>
          </w:p>
        </w:tc>
        <w:tc>
          <w:tcPr>
            <w:tcW w:w="1221" w:type="pct"/>
            <w:gridSpan w:val="2"/>
            <w:noWrap w:val="0"/>
            <w:vAlign w:val="center"/>
          </w:tcPr>
          <w:p w14:paraId="1A9A4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经调查，本项目</w:t>
            </w:r>
            <w:r>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工频电磁场、噪声均满足国家相应标准要求</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；项目运行</w:t>
            </w:r>
            <w:r>
              <w:rPr>
                <w:rFonts w:hint="eastAsia" w:ascii="Times New Roman" w:hAnsi="Times New Roman" w:eastAsia="宋体" w:cs="Times New Roman"/>
                <w:color w:val="000000" w:themeColor="text1"/>
                <w:kern w:val="2"/>
                <w:sz w:val="21"/>
                <w:szCs w:val="21"/>
                <w:highlight w:val="none"/>
                <w:shd w:val="clear" w:color="auto" w:fill="auto"/>
                <w:lang w:val="en-US" w:eastAsia="zh-CN" w:bidi="ar-SA"/>
                <w14:textFill>
                  <w14:solidFill>
                    <w14:schemeClr w14:val="tx1"/>
                  </w14:solidFill>
                </w14:textFill>
              </w:rPr>
              <w:t>期不排放废水，不会对</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博斯腾湖水质产生不良影响</w:t>
            </w:r>
            <w:r>
              <w:rPr>
                <w:rFonts w:hint="eastAsia" w:cs="Times New Roman"/>
                <w:color w:val="000000" w:themeColor="text1"/>
                <w:kern w:val="0"/>
                <w:sz w:val="21"/>
                <w:szCs w:val="21"/>
                <w:lang w:val="en-US" w:eastAsia="zh-CN" w:bidi="ar"/>
                <w14:textFill>
                  <w14:solidFill>
                    <w14:schemeClr w14:val="tx1"/>
                  </w14:solidFill>
                </w14:textFill>
              </w:rPr>
              <w:t>。</w:t>
            </w:r>
          </w:p>
        </w:tc>
        <w:tc>
          <w:tcPr>
            <w:tcW w:w="471" w:type="pct"/>
            <w:gridSpan w:val="2"/>
            <w:noWrap w:val="0"/>
            <w:vAlign w:val="center"/>
          </w:tcPr>
          <w:p w14:paraId="424FC9FF">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符合</w:t>
            </w:r>
          </w:p>
        </w:tc>
      </w:tr>
      <w:tr w14:paraId="01269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518" w:type="pct"/>
            <w:gridSpan w:val="3"/>
            <w:vMerge w:val="continue"/>
            <w:noWrap w:val="0"/>
            <w:vAlign w:val="center"/>
          </w:tcPr>
          <w:p w14:paraId="6F6D8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434" w:type="pct"/>
            <w:gridSpan w:val="3"/>
            <w:noWrap w:val="0"/>
            <w:vAlign w:val="center"/>
          </w:tcPr>
          <w:p w14:paraId="6AA2D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环境</w:t>
            </w:r>
          </w:p>
          <w:p w14:paraId="6E47D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风险</w:t>
            </w:r>
          </w:p>
          <w:p w14:paraId="3BE0C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防控</w:t>
            </w:r>
          </w:p>
        </w:tc>
        <w:tc>
          <w:tcPr>
            <w:tcW w:w="2351" w:type="pct"/>
            <w:gridSpan w:val="7"/>
            <w:noWrap w:val="0"/>
            <w:vAlign w:val="center"/>
          </w:tcPr>
          <w:p w14:paraId="1DE0E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严格环境风险控制。防范环境风险。定期评估沿河流湖库的工业企业、工业集聚区环境和健康风险，加强预案管理，落实防控措施，排除水污染隐患。评估现有化学物质环境和健康风险，根据国家公布的优先控制化学品名录，对高风险化学品生产、使用进行严格限制，并逐步淘汰替代。</w:t>
            </w:r>
          </w:p>
          <w:p w14:paraId="71B48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国家加强对土壤资源的保护和合理利用。对开发建设过程中剥离的表土，应当单独收集和存放，符合条件的应当优先用于土地复垦、土壤改良、造地和绿化等。禁止将重金属或者其他有毒有害物质含量超标的工业固体废物、生活垃圾或者污染土壤用于土地复垦。</w:t>
            </w:r>
          </w:p>
        </w:tc>
        <w:tc>
          <w:tcPr>
            <w:tcW w:w="1221" w:type="pct"/>
            <w:gridSpan w:val="2"/>
            <w:noWrap w:val="0"/>
            <w:vAlign w:val="center"/>
          </w:tcPr>
          <w:p w14:paraId="5049C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无水污染隐患，不涉及高风险化学品生产、使用；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建设过程中剥离的表土已单独收集，施工结束后，已用于土地回填。</w:t>
            </w:r>
          </w:p>
        </w:tc>
        <w:tc>
          <w:tcPr>
            <w:tcW w:w="471" w:type="pct"/>
            <w:gridSpan w:val="2"/>
            <w:noWrap w:val="0"/>
            <w:vAlign w:val="center"/>
          </w:tcPr>
          <w:p w14:paraId="3D1FBC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5B0F6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128" w:hRule="atLeast"/>
          <w:jc w:val="center"/>
        </w:trPr>
        <w:tc>
          <w:tcPr>
            <w:tcW w:w="518" w:type="pct"/>
            <w:gridSpan w:val="3"/>
            <w:vMerge w:val="restart"/>
            <w:noWrap w:val="0"/>
            <w:vAlign w:val="center"/>
          </w:tcPr>
          <w:p w14:paraId="74C0848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管控准入清单（博湖县工业园区-重点管控区）</w:t>
            </w:r>
          </w:p>
          <w:p w14:paraId="51985341">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both"/>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p>
        </w:tc>
        <w:tc>
          <w:tcPr>
            <w:tcW w:w="434" w:type="pct"/>
            <w:gridSpan w:val="3"/>
            <w:noWrap w:val="0"/>
            <w:vAlign w:val="center"/>
          </w:tcPr>
          <w:p w14:paraId="15DED259">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空间</w:t>
            </w:r>
          </w:p>
          <w:p w14:paraId="2CE0E534">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布局</w:t>
            </w:r>
          </w:p>
          <w:p w14:paraId="6DACC82E">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约束</w:t>
            </w:r>
          </w:p>
        </w:tc>
        <w:tc>
          <w:tcPr>
            <w:tcW w:w="2351" w:type="pct"/>
            <w:gridSpan w:val="7"/>
            <w:noWrap w:val="0"/>
            <w:vAlign w:val="center"/>
          </w:tcPr>
          <w:p w14:paraId="3D0B22A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以水定产，根据园区选址所在博斯腾湖乡的可用水资源量确定区域工业、农业经济发展方向及规模。</w:t>
            </w:r>
          </w:p>
          <w:p w14:paraId="6273CEE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落实《关于印发新疆维吾尔自治区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17</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个新增纳入国家重点生态功能区县（市）产业准入负面清单（试行）的通知》（新发改规划〔</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2017</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1796</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号）要求。</w:t>
            </w:r>
          </w:p>
        </w:tc>
        <w:tc>
          <w:tcPr>
            <w:tcW w:w="1221" w:type="pct"/>
            <w:gridSpan w:val="2"/>
            <w:noWrap w:val="0"/>
            <w:vAlign w:val="center"/>
          </w:tcPr>
          <w:p w14:paraId="4ED23D4A">
            <w:pPr>
              <w:pStyle w:val="13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为光伏项目配套工程，运行期</w:t>
            </w:r>
            <w:r>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不涉及</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生产用水的使用，不新增劳动定员，生活用水不增加；不涉及</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《关于印发新疆维吾尔自治区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17</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个新增纳入国家重点生态功能区县（市）产业准入负面清单（试行）的通知》提出的限制类及禁止类工程，</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符合</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新发改规划〔</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2017</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1796</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号文件要求。</w:t>
            </w:r>
          </w:p>
        </w:tc>
        <w:tc>
          <w:tcPr>
            <w:tcW w:w="471" w:type="pct"/>
            <w:gridSpan w:val="2"/>
            <w:noWrap w:val="0"/>
            <w:vAlign w:val="center"/>
          </w:tcPr>
          <w:p w14:paraId="3A2AE1FE">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符合</w:t>
            </w:r>
          </w:p>
          <w:p w14:paraId="38704885">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p>
        </w:tc>
      </w:tr>
      <w:tr w14:paraId="1FA0A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518" w:type="pct"/>
            <w:gridSpan w:val="3"/>
            <w:vMerge w:val="continue"/>
            <w:noWrap w:val="0"/>
            <w:vAlign w:val="center"/>
          </w:tcPr>
          <w:p w14:paraId="05E0A002">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both"/>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p>
        </w:tc>
        <w:tc>
          <w:tcPr>
            <w:tcW w:w="434" w:type="pct"/>
            <w:gridSpan w:val="3"/>
            <w:noWrap w:val="0"/>
            <w:vAlign w:val="center"/>
          </w:tcPr>
          <w:p w14:paraId="554432C4">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污染</w:t>
            </w:r>
          </w:p>
          <w:p w14:paraId="5C962B85">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物排</w:t>
            </w:r>
          </w:p>
          <w:p w14:paraId="00825B02">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放管</w:t>
            </w:r>
          </w:p>
          <w:p w14:paraId="2643D199">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控</w:t>
            </w:r>
          </w:p>
        </w:tc>
        <w:tc>
          <w:tcPr>
            <w:tcW w:w="2351" w:type="pct"/>
            <w:gridSpan w:val="7"/>
            <w:noWrap w:val="0"/>
            <w:vAlign w:val="center"/>
          </w:tcPr>
          <w:p w14:paraId="2639C85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园区污水处理厂二次回用水水质执行《工业循环冷却水处理设计规范》（</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GB50050-2007</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）的规定，少量外排废水执行《城镇污水处理厂污染物排放标准》（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GB18918-2002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）中一级</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B</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标准的同时，还需满足《城市污水再生利用杂用水水质标准》（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GB/T18920-2020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）要求。</w:t>
            </w:r>
          </w:p>
        </w:tc>
        <w:tc>
          <w:tcPr>
            <w:tcW w:w="1221" w:type="pct"/>
            <w:gridSpan w:val="2"/>
            <w:noWrap w:val="0"/>
            <w:vAlign w:val="center"/>
          </w:tcPr>
          <w:p w14:paraId="23CD397E">
            <w:pPr>
              <w:pStyle w:val="11"/>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运行期不产生废水。</w:t>
            </w:r>
          </w:p>
        </w:tc>
        <w:tc>
          <w:tcPr>
            <w:tcW w:w="471" w:type="pct"/>
            <w:gridSpan w:val="2"/>
            <w:noWrap w:val="0"/>
            <w:vAlign w:val="center"/>
          </w:tcPr>
          <w:p w14:paraId="5E42B7A8">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符合</w:t>
            </w:r>
          </w:p>
        </w:tc>
      </w:tr>
      <w:tr w14:paraId="035C8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90" w:hRule="atLeast"/>
          <w:jc w:val="center"/>
        </w:trPr>
        <w:tc>
          <w:tcPr>
            <w:tcW w:w="518" w:type="pct"/>
            <w:gridSpan w:val="3"/>
            <w:vMerge w:val="continue"/>
            <w:noWrap w:val="0"/>
            <w:vAlign w:val="center"/>
          </w:tcPr>
          <w:p w14:paraId="0354AD1C">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both"/>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p>
        </w:tc>
        <w:tc>
          <w:tcPr>
            <w:tcW w:w="434" w:type="pct"/>
            <w:gridSpan w:val="3"/>
            <w:noWrap w:val="0"/>
            <w:vAlign w:val="center"/>
          </w:tcPr>
          <w:p w14:paraId="177652A6">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环境</w:t>
            </w:r>
          </w:p>
          <w:p w14:paraId="3BAE864A">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风险</w:t>
            </w:r>
          </w:p>
          <w:p w14:paraId="220B1A80">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防</w:t>
            </w: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控</w:t>
            </w:r>
          </w:p>
        </w:tc>
        <w:tc>
          <w:tcPr>
            <w:tcW w:w="2351" w:type="pct"/>
            <w:gridSpan w:val="7"/>
            <w:noWrap w:val="0"/>
            <w:vAlign w:val="center"/>
          </w:tcPr>
          <w:p w14:paraId="5F089B1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严格执行项目安全和卫生防护距离要求，项目卫生防护距离内不得规划、建设居民区、学校、医院等环境敏感目标，对于已存在的环境敏感目标要采取合理措施加以保护。</w:t>
            </w:r>
          </w:p>
          <w:p w14:paraId="6A1F84B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严格环境风险控制。防范环境风险，定期评估工业集聚区环境和健康风险，加强预案管理，落实防控措施，排除水污染隐患。</w:t>
            </w:r>
          </w:p>
          <w:p w14:paraId="5A32A8D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加强对地下水、地表水污染的动态监测，禁止利用渗坑、渗井排放工业废水和生活污水，控制或杜绝污染。工业用地固废临时堆放点均按相关要求做好防渗措施，并提高防渗等级，采取二层防渗措施，防止贮存过程发生溢漏，导致地下水污染。</w:t>
            </w:r>
          </w:p>
        </w:tc>
        <w:tc>
          <w:tcPr>
            <w:tcW w:w="1221" w:type="pct"/>
            <w:gridSpan w:val="2"/>
            <w:noWrap w:val="0"/>
            <w:vAlign w:val="center"/>
          </w:tcPr>
          <w:p w14:paraId="027709F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不涉及居民区、学校、医院等环境敏感目标。建设单位定期进行了噪声、电磁等环境监测，并制定了相关环境风险防范措施。项目</w:t>
            </w:r>
            <w:r>
              <w:rPr>
                <w:rFonts w:hint="default" w:ascii="Times New Roman" w:hAnsi="Times New Roman" w:eastAsia="宋体" w:cs="Times New Roman"/>
                <w:color w:val="000000" w:themeColor="text1"/>
                <w:spacing w:val="-1"/>
                <w:sz w:val="21"/>
                <w:szCs w:val="21"/>
                <w:shd w:val="clear" w:color="auto" w:fill="auto"/>
                <w14:textFill>
                  <w14:solidFill>
                    <w14:schemeClr w14:val="tx1"/>
                  </w14:solidFill>
                </w14:textFill>
              </w:rPr>
              <w:t>不涉及天然地表水体，无任何水力关系</w:t>
            </w:r>
            <w:r>
              <w:rPr>
                <w:rFonts w:hint="eastAsia" w:ascii="Times New Roman" w:hAnsi="Times New Roman" w:eastAsia="宋体" w:cs="Times New Roman"/>
                <w:color w:val="000000" w:themeColor="text1"/>
                <w:spacing w:val="-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pacing w:val="-1"/>
                <w:sz w:val="21"/>
                <w:szCs w:val="21"/>
                <w:shd w:val="clear" w:color="auto" w:fill="auto"/>
                <w:lang w:val="en-US" w:eastAsia="zh-CN"/>
                <w14:textFill>
                  <w14:solidFill>
                    <w14:schemeClr w14:val="tx1"/>
                  </w14:solidFill>
                </w14:textFill>
              </w:rPr>
              <w:t>不存在地下水污染途径。</w:t>
            </w:r>
          </w:p>
        </w:tc>
        <w:tc>
          <w:tcPr>
            <w:tcW w:w="471" w:type="pct"/>
            <w:gridSpan w:val="2"/>
            <w:noWrap w:val="0"/>
            <w:vAlign w:val="center"/>
          </w:tcPr>
          <w:p w14:paraId="2E120092">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符合</w:t>
            </w:r>
          </w:p>
        </w:tc>
      </w:tr>
      <w:tr w14:paraId="5C059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530" w:hRule="atLeast"/>
          <w:jc w:val="center"/>
        </w:trPr>
        <w:tc>
          <w:tcPr>
            <w:tcW w:w="518" w:type="pct"/>
            <w:gridSpan w:val="3"/>
            <w:vMerge w:val="continue"/>
            <w:noWrap w:val="0"/>
            <w:vAlign w:val="center"/>
          </w:tcPr>
          <w:p w14:paraId="0444A487">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both"/>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p>
        </w:tc>
        <w:tc>
          <w:tcPr>
            <w:tcW w:w="434" w:type="pct"/>
            <w:gridSpan w:val="3"/>
            <w:noWrap w:val="0"/>
            <w:vAlign w:val="center"/>
          </w:tcPr>
          <w:p w14:paraId="4764C7AF">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资源</w:t>
            </w:r>
          </w:p>
          <w:p w14:paraId="032651ED">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利用</w:t>
            </w:r>
          </w:p>
          <w:p w14:paraId="58EEC455">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效率</w:t>
            </w:r>
          </w:p>
        </w:tc>
        <w:tc>
          <w:tcPr>
            <w:tcW w:w="2351" w:type="pct"/>
            <w:gridSpan w:val="7"/>
            <w:noWrap w:val="0"/>
            <w:vAlign w:val="center"/>
          </w:tcPr>
          <w:p w14:paraId="107BD30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在工业园区中大力推广清洁生产工艺，发展循环经济，提倡节水、节能、节约资源，废物综合利用。</w:t>
            </w:r>
          </w:p>
        </w:tc>
        <w:tc>
          <w:tcPr>
            <w:tcW w:w="1221" w:type="pct"/>
            <w:gridSpan w:val="2"/>
            <w:noWrap w:val="0"/>
            <w:vAlign w:val="center"/>
          </w:tcPr>
          <w:p w14:paraId="2F521305">
            <w:pPr>
              <w:pStyle w:val="13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1"/>
                <w:shd w:val="clear" w:color="auto" w:fill="auto"/>
                <w:lang w:val="en-US" w:eastAsia="zh-CN" w:bidi="ar-SA"/>
                <w14:textFill>
                  <w14:solidFill>
                    <w14:schemeClr w14:val="tx1"/>
                  </w14:solidFill>
                </w14:textFill>
              </w:rPr>
              <w:t>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可再生能源太阳能发电项目配套工程，属于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清洁能源建设范畴。</w:t>
            </w:r>
          </w:p>
        </w:tc>
        <w:tc>
          <w:tcPr>
            <w:tcW w:w="471" w:type="pct"/>
            <w:gridSpan w:val="2"/>
            <w:noWrap w:val="0"/>
            <w:vAlign w:val="center"/>
          </w:tcPr>
          <w:p w14:paraId="2B11A9E9">
            <w:pPr>
              <w:pStyle w:val="11"/>
              <w:keepNext w:val="0"/>
              <w:keepLines w:val="0"/>
              <w:pageBreakBefore w:val="0"/>
              <w:suppressLineNumbers w:val="0"/>
              <w:kinsoku/>
              <w:wordWrap/>
              <w:overflowPunct/>
              <w:topLinePunct w:val="0"/>
              <w:autoSpaceDE/>
              <w:autoSpaceDN/>
              <w:bidi w:val="0"/>
              <w:adjustRightInd/>
              <w:spacing w:beforeAutospacing="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14:textFill>
                  <w14:solidFill>
                    <w14:schemeClr w14:val="tx1"/>
                  </w14:solidFill>
                </w14:textFill>
              </w:rPr>
              <w:t>符合</w:t>
            </w:r>
          </w:p>
        </w:tc>
      </w:tr>
      <w:tr w14:paraId="46676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1021" w:hRule="atLeast"/>
          <w:jc w:val="center"/>
        </w:trPr>
        <w:tc>
          <w:tcPr>
            <w:tcW w:w="4998" w:type="pct"/>
            <w:gridSpan w:val="17"/>
            <w:noWrap w:val="0"/>
            <w:vAlign w:val="center"/>
          </w:tcPr>
          <w:p w14:paraId="3E34BEA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588330D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本项目符合《巴音郭楞蒙古自治州“三线一单”生态环境分区管控方案》中的博湖县</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重点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管控单元管控要求。</w:t>
            </w:r>
          </w:p>
          <w:p w14:paraId="52DCF36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2F6C15A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4B9C132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45E649A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35BA562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5FC54A9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39DFBAA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460FE06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1F6B025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3F46EC0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30D5A67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02EDD15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6A45939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6B7ACBB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7D4AA4F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05EBBA8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54F7982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6160CE0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05930F2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1D0AFC3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r>
    </w:tbl>
    <w:p w14:paraId="00EB0AE7">
      <w:pPr>
        <w:rPr>
          <w:rFonts w:hint="eastAsia"/>
        </w:rPr>
        <w:sectPr>
          <w:footerReference r:id="rId7" w:type="default"/>
          <w:pgSz w:w="11907" w:h="16840"/>
          <w:pgMar w:top="1701" w:right="1531" w:bottom="1701" w:left="1531"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5BF572DE"/>
    <w:p w14:paraId="6FA7AE9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rPr>
      </w:pPr>
      <w:r>
        <w:rPr>
          <w:rFonts w:hint="eastAsia" w:ascii="Times New Roman" w:hAnsi="Times New Roman" w:eastAsia="黑体" w:cs="Times New Roman"/>
          <w:b/>
          <w:bCs/>
          <w:color w:val="000000" w:themeColor="text1"/>
          <w:sz w:val="24"/>
          <w:lang w:val="en-US" w:eastAsia="zh-CN"/>
          <w14:textFill>
            <w14:solidFill>
              <w14:schemeClr w14:val="tx1"/>
            </w14:solidFill>
          </w14:textFill>
        </w:rPr>
        <w:t>图1-1 巴音郭楞蒙古自治州生态环境分区管控</w:t>
      </w:r>
      <w:r>
        <w:rPr>
          <w:rFonts w:hint="eastAsia" w:eastAsia="黑体" w:cs="Times New Roman"/>
          <w:b/>
          <w:bCs/>
          <w:color w:val="000000" w:themeColor="text1"/>
          <w:sz w:val="24"/>
          <w:lang w:val="en-US" w:eastAsia="zh-CN"/>
          <w14:textFill>
            <w14:solidFill>
              <w14:schemeClr w14:val="tx1"/>
            </w14:solidFill>
          </w14:textFill>
        </w:rPr>
        <w:t>图</w:t>
      </w:r>
    </w:p>
    <w:p w14:paraId="5D3B0BCE">
      <w:pPr>
        <w:ind w:left="0" w:leftChars="0" w:firstLine="0" w:firstLineChars="0"/>
      </w:pPr>
    </w:p>
    <w:p w14:paraId="42DA8A9D">
      <w:pPr>
        <w:ind w:left="0" w:leftChars="0" w:firstLine="0" w:firstLineChars="0"/>
        <w:jc w:val="center"/>
        <w:rPr>
          <w:rFonts w:hint="eastAsia" w:ascii="Times New Roman" w:hAnsi="Times New Roman" w:eastAsia="黑体" w:cs="Times New Roman"/>
          <w:b/>
          <w:bCs/>
          <w:color w:val="000000" w:themeColor="text1"/>
          <w:sz w:val="24"/>
          <w:lang w:val="en-US" w:eastAsia="zh-CN"/>
          <w14:textFill>
            <w14:solidFill>
              <w14:schemeClr w14:val="tx1"/>
            </w14:solidFill>
          </w14:textFill>
        </w:rPr>
      </w:pPr>
    </w:p>
    <w:p w14:paraId="0BB14459">
      <w:pPr>
        <w:ind w:left="0" w:leftChars="0" w:firstLine="0" w:firstLineChars="0"/>
        <w:jc w:val="center"/>
        <w:rPr>
          <w:rFonts w:hint="eastAsia"/>
        </w:rPr>
        <w:sectPr>
          <w:pgSz w:w="16840" w:h="11907"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b/>
          <w:bCs/>
          <w:color w:val="000000" w:themeColor="text1"/>
          <w:sz w:val="24"/>
          <w:lang w:val="en-US" w:eastAsia="zh-CN"/>
          <w14:textFill>
            <w14:solidFill>
              <w14:schemeClr w14:val="tx1"/>
            </w14:solidFill>
          </w14:textFill>
        </w:rPr>
        <w:t>图1-</w:t>
      </w:r>
      <w:r>
        <w:rPr>
          <w:rFonts w:hint="eastAsia" w:eastAsia="黑体" w:cs="Times New Roman"/>
          <w:b/>
          <w:bCs/>
          <w:color w:val="000000" w:themeColor="text1"/>
          <w:sz w:val="24"/>
          <w:lang w:val="en-US" w:eastAsia="zh-CN"/>
          <w14:textFill>
            <w14:solidFill>
              <w14:schemeClr w14:val="tx1"/>
            </w14:solidFill>
          </w14:textFill>
        </w:rPr>
        <w:t xml:space="preserve">2 </w:t>
      </w:r>
      <w:r>
        <w:rPr>
          <w:rFonts w:hint="eastAsia" w:ascii="Times New Roman" w:hAnsi="Times New Roman" w:eastAsia="黑体" w:cs="Times New Roman"/>
          <w:b/>
          <w:bCs/>
          <w:color w:val="000000" w:themeColor="text1"/>
          <w:sz w:val="24"/>
          <w:lang w:val="en-US" w:eastAsia="zh-CN"/>
          <w14:textFill>
            <w14:solidFill>
              <w14:schemeClr w14:val="tx1"/>
            </w14:solidFill>
          </w14:textFill>
        </w:rPr>
        <w:t>巴音郭楞蒙古自治州生态</w:t>
      </w:r>
      <w:r>
        <w:rPr>
          <w:rFonts w:hint="eastAsia" w:eastAsia="黑体" w:cs="Times New Roman"/>
          <w:b/>
          <w:bCs/>
          <w:color w:val="000000" w:themeColor="text1"/>
          <w:sz w:val="24"/>
          <w:lang w:val="en-US" w:eastAsia="zh-CN"/>
          <w14:textFill>
            <w14:solidFill>
              <w14:schemeClr w14:val="tx1"/>
            </w14:solidFill>
          </w14:textFill>
        </w:rPr>
        <w:t>保护红线图</w:t>
      </w:r>
    </w:p>
    <w:p w14:paraId="2E05E959">
      <w:pPr>
        <w:pStyle w:val="3"/>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0" w:firstLineChars="0"/>
        <w:jc w:val="center"/>
        <w:textAlignment w:val="auto"/>
      </w:pPr>
      <w:bookmarkStart w:id="6" w:name="_Toc28806"/>
      <w:r>
        <w:rPr>
          <w:rFonts w:hint="eastAsia"/>
        </w:rPr>
        <w:t>二、</w:t>
      </w:r>
      <w:r>
        <w:rPr>
          <w:rFonts w:ascii="黑体" w:hAnsi="黑体" w:eastAsia="黑体" w:cs="黑体"/>
          <w:spacing w:val="-3"/>
          <w:sz w:val="30"/>
          <w:szCs w:val="30"/>
        </w:rPr>
        <w:t>建设内容</w:t>
      </w:r>
      <w:bookmarkEnd w:id="6"/>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60"/>
        <w:gridCol w:w="356"/>
        <w:gridCol w:w="596"/>
        <w:gridCol w:w="256"/>
        <w:gridCol w:w="264"/>
        <w:gridCol w:w="38"/>
        <w:gridCol w:w="511"/>
        <w:gridCol w:w="952"/>
        <w:gridCol w:w="3"/>
        <w:gridCol w:w="426"/>
        <w:gridCol w:w="618"/>
        <w:gridCol w:w="510"/>
        <w:gridCol w:w="485"/>
        <w:gridCol w:w="245"/>
        <w:gridCol w:w="736"/>
        <w:gridCol w:w="44"/>
        <w:gridCol w:w="340"/>
        <w:gridCol w:w="475"/>
        <w:gridCol w:w="696"/>
      </w:tblGrid>
      <w:tr w14:paraId="44C7C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7FDD2782">
            <w:pPr>
              <w:keepNext w:val="0"/>
              <w:keepLines w:val="0"/>
              <w:pageBreakBefore w:val="0"/>
              <w:widowControl w:val="0"/>
              <w:suppressLineNumbers w:val="0"/>
              <w:kinsoku/>
              <w:wordWrap/>
              <w:overflowPunct/>
              <w:topLinePunct/>
              <w:autoSpaceDE/>
              <w:autoSpaceDN/>
              <w:bidi w:val="0"/>
              <w:adjustRightInd/>
              <w:snapToGrid/>
              <w:spacing w:before="60" w:beforeAutospacing="0" w:after="60" w:afterAutospacing="0" w:line="240" w:lineRule="auto"/>
              <w:ind w:left="0" w:right="0" w:firstLine="0" w:firstLineChars="0"/>
              <w:jc w:val="center"/>
              <w:textAlignment w:val="auto"/>
              <w:rPr>
                <w:rFonts w:hint="eastAsia" w:cs="Times New Roman"/>
                <w:color w:val="000000"/>
                <w:sz w:val="24"/>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地理位置</w:t>
            </w:r>
          </w:p>
        </w:tc>
      </w:tr>
      <w:tr w14:paraId="7E42F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1E417149">
            <w:pPr>
              <w:pStyle w:val="127"/>
              <w:keepNext w:val="0"/>
              <w:keepLines w:val="0"/>
              <w:suppressLineNumbers w:val="0"/>
              <w:bidi w:val="0"/>
              <w:spacing w:before="0" w:beforeAutospacing="0" w:after="0" w:afterAutospacing="0"/>
              <w:ind w:left="0" w:leftChars="0" w:right="0" w:firstLine="0" w:firstLineChars="0"/>
              <w:outlineLvl w:val="9"/>
              <w:rPr>
                <w:rFonts w:hint="default" w:ascii="宋体" w:hAnsi="宋体" w:eastAsia="宋体" w:cs="宋体"/>
                <w:spacing w:val="9"/>
                <w:sz w:val="24"/>
                <w:szCs w:val="24"/>
                <w:lang w:val="en-US" w:eastAsia="zh-CN"/>
              </w:rPr>
            </w:pPr>
            <w:r>
              <w:rPr>
                <w:rFonts w:hint="eastAsia" w:cs="Times New Roman"/>
                <w:lang w:val="en-US" w:eastAsia="zh-CN"/>
              </w:rPr>
              <w:t>2</w:t>
            </w:r>
            <w:r>
              <w:rPr>
                <w:rFonts w:hint="eastAsia" w:cs="Times New Roman"/>
              </w:rPr>
              <w:t>.1</w:t>
            </w:r>
            <w:r>
              <w:rPr>
                <w:rFonts w:hint="eastAsia" w:cs="Times New Roman"/>
                <w:lang w:val="en-US" w:eastAsia="zh-CN"/>
              </w:rPr>
              <w:t>地理位置</w:t>
            </w:r>
          </w:p>
          <w:p w14:paraId="1F26D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516" w:firstLineChars="200"/>
              <w:jc w:val="both"/>
              <w:textAlignment w:val="auto"/>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themeColor="text1"/>
                <w:spacing w:val="9"/>
                <w:sz w:val="24"/>
                <w:szCs w:val="24"/>
                <w14:textFill>
                  <w14:solidFill>
                    <w14:schemeClr w14:val="tx1"/>
                  </w14:solidFill>
                </w14:textFill>
              </w:rPr>
              <w:t>本项目建设场地位于新疆维吾尔自治区</w:t>
            </w:r>
            <w:r>
              <w:rPr>
                <w:rFonts w:hint="eastAsia" w:ascii="宋体" w:hAnsi="宋体" w:cs="宋体"/>
                <w:color w:val="000000" w:themeColor="text1"/>
                <w:spacing w:val="9"/>
                <w:sz w:val="24"/>
                <w:szCs w:val="24"/>
                <w:lang w:eastAsia="zh-CN"/>
                <w14:textFill>
                  <w14:solidFill>
                    <w14:schemeClr w14:val="tx1"/>
                  </w14:solidFill>
                </w14:textFill>
              </w:rPr>
              <w:t>巴音郭楞蒙古</w:t>
            </w:r>
            <w:r>
              <w:rPr>
                <w:rFonts w:hint="default" w:ascii="宋体" w:hAnsi="宋体" w:eastAsia="宋体" w:cs="宋体"/>
                <w:color w:val="000000" w:themeColor="text1"/>
                <w:spacing w:val="9"/>
                <w:sz w:val="24"/>
                <w:szCs w:val="24"/>
                <w14:textFill>
                  <w14:solidFill>
                    <w14:schemeClr w14:val="tx1"/>
                  </w14:solidFill>
                </w14:textFill>
              </w:rPr>
              <w:t>自治州博湖县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博斯腾湖乡</w:t>
            </w:r>
            <w:r>
              <w:rPr>
                <w:rFonts w:hint="default" w:ascii="宋体" w:hAnsi="宋体" w:eastAsia="宋体" w:cs="宋体"/>
                <w:color w:val="000000" w:themeColor="text1"/>
                <w:spacing w:val="-1"/>
                <w:sz w:val="24"/>
                <w:szCs w:val="24"/>
                <w14:textFill>
                  <w14:solidFill>
                    <w14:schemeClr w14:val="tx1"/>
                  </w14:solidFill>
                </w14:textFill>
              </w:rPr>
              <w:t>，北侧距博斯腾湖约</w:t>
            </w:r>
            <w:r>
              <w:rPr>
                <w:rFonts w:hint="default" w:ascii="Times New Roman" w:hAnsi="Times New Roman" w:eastAsia="Times New Roman" w:cs="Times New Roman"/>
                <w:color w:val="000000" w:themeColor="text1"/>
                <w:spacing w:val="-1"/>
                <w:sz w:val="24"/>
                <w:szCs w:val="24"/>
                <w14:textFill>
                  <w14:solidFill>
                    <w14:schemeClr w14:val="tx1"/>
                  </w14:solidFill>
                </w14:textFill>
              </w:rPr>
              <w:t>17km</w:t>
            </w:r>
            <w:r>
              <w:rPr>
                <w:rFonts w:hint="default" w:ascii="宋体" w:hAnsi="宋体" w:eastAsia="宋体" w:cs="宋体"/>
                <w:color w:val="000000" w:themeColor="text1"/>
                <w:spacing w:val="-1"/>
                <w:sz w:val="24"/>
                <w:szCs w:val="24"/>
                <w14:textFill>
                  <w14:solidFill>
                    <w14:schemeClr w14:val="tx1"/>
                  </w14:solidFill>
                </w14:textFill>
              </w:rPr>
              <w:t>，交通便利。</w:t>
            </w:r>
            <w:r>
              <w:rPr>
                <w:rFonts w:hint="eastAsia" w:ascii="宋体" w:hAnsi="宋体" w:eastAsia="宋体" w:cs="宋体"/>
                <w:color w:val="000000"/>
                <w:sz w:val="24"/>
                <w:szCs w:val="24"/>
                <w:highlight w:val="none"/>
              </w:rPr>
              <w:t>本工程</w:t>
            </w:r>
            <w:r>
              <w:rPr>
                <w:rFonts w:hint="eastAsia" w:ascii="宋体" w:hAnsi="宋体" w:eastAsia="宋体" w:cs="宋体"/>
                <w:color w:val="000000"/>
                <w:sz w:val="24"/>
                <w:szCs w:val="24"/>
                <w:highlight w:val="none"/>
                <w:lang w:val="en-US" w:eastAsia="zh-CN"/>
              </w:rPr>
              <w:t>地理位置</w:t>
            </w:r>
            <w:r>
              <w:rPr>
                <w:rFonts w:hint="eastAsia" w:ascii="宋体" w:hAnsi="宋体" w:eastAsia="宋体" w:cs="宋体"/>
                <w:color w:val="000000"/>
                <w:sz w:val="24"/>
                <w:szCs w:val="24"/>
                <w:highlight w:val="none"/>
              </w:rPr>
              <w:t>见</w:t>
            </w:r>
            <w:r>
              <w:rPr>
                <w:rFonts w:hint="eastAsia" w:ascii="宋体" w:hAnsi="宋体" w:cs="宋体"/>
                <w:color w:val="000000"/>
                <w:sz w:val="24"/>
                <w:szCs w:val="24"/>
                <w:highlight w:val="none"/>
                <w:lang w:val="en-US" w:eastAsia="zh-CN"/>
              </w:rPr>
              <w:t>下图</w:t>
            </w:r>
            <w:r>
              <w:rPr>
                <w:rFonts w:hint="eastAsia" w:ascii="宋体" w:hAnsi="宋体" w:eastAsia="宋体" w:cs="宋体"/>
                <w:color w:val="000000"/>
                <w:sz w:val="24"/>
                <w:szCs w:val="24"/>
                <w:highlight w:val="none"/>
                <w:lang w:val="en-US" w:eastAsia="zh-CN"/>
              </w:rPr>
              <w:t>。</w:t>
            </w:r>
          </w:p>
          <w:p w14:paraId="48AA9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rPr>
            </w:pPr>
          </w:p>
          <w:p w14:paraId="2A729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黑体" w:cs="Times New Roman"/>
                <w:b/>
                <w:bCs/>
                <w:color w:val="000000"/>
                <w:kern w:val="0"/>
                <w:sz w:val="24"/>
                <w:szCs w:val="20"/>
                <w:lang w:val="en-US" w:eastAsia="zh-CN" w:bidi="ar-SA"/>
              </w:rPr>
            </w:pPr>
            <w:r>
              <w:rPr>
                <w:rFonts w:hint="eastAsia" w:ascii="Times New Roman" w:hAnsi="Times New Roman" w:eastAsia="黑体" w:cs="Times New Roman"/>
                <w:b/>
                <w:bCs/>
                <w:color w:val="000000"/>
                <w:kern w:val="0"/>
                <w:sz w:val="24"/>
                <w:szCs w:val="20"/>
                <w:lang w:val="en-US" w:eastAsia="zh-CN" w:bidi="ar-SA"/>
              </w:rPr>
              <w:t>图</w:t>
            </w:r>
            <w:r>
              <w:rPr>
                <w:rFonts w:hint="eastAsia" w:eastAsia="黑体" w:cs="Times New Roman"/>
                <w:b/>
                <w:bCs/>
                <w:color w:val="000000"/>
                <w:kern w:val="0"/>
                <w:sz w:val="24"/>
                <w:szCs w:val="20"/>
                <w:lang w:val="en-US" w:eastAsia="zh-CN" w:bidi="ar-SA"/>
              </w:rPr>
              <w:t xml:space="preserve">2-1 </w:t>
            </w:r>
            <w:r>
              <w:rPr>
                <w:rFonts w:hint="eastAsia" w:ascii="Times New Roman" w:hAnsi="Times New Roman" w:eastAsia="黑体" w:cs="Times New Roman"/>
                <w:b/>
                <w:bCs/>
                <w:color w:val="000000"/>
                <w:kern w:val="0"/>
                <w:sz w:val="24"/>
                <w:szCs w:val="20"/>
                <w:lang w:val="en-US" w:eastAsia="zh-CN" w:bidi="ar-SA"/>
              </w:rPr>
              <w:t>地理位置图</w:t>
            </w:r>
          </w:p>
          <w:p w14:paraId="46440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lang w:val="en-US" w:eastAsia="zh-CN"/>
              </w:rPr>
            </w:pPr>
          </w:p>
          <w:p w14:paraId="1CE7222D">
            <w:pPr>
              <w:pStyle w:val="4"/>
              <w:suppressLineNumbers w:val="0"/>
              <w:spacing w:before="0" w:beforeAutospacing="0" w:after="0" w:afterAutospacing="0"/>
              <w:ind w:left="0" w:leftChars="0" w:right="0" w:firstLine="0" w:firstLineChars="0"/>
              <w:jc w:val="center"/>
              <w:rPr>
                <w:rFonts w:hint="eastAsia"/>
              </w:rPr>
            </w:pPr>
            <w:r>
              <w:rPr>
                <w:rFonts w:hint="eastAsia" w:ascii="Times New Roman" w:hAnsi="Times New Roman" w:eastAsia="黑体" w:cs="Times New Roman"/>
                <w:b/>
                <w:bCs/>
                <w:color w:val="000000"/>
                <w:kern w:val="0"/>
                <w:sz w:val="24"/>
                <w:szCs w:val="20"/>
                <w:lang w:val="en-US" w:eastAsia="zh-CN" w:bidi="ar-SA"/>
              </w:rPr>
              <w:t>图2-2</w:t>
            </w:r>
            <w:r>
              <w:rPr>
                <w:rFonts w:hint="eastAsia" w:eastAsia="黑体" w:cs="Times New Roman"/>
                <w:b/>
                <w:bCs/>
                <w:color w:val="000000"/>
                <w:kern w:val="0"/>
                <w:sz w:val="24"/>
                <w:szCs w:val="20"/>
                <w:lang w:val="en-US" w:eastAsia="zh-CN" w:bidi="ar-SA"/>
              </w:rPr>
              <w:t xml:space="preserve"> </w:t>
            </w:r>
            <w:r>
              <w:rPr>
                <w:rFonts w:hint="eastAsia" w:ascii="Times New Roman" w:hAnsi="Times New Roman" w:eastAsia="黑体" w:cs="Times New Roman"/>
                <w:b/>
                <w:bCs/>
                <w:color w:val="000000"/>
                <w:kern w:val="0"/>
                <w:sz w:val="24"/>
                <w:szCs w:val="20"/>
                <w:lang w:val="en-US" w:eastAsia="zh-CN" w:bidi="ar-SA"/>
              </w:rPr>
              <w:t>区域位置图</w:t>
            </w:r>
          </w:p>
        </w:tc>
      </w:tr>
      <w:tr w14:paraId="56835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70E0E55A">
            <w:pPr>
              <w:keepNext w:val="0"/>
              <w:keepLines w:val="0"/>
              <w:pageBreakBefore w:val="0"/>
              <w:widowControl w:val="0"/>
              <w:suppressLineNumbers w:val="0"/>
              <w:kinsoku/>
              <w:wordWrap/>
              <w:overflowPunct/>
              <w:topLinePunct/>
              <w:autoSpaceDE/>
              <w:autoSpaceDN/>
              <w:bidi w:val="0"/>
              <w:adjustRightInd/>
              <w:snapToGrid/>
              <w:spacing w:before="60" w:beforeAutospacing="0" w:after="60" w:afterAutospacing="0" w:line="240" w:lineRule="auto"/>
              <w:ind w:left="0" w:leftChars="0" w:right="0" w:firstLine="0" w:firstLineChars="0"/>
              <w:jc w:val="center"/>
              <w:textAlignment w:val="auto"/>
              <w:rPr>
                <w:rFonts w:hint="eastAsia" w:ascii="Times New Roman" w:hAnsi="Times New Roman" w:eastAsia="宋体" w:cs="Times New Roman"/>
                <w:color w:val="000000"/>
                <w:sz w:val="24"/>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项目组成及规模</w:t>
            </w:r>
          </w:p>
        </w:tc>
      </w:tr>
      <w:tr w14:paraId="51D75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36797A4D">
            <w:pPr>
              <w:pStyle w:val="127"/>
              <w:keepNext w:val="0"/>
              <w:keepLines w:val="0"/>
              <w:suppressLineNumbers w:val="0"/>
              <w:bidi w:val="0"/>
              <w:spacing w:before="0" w:beforeAutospacing="0" w:after="0" w:afterAutospacing="0"/>
              <w:ind w:left="0" w:leftChars="0" w:right="0" w:firstLine="0" w:firstLineChars="0"/>
              <w:outlineLvl w:val="9"/>
              <w:rPr>
                <w:rFonts w:hint="eastAsia" w:ascii="Times New Roman" w:hAnsi="Times New Roman" w:eastAsia="宋体" w:cs="Times New Roman"/>
                <w:b/>
                <w:bCs/>
                <w:spacing w:val="-7"/>
                <w:lang w:val="en-US" w:eastAsia="zh-CN"/>
              </w:rPr>
            </w:pPr>
            <w:r>
              <w:rPr>
                <w:rFonts w:hint="eastAsia" w:ascii="Times New Roman" w:hAnsi="Times New Roman" w:eastAsia="宋体" w:cs="Times New Roman"/>
                <w:b/>
                <w:bCs/>
                <w:spacing w:val="-7"/>
                <w:lang w:val="en-US" w:eastAsia="zh-CN"/>
              </w:rPr>
              <w:t>2.2项目组成及规模</w:t>
            </w:r>
          </w:p>
          <w:p w14:paraId="75801609">
            <w:pPr>
              <w:pStyle w:val="127"/>
              <w:keepNext w:val="0"/>
              <w:keepLines w:val="0"/>
              <w:suppressLineNumbers w:val="0"/>
              <w:bidi w:val="0"/>
              <w:spacing w:before="0" w:beforeAutospacing="0" w:after="0" w:afterAutospacing="0"/>
              <w:ind w:left="0" w:leftChars="0" w:right="0" w:firstLine="0" w:firstLineChars="0"/>
              <w:outlineLvl w:val="9"/>
              <w:rPr>
                <w:b/>
                <w:bCs/>
                <w:spacing w:val="-7"/>
              </w:rPr>
            </w:pPr>
            <w:r>
              <w:rPr>
                <w:rFonts w:hint="eastAsia"/>
                <w:b/>
                <w:bCs/>
                <w:spacing w:val="-7"/>
                <w:lang w:val="en-US" w:eastAsia="zh-CN"/>
              </w:rPr>
              <w:t>2.2.1</w:t>
            </w:r>
            <w:r>
              <w:rPr>
                <w:b/>
                <w:bCs/>
                <w:spacing w:val="-7"/>
              </w:rPr>
              <w:t>工程</w:t>
            </w:r>
            <w:r>
              <w:rPr>
                <w:rFonts w:hint="eastAsia"/>
                <w:b/>
                <w:bCs/>
                <w:spacing w:val="-7"/>
                <w:lang w:val="en-US" w:eastAsia="zh-CN"/>
              </w:rPr>
              <w:t>建设</w:t>
            </w:r>
            <w:r>
              <w:rPr>
                <w:b/>
                <w:bCs/>
                <w:spacing w:val="-7"/>
              </w:rPr>
              <w:t>背景</w:t>
            </w:r>
          </w:p>
          <w:p w14:paraId="4650AA12">
            <w:pPr>
              <w:pStyle w:val="127"/>
              <w:keepNext w:val="0"/>
              <w:keepLines w:val="0"/>
              <w:suppressLineNumbers w:val="0"/>
              <w:bidi w:val="0"/>
              <w:spacing w:before="0" w:beforeAutospacing="0" w:after="0" w:afterAutospacing="0"/>
              <w:ind w:left="0" w:leftChars="0" w:right="0" w:firstLine="480" w:firstLineChars="200"/>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cs="Times New Roman"/>
                <w:b w:val="0"/>
                <w:bCs w:val="0"/>
                <w:color w:val="000000"/>
                <w:kern w:val="2"/>
                <w:sz w:val="24"/>
                <w:szCs w:val="24"/>
                <w:highlight w:val="none"/>
                <w:lang w:val="en-US" w:eastAsia="zh-CN" w:bidi="ar-SA"/>
              </w:rPr>
              <w:t>博湖县兆瓦能源科技有限公司</w:t>
            </w:r>
            <w:r>
              <w:rPr>
                <w:rFonts w:hint="eastAsia" w:ascii="Times New Roman" w:hAnsi="Times New Roman" w:eastAsia="宋体" w:cs="Times New Roman"/>
                <w:b w:val="0"/>
                <w:bCs w:val="0"/>
                <w:color w:val="000000"/>
                <w:kern w:val="2"/>
                <w:sz w:val="24"/>
                <w:szCs w:val="24"/>
                <w:highlight w:val="none"/>
                <w:lang w:val="en-US" w:eastAsia="zh-CN" w:bidi="ar-SA"/>
              </w:rPr>
              <w:t>于2012年12月，委托新疆鑫旺德盛土地环境工程有限公司编制《博湖县兆瓦能源科技有限公司20MWp并网太阳能光伏电站项目环境影响报告表》</w:t>
            </w:r>
            <w:r>
              <w:rPr>
                <w:rFonts w:hint="eastAsia" w:cs="Times New Roman"/>
                <w:b w:val="0"/>
                <w:bCs w:val="0"/>
                <w:color w:val="000000"/>
                <w:kern w:val="2"/>
                <w:sz w:val="24"/>
                <w:szCs w:val="24"/>
                <w:highlight w:val="none"/>
                <w:lang w:val="en-US" w:eastAsia="zh-CN" w:bidi="ar-SA"/>
              </w:rPr>
              <w:t>；</w:t>
            </w:r>
            <w:r>
              <w:rPr>
                <w:rFonts w:hint="eastAsia" w:ascii="Times New Roman" w:hAnsi="Times New Roman" w:eastAsia="宋体" w:cs="Times New Roman"/>
                <w:b w:val="0"/>
                <w:bCs w:val="0"/>
                <w:color w:val="000000"/>
                <w:kern w:val="2"/>
                <w:sz w:val="24"/>
                <w:szCs w:val="24"/>
                <w:highlight w:val="none"/>
                <w:lang w:val="en-US" w:eastAsia="zh-CN" w:bidi="ar-SA"/>
              </w:rPr>
              <w:t>于2013年1月18日取得《关于对博湖县兆瓦能源科技有限公司20MWp并网太阳能</w:t>
            </w:r>
            <w:r>
              <w:rPr>
                <w:rFonts w:hint="eastAsia" w:cs="Times New Roman"/>
                <w:b w:val="0"/>
                <w:bCs w:val="0"/>
                <w:color w:val="000000"/>
                <w:kern w:val="2"/>
                <w:sz w:val="24"/>
                <w:szCs w:val="24"/>
                <w:highlight w:val="none"/>
                <w:lang w:val="en-US" w:eastAsia="zh-CN" w:bidi="ar-SA"/>
              </w:rPr>
              <w:t>光伏</w:t>
            </w:r>
            <w:r>
              <w:rPr>
                <w:rFonts w:hint="eastAsia" w:ascii="Times New Roman" w:hAnsi="Times New Roman" w:eastAsia="宋体" w:cs="Times New Roman"/>
                <w:b w:val="0"/>
                <w:bCs w:val="0"/>
                <w:color w:val="000000"/>
                <w:kern w:val="2"/>
                <w:sz w:val="24"/>
                <w:szCs w:val="24"/>
                <w:highlight w:val="none"/>
                <w:lang w:val="en-US" w:eastAsia="zh-CN" w:bidi="ar-SA"/>
              </w:rPr>
              <w:t>电站建设项目环境影响报告表的批</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复》（巴环控函〔2013〕48号）</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并于2017年6月19日取得《关于&lt;博湖县兆瓦能源科技有限公司20MWp并网太阳能光伏电站建设项目&gt;竣工</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环境保护</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验收的批复》（巴环评价验〔2017〕32号）。2</w:t>
            </w:r>
            <w:r>
              <w:rPr>
                <w:rFonts w:hint="eastAsia" w:ascii="Times New Roman" w:hAnsi="Times New Roman" w:eastAsia="宋体" w:cs="Times New Roman"/>
                <w:b w:val="0"/>
                <w:bCs w:val="0"/>
                <w:color w:val="000000"/>
                <w:kern w:val="2"/>
                <w:sz w:val="24"/>
                <w:szCs w:val="24"/>
                <w:highlight w:val="none"/>
                <w:lang w:val="en-US" w:eastAsia="zh-CN" w:bidi="ar-SA"/>
              </w:rPr>
              <w:t>021年10月，</w:t>
            </w:r>
            <w:r>
              <w:rPr>
                <w:rFonts w:hint="eastAsia" w:cs="Times New Roman"/>
                <w:b w:val="0"/>
                <w:bCs w:val="0"/>
                <w:color w:val="000000"/>
                <w:kern w:val="2"/>
                <w:sz w:val="24"/>
                <w:szCs w:val="24"/>
                <w:highlight w:val="none"/>
                <w:lang w:val="en-US" w:eastAsia="zh-CN" w:bidi="ar-SA"/>
              </w:rPr>
              <w:t>中电投</w:t>
            </w:r>
            <w:r>
              <w:rPr>
                <w:rFonts w:hint="eastAsia" w:ascii="Times New Roman" w:hAnsi="Times New Roman" w:eastAsia="宋体" w:cs="Times New Roman"/>
                <w:b w:val="0"/>
                <w:bCs w:val="0"/>
                <w:color w:val="000000"/>
                <w:kern w:val="2"/>
                <w:sz w:val="24"/>
                <w:szCs w:val="24"/>
                <w:highlight w:val="none"/>
                <w:lang w:val="en-US" w:eastAsia="zh-CN" w:bidi="ar-SA"/>
              </w:rPr>
              <w:t>新疆能源化工集团哈密有限公司收购</w:t>
            </w:r>
            <w:r>
              <w:rPr>
                <w:rFonts w:hint="eastAsia" w:ascii="Times New Roman" w:hAnsi="Times New Roman" w:cs="Times New Roman"/>
                <w:b w:val="0"/>
                <w:bCs w:val="0"/>
                <w:color w:val="000000"/>
                <w:kern w:val="2"/>
                <w:sz w:val="24"/>
                <w:szCs w:val="24"/>
                <w:highlight w:val="none"/>
                <w:lang w:val="en-US" w:eastAsia="zh-CN" w:bidi="ar-SA"/>
              </w:rPr>
              <w:t>了</w:t>
            </w:r>
            <w:r>
              <w:rPr>
                <w:rFonts w:hint="eastAsia" w:cs="Times New Roman"/>
                <w:b w:val="0"/>
                <w:bCs w:val="0"/>
                <w:color w:val="000000"/>
                <w:kern w:val="2"/>
                <w:sz w:val="24"/>
                <w:szCs w:val="24"/>
                <w:highlight w:val="none"/>
                <w:lang w:val="en-US" w:eastAsia="zh-CN" w:bidi="ar-SA"/>
              </w:rPr>
              <w:t>博湖县兆瓦能源科技有限公司</w:t>
            </w:r>
            <w:r>
              <w:rPr>
                <w:rFonts w:hint="eastAsia" w:ascii="Times New Roman" w:hAnsi="Times New Roman" w:cs="Times New Roman"/>
                <w:b w:val="0"/>
                <w:bCs w:val="0"/>
                <w:color w:val="000000"/>
                <w:kern w:val="2"/>
                <w:sz w:val="24"/>
                <w:szCs w:val="24"/>
                <w:highlight w:val="none"/>
                <w:lang w:val="en-US" w:eastAsia="zh-CN" w:bidi="ar-SA"/>
              </w:rPr>
              <w:t>100%股权</w:t>
            </w:r>
            <w:r>
              <w:rPr>
                <w:rFonts w:hint="eastAsia" w:ascii="Times New Roman" w:hAnsi="Times New Roman" w:eastAsia="宋体" w:cs="Times New Roman"/>
                <w:b w:val="0"/>
                <w:bCs w:val="0"/>
                <w:color w:val="000000"/>
                <w:kern w:val="2"/>
                <w:sz w:val="24"/>
                <w:szCs w:val="24"/>
                <w:highlight w:val="none"/>
                <w:lang w:val="en-US" w:eastAsia="zh-CN" w:bidi="ar-SA"/>
              </w:rPr>
              <w:t>。</w:t>
            </w:r>
          </w:p>
          <w:p w14:paraId="3007C596">
            <w:pPr>
              <w:pStyle w:val="127"/>
              <w:keepNext w:val="0"/>
              <w:keepLines w:val="0"/>
              <w:suppressLineNumbers w:val="0"/>
              <w:bidi w:val="0"/>
              <w:spacing w:before="0" w:beforeAutospacing="0" w:after="0" w:afterAutospacing="0"/>
              <w:ind w:left="0" w:leftChars="0" w:right="0" w:firstLine="480" w:firstLineChars="200"/>
              <w:outlineLvl w:val="9"/>
              <w:rPr>
                <w:rFonts w:hint="eastAsia"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该项目</w:t>
            </w:r>
            <w:r>
              <w:rPr>
                <w:rFonts w:hint="eastAsia" w:cs="Times New Roman"/>
                <w:b w:val="0"/>
                <w:bCs w:val="0"/>
                <w:color w:val="000000"/>
                <w:kern w:val="2"/>
                <w:sz w:val="24"/>
                <w:szCs w:val="24"/>
                <w:highlight w:val="none"/>
                <w:lang w:val="en-US" w:eastAsia="zh-CN" w:bidi="ar-SA"/>
              </w:rPr>
              <w:t>已</w:t>
            </w:r>
            <w:r>
              <w:rPr>
                <w:rFonts w:hint="eastAsia" w:ascii="Times New Roman" w:hAnsi="Times New Roman" w:eastAsia="宋体" w:cs="Times New Roman"/>
                <w:b w:val="0"/>
                <w:bCs w:val="0"/>
                <w:color w:val="000000"/>
                <w:kern w:val="2"/>
                <w:sz w:val="24"/>
                <w:szCs w:val="24"/>
                <w:highlight w:val="none"/>
                <w:lang w:val="en-US" w:eastAsia="zh-CN" w:bidi="ar-SA"/>
              </w:rPr>
              <w:t>列入《自治区发展改革委关于下达2015年光伏发电项目建设计划的通知》(新发改能源〔2015〕937号)建设计划中，各项手续均已齐备，具备接入电网的条件。于2015年10月26日，获得国网新疆电力公司核准文件，同意该项目接入新疆电网，所发电力在巴州地区就近消纳。原则同意兆瓦能源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光伏升压站通过1回110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线路接入种植园110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变电站。</w:t>
            </w:r>
          </w:p>
          <w:p w14:paraId="3A74BA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right="0" w:firstLine="0"/>
              <w:jc w:val="left"/>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本项目已建设</w:t>
            </w:r>
            <w:r>
              <w:rPr>
                <w:rFonts w:hint="eastAsia" w:cs="Times New Roman"/>
                <w:b w:val="0"/>
                <w:bCs w:val="0"/>
                <w:color w:val="000000"/>
                <w:kern w:val="2"/>
                <w:sz w:val="24"/>
                <w:szCs w:val="24"/>
                <w:highlight w:val="none"/>
                <w:lang w:val="en-US" w:eastAsia="zh-CN" w:bidi="ar-SA"/>
              </w:rPr>
              <w:t>一座</w:t>
            </w:r>
            <w:r>
              <w:rPr>
                <w:rFonts w:hint="eastAsia"/>
                <w:color w:val="000000" w:themeColor="text1"/>
                <w:kern w:val="0"/>
                <w:sz w:val="24"/>
                <w:szCs w:val="24"/>
                <w:lang w:val="en-US" w:eastAsia="zh-CN"/>
                <w14:textFill>
                  <w14:solidFill>
                    <w14:schemeClr w14:val="tx1"/>
                  </w14:solidFill>
                </w14:textFill>
              </w:rPr>
              <w:t>兆瓦能源110kV光伏升压站；并以</w:t>
            </w:r>
            <w:r>
              <w:rPr>
                <w:rFonts w:hint="eastAsia" w:ascii="Times New Roman" w:hAnsi="Times New Roman" w:eastAsia="宋体" w:cs="Times New Roman"/>
                <w:b w:val="0"/>
                <w:bCs w:val="0"/>
                <w:color w:val="000000"/>
                <w:kern w:val="2"/>
                <w:sz w:val="24"/>
                <w:szCs w:val="24"/>
                <w:highlight w:val="none"/>
                <w:lang w:val="en-US" w:eastAsia="zh-CN" w:bidi="ar-SA"/>
              </w:rPr>
              <w:t>1回110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线路从兆瓦能源110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光伏升压站接入种植园110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变电站，线路长约2.98千米</w:t>
            </w:r>
            <w:r>
              <w:rPr>
                <w:rFonts w:hint="eastAsia" w:cs="Times New Roman"/>
                <w:b w:val="0"/>
                <w:bCs w:val="0"/>
                <w:color w:val="000000"/>
                <w:kern w:val="2"/>
                <w:sz w:val="24"/>
                <w:szCs w:val="24"/>
                <w:highlight w:val="none"/>
                <w:lang w:val="en-US" w:eastAsia="zh-CN" w:bidi="ar-SA"/>
              </w:rPr>
              <w:t>；</w:t>
            </w:r>
            <w:r>
              <w:rPr>
                <w:rFonts w:hint="eastAsia" w:ascii="Times New Roman" w:hAnsi="Times New Roman" w:eastAsia="宋体" w:cs="Times New Roman"/>
                <w:b w:val="0"/>
                <w:bCs w:val="0"/>
                <w:color w:val="000000"/>
                <w:kern w:val="2"/>
                <w:sz w:val="24"/>
                <w:szCs w:val="24"/>
                <w:highlight w:val="none"/>
                <w:lang w:val="en-US" w:eastAsia="zh-CN" w:bidi="ar-SA"/>
              </w:rPr>
              <w:t>线路布设1</w:t>
            </w:r>
            <w:r>
              <w:rPr>
                <w:rFonts w:hint="eastAsia" w:ascii="Times New Roman" w:hAnsi="Times New Roman" w:cs="Times New Roman"/>
                <w:b w:val="0"/>
                <w:bCs w:val="0"/>
                <w:color w:val="000000"/>
                <w:kern w:val="2"/>
                <w:sz w:val="24"/>
                <w:szCs w:val="24"/>
                <w:highlight w:val="none"/>
                <w:lang w:val="en-US" w:eastAsia="zh-CN" w:bidi="ar-SA"/>
              </w:rPr>
              <w:t>2</w:t>
            </w:r>
            <w:r>
              <w:rPr>
                <w:rFonts w:hint="eastAsia" w:ascii="Times New Roman" w:hAnsi="Times New Roman" w:eastAsia="宋体" w:cs="Times New Roman"/>
                <w:b w:val="0"/>
                <w:bCs w:val="0"/>
                <w:color w:val="000000"/>
                <w:kern w:val="2"/>
                <w:sz w:val="24"/>
                <w:szCs w:val="24"/>
                <w:highlight w:val="none"/>
                <w:lang w:val="en-US" w:eastAsia="zh-CN" w:bidi="ar-SA"/>
              </w:rPr>
              <w:t>座杆塔</w:t>
            </w:r>
            <w:r>
              <w:rPr>
                <w:rFonts w:hint="eastAsia"/>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kern w:val="2"/>
                <w:sz w:val="24"/>
                <w:szCs w:val="24"/>
                <w:highlight w:val="none"/>
                <w:lang w:val="en-US" w:eastAsia="zh-CN" w:bidi="ar-SA"/>
              </w:rPr>
              <w:t>种植园110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变电站属于</w:t>
            </w:r>
            <w:r>
              <w:rPr>
                <w:rFonts w:hint="default" w:ascii="Times New Roman" w:hAnsi="Times New Roman" w:eastAsia="宋体" w:cs="Times New Roman"/>
                <w:b w:val="0"/>
                <w:bCs w:val="0"/>
                <w:color w:val="000000"/>
                <w:kern w:val="2"/>
                <w:sz w:val="24"/>
                <w:szCs w:val="24"/>
                <w:highlight w:val="none"/>
                <w:lang w:val="en-US" w:eastAsia="zh-CN" w:bidi="ar-SA"/>
              </w:rPr>
              <w:fldChar w:fldCharType="begin"/>
            </w:r>
            <w:r>
              <w:rPr>
                <w:rFonts w:hint="default" w:ascii="Times New Roman" w:hAnsi="Times New Roman" w:eastAsia="宋体" w:cs="Times New Roman"/>
                <w:b w:val="0"/>
                <w:bCs w:val="0"/>
                <w:color w:val="000000"/>
                <w:kern w:val="2"/>
                <w:sz w:val="24"/>
                <w:szCs w:val="24"/>
                <w:highlight w:val="none"/>
                <w:lang w:val="en-US" w:eastAsia="zh-CN" w:bidi="ar-SA"/>
              </w:rPr>
              <w:instrText xml:space="preserve"> HYPERLINK "https://aiqicha.baidu.com/company_detail_16149621262101" \t "https://cn.bing.com/_blank" </w:instrText>
            </w:r>
            <w:r>
              <w:rPr>
                <w:rFonts w:hint="default" w:ascii="Times New Roman" w:hAnsi="Times New Roman" w:eastAsia="宋体" w:cs="Times New Roman"/>
                <w:b w:val="0"/>
                <w:bCs w:val="0"/>
                <w:color w:val="000000"/>
                <w:kern w:val="2"/>
                <w:sz w:val="24"/>
                <w:szCs w:val="24"/>
                <w:highlight w:val="none"/>
                <w:lang w:val="en-US" w:eastAsia="zh-CN" w:bidi="ar-SA"/>
              </w:rPr>
              <w:fldChar w:fldCharType="separate"/>
            </w:r>
            <w:r>
              <w:rPr>
                <w:rFonts w:hint="default" w:ascii="Times New Roman" w:hAnsi="Times New Roman" w:eastAsia="宋体" w:cs="Times New Roman"/>
                <w:b w:val="0"/>
                <w:bCs w:val="0"/>
                <w:color w:val="000000"/>
                <w:kern w:val="2"/>
                <w:sz w:val="24"/>
                <w:szCs w:val="24"/>
                <w:highlight w:val="none"/>
                <w:lang w:val="en-US" w:eastAsia="zh-CN" w:bidi="ar-SA"/>
              </w:rPr>
              <w:t>国网新疆电力有限公司巴州供电公司</w:t>
            </w:r>
            <w:r>
              <w:rPr>
                <w:rFonts w:hint="default" w:ascii="Times New Roman" w:hAnsi="Times New Roman" w:eastAsia="宋体" w:cs="Times New Roman"/>
                <w:b w:val="0"/>
                <w:bCs w:val="0"/>
                <w:color w:val="000000"/>
                <w:kern w:val="2"/>
                <w:sz w:val="24"/>
                <w:szCs w:val="24"/>
                <w:highlight w:val="none"/>
                <w:lang w:val="en-US" w:eastAsia="zh-CN" w:bidi="ar-SA"/>
              </w:rPr>
              <w:fldChar w:fldCharType="end"/>
            </w:r>
            <w:r>
              <w:rPr>
                <w:rFonts w:hint="eastAsia" w:ascii="Times New Roman" w:hAnsi="Times New Roman" w:eastAsia="宋体" w:cs="Times New Roman"/>
                <w:b w:val="0"/>
                <w:bCs w:val="0"/>
                <w:color w:val="000000"/>
                <w:kern w:val="2"/>
                <w:sz w:val="24"/>
                <w:szCs w:val="24"/>
                <w:highlight w:val="none"/>
                <w:lang w:val="en-US" w:eastAsia="zh-CN" w:bidi="ar-SA"/>
              </w:rPr>
              <w:t>管理。</w:t>
            </w:r>
          </w:p>
          <w:p w14:paraId="51F071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根据《中华人民共和国环境保护法》《中华人民共和国环境影响评价法》《建设项目环境保护管理条例》和《建设项目环境影响评价分类管理名录》等有关规定，本项目属于《建设项目环境影响评价分类管理名录》（</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2021版）中的“五十五、核与辐射161输变电工程-其他（100千伏以下除外）”，为此</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博湖县兆瓦能源科技有限公司</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于</w:t>
            </w:r>
            <w:r>
              <w:rPr>
                <w:rFonts w:hint="eastAsia" w:ascii="Times New Roman" w:hAnsi="Times New Roman" w:eastAsia="宋体" w:cs="Times New Roman"/>
                <w:b w:val="0"/>
                <w:bCs w:val="0"/>
                <w:color w:val="000000"/>
                <w:kern w:val="2"/>
                <w:sz w:val="24"/>
                <w:szCs w:val="24"/>
                <w:highlight w:val="none"/>
                <w:lang w:val="en-US" w:eastAsia="zh-CN" w:bidi="ar-SA"/>
              </w:rPr>
              <w:t>2025年3月</w:t>
            </w:r>
            <w:r>
              <w:rPr>
                <w:rFonts w:hint="eastAsia" w:cs="Times New Roman"/>
                <w:b w:val="0"/>
                <w:bCs w:val="0"/>
                <w:color w:val="000000"/>
                <w:kern w:val="2"/>
                <w:sz w:val="24"/>
                <w:szCs w:val="24"/>
                <w:highlight w:val="none"/>
                <w:lang w:val="en-US" w:eastAsia="zh-CN" w:bidi="ar-SA"/>
              </w:rPr>
              <w:t>，</w:t>
            </w:r>
            <w:r>
              <w:rPr>
                <w:rFonts w:hint="eastAsia" w:ascii="Times New Roman" w:hAnsi="Times New Roman" w:eastAsia="宋体" w:cs="Times New Roman"/>
                <w:b w:val="0"/>
                <w:bCs w:val="0"/>
                <w:color w:val="000000"/>
                <w:kern w:val="2"/>
                <w:sz w:val="24"/>
                <w:szCs w:val="24"/>
                <w:highlight w:val="none"/>
                <w:lang w:val="en-US" w:eastAsia="zh-CN" w:bidi="ar-SA"/>
              </w:rPr>
              <w:t>委托新疆化工设计研究院有限责任公司承担了本工程的环境影响评价工作。环评单位在工程技术资料分析和建设现场踏勘基础上，按照建设项目环评工作程序，编制本项目的环境影响报告表，为环境保护管理部门实行环境管理提供技术支持。</w:t>
            </w:r>
          </w:p>
          <w:p w14:paraId="63B4DAD0">
            <w:pPr>
              <w:pStyle w:val="127"/>
              <w:keepNext w:val="0"/>
              <w:keepLines w:val="0"/>
              <w:suppressLineNumbers w:val="0"/>
              <w:bidi w:val="0"/>
              <w:spacing w:before="0" w:beforeAutospacing="0" w:after="0" w:afterAutospacing="0"/>
              <w:ind w:left="0" w:leftChars="0" w:right="0" w:firstLine="0" w:firstLineChars="0"/>
              <w:outlineLvl w:val="9"/>
              <w:rPr>
                <w:b/>
                <w:bCs/>
                <w:spacing w:val="-5"/>
              </w:rPr>
            </w:pPr>
            <w:r>
              <w:rPr>
                <w:rFonts w:hint="eastAsia" w:cs="Times New Roman"/>
                <w:lang w:val="en-US" w:eastAsia="zh-CN"/>
              </w:rPr>
              <w:t>2</w:t>
            </w:r>
            <w:r>
              <w:rPr>
                <w:rFonts w:hint="eastAsia" w:cs="Times New Roman"/>
              </w:rPr>
              <w:t>.</w:t>
            </w:r>
            <w:r>
              <w:rPr>
                <w:rFonts w:hint="eastAsia" w:cs="Times New Roman"/>
                <w:lang w:val="en-US" w:eastAsia="zh-CN"/>
              </w:rPr>
              <w:t>2.2</w:t>
            </w:r>
            <w:r>
              <w:rPr>
                <w:b/>
                <w:bCs/>
                <w:spacing w:val="-5"/>
              </w:rPr>
              <w:t>项目建设内容</w:t>
            </w:r>
          </w:p>
          <w:p w14:paraId="33AB7391">
            <w:pPr>
              <w:pStyle w:val="127"/>
              <w:keepNext w:val="0"/>
              <w:keepLines w:val="0"/>
              <w:suppressLineNumbers w:val="0"/>
              <w:bidi w:val="0"/>
              <w:spacing w:before="0" w:beforeAutospacing="0" w:after="0" w:afterAutospacing="0"/>
              <w:ind w:left="0" w:leftChars="0" w:right="0" w:firstLine="0" w:firstLineChars="0"/>
              <w:outlineLvl w:val="9"/>
              <w:rPr>
                <w:rFonts w:hint="eastAsia" w:cs="Times New Roman"/>
                <w:lang w:val="en-US" w:eastAsia="zh-CN"/>
              </w:rPr>
            </w:pPr>
            <w:r>
              <w:rPr>
                <w:rFonts w:hint="eastAsia" w:cs="Times New Roman"/>
                <w:lang w:val="en-US" w:eastAsia="zh-CN"/>
              </w:rPr>
              <w:t>2</w:t>
            </w:r>
            <w:r>
              <w:rPr>
                <w:rFonts w:hint="eastAsia" w:cs="Times New Roman"/>
              </w:rPr>
              <w:t>.</w:t>
            </w:r>
            <w:r>
              <w:rPr>
                <w:rFonts w:hint="eastAsia" w:cs="Times New Roman"/>
                <w:lang w:val="en-US" w:eastAsia="zh-CN"/>
              </w:rPr>
              <w:t>2.2.1项目概况</w:t>
            </w:r>
          </w:p>
          <w:p w14:paraId="777201E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项目名称：</w:t>
            </w:r>
            <w:r>
              <w:rPr>
                <w:rFonts w:hint="eastAsia" w:ascii="Times New Roman" w:hAnsi="Times New Roman" w:eastAsia="宋体" w:cs="宋体"/>
                <w:b w:val="0"/>
                <w:bCs/>
                <w:color w:val="000000" w:themeColor="text1"/>
                <w:sz w:val="24"/>
                <w:szCs w:val="24"/>
                <w:lang w:val="en-US" w:eastAsia="zh-CN"/>
                <w14:textFill>
                  <w14:solidFill>
                    <w14:schemeClr w14:val="tx1"/>
                  </w14:solidFill>
                </w14:textFill>
              </w:rPr>
              <w:t>博湖县兆瓦能源科技有限公司20MWp并网太阳能光伏电站项目配套</w:t>
            </w:r>
            <w:r>
              <w:rPr>
                <w:rFonts w:hint="eastAsia" w:ascii="Times New Roman" w:hAnsi="Times New Roman" w:cs="宋体"/>
                <w:b w:val="0"/>
                <w:bCs/>
                <w:color w:val="000000" w:themeColor="text1"/>
                <w:sz w:val="24"/>
                <w:szCs w:val="24"/>
                <w:lang w:val="en-US" w:eastAsia="zh-CN"/>
                <w14:textFill>
                  <w14:solidFill>
                    <w14:schemeClr w14:val="tx1"/>
                  </w14:solidFill>
                </w14:textFill>
              </w:rPr>
              <w:t>输变电</w:t>
            </w:r>
            <w:r>
              <w:rPr>
                <w:rFonts w:hint="eastAsia" w:ascii="Times New Roman" w:hAnsi="Times New Roman" w:eastAsia="宋体" w:cs="宋体"/>
                <w:b w:val="0"/>
                <w:bCs/>
                <w:color w:val="000000" w:themeColor="text1"/>
                <w:sz w:val="24"/>
                <w:szCs w:val="24"/>
                <w:lang w:val="en-US" w:eastAsia="zh-CN"/>
                <w14:textFill>
                  <w14:solidFill>
                    <w14:schemeClr w14:val="tx1"/>
                  </w14:solidFill>
                </w14:textFill>
              </w:rPr>
              <w:t>工程</w:t>
            </w:r>
          </w:p>
          <w:p w14:paraId="56C7D34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
              <w:jc w:val="both"/>
              <w:textAlignment w:val="auto"/>
              <w:rPr>
                <w:rFonts w:hint="eastAsia" w:ascii="宋体" w:hAnsi="宋体" w:eastAsia="宋体" w:cs="宋体"/>
                <w:spacing w:val="9"/>
                <w:sz w:val="24"/>
                <w:szCs w:val="24"/>
                <w:lang w:val="en-US" w:eastAsia="zh-CN"/>
              </w:rPr>
            </w:pPr>
            <w:r>
              <w:rPr>
                <w:rFonts w:hint="eastAsia" w:ascii="宋体" w:hAnsi="宋体" w:eastAsia="宋体" w:cs="宋体"/>
                <w:b w:val="0"/>
                <w:bCs w:val="0"/>
                <w:color w:val="000000"/>
                <w:kern w:val="2"/>
                <w:sz w:val="24"/>
                <w:szCs w:val="24"/>
                <w:highlight w:val="none"/>
                <w:lang w:val="en-US" w:eastAsia="zh-CN" w:bidi="ar-SA"/>
              </w:rPr>
              <w:t>建设单位</w:t>
            </w:r>
            <w:r>
              <w:rPr>
                <w:rFonts w:hint="eastAsia" w:ascii="宋体" w:hAnsi="宋体" w:eastAsia="宋体" w:cs="宋体"/>
                <w:spacing w:val="9"/>
                <w:sz w:val="24"/>
                <w:szCs w:val="24"/>
                <w:lang w:val="en-US" w:eastAsia="zh-CN"/>
              </w:rPr>
              <w:t>：</w:t>
            </w:r>
            <w:r>
              <w:rPr>
                <w:rFonts w:hint="eastAsia" w:cs="宋体"/>
                <w:spacing w:val="9"/>
                <w:sz w:val="24"/>
                <w:szCs w:val="24"/>
                <w:lang w:val="en-US" w:eastAsia="zh-CN"/>
              </w:rPr>
              <w:t>博湖县兆瓦能源科技有限公司</w:t>
            </w:r>
          </w:p>
          <w:p w14:paraId="4F36E0D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
              <w:jc w:val="both"/>
              <w:textAlignment w:val="auto"/>
              <w:rPr>
                <w:rFonts w:hint="eastAsia" w:ascii="Times New Roman" w:hAnsi="Times New Roman" w:eastAsia="宋体" w:cs="Times New Roman"/>
                <w:kern w:val="2"/>
                <w:sz w:val="24"/>
                <w:szCs w:val="24"/>
                <w:lang w:val="en-US" w:eastAsia="zh-CN" w:bidi="ar-SA"/>
              </w:rPr>
            </w:pPr>
            <w:r>
              <w:rPr>
                <w:rFonts w:hint="eastAsia" w:ascii="宋体" w:hAnsi="宋体" w:eastAsia="宋体" w:cs="宋体"/>
                <w:b w:val="0"/>
                <w:bCs w:val="0"/>
                <w:color w:val="000000"/>
                <w:kern w:val="2"/>
                <w:sz w:val="24"/>
                <w:szCs w:val="24"/>
                <w:highlight w:val="none"/>
                <w:lang w:val="en-US" w:eastAsia="zh-CN" w:bidi="ar-SA"/>
              </w:rPr>
              <w:t>地理位置：</w:t>
            </w:r>
            <w:r>
              <w:rPr>
                <w:rFonts w:hint="default" w:ascii="宋体" w:hAnsi="宋体" w:eastAsia="宋体" w:cs="宋体"/>
                <w:spacing w:val="9"/>
                <w:sz w:val="24"/>
                <w:szCs w:val="24"/>
              </w:rPr>
              <w:t>新疆维吾尔自治区</w:t>
            </w:r>
            <w:r>
              <w:rPr>
                <w:rFonts w:hint="eastAsia" w:cs="宋体"/>
                <w:spacing w:val="9"/>
                <w:sz w:val="24"/>
                <w:szCs w:val="24"/>
                <w:lang w:eastAsia="zh-CN"/>
              </w:rPr>
              <w:t>巴音郭楞蒙古</w:t>
            </w:r>
            <w:r>
              <w:rPr>
                <w:rFonts w:hint="default" w:ascii="宋体" w:hAnsi="宋体" w:eastAsia="宋体" w:cs="宋体"/>
                <w:spacing w:val="9"/>
                <w:sz w:val="24"/>
                <w:szCs w:val="24"/>
              </w:rPr>
              <w:t>自治州博</w:t>
            </w:r>
            <w:r>
              <w:rPr>
                <w:rFonts w:hint="default" w:ascii="Times New Roman" w:hAnsi="Times New Roman" w:eastAsia="宋体" w:cs="宋体"/>
                <w:bCs/>
                <w:color w:val="000000"/>
                <w:sz w:val="24"/>
                <w:szCs w:val="24"/>
                <w:lang w:val="en-US" w:eastAsia="zh-CN"/>
              </w:rPr>
              <w:t>湖县</w:t>
            </w:r>
            <w:r>
              <w:rPr>
                <w:rFonts w:hint="eastAsia" w:ascii="Times New Roman" w:hAnsi="Times New Roman" w:eastAsia="宋体" w:cs="Times New Roman"/>
                <w:kern w:val="2"/>
                <w:sz w:val="24"/>
                <w:szCs w:val="24"/>
                <w:lang w:val="en-US" w:eastAsia="zh-CN" w:bidi="ar-SA"/>
              </w:rPr>
              <w:t>博斯腾湖乡</w:t>
            </w:r>
          </w:p>
          <w:p w14:paraId="1C47EA1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
              <w:jc w:val="both"/>
              <w:textAlignment w:val="auto"/>
              <w:rPr>
                <w:rFonts w:hint="default"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建设性质：新建</w:t>
            </w:r>
            <w:r>
              <w:rPr>
                <w:rFonts w:hint="eastAsia" w:cs="宋体"/>
                <w:b w:val="0"/>
                <w:bCs w:val="0"/>
                <w:color w:val="000000" w:themeColor="text1"/>
                <w:kern w:val="2"/>
                <w:sz w:val="24"/>
                <w:szCs w:val="24"/>
                <w:highlight w:val="none"/>
                <w:lang w:val="en-US" w:eastAsia="zh-CN" w:bidi="ar-SA"/>
                <w14:textFill>
                  <w14:solidFill>
                    <w14:schemeClr w14:val="tx1"/>
                  </w14:solidFill>
                </w14:textFill>
              </w:rPr>
              <w:t>，补办环评</w:t>
            </w:r>
          </w:p>
          <w:p w14:paraId="0E8667B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项目投资：</w:t>
            </w:r>
            <w:r>
              <w:rPr>
                <w:rFonts w:hint="default" w:ascii="Times New Roman" w:hAnsi="Times New Roman" w:cs="Times New Roman"/>
                <w:color w:val="000000"/>
                <w:sz w:val="24"/>
                <w:szCs w:val="24"/>
                <w:highlight w:val="none"/>
                <w:lang w:val="en-US" w:eastAsia="zh-CN"/>
              </w:rPr>
              <w:t>517.96</w:t>
            </w:r>
            <w:r>
              <w:rPr>
                <w:rFonts w:hint="eastAsia" w:ascii="宋体" w:hAnsi="宋体" w:eastAsia="宋体" w:cs="宋体"/>
                <w:b w:val="0"/>
                <w:bCs w:val="0"/>
                <w:color w:val="000000"/>
                <w:kern w:val="2"/>
                <w:sz w:val="24"/>
                <w:szCs w:val="24"/>
                <w:highlight w:val="none"/>
                <w:lang w:val="en-US" w:eastAsia="zh-CN" w:bidi="ar-SA"/>
              </w:rPr>
              <w:t>万元</w:t>
            </w:r>
          </w:p>
          <w:p w14:paraId="7A86C97F">
            <w:pPr>
              <w:pStyle w:val="127"/>
              <w:keepNext w:val="0"/>
              <w:keepLines w:val="0"/>
              <w:suppressLineNumbers w:val="0"/>
              <w:bidi w:val="0"/>
              <w:spacing w:before="0" w:beforeAutospacing="0" w:after="0" w:afterAutospacing="0"/>
              <w:ind w:left="0" w:leftChars="0" w:right="0" w:firstLine="480" w:firstLineChars="200"/>
              <w:outlineLvl w:val="9"/>
              <w:rPr>
                <w:rFonts w:hint="eastAsia" w:ascii="Times New Roman" w:hAnsi="Times New Roman"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建</w:t>
            </w:r>
            <w:r>
              <w:rPr>
                <w:rFonts w:hint="eastAsia" w:ascii="Times New Roman" w:hAnsi="Times New Roman" w:cs="宋体"/>
                <w:b w:val="0"/>
                <w:bCs w:val="0"/>
                <w:color w:val="000000"/>
                <w:kern w:val="2"/>
                <w:sz w:val="24"/>
                <w:szCs w:val="24"/>
                <w:highlight w:val="none"/>
                <w:lang w:val="en-US" w:eastAsia="zh-CN" w:bidi="ar-SA"/>
              </w:rPr>
              <w:t>设内容与规模：本项目为太阳能发电项目配套工程</w:t>
            </w:r>
            <w:r>
              <w:rPr>
                <w:rFonts w:hint="eastAsia" w:cs="宋体"/>
                <w:b w:val="0"/>
                <w:bCs w:val="0"/>
                <w:color w:val="000000"/>
                <w:kern w:val="2"/>
                <w:sz w:val="24"/>
                <w:szCs w:val="24"/>
                <w:highlight w:val="none"/>
                <w:lang w:val="en-US" w:eastAsia="zh-CN" w:bidi="ar-SA"/>
              </w:rPr>
              <w:t>，建设</w:t>
            </w:r>
            <w:r>
              <w:rPr>
                <w:rFonts w:hint="eastAsia" w:cs="Times New Roman"/>
                <w:b w:val="0"/>
                <w:bCs w:val="0"/>
                <w:color w:val="000000"/>
                <w:kern w:val="2"/>
                <w:sz w:val="24"/>
                <w:szCs w:val="24"/>
                <w:highlight w:val="none"/>
                <w:lang w:val="en-US" w:eastAsia="zh-CN" w:bidi="ar-SA"/>
              </w:rPr>
              <w:t>一座</w:t>
            </w:r>
            <w:r>
              <w:rPr>
                <w:rFonts w:hint="eastAsia"/>
                <w:b w:val="0"/>
                <w:bCs w:val="0"/>
                <w:color w:val="000000" w:themeColor="text1"/>
                <w:kern w:val="0"/>
                <w:sz w:val="24"/>
                <w:szCs w:val="24"/>
                <w:lang w:val="en-US" w:eastAsia="zh-CN"/>
                <w14:textFill>
                  <w14:solidFill>
                    <w14:schemeClr w14:val="tx1"/>
                  </w14:solidFill>
                </w14:textFill>
              </w:rPr>
              <w:t>兆瓦能源110kV光伏升压站</w:t>
            </w:r>
            <w:r>
              <w:rPr>
                <w:rFonts w:hint="eastAsia" w:ascii="Times New Roman" w:hAnsi="Times New Roman" w:eastAsia="宋体" w:cs="Times New Roman"/>
                <w:b w:val="0"/>
                <w:bCs w:val="0"/>
                <w:color w:val="000000"/>
                <w:kern w:val="2"/>
                <w:sz w:val="24"/>
                <w:szCs w:val="24"/>
                <w:highlight w:val="none"/>
                <w:lang w:val="en-US" w:eastAsia="zh-CN" w:bidi="ar-SA"/>
              </w:rPr>
              <w:t>；并以1回110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线路从兆瓦能源110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光伏升压站接入种植园110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变电站，线路长约2.98千米，</w:t>
            </w:r>
            <w:r>
              <w:rPr>
                <w:rFonts w:hint="eastAsia" w:ascii="Times New Roman" w:hAnsi="Times New Roman" w:cs="宋体"/>
                <w:b w:val="0"/>
                <w:bCs w:val="0"/>
                <w:color w:val="000000"/>
                <w:kern w:val="2"/>
                <w:sz w:val="24"/>
                <w:szCs w:val="24"/>
                <w:highlight w:val="none"/>
                <w:lang w:val="en-US" w:eastAsia="zh-CN" w:bidi="ar-SA"/>
              </w:rPr>
              <w:t>共布设12座杆塔。</w:t>
            </w:r>
          </w:p>
          <w:p w14:paraId="3C5B12C9">
            <w:pPr>
              <w:pStyle w:val="127"/>
              <w:keepNext w:val="0"/>
              <w:keepLines w:val="0"/>
              <w:suppressLineNumbers w:val="0"/>
              <w:bidi w:val="0"/>
              <w:spacing w:before="0" w:beforeAutospacing="0" w:after="0" w:afterAutospacing="0"/>
              <w:ind w:left="0" w:leftChars="0" w:right="0" w:firstLine="480" w:firstLineChars="200"/>
              <w:outlineLvl w:val="9"/>
              <w:rPr>
                <w:rFonts w:hint="default"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t>跨越情况：跨越公路</w:t>
            </w:r>
            <w:r>
              <w:rPr>
                <w:rFonts w:hint="eastAsia" w:cs="宋体"/>
                <w:b w:val="0"/>
                <w:bCs w:val="0"/>
                <w:color w:val="000000" w:themeColor="text1"/>
                <w:kern w:val="2"/>
                <w:sz w:val="24"/>
                <w:szCs w:val="24"/>
                <w:highlight w:val="none"/>
                <w:lang w:val="en-US" w:eastAsia="zh-CN" w:bidi="ar-SA"/>
                <w14:textFill>
                  <w14:solidFill>
                    <w14:schemeClr w14:val="tx1"/>
                  </w14:solidFill>
                </w14:textFill>
              </w:rPr>
              <w:t>两</w:t>
            </w:r>
            <w:r>
              <w:rPr>
                <w:rFonts w:hint="eastAsia"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t>处，跨越35kV线路两处</w:t>
            </w:r>
            <w:r>
              <w:rPr>
                <w:rFonts w:hint="eastAsia" w:cs="宋体"/>
                <w:b w:val="0"/>
                <w:bC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t>跨越10kV线路三处，跨越通讯线两处。</w:t>
            </w:r>
          </w:p>
          <w:p w14:paraId="27285B99">
            <w:pPr>
              <w:keepNext w:val="0"/>
              <w:keepLines w:val="0"/>
              <w:suppressLineNumbers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w:t>
            </w:r>
            <w:r>
              <w:rPr>
                <w:rFonts w:hint="eastAsia" w:cs="Times New Roman"/>
                <w:b/>
                <w:bCs/>
                <w:color w:val="000000"/>
                <w:kern w:val="2"/>
                <w:sz w:val="24"/>
                <w:szCs w:val="24"/>
                <w:lang w:val="en-US" w:eastAsia="zh-CN" w:bidi="ar-SA"/>
              </w:rPr>
              <w:t>2</w:t>
            </w:r>
            <w:r>
              <w:rPr>
                <w:rFonts w:hint="eastAsia" w:ascii="Times New Roman" w:hAnsi="Times New Roman" w:eastAsia="宋体" w:cs="Times New Roman"/>
                <w:b/>
                <w:bCs/>
                <w:color w:val="000000"/>
                <w:kern w:val="2"/>
                <w:sz w:val="24"/>
                <w:szCs w:val="24"/>
                <w:lang w:val="en-US" w:eastAsia="zh-CN" w:bidi="ar-SA"/>
              </w:rPr>
              <w:t>.</w:t>
            </w:r>
            <w:r>
              <w:rPr>
                <w:rFonts w:hint="eastAsia" w:cs="Times New Roman"/>
                <w:b/>
                <w:bCs/>
                <w:color w:val="000000"/>
                <w:kern w:val="2"/>
                <w:sz w:val="24"/>
                <w:szCs w:val="24"/>
                <w:lang w:val="en-US" w:eastAsia="zh-CN" w:bidi="ar-SA"/>
              </w:rPr>
              <w:t>2.2</w:t>
            </w:r>
            <w:r>
              <w:rPr>
                <w:rFonts w:hint="eastAsia" w:ascii="Times New Roman" w:hAnsi="Times New Roman" w:eastAsia="宋体" w:cs="Times New Roman"/>
                <w:b/>
                <w:bCs/>
                <w:color w:val="000000"/>
                <w:kern w:val="2"/>
                <w:sz w:val="24"/>
                <w:szCs w:val="24"/>
                <w:lang w:val="en-US" w:eastAsia="zh-CN" w:bidi="ar-SA"/>
              </w:rPr>
              <w:t>工程基本组成</w:t>
            </w:r>
          </w:p>
          <w:p w14:paraId="52989C79">
            <w:pPr>
              <w:keepNext w:val="0"/>
              <w:keepLines w:val="0"/>
              <w:suppressLineNumbers w:val="0"/>
              <w:snapToGrid w:val="0"/>
              <w:spacing w:before="0" w:beforeAutospacing="0" w:after="0" w:afterAutospacing="0" w:line="360" w:lineRule="auto"/>
              <w:ind w:left="0" w:leftChars="0" w:right="0"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本工程建设内容及规模</w:t>
            </w:r>
            <w:r>
              <w:rPr>
                <w:rFonts w:hint="eastAsia" w:ascii="宋体" w:hAnsi="宋体" w:eastAsia="宋体" w:cs="宋体"/>
                <w:color w:val="000000"/>
                <w:sz w:val="24"/>
                <w:szCs w:val="24"/>
                <w:highlight w:val="none"/>
                <w:lang w:val="en-US" w:eastAsia="zh-CN"/>
              </w:rPr>
              <w:t>见下表</w:t>
            </w:r>
            <w:r>
              <w:rPr>
                <w:rFonts w:hint="eastAsia" w:ascii="宋体" w:hAnsi="宋体" w:eastAsia="宋体" w:cs="宋体"/>
                <w:color w:val="000000"/>
                <w:sz w:val="24"/>
                <w:szCs w:val="24"/>
                <w:highlight w:val="none"/>
              </w:rPr>
              <w:t>。</w:t>
            </w:r>
          </w:p>
          <w:p w14:paraId="1FA24C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center"/>
              <w:textAlignment w:val="auto"/>
              <w:rPr>
                <w:rFonts w:hint="eastAsia" w:ascii="宋体" w:hAnsi="宋体" w:eastAsia="宋体" w:cs="宋体"/>
                <w:color w:val="000000"/>
                <w:sz w:val="24"/>
                <w:szCs w:val="24"/>
                <w:highlight w:val="none"/>
              </w:rPr>
            </w:pPr>
            <w:r>
              <w:rPr>
                <w:rFonts w:hint="default"/>
                <w:b/>
                <w:bCs/>
                <w:spacing w:val="-2"/>
              </w:rPr>
              <w:t>表</w:t>
            </w:r>
            <w:r>
              <w:rPr>
                <w:rFonts w:hint="eastAsia"/>
                <w:b/>
                <w:bCs/>
                <w:spacing w:val="-2"/>
                <w:lang w:val="en-US" w:eastAsia="zh-CN"/>
              </w:rPr>
              <w:t xml:space="preserve">2-1 </w:t>
            </w:r>
            <w:r>
              <w:rPr>
                <w:rFonts w:hint="default"/>
                <w:b/>
                <w:bCs/>
                <w:spacing w:val="-2"/>
              </w:rPr>
              <w:t>项目组成一览表</w:t>
            </w:r>
          </w:p>
        </w:tc>
      </w:tr>
      <w:tr w14:paraId="78ACD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6FF92915">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spacing w:val="-2"/>
                <w:sz w:val="21"/>
                <w:szCs w:val="21"/>
              </w:rPr>
              <w:t>工程组成</w:t>
            </w:r>
          </w:p>
        </w:tc>
        <w:tc>
          <w:tcPr>
            <w:tcW w:w="1231" w:type="pct"/>
            <w:gridSpan w:val="5"/>
            <w:noWrap w:val="0"/>
            <w:vAlign w:val="center"/>
          </w:tcPr>
          <w:p w14:paraId="7095C1D6">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spacing w:val="-3"/>
                <w:sz w:val="21"/>
                <w:szCs w:val="21"/>
              </w:rPr>
              <w:t>项目</w:t>
            </w:r>
          </w:p>
        </w:tc>
        <w:tc>
          <w:tcPr>
            <w:tcW w:w="2708" w:type="pct"/>
            <w:gridSpan w:val="12"/>
            <w:noWrap w:val="0"/>
            <w:vAlign w:val="center"/>
          </w:tcPr>
          <w:p w14:paraId="48EE3B52">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spacing w:val="-8"/>
                <w:sz w:val="21"/>
                <w:szCs w:val="21"/>
              </w:rPr>
              <w:t>内容</w:t>
            </w:r>
          </w:p>
        </w:tc>
        <w:tc>
          <w:tcPr>
            <w:tcW w:w="646" w:type="pct"/>
            <w:gridSpan w:val="2"/>
            <w:noWrap w:val="0"/>
            <w:vAlign w:val="center"/>
          </w:tcPr>
          <w:p w14:paraId="3F028050">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8"/>
                <w:sz w:val="21"/>
                <w:szCs w:val="21"/>
                <w:lang w:val="en-US" w:eastAsia="zh-CN"/>
              </w:rPr>
            </w:pPr>
            <w:r>
              <w:rPr>
                <w:rFonts w:hint="eastAsia" w:ascii="Times New Roman" w:hAnsi="Times New Roman" w:eastAsia="宋体"/>
                <w:spacing w:val="-8"/>
                <w:sz w:val="21"/>
                <w:szCs w:val="21"/>
                <w:lang w:val="en-US" w:eastAsia="zh-CN"/>
              </w:rPr>
              <w:t>建设情况</w:t>
            </w:r>
          </w:p>
        </w:tc>
      </w:tr>
      <w:tr w14:paraId="6EB88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3" w:type="pct"/>
            <w:vMerge w:val="restart"/>
            <w:noWrap w:val="0"/>
            <w:vAlign w:val="center"/>
          </w:tcPr>
          <w:p w14:paraId="2AF955D4">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spacing w:val="-2"/>
                <w:sz w:val="21"/>
                <w:szCs w:val="21"/>
              </w:rPr>
              <w:t>主体工程</w:t>
            </w:r>
          </w:p>
        </w:tc>
        <w:tc>
          <w:tcPr>
            <w:tcW w:w="615" w:type="pct"/>
            <w:gridSpan w:val="2"/>
            <w:vMerge w:val="restart"/>
            <w:noWrap w:val="0"/>
            <w:vAlign w:val="center"/>
          </w:tcPr>
          <w:p w14:paraId="34F51FFD">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b w:val="0"/>
                <w:bCs w:val="0"/>
                <w:color w:val="000000" w:themeColor="text1"/>
                <w:kern w:val="0"/>
                <w:sz w:val="21"/>
                <w:szCs w:val="21"/>
                <w:lang w:val="en-US" w:eastAsia="zh-CN"/>
                <w14:textFill>
                  <w14:solidFill>
                    <w14:schemeClr w14:val="tx1"/>
                  </w14:solidFill>
                </w14:textFill>
              </w:rPr>
              <w:t>兆瓦能源110kV光伏升压站</w:t>
            </w:r>
          </w:p>
        </w:tc>
        <w:tc>
          <w:tcPr>
            <w:tcW w:w="615" w:type="pct"/>
            <w:gridSpan w:val="3"/>
            <w:noWrap w:val="0"/>
            <w:vAlign w:val="center"/>
          </w:tcPr>
          <w:p w14:paraId="76979529">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主变压器</w:t>
            </w:r>
          </w:p>
        </w:tc>
        <w:tc>
          <w:tcPr>
            <w:tcW w:w="2708" w:type="pct"/>
            <w:gridSpan w:val="12"/>
            <w:noWrap w:val="0"/>
            <w:vAlign w:val="center"/>
          </w:tcPr>
          <w:p w14:paraId="3235F1B8">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5"/>
                <w:sz w:val="21"/>
                <w:szCs w:val="21"/>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户外布置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kern w:val="36"/>
                <w:sz w:val="21"/>
                <w:szCs w:val="21"/>
              </w:rPr>
              <w:t>型号</w:t>
            </w:r>
            <w:r>
              <w:rPr>
                <w:rFonts w:hint="eastAsia" w:ascii="Times New Roman" w:hAnsi="Times New Roman" w:eastAsia="宋体" w:cs="Times New Roman"/>
                <w:kern w:val="36"/>
                <w:sz w:val="21"/>
                <w:szCs w:val="21"/>
                <w:lang w:eastAsia="zh-CN"/>
              </w:rPr>
              <w:t>：</w:t>
            </w:r>
            <w:r>
              <w:rPr>
                <w:rFonts w:hint="default" w:ascii="Times New Roman" w:hAnsi="Times New Roman" w:eastAsia="宋体" w:cs="Times New Roman"/>
                <w:sz w:val="21"/>
                <w:szCs w:val="21"/>
              </w:rPr>
              <w:t>S</w:t>
            </w:r>
            <w:r>
              <w:rPr>
                <w:rFonts w:hint="eastAsia" w:ascii="Times New Roman" w:hAnsi="Times New Roman" w:eastAsia="宋体" w:cs="Times New Roman"/>
                <w:sz w:val="21"/>
                <w:szCs w:val="21"/>
                <w:lang w:val="en-US" w:eastAsia="zh-CN"/>
              </w:rPr>
              <w:t>F</w:t>
            </w:r>
            <w:r>
              <w:rPr>
                <w:rFonts w:hint="default" w:ascii="Times New Roman" w:hAnsi="Times New Roman" w:eastAsia="宋体" w:cs="Times New Roman"/>
                <w:sz w:val="21"/>
                <w:szCs w:val="21"/>
              </w:rPr>
              <w:t>Z1</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63000</w:t>
            </w:r>
            <w:r>
              <w:rPr>
                <w:rFonts w:hint="default" w:ascii="Times New Roman" w:hAnsi="Times New Roman" w:eastAsia="宋体" w:cs="Times New Roman"/>
                <w:sz w:val="21"/>
                <w:szCs w:val="21"/>
              </w:rPr>
              <w:t>/110</w:t>
            </w:r>
            <w:r>
              <w:rPr>
                <w:rFonts w:hint="eastAsia" w:ascii="Times New Roman" w:hAnsi="Times New Roman" w:eastAsia="宋体" w:cs="Times New Roman"/>
                <w:sz w:val="21"/>
                <w:szCs w:val="21"/>
                <w:lang w:eastAsia="zh-CN"/>
              </w:rPr>
              <w:t>；</w:t>
            </w:r>
            <w:r>
              <w:rPr>
                <w:rFonts w:hint="eastAsia" w:cs="Times New Roman"/>
                <w:sz w:val="21"/>
                <w:szCs w:val="21"/>
                <w:lang w:val="en-US" w:eastAsia="zh-CN"/>
              </w:rPr>
              <w:t>额定容量：63000kVA；</w:t>
            </w:r>
            <w:r>
              <w:rPr>
                <w:rFonts w:hint="eastAsia" w:ascii="Times New Roman" w:hAnsi="Times New Roman" w:eastAsia="宋体" w:cs="Times New Roman"/>
                <w:kern w:val="36"/>
                <w:sz w:val="21"/>
                <w:szCs w:val="21"/>
              </w:rPr>
              <w:t>额定电压</w:t>
            </w:r>
            <w:r>
              <w:rPr>
                <w:rFonts w:hint="eastAsia" w:ascii="Times New Roman" w:hAnsi="Times New Roman" w:eastAsia="宋体" w:cs="Times New Roman"/>
                <w:kern w:val="36"/>
                <w:sz w:val="21"/>
                <w:szCs w:val="21"/>
                <w:lang w:eastAsia="zh-CN"/>
              </w:rPr>
              <w:t>：</w:t>
            </w:r>
            <w:r>
              <w:rPr>
                <w:rFonts w:hint="default" w:ascii="Times New Roman" w:hAnsi="Times New Roman" w:eastAsia="宋体" w:cs="Times New Roman"/>
                <w:sz w:val="21"/>
                <w:szCs w:val="21"/>
              </w:rPr>
              <w:t>(115</w:t>
            </w: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8</w:t>
            </w: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1.25%)/</w:t>
            </w:r>
            <w:r>
              <w:rPr>
                <w:rFonts w:hint="eastAsia" w:ascii="Times New Roman" w:hAnsi="Times New Roman" w:eastAsia="宋体" w:cs="Times New Roman"/>
                <w:sz w:val="21"/>
                <w:szCs w:val="21"/>
                <w:lang w:val="en-US" w:eastAsia="zh-CN"/>
              </w:rPr>
              <w:t>38.5kV；</w:t>
            </w:r>
            <w:r>
              <w:rPr>
                <w:rFonts w:hint="eastAsia" w:ascii="Times New Roman" w:hAnsi="Times New Roman" w:eastAsia="宋体" w:cs="Times New Roman"/>
                <w:kern w:val="36"/>
                <w:sz w:val="21"/>
                <w:szCs w:val="21"/>
              </w:rPr>
              <w:t>额定频率</w:t>
            </w:r>
            <w:r>
              <w:rPr>
                <w:rFonts w:hint="eastAsia" w:ascii="Times New Roman" w:hAnsi="Times New Roman" w:eastAsia="宋体" w:cs="Times New Roman"/>
                <w:kern w:val="36"/>
                <w:sz w:val="21"/>
                <w:szCs w:val="21"/>
                <w:lang w:eastAsia="zh-CN"/>
              </w:rPr>
              <w:t>：</w:t>
            </w:r>
            <w:r>
              <w:rPr>
                <w:rFonts w:hint="eastAsia" w:ascii="Times New Roman" w:hAnsi="Times New Roman" w:eastAsia="宋体" w:cs="Times New Roman"/>
                <w:kern w:val="36"/>
                <w:sz w:val="21"/>
                <w:szCs w:val="21"/>
                <w:lang w:val="en-US" w:eastAsia="zh-CN"/>
              </w:rPr>
              <w:t>50</w:t>
            </w:r>
            <w:r>
              <w:rPr>
                <w:rFonts w:hint="default" w:ascii="Times New Roman" w:hAnsi="Times New Roman" w:eastAsia="宋体" w:cs="Times New Roman"/>
                <w:kern w:val="36"/>
                <w:sz w:val="21"/>
                <w:szCs w:val="21"/>
              </w:rPr>
              <w:t>Hz</w:t>
            </w:r>
            <w:r>
              <w:rPr>
                <w:rFonts w:hint="eastAsia" w:ascii="Times New Roman" w:hAnsi="Times New Roman" w:eastAsia="宋体" w:cs="Times New Roman"/>
                <w:kern w:val="36"/>
                <w:sz w:val="21"/>
                <w:szCs w:val="21"/>
                <w:lang w:eastAsia="zh-CN"/>
              </w:rPr>
              <w:t>；</w:t>
            </w:r>
            <w:r>
              <w:rPr>
                <w:rFonts w:hint="eastAsia" w:ascii="Times New Roman" w:hAnsi="Times New Roman" w:eastAsia="宋体" w:cs="Times New Roman"/>
                <w:kern w:val="36"/>
                <w:sz w:val="21"/>
                <w:szCs w:val="21"/>
              </w:rPr>
              <w:t>冷却方式</w:t>
            </w:r>
            <w:r>
              <w:rPr>
                <w:rFonts w:hint="eastAsia" w:ascii="Times New Roman" w:hAnsi="Times New Roman" w:eastAsia="宋体" w:cs="Times New Roman"/>
                <w:kern w:val="36"/>
                <w:sz w:val="21"/>
                <w:szCs w:val="21"/>
                <w:lang w:eastAsia="zh-CN"/>
              </w:rPr>
              <w:t>：</w:t>
            </w:r>
            <w:r>
              <w:rPr>
                <w:rFonts w:hint="default" w:ascii="Times New Roman" w:hAnsi="Times New Roman" w:eastAsia="宋体" w:cs="Times New Roman"/>
                <w:sz w:val="21"/>
                <w:szCs w:val="21"/>
              </w:rPr>
              <w:t>ONAN</w:t>
            </w:r>
            <w:r>
              <w:rPr>
                <w:rFonts w:hint="eastAsia" w:ascii="Times New Roman" w:hAnsi="Times New Roman" w:eastAsia="宋体" w:cs="Times New Roman"/>
                <w:sz w:val="21"/>
                <w:szCs w:val="21"/>
                <w:lang w:val="en-US" w:eastAsia="zh-CN"/>
              </w:rPr>
              <w:t>/ONAF。</w:t>
            </w:r>
          </w:p>
        </w:tc>
        <w:tc>
          <w:tcPr>
            <w:tcW w:w="646" w:type="pct"/>
            <w:gridSpan w:val="2"/>
            <w:noWrap w:val="0"/>
            <w:vAlign w:val="center"/>
          </w:tcPr>
          <w:p w14:paraId="3153E774">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spacing w:val="5"/>
                <w:sz w:val="21"/>
                <w:szCs w:val="21"/>
                <w:lang w:val="en-US" w:eastAsia="zh-CN"/>
              </w:rPr>
            </w:pPr>
            <w:r>
              <w:rPr>
                <w:rFonts w:hint="eastAsia" w:ascii="Times New Roman" w:hAnsi="Times New Roman" w:eastAsia="宋体"/>
                <w:spacing w:val="5"/>
                <w:sz w:val="21"/>
                <w:szCs w:val="21"/>
                <w:lang w:val="en-US" w:eastAsia="zh-CN"/>
              </w:rPr>
              <w:t>已建设</w:t>
            </w:r>
          </w:p>
        </w:tc>
      </w:tr>
      <w:tr w14:paraId="4CA42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3" w:type="pct"/>
            <w:vMerge w:val="continue"/>
            <w:noWrap w:val="0"/>
            <w:vAlign w:val="center"/>
          </w:tcPr>
          <w:p w14:paraId="0B4A319C">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rPr>
            </w:pPr>
          </w:p>
        </w:tc>
        <w:tc>
          <w:tcPr>
            <w:tcW w:w="615" w:type="pct"/>
            <w:gridSpan w:val="2"/>
            <w:vMerge w:val="continue"/>
            <w:noWrap w:val="0"/>
            <w:vAlign w:val="center"/>
          </w:tcPr>
          <w:p w14:paraId="2BA7D182">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rPr>
            </w:pPr>
          </w:p>
        </w:tc>
        <w:tc>
          <w:tcPr>
            <w:tcW w:w="615" w:type="pct"/>
            <w:gridSpan w:val="3"/>
            <w:noWrap w:val="0"/>
            <w:vAlign w:val="center"/>
          </w:tcPr>
          <w:p w14:paraId="3997E4E8">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无功补偿装置</w:t>
            </w:r>
          </w:p>
        </w:tc>
        <w:tc>
          <w:tcPr>
            <w:tcW w:w="2708" w:type="pct"/>
            <w:gridSpan w:val="12"/>
            <w:noWrap w:val="0"/>
            <w:vAlign w:val="center"/>
          </w:tcPr>
          <w:p w14:paraId="552E02D9">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型号：</w:t>
            </w:r>
            <w:r>
              <w:rPr>
                <w:rFonts w:hint="eastAsia" w:ascii="Times New Roman" w:hAnsi="Times New Roman" w:eastAsia="宋体" w:cs="Times New Roman"/>
                <w:kern w:val="0"/>
                <w:sz w:val="21"/>
                <w:szCs w:val="21"/>
                <w:lang w:val="en-US" w:eastAsia="zh-CN"/>
              </w:rPr>
              <w:t>FGSVG-C12.0/35-0；</w:t>
            </w:r>
            <w:r>
              <w:rPr>
                <w:rFonts w:hint="eastAsia" w:ascii="Times New Roman" w:hAnsi="Times New Roman" w:eastAsia="宋体" w:cs="Times New Roman"/>
                <w:kern w:val="0"/>
                <w:sz w:val="21"/>
                <w:szCs w:val="21"/>
              </w:rPr>
              <w:t>额定容量</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12</w:t>
            </w:r>
            <w:r>
              <w:rPr>
                <w:rFonts w:hint="eastAsia" w:ascii="Times New Roman" w:hAnsi="Times New Roman" w:eastAsia="宋体" w:cs="Times New Roman"/>
                <w:kern w:val="0"/>
                <w:sz w:val="21"/>
                <w:szCs w:val="21"/>
              </w:rPr>
              <w:t>Mvar</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额定工作电压</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35kV；</w:t>
            </w:r>
            <w:r>
              <w:rPr>
                <w:rFonts w:hint="eastAsia" w:ascii="Times New Roman" w:hAnsi="Times New Roman" w:eastAsia="宋体" w:cs="Times New Roman"/>
                <w:kern w:val="0"/>
                <w:sz w:val="21"/>
                <w:szCs w:val="21"/>
              </w:rPr>
              <w:t>接线方式</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星形连接</w:t>
            </w:r>
            <w:r>
              <w:rPr>
                <w:rFonts w:hint="eastAsia" w:ascii="Times New Roman" w:hAnsi="Times New Roman" w:eastAsia="宋体" w:cs="Times New Roman"/>
                <w:kern w:val="0"/>
                <w:sz w:val="21"/>
                <w:szCs w:val="21"/>
                <w:lang w:eastAsia="zh-CN"/>
              </w:rPr>
              <w:t>。</w:t>
            </w:r>
          </w:p>
        </w:tc>
        <w:tc>
          <w:tcPr>
            <w:tcW w:w="646" w:type="pct"/>
            <w:gridSpan w:val="2"/>
            <w:noWrap w:val="0"/>
            <w:vAlign w:val="center"/>
          </w:tcPr>
          <w:p w14:paraId="1DF80ABC">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spacing w:val="5"/>
                <w:sz w:val="21"/>
                <w:szCs w:val="21"/>
                <w:lang w:val="en-US" w:eastAsia="zh-CN"/>
              </w:rPr>
              <w:t>已建设</w:t>
            </w:r>
          </w:p>
        </w:tc>
      </w:tr>
      <w:tr w14:paraId="65CF5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3" w:type="pct"/>
            <w:vMerge w:val="continue"/>
            <w:noWrap w:val="0"/>
            <w:vAlign w:val="center"/>
          </w:tcPr>
          <w:p w14:paraId="44719CB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615" w:type="pct"/>
            <w:gridSpan w:val="2"/>
            <w:vMerge w:val="continue"/>
            <w:noWrap w:val="0"/>
            <w:vAlign w:val="center"/>
          </w:tcPr>
          <w:p w14:paraId="7BB53632">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615" w:type="pct"/>
            <w:gridSpan w:val="3"/>
            <w:noWrap w:val="0"/>
            <w:vAlign w:val="center"/>
          </w:tcPr>
          <w:p w14:paraId="05A45BDC">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出线规模</w:t>
            </w:r>
          </w:p>
        </w:tc>
        <w:tc>
          <w:tcPr>
            <w:tcW w:w="2708" w:type="pct"/>
            <w:gridSpan w:val="12"/>
            <w:noWrap w:val="0"/>
            <w:vAlign w:val="center"/>
          </w:tcPr>
          <w:p w14:paraId="4A1F946A">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color w:val="auto"/>
                <w:kern w:val="0"/>
                <w:sz w:val="21"/>
                <w:szCs w:val="21"/>
              </w:rPr>
              <w:t>一路</w:t>
            </w:r>
            <w:r>
              <w:rPr>
                <w:rFonts w:hint="eastAsia" w:ascii="Times New Roman" w:hAnsi="Times New Roman" w:eastAsia="宋体" w:cs="Times New Roman"/>
                <w:b w:val="0"/>
                <w:bCs w:val="0"/>
                <w:color w:val="000000"/>
                <w:kern w:val="2"/>
                <w:sz w:val="21"/>
                <w:szCs w:val="21"/>
                <w:highlight w:val="none"/>
                <w:lang w:val="en-US" w:eastAsia="zh-CN" w:bidi="ar-SA"/>
              </w:rPr>
              <w:t>11</w:t>
            </w:r>
            <w:r>
              <w:rPr>
                <w:rFonts w:hint="eastAsia" w:ascii="Times New Roman" w:hAnsi="Times New Roman" w:eastAsia="宋体" w:cs="Times New Roman"/>
                <w:spacing w:val="5"/>
                <w:sz w:val="21"/>
                <w:szCs w:val="21"/>
                <w:lang w:val="en-US" w:eastAsia="zh-CN"/>
              </w:rPr>
              <w:t>0kV</w:t>
            </w:r>
            <w:r>
              <w:rPr>
                <w:rFonts w:hint="eastAsia" w:ascii="Times New Roman" w:hAnsi="Times New Roman" w:eastAsia="宋体" w:cs="Times New Roman"/>
                <w:color w:val="auto"/>
                <w:sz w:val="21"/>
                <w:szCs w:val="21"/>
              </w:rPr>
              <w:t>单回线路</w:t>
            </w:r>
            <w:r>
              <w:rPr>
                <w:rFonts w:hint="eastAsia" w:ascii="Times New Roman" w:hAnsi="Times New Roman" w:eastAsia="宋体" w:cs="Times New Roman"/>
                <w:color w:val="auto"/>
                <w:kern w:val="0"/>
                <w:sz w:val="21"/>
                <w:szCs w:val="21"/>
              </w:rPr>
              <w:t>出线</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至</w:t>
            </w:r>
            <w:r>
              <w:rPr>
                <w:rFonts w:hint="eastAsia" w:ascii="Times New Roman" w:hAnsi="Times New Roman" w:eastAsia="宋体" w:cs="Times New Roman"/>
                <w:b w:val="0"/>
                <w:bCs w:val="0"/>
                <w:color w:val="000000"/>
                <w:kern w:val="2"/>
                <w:sz w:val="21"/>
                <w:szCs w:val="21"/>
                <w:highlight w:val="none"/>
                <w:lang w:val="en-US" w:eastAsia="zh-CN" w:bidi="ar-SA"/>
              </w:rPr>
              <w:t>种植园110kV变电站。</w:t>
            </w:r>
          </w:p>
        </w:tc>
        <w:tc>
          <w:tcPr>
            <w:tcW w:w="646" w:type="pct"/>
            <w:gridSpan w:val="2"/>
            <w:noWrap w:val="0"/>
            <w:vAlign w:val="center"/>
          </w:tcPr>
          <w:p w14:paraId="3DF3745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spacing w:val="5"/>
                <w:sz w:val="21"/>
                <w:szCs w:val="21"/>
                <w:lang w:val="en-US" w:eastAsia="zh-CN"/>
              </w:rPr>
              <w:t>已建设</w:t>
            </w:r>
          </w:p>
        </w:tc>
      </w:tr>
      <w:tr w14:paraId="4141E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3" w:type="pct"/>
            <w:vMerge w:val="continue"/>
            <w:noWrap w:val="0"/>
            <w:vAlign w:val="center"/>
          </w:tcPr>
          <w:p w14:paraId="5A6E0882">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p>
        </w:tc>
        <w:tc>
          <w:tcPr>
            <w:tcW w:w="615" w:type="pct"/>
            <w:gridSpan w:val="2"/>
            <w:vMerge w:val="restart"/>
            <w:noWrap w:val="0"/>
            <w:vAlign w:val="center"/>
          </w:tcPr>
          <w:p w14:paraId="0FD20B09">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spacing w:val="7"/>
                <w:sz w:val="21"/>
                <w:szCs w:val="21"/>
                <w:lang w:val="en-US" w:eastAsia="zh-CN"/>
              </w:rPr>
            </w:pPr>
            <w:r>
              <w:rPr>
                <w:rFonts w:hint="eastAsia"/>
                <w:spacing w:val="7"/>
                <w:sz w:val="21"/>
                <w:szCs w:val="21"/>
                <w:lang w:val="en-US" w:eastAsia="zh-CN"/>
              </w:rPr>
              <w:t>输电线路</w:t>
            </w:r>
          </w:p>
        </w:tc>
        <w:tc>
          <w:tcPr>
            <w:tcW w:w="615" w:type="pct"/>
            <w:gridSpan w:val="3"/>
            <w:noWrap w:val="0"/>
            <w:vAlign w:val="center"/>
          </w:tcPr>
          <w:p w14:paraId="430257FA">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cs="宋体"/>
                <w:b w:val="0"/>
                <w:bCs w:val="0"/>
                <w:color w:val="000000"/>
                <w:kern w:val="2"/>
                <w:sz w:val="21"/>
                <w:szCs w:val="21"/>
                <w:highlight w:val="none"/>
                <w:lang w:val="en-US" w:eastAsia="zh-CN" w:bidi="ar-SA"/>
              </w:rPr>
              <w:t>送出线路规模</w:t>
            </w:r>
          </w:p>
        </w:tc>
        <w:tc>
          <w:tcPr>
            <w:tcW w:w="2708" w:type="pct"/>
            <w:gridSpan w:val="12"/>
            <w:noWrap w:val="0"/>
            <w:vAlign w:val="center"/>
          </w:tcPr>
          <w:p w14:paraId="2E6DD8BC">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spacing w:val="5"/>
                <w:sz w:val="21"/>
                <w:szCs w:val="21"/>
              </w:rPr>
              <w:t>本工程</w:t>
            </w:r>
            <w:r>
              <w:rPr>
                <w:rFonts w:hint="eastAsia" w:ascii="Times New Roman" w:hAnsi="Times New Roman" w:eastAsia="宋体" w:cs="宋体"/>
                <w:b w:val="0"/>
                <w:bCs w:val="0"/>
                <w:color w:val="000000"/>
                <w:kern w:val="2"/>
                <w:sz w:val="21"/>
                <w:szCs w:val="21"/>
                <w:highlight w:val="none"/>
                <w:lang w:val="en-US" w:eastAsia="zh-CN" w:bidi="ar-SA"/>
              </w:rPr>
              <w:t>11</w:t>
            </w:r>
            <w:r>
              <w:rPr>
                <w:rFonts w:hint="eastAsia" w:ascii="Times New Roman" w:hAnsi="Times New Roman" w:eastAsia="宋体" w:cs="Times New Roman"/>
                <w:spacing w:val="5"/>
                <w:sz w:val="21"/>
                <w:szCs w:val="21"/>
                <w:lang w:val="en-US" w:eastAsia="zh-CN"/>
              </w:rPr>
              <w:t>0kV</w:t>
            </w:r>
            <w:r>
              <w:rPr>
                <w:rFonts w:hint="eastAsia" w:ascii="Times New Roman" w:hAnsi="Times New Roman" w:eastAsia="宋体"/>
                <w:spacing w:val="5"/>
                <w:sz w:val="21"/>
                <w:szCs w:val="21"/>
              </w:rPr>
              <w:t>线路路径全长约2.98</w:t>
            </w:r>
            <w:r>
              <w:rPr>
                <w:rFonts w:hint="eastAsia"/>
                <w:spacing w:val="5"/>
                <w:sz w:val="21"/>
                <w:szCs w:val="21"/>
                <w:lang w:val="en-US" w:eastAsia="zh-CN"/>
              </w:rPr>
              <w:t>千米</w:t>
            </w:r>
            <w:r>
              <w:rPr>
                <w:rFonts w:hint="eastAsia" w:ascii="Times New Roman" w:hAnsi="Times New Roman" w:eastAsia="宋体"/>
                <w:spacing w:val="5"/>
                <w:sz w:val="21"/>
                <w:szCs w:val="21"/>
              </w:rPr>
              <w:t>，采用单回路架设，全线采用架空架设</w:t>
            </w:r>
          </w:p>
        </w:tc>
        <w:tc>
          <w:tcPr>
            <w:tcW w:w="646" w:type="pct"/>
            <w:gridSpan w:val="2"/>
            <w:noWrap w:val="0"/>
            <w:vAlign w:val="center"/>
          </w:tcPr>
          <w:p w14:paraId="3FE553AD">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5"/>
                <w:sz w:val="21"/>
                <w:szCs w:val="21"/>
                <w:lang w:val="en-US" w:eastAsia="zh-CN"/>
              </w:rPr>
            </w:pPr>
            <w:r>
              <w:rPr>
                <w:rFonts w:hint="eastAsia" w:ascii="Times New Roman" w:hAnsi="Times New Roman" w:eastAsia="宋体"/>
                <w:spacing w:val="5"/>
                <w:sz w:val="21"/>
                <w:szCs w:val="21"/>
                <w:lang w:val="en-US" w:eastAsia="zh-CN"/>
              </w:rPr>
              <w:t>已建设</w:t>
            </w:r>
          </w:p>
        </w:tc>
      </w:tr>
      <w:tr w14:paraId="4B4CC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3" w:type="pct"/>
            <w:vMerge w:val="continue"/>
            <w:noWrap w:val="0"/>
            <w:vAlign w:val="center"/>
          </w:tcPr>
          <w:p w14:paraId="3185EF9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z w:val="21"/>
                <w:szCs w:val="21"/>
              </w:rPr>
            </w:pPr>
          </w:p>
        </w:tc>
        <w:tc>
          <w:tcPr>
            <w:tcW w:w="615" w:type="pct"/>
            <w:gridSpan w:val="2"/>
            <w:vMerge w:val="continue"/>
            <w:noWrap w:val="0"/>
            <w:vAlign w:val="center"/>
          </w:tcPr>
          <w:p w14:paraId="657481A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615" w:type="pct"/>
            <w:gridSpan w:val="3"/>
            <w:noWrap w:val="0"/>
            <w:vAlign w:val="center"/>
          </w:tcPr>
          <w:p w14:paraId="048DA184">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spacing w:val="5"/>
                <w:sz w:val="21"/>
                <w:szCs w:val="21"/>
              </w:rPr>
            </w:pPr>
            <w:r>
              <w:rPr>
                <w:rFonts w:hint="default" w:ascii="Times New Roman" w:hAnsi="Times New Roman" w:eastAsia="宋体"/>
                <w:spacing w:val="5"/>
                <w:sz w:val="21"/>
                <w:szCs w:val="21"/>
              </w:rPr>
              <w:t>导线型号</w:t>
            </w:r>
          </w:p>
        </w:tc>
        <w:tc>
          <w:tcPr>
            <w:tcW w:w="2708" w:type="pct"/>
            <w:gridSpan w:val="12"/>
            <w:noWrap w:val="0"/>
            <w:vAlign w:val="center"/>
          </w:tcPr>
          <w:p w14:paraId="67BCF85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default" w:ascii="Times New Roman" w:hAnsi="Times New Roman" w:eastAsia="宋体"/>
                <w:spacing w:val="6"/>
                <w:sz w:val="21"/>
                <w:szCs w:val="21"/>
              </w:rPr>
              <w:t>采用</w:t>
            </w:r>
            <w:r>
              <w:rPr>
                <w:rFonts w:hint="eastAsia" w:ascii="Times New Roman" w:hAnsi="Times New Roman" w:eastAsia="宋体"/>
                <w:spacing w:val="5"/>
                <w:sz w:val="21"/>
                <w:szCs w:val="21"/>
              </w:rPr>
              <w:t>LGJ-300/25钢芯铝纹线</w:t>
            </w:r>
          </w:p>
        </w:tc>
        <w:tc>
          <w:tcPr>
            <w:tcW w:w="646" w:type="pct"/>
            <w:gridSpan w:val="2"/>
            <w:noWrap w:val="0"/>
            <w:vAlign w:val="center"/>
          </w:tcPr>
          <w:p w14:paraId="35D9661D">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6"/>
                <w:sz w:val="21"/>
                <w:szCs w:val="21"/>
              </w:rPr>
            </w:pPr>
            <w:r>
              <w:rPr>
                <w:rFonts w:hint="eastAsia" w:ascii="Times New Roman" w:hAnsi="Times New Roman" w:eastAsia="宋体"/>
                <w:spacing w:val="5"/>
                <w:sz w:val="21"/>
                <w:szCs w:val="21"/>
                <w:lang w:val="en-US" w:eastAsia="zh-CN"/>
              </w:rPr>
              <w:t>已建设</w:t>
            </w:r>
          </w:p>
        </w:tc>
      </w:tr>
      <w:tr w14:paraId="3342F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3" w:type="pct"/>
            <w:vMerge w:val="continue"/>
            <w:noWrap w:val="0"/>
            <w:vAlign w:val="center"/>
          </w:tcPr>
          <w:p w14:paraId="7E5CABB6">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615" w:type="pct"/>
            <w:gridSpan w:val="2"/>
            <w:vMerge w:val="continue"/>
            <w:noWrap w:val="0"/>
            <w:vAlign w:val="center"/>
          </w:tcPr>
          <w:p w14:paraId="07264471">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615" w:type="pct"/>
            <w:gridSpan w:val="3"/>
            <w:noWrap w:val="0"/>
            <w:vAlign w:val="center"/>
          </w:tcPr>
          <w:p w14:paraId="316A1A9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cs="宋体"/>
                <w:b w:val="0"/>
                <w:bCs w:val="0"/>
                <w:color w:val="000000"/>
                <w:kern w:val="2"/>
                <w:sz w:val="21"/>
                <w:szCs w:val="21"/>
                <w:highlight w:val="none"/>
                <w:lang w:val="en-US" w:eastAsia="zh-CN" w:bidi="ar-SA"/>
              </w:rPr>
              <w:t>地线</w:t>
            </w:r>
            <w:r>
              <w:rPr>
                <w:rFonts w:hint="default" w:ascii="Times New Roman" w:hAnsi="Times New Roman" w:eastAsia="宋体"/>
                <w:spacing w:val="5"/>
                <w:sz w:val="21"/>
                <w:szCs w:val="21"/>
              </w:rPr>
              <w:t>型号</w:t>
            </w:r>
          </w:p>
        </w:tc>
        <w:tc>
          <w:tcPr>
            <w:tcW w:w="2708" w:type="pct"/>
            <w:gridSpan w:val="12"/>
            <w:noWrap w:val="0"/>
            <w:vAlign w:val="center"/>
          </w:tcPr>
          <w:p w14:paraId="1453BA59">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spacing w:val="6"/>
                <w:sz w:val="21"/>
                <w:szCs w:val="21"/>
                <w:lang w:val="en-US" w:eastAsia="zh-CN"/>
              </w:rPr>
              <w:t>一根</w:t>
            </w:r>
            <w:r>
              <w:rPr>
                <w:rFonts w:hint="eastAsia" w:ascii="Times New Roman" w:hAnsi="Times New Roman" w:eastAsia="宋体" w:cs="宋体"/>
                <w:b w:val="0"/>
                <w:bCs w:val="0"/>
                <w:color w:val="000000"/>
                <w:kern w:val="2"/>
                <w:sz w:val="21"/>
                <w:szCs w:val="21"/>
                <w:highlight w:val="none"/>
                <w:lang w:val="en-US" w:eastAsia="zh-CN" w:bidi="ar-SA"/>
              </w:rPr>
              <w:t>GJ-80</w:t>
            </w:r>
            <w:r>
              <w:rPr>
                <w:rFonts w:hint="eastAsia" w:ascii="Times New Roman" w:hAnsi="Times New Roman" w:eastAsia="宋体"/>
                <w:spacing w:val="5"/>
                <w:sz w:val="21"/>
                <w:szCs w:val="21"/>
                <w:lang w:val="en-US" w:eastAsia="zh-CN"/>
              </w:rPr>
              <w:t>型镀锌钢绞线与一根24芯OPGW复合光缆配合使用</w:t>
            </w:r>
          </w:p>
        </w:tc>
        <w:tc>
          <w:tcPr>
            <w:tcW w:w="646" w:type="pct"/>
            <w:gridSpan w:val="2"/>
            <w:noWrap w:val="0"/>
            <w:vAlign w:val="center"/>
          </w:tcPr>
          <w:p w14:paraId="30573A9F">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spacing w:val="6"/>
                <w:sz w:val="21"/>
                <w:szCs w:val="21"/>
              </w:rPr>
            </w:pPr>
            <w:r>
              <w:rPr>
                <w:rFonts w:hint="eastAsia" w:ascii="Times New Roman" w:hAnsi="Times New Roman" w:eastAsia="宋体"/>
                <w:spacing w:val="5"/>
                <w:sz w:val="21"/>
                <w:szCs w:val="21"/>
                <w:lang w:val="en-US" w:eastAsia="zh-CN"/>
              </w:rPr>
              <w:t>已建设</w:t>
            </w:r>
          </w:p>
        </w:tc>
      </w:tr>
      <w:tr w14:paraId="3DAF9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3" w:type="pct"/>
            <w:vMerge w:val="continue"/>
            <w:noWrap w:val="0"/>
            <w:vAlign w:val="center"/>
          </w:tcPr>
          <w:p w14:paraId="42B597B7">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615" w:type="pct"/>
            <w:gridSpan w:val="2"/>
            <w:vMerge w:val="continue"/>
            <w:noWrap w:val="0"/>
            <w:vAlign w:val="center"/>
          </w:tcPr>
          <w:p w14:paraId="1E3F7937">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spacing w:val="7"/>
                <w:sz w:val="21"/>
                <w:szCs w:val="21"/>
              </w:rPr>
            </w:pPr>
          </w:p>
        </w:tc>
        <w:tc>
          <w:tcPr>
            <w:tcW w:w="615" w:type="pct"/>
            <w:gridSpan w:val="3"/>
            <w:noWrap w:val="0"/>
            <w:vAlign w:val="center"/>
          </w:tcPr>
          <w:p w14:paraId="529AB4C4">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spacing w:val="7"/>
                <w:sz w:val="21"/>
                <w:szCs w:val="21"/>
              </w:rPr>
            </w:pPr>
            <w:r>
              <w:rPr>
                <w:rFonts w:hint="default" w:ascii="Times New Roman" w:hAnsi="Times New Roman" w:eastAsia="宋体"/>
                <w:spacing w:val="7"/>
                <w:sz w:val="21"/>
                <w:szCs w:val="21"/>
              </w:rPr>
              <w:t>杆塔</w:t>
            </w:r>
          </w:p>
        </w:tc>
        <w:tc>
          <w:tcPr>
            <w:tcW w:w="2708" w:type="pct"/>
            <w:gridSpan w:val="12"/>
            <w:noWrap w:val="0"/>
            <w:vAlign w:val="center"/>
          </w:tcPr>
          <w:p w14:paraId="656846BD">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cs="宋体"/>
                <w:b w:val="0"/>
                <w:bCs w:val="0"/>
                <w:color w:val="000000"/>
                <w:kern w:val="2"/>
                <w:sz w:val="21"/>
                <w:szCs w:val="21"/>
                <w:highlight w:val="none"/>
                <w:lang w:val="en-US" w:eastAsia="zh-CN" w:bidi="ar-SA"/>
              </w:rPr>
              <w:t>共计12座，</w:t>
            </w:r>
            <w:r>
              <w:rPr>
                <w:rFonts w:hint="eastAsia" w:ascii="Times New Roman" w:hAnsi="Times New Roman" w:eastAsia="宋体" w:cs="宋体"/>
                <w:color w:val="000000"/>
                <w:sz w:val="21"/>
                <w:szCs w:val="21"/>
                <w:highlight w:val="none"/>
              </w:rPr>
              <w:t>直线塔</w:t>
            </w:r>
            <w:r>
              <w:rPr>
                <w:rFonts w:hint="eastAsia" w:ascii="Times New Roman" w:hAnsi="Times New Roman" w:eastAsia="宋体" w:cs="宋体"/>
                <w:color w:val="000000"/>
                <w:sz w:val="21"/>
                <w:szCs w:val="21"/>
                <w:highlight w:val="none"/>
                <w:lang w:val="en-US" w:eastAsia="zh-CN"/>
              </w:rPr>
              <w:t>7座</w:t>
            </w:r>
            <w:r>
              <w:rPr>
                <w:rFonts w:hint="eastAsia" w:ascii="Times New Roman" w:hAnsi="Times New Roman" w:eastAsia="宋体" w:cs="宋体"/>
                <w:color w:val="000000"/>
                <w:sz w:val="21"/>
                <w:szCs w:val="21"/>
                <w:highlight w:val="none"/>
              </w:rPr>
              <w:t>、终端塔</w:t>
            </w:r>
            <w:r>
              <w:rPr>
                <w:rFonts w:hint="eastAsia" w:ascii="Times New Roman" w:hAnsi="Times New Roman" w:eastAsia="宋体" w:cs="宋体"/>
                <w:color w:val="000000"/>
                <w:sz w:val="21"/>
                <w:szCs w:val="21"/>
                <w:highlight w:val="none"/>
                <w:lang w:val="en-US" w:eastAsia="zh-CN"/>
              </w:rPr>
              <w:t>2座</w:t>
            </w:r>
            <w:r>
              <w:rPr>
                <w:rFonts w:hint="eastAsia" w:ascii="Times New Roman" w:hAnsi="Times New Roman" w:eastAsia="宋体" w:cs="宋体"/>
                <w:color w:val="000000"/>
                <w:sz w:val="21"/>
                <w:szCs w:val="21"/>
                <w:highlight w:val="none"/>
              </w:rPr>
              <w:t>、转角塔</w:t>
            </w:r>
            <w:r>
              <w:rPr>
                <w:rFonts w:hint="eastAsia" w:ascii="Times New Roman" w:hAnsi="Times New Roman" w:eastAsia="宋体" w:cs="宋体"/>
                <w:color w:val="000000"/>
                <w:sz w:val="21"/>
                <w:szCs w:val="21"/>
                <w:highlight w:val="none"/>
                <w:lang w:val="en-US" w:eastAsia="zh-CN"/>
              </w:rPr>
              <w:t>3座</w:t>
            </w:r>
          </w:p>
        </w:tc>
        <w:tc>
          <w:tcPr>
            <w:tcW w:w="646" w:type="pct"/>
            <w:gridSpan w:val="2"/>
            <w:noWrap w:val="0"/>
            <w:vAlign w:val="center"/>
          </w:tcPr>
          <w:p w14:paraId="69C119B9">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spacing w:val="5"/>
                <w:sz w:val="21"/>
                <w:szCs w:val="21"/>
                <w:lang w:val="en-US" w:eastAsia="zh-CN"/>
              </w:rPr>
              <w:t>已建设</w:t>
            </w:r>
          </w:p>
        </w:tc>
      </w:tr>
      <w:tr w14:paraId="3E625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3" w:type="pct"/>
            <w:vMerge w:val="continue"/>
            <w:noWrap w:val="0"/>
            <w:vAlign w:val="center"/>
          </w:tcPr>
          <w:p w14:paraId="7FDD9EC9">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p>
        </w:tc>
        <w:tc>
          <w:tcPr>
            <w:tcW w:w="1231" w:type="pct"/>
            <w:gridSpan w:val="5"/>
            <w:noWrap w:val="0"/>
            <w:vAlign w:val="center"/>
          </w:tcPr>
          <w:p w14:paraId="33BCD532">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eastAsia="宋体" w:cs="宋体"/>
                <w:b w:val="0"/>
                <w:bCs w:val="0"/>
                <w:color w:val="000000"/>
                <w:kern w:val="2"/>
                <w:sz w:val="21"/>
                <w:szCs w:val="21"/>
                <w:highlight w:val="none"/>
                <w:lang w:val="en-US" w:eastAsia="zh-CN" w:bidi="ar-SA"/>
              </w:rPr>
              <w:t>工程占地</w:t>
            </w:r>
          </w:p>
        </w:tc>
        <w:tc>
          <w:tcPr>
            <w:tcW w:w="2708" w:type="pct"/>
            <w:gridSpan w:val="12"/>
            <w:noWrap w:val="0"/>
            <w:vAlign w:val="center"/>
          </w:tcPr>
          <w:p w14:paraId="6FC286F0">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b w:val="0"/>
                <w:bCs w:val="0"/>
                <w:color w:val="000000"/>
                <w:kern w:val="2"/>
                <w:sz w:val="21"/>
                <w:szCs w:val="21"/>
                <w:highlight w:val="none"/>
                <w:lang w:val="en-US" w:eastAsia="zh-CN" w:bidi="ar-SA"/>
              </w:rPr>
            </w:pPr>
            <w:r>
              <w:rPr>
                <w:rFonts w:hint="default" w:ascii="Times New Roman" w:hAnsi="Times New Roman" w:eastAsia="宋体"/>
                <w:color w:val="auto"/>
                <w:spacing w:val="6"/>
                <w:sz w:val="21"/>
                <w:szCs w:val="21"/>
              </w:rPr>
              <w:t>永久占地</w:t>
            </w:r>
            <w:r>
              <w:rPr>
                <w:rFonts w:hint="eastAsia" w:ascii="Times New Roman" w:hAnsi="Times New Roman" w:eastAsia="宋体"/>
                <w:color w:val="auto"/>
                <w:spacing w:val="6"/>
                <w:sz w:val="21"/>
                <w:szCs w:val="21"/>
                <w:lang w:val="en-US" w:eastAsia="zh-CN"/>
              </w:rPr>
              <w:t>约</w:t>
            </w:r>
            <w:r>
              <w:rPr>
                <w:rFonts w:hint="eastAsia"/>
                <w:color w:val="auto"/>
                <w:spacing w:val="6"/>
                <w:sz w:val="21"/>
                <w:szCs w:val="21"/>
                <w:highlight w:val="none"/>
                <w:lang w:val="en-US" w:eastAsia="zh-CN"/>
              </w:rPr>
              <w:t>4426</w:t>
            </w:r>
            <w:r>
              <w:rPr>
                <w:rFonts w:hint="default" w:ascii="Times New Roman" w:hAnsi="Times New Roman" w:eastAsia="宋体" w:cs="Times New Roman"/>
                <w:color w:val="auto"/>
                <w:spacing w:val="6"/>
                <w:sz w:val="21"/>
                <w:szCs w:val="21"/>
                <w:highlight w:val="none"/>
              </w:rPr>
              <w:t>m</w:t>
            </w:r>
            <w:r>
              <w:rPr>
                <w:rFonts w:hint="eastAsia" w:ascii="Times New Roman" w:hAnsi="Times New Roman" w:eastAsia="宋体" w:cs="Times New Roman"/>
                <w:color w:val="auto"/>
                <w:spacing w:val="6"/>
                <w:sz w:val="21"/>
                <w:szCs w:val="21"/>
                <w:highlight w:val="none"/>
                <w:vertAlign w:val="superscript"/>
                <w:lang w:val="en-US" w:eastAsia="zh-CN"/>
              </w:rPr>
              <w:t>2</w:t>
            </w:r>
          </w:p>
        </w:tc>
        <w:tc>
          <w:tcPr>
            <w:tcW w:w="646" w:type="pct"/>
            <w:gridSpan w:val="2"/>
            <w:noWrap w:val="0"/>
            <w:vAlign w:val="center"/>
          </w:tcPr>
          <w:p w14:paraId="24F2A215">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5"/>
                <w:sz w:val="20"/>
                <w:szCs w:val="20"/>
              </w:rPr>
            </w:pPr>
            <w:r>
              <w:rPr>
                <w:rFonts w:hint="eastAsia" w:ascii="Times New Roman" w:hAnsi="Times New Roman" w:eastAsia="宋体"/>
                <w:spacing w:val="5"/>
                <w:sz w:val="21"/>
                <w:szCs w:val="21"/>
                <w:lang w:val="en-US" w:eastAsia="zh-CN"/>
              </w:rPr>
              <w:t>已建设</w:t>
            </w:r>
          </w:p>
        </w:tc>
      </w:tr>
      <w:tr w14:paraId="573E1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13" w:type="pct"/>
            <w:vMerge w:val="restart"/>
            <w:noWrap w:val="0"/>
            <w:vAlign w:val="center"/>
          </w:tcPr>
          <w:p w14:paraId="31C3B8DE">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环保工程</w:t>
            </w:r>
          </w:p>
        </w:tc>
        <w:tc>
          <w:tcPr>
            <w:tcW w:w="1231" w:type="pct"/>
            <w:gridSpan w:val="5"/>
            <w:noWrap w:val="0"/>
            <w:vAlign w:val="center"/>
          </w:tcPr>
          <w:p w14:paraId="02324886">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cs="宋体"/>
                <w:spacing w:val="-2"/>
                <w:sz w:val="21"/>
                <w:szCs w:val="21"/>
              </w:rPr>
              <w:t>生态保护</w:t>
            </w:r>
          </w:p>
        </w:tc>
        <w:tc>
          <w:tcPr>
            <w:tcW w:w="2708" w:type="pct"/>
            <w:gridSpan w:val="12"/>
            <w:noWrap w:val="0"/>
            <w:vAlign w:val="center"/>
          </w:tcPr>
          <w:p w14:paraId="0B965A12">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eastAsia" w:cs="Times New Roman"/>
                <w:color w:val="000000"/>
                <w:sz w:val="21"/>
                <w:szCs w:val="21"/>
                <w:lang w:val="en-US" w:eastAsia="zh-CN"/>
              </w:rPr>
              <w:t>对临时占地及时恢复，施工迹地进行生态恢复。</w:t>
            </w:r>
          </w:p>
        </w:tc>
        <w:tc>
          <w:tcPr>
            <w:tcW w:w="646" w:type="pct"/>
            <w:gridSpan w:val="2"/>
            <w:noWrap w:val="0"/>
            <w:vAlign w:val="center"/>
          </w:tcPr>
          <w:p w14:paraId="19FB5BCB">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宋体"/>
                <w:spacing w:val="-2"/>
                <w:sz w:val="21"/>
                <w:szCs w:val="21"/>
                <w:lang w:val="en-US" w:eastAsia="zh-CN"/>
              </w:rPr>
            </w:pPr>
            <w:r>
              <w:rPr>
                <w:rFonts w:hint="eastAsia" w:ascii="Times New Roman" w:hAnsi="Times New Roman" w:eastAsia="宋体"/>
                <w:spacing w:val="5"/>
                <w:sz w:val="21"/>
                <w:szCs w:val="21"/>
                <w:lang w:val="en-US" w:eastAsia="zh-CN"/>
              </w:rPr>
              <w:t>已完成</w:t>
            </w:r>
          </w:p>
        </w:tc>
      </w:tr>
      <w:tr w14:paraId="58181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13" w:type="pct"/>
            <w:vMerge w:val="continue"/>
            <w:noWrap w:val="0"/>
            <w:vAlign w:val="center"/>
          </w:tcPr>
          <w:p w14:paraId="50D5F54C">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z w:val="21"/>
                <w:szCs w:val="21"/>
              </w:rPr>
            </w:pPr>
          </w:p>
        </w:tc>
        <w:tc>
          <w:tcPr>
            <w:tcW w:w="1231" w:type="pct"/>
            <w:gridSpan w:val="5"/>
            <w:noWrap w:val="0"/>
            <w:vAlign w:val="center"/>
          </w:tcPr>
          <w:p w14:paraId="205565CA">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cs="宋体"/>
                <w:spacing w:val="-2"/>
                <w:sz w:val="21"/>
                <w:szCs w:val="21"/>
              </w:rPr>
              <w:t>水土流失</w:t>
            </w:r>
          </w:p>
        </w:tc>
        <w:tc>
          <w:tcPr>
            <w:tcW w:w="2708" w:type="pct"/>
            <w:gridSpan w:val="12"/>
            <w:noWrap w:val="0"/>
            <w:vAlign w:val="center"/>
          </w:tcPr>
          <w:p w14:paraId="21263C7D">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eastAsia" w:cs="宋体"/>
                <w:spacing w:val="-1"/>
                <w:sz w:val="21"/>
                <w:szCs w:val="21"/>
                <w:lang w:val="en-US" w:eastAsia="zh-CN"/>
              </w:rPr>
              <w:t>工程</w:t>
            </w:r>
            <w:r>
              <w:rPr>
                <w:rFonts w:hint="default" w:ascii="Times New Roman" w:hAnsi="Times New Roman" w:eastAsia="宋体" w:cs="宋体"/>
                <w:spacing w:val="-1"/>
                <w:sz w:val="21"/>
                <w:szCs w:val="21"/>
              </w:rPr>
              <w:t>运营期对水土流失没有影响</w:t>
            </w:r>
          </w:p>
        </w:tc>
        <w:tc>
          <w:tcPr>
            <w:tcW w:w="646" w:type="pct"/>
            <w:gridSpan w:val="2"/>
            <w:noWrap w:val="0"/>
            <w:vAlign w:val="center"/>
          </w:tcPr>
          <w:p w14:paraId="1FFD8293">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spacing w:val="-1"/>
                <w:sz w:val="21"/>
                <w:szCs w:val="21"/>
                <w:lang w:val="en-US" w:eastAsia="zh-CN"/>
              </w:rPr>
            </w:pPr>
            <w:r>
              <w:rPr>
                <w:rFonts w:hint="eastAsia" w:ascii="Times New Roman" w:hAnsi="Times New Roman" w:eastAsia="宋体"/>
                <w:spacing w:val="5"/>
                <w:sz w:val="21"/>
                <w:szCs w:val="21"/>
                <w:lang w:val="en-US" w:eastAsia="zh-CN"/>
              </w:rPr>
              <w:t>已完成</w:t>
            </w:r>
          </w:p>
        </w:tc>
      </w:tr>
      <w:tr w14:paraId="1E9AA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13" w:type="pct"/>
            <w:vMerge w:val="continue"/>
            <w:noWrap w:val="0"/>
            <w:vAlign w:val="center"/>
          </w:tcPr>
          <w:p w14:paraId="3546ACDC">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z w:val="21"/>
                <w:szCs w:val="21"/>
              </w:rPr>
            </w:pPr>
          </w:p>
        </w:tc>
        <w:tc>
          <w:tcPr>
            <w:tcW w:w="1231" w:type="pct"/>
            <w:gridSpan w:val="5"/>
            <w:noWrap w:val="0"/>
            <w:vAlign w:val="top"/>
          </w:tcPr>
          <w:p w14:paraId="675B7D46">
            <w:pPr>
              <w:pStyle w:val="135"/>
              <w:keepNext w:val="0"/>
              <w:keepLines w:val="0"/>
              <w:suppressLineNumbers w:val="0"/>
              <w:spacing w:before="34" w:beforeAutospacing="0" w:after="0" w:afterAutospacing="0" w:line="228" w:lineRule="auto"/>
              <w:ind w:left="0" w:leftChars="0" w:right="0" w:firstLine="0" w:firstLineChars="0"/>
              <w:jc w:val="center"/>
              <w:rPr>
                <w:rFonts w:hint="default" w:ascii="Times New Roman" w:hAnsi="Times New Roman" w:eastAsia="宋体" w:cs="宋体"/>
                <w:spacing w:val="-1"/>
                <w:kern w:val="2"/>
                <w:sz w:val="21"/>
                <w:szCs w:val="21"/>
                <w:lang w:val="en-US" w:eastAsia="zh-CN" w:bidi="ar-SA"/>
              </w:rPr>
            </w:pPr>
            <w:r>
              <w:rPr>
                <w:rFonts w:hint="default" w:ascii="Times New Roman" w:hAnsi="Times New Roman" w:eastAsia="宋体" w:cs="宋体"/>
                <w:spacing w:val="-1"/>
                <w:kern w:val="2"/>
                <w:sz w:val="21"/>
                <w:szCs w:val="21"/>
                <w:lang w:val="en-US" w:eastAsia="zh-CN" w:bidi="ar-SA"/>
              </w:rPr>
              <w:t>临时占地</w:t>
            </w:r>
          </w:p>
        </w:tc>
        <w:tc>
          <w:tcPr>
            <w:tcW w:w="2708" w:type="pct"/>
            <w:gridSpan w:val="12"/>
            <w:noWrap w:val="0"/>
            <w:vAlign w:val="top"/>
          </w:tcPr>
          <w:p w14:paraId="2226BCAE">
            <w:pPr>
              <w:pStyle w:val="135"/>
              <w:keepNext w:val="0"/>
              <w:keepLines w:val="0"/>
              <w:suppressLineNumbers w:val="0"/>
              <w:spacing w:before="68" w:beforeAutospacing="0" w:after="0" w:afterAutospacing="0" w:line="228" w:lineRule="auto"/>
              <w:ind w:left="0" w:leftChars="0" w:right="0" w:firstLine="0" w:firstLineChars="0"/>
              <w:jc w:val="center"/>
              <w:rPr>
                <w:rFonts w:hint="default" w:ascii="Times New Roman" w:hAnsi="Times New Roman" w:eastAsia="宋体" w:cs="宋体"/>
                <w:spacing w:val="-1"/>
                <w:kern w:val="2"/>
                <w:sz w:val="21"/>
                <w:szCs w:val="21"/>
                <w:lang w:val="en-US" w:eastAsia="zh-CN" w:bidi="ar-SA"/>
              </w:rPr>
            </w:pPr>
            <w:r>
              <w:rPr>
                <w:rFonts w:hint="default" w:ascii="Times New Roman" w:hAnsi="Times New Roman" w:eastAsia="宋体" w:cs="宋体"/>
                <w:spacing w:val="-1"/>
                <w:kern w:val="2"/>
                <w:sz w:val="21"/>
                <w:szCs w:val="21"/>
                <w:highlight w:val="none"/>
                <w:lang w:val="en-US" w:eastAsia="zh-CN" w:bidi="ar-SA"/>
              </w:rPr>
              <w:t>临时占地及时进行</w:t>
            </w:r>
            <w:r>
              <w:rPr>
                <w:rFonts w:hint="eastAsia" w:ascii="Times New Roman" w:hAnsi="Times New Roman" w:cs="宋体"/>
                <w:spacing w:val="-1"/>
                <w:kern w:val="2"/>
                <w:sz w:val="21"/>
                <w:szCs w:val="21"/>
                <w:highlight w:val="none"/>
                <w:lang w:val="en-US" w:eastAsia="zh-CN" w:bidi="ar-SA"/>
              </w:rPr>
              <w:t>土地恢复</w:t>
            </w:r>
          </w:p>
        </w:tc>
        <w:tc>
          <w:tcPr>
            <w:tcW w:w="646" w:type="pct"/>
            <w:gridSpan w:val="2"/>
            <w:noWrap w:val="0"/>
            <w:vAlign w:val="center"/>
          </w:tcPr>
          <w:p w14:paraId="6FF4C4D6">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宋体"/>
                <w:spacing w:val="-1"/>
                <w:sz w:val="21"/>
                <w:szCs w:val="21"/>
                <w:lang w:val="en-US" w:eastAsia="zh-CN"/>
              </w:rPr>
            </w:pPr>
            <w:r>
              <w:rPr>
                <w:rFonts w:hint="eastAsia" w:ascii="Times New Roman" w:hAnsi="Times New Roman" w:eastAsia="宋体"/>
                <w:spacing w:val="5"/>
                <w:sz w:val="21"/>
                <w:szCs w:val="21"/>
                <w:lang w:val="en-US" w:eastAsia="zh-CN"/>
              </w:rPr>
              <w:t>已完成</w:t>
            </w:r>
          </w:p>
        </w:tc>
      </w:tr>
      <w:tr w14:paraId="0CE3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3" w:type="pct"/>
            <w:vMerge w:val="continue"/>
            <w:noWrap w:val="0"/>
            <w:vAlign w:val="center"/>
          </w:tcPr>
          <w:p w14:paraId="2AA71D9E">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p>
        </w:tc>
        <w:tc>
          <w:tcPr>
            <w:tcW w:w="1231" w:type="pct"/>
            <w:gridSpan w:val="5"/>
            <w:vMerge w:val="restart"/>
            <w:noWrap w:val="0"/>
            <w:vAlign w:val="center"/>
          </w:tcPr>
          <w:p w14:paraId="30C83FA1">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rPr>
            </w:pPr>
            <w:r>
              <w:rPr>
                <w:rFonts w:hint="default" w:ascii="Times New Roman" w:hAnsi="Times New Roman" w:eastAsia="宋体" w:cs="宋体"/>
                <w:spacing w:val="-6"/>
                <w:sz w:val="21"/>
                <w:szCs w:val="21"/>
              </w:rPr>
              <w:t>固体废物</w:t>
            </w:r>
          </w:p>
        </w:tc>
        <w:tc>
          <w:tcPr>
            <w:tcW w:w="2708" w:type="pct"/>
            <w:gridSpan w:val="12"/>
            <w:noWrap w:val="0"/>
            <w:vAlign w:val="center"/>
          </w:tcPr>
          <w:p w14:paraId="10C4B3AF">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宋体"/>
                <w:spacing w:val="-1"/>
                <w:sz w:val="21"/>
                <w:szCs w:val="21"/>
                <w:lang w:val="en-US" w:eastAsia="zh-CN"/>
              </w:rPr>
              <w:t>工作人员</w:t>
            </w:r>
            <w:r>
              <w:rPr>
                <w:rFonts w:hint="default" w:ascii="Times New Roman" w:hAnsi="Times New Roman" w:eastAsia="宋体" w:cs="宋体"/>
                <w:spacing w:val="-1"/>
                <w:sz w:val="21"/>
                <w:szCs w:val="21"/>
              </w:rPr>
              <w:t>生活垃圾集中收集后，交由环卫部门处理</w:t>
            </w:r>
            <w:r>
              <w:rPr>
                <w:rFonts w:hint="eastAsia" w:ascii="Times New Roman" w:hAnsi="Times New Roman" w:eastAsia="宋体" w:cs="宋体"/>
                <w:spacing w:val="-1"/>
                <w:sz w:val="21"/>
                <w:szCs w:val="21"/>
                <w:lang w:eastAsia="zh-CN"/>
              </w:rPr>
              <w:t>；</w:t>
            </w:r>
            <w:r>
              <w:rPr>
                <w:rFonts w:hint="eastAsia" w:ascii="Times New Roman" w:hAnsi="Times New Roman" w:eastAsia="宋体" w:cs="宋体"/>
                <w:spacing w:val="-1"/>
                <w:sz w:val="21"/>
                <w:szCs w:val="21"/>
              </w:rPr>
              <w:t>检修废弃物交旧退库回收处理，由公司物资管理部门按公司制度统一处置</w:t>
            </w:r>
          </w:p>
        </w:tc>
        <w:tc>
          <w:tcPr>
            <w:tcW w:w="646" w:type="pct"/>
            <w:gridSpan w:val="2"/>
            <w:vMerge w:val="restart"/>
            <w:noWrap w:val="0"/>
            <w:vAlign w:val="center"/>
          </w:tcPr>
          <w:p w14:paraId="19420FDF">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宋体"/>
                <w:spacing w:val="-1"/>
                <w:sz w:val="21"/>
                <w:szCs w:val="21"/>
                <w:lang w:val="en-US" w:eastAsia="zh-CN"/>
              </w:rPr>
            </w:pPr>
            <w:r>
              <w:rPr>
                <w:rFonts w:hint="eastAsia" w:ascii="Times New Roman" w:hAnsi="Times New Roman" w:eastAsia="宋体"/>
                <w:spacing w:val="5"/>
                <w:sz w:val="21"/>
                <w:szCs w:val="21"/>
                <w:lang w:val="en-US" w:eastAsia="zh-CN"/>
              </w:rPr>
              <w:t>已完成</w:t>
            </w:r>
          </w:p>
        </w:tc>
      </w:tr>
      <w:tr w14:paraId="2C174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3" w:type="pct"/>
            <w:vMerge w:val="continue"/>
            <w:noWrap w:val="0"/>
            <w:vAlign w:val="center"/>
          </w:tcPr>
          <w:p w14:paraId="5CEA7A98">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rPr>
            </w:pPr>
          </w:p>
        </w:tc>
        <w:tc>
          <w:tcPr>
            <w:tcW w:w="1231" w:type="pct"/>
            <w:gridSpan w:val="5"/>
            <w:vMerge w:val="continue"/>
            <w:noWrap w:val="0"/>
            <w:vAlign w:val="center"/>
          </w:tcPr>
          <w:p w14:paraId="79175318">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rPr>
            </w:pPr>
          </w:p>
        </w:tc>
        <w:tc>
          <w:tcPr>
            <w:tcW w:w="2708" w:type="pct"/>
            <w:gridSpan w:val="12"/>
            <w:noWrap w:val="0"/>
            <w:vAlign w:val="center"/>
          </w:tcPr>
          <w:p w14:paraId="2857EFF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宋体"/>
                <w:spacing w:val="-1"/>
                <w:sz w:val="21"/>
                <w:szCs w:val="21"/>
                <w:lang w:val="en-US" w:eastAsia="zh-CN"/>
              </w:rPr>
            </w:pPr>
            <w:r>
              <w:rPr>
                <w:rFonts w:hint="default" w:ascii="Times New Roman" w:hAnsi="Times New Roman" w:cs="Times New Roman"/>
                <w:color w:val="auto"/>
                <w:sz w:val="21"/>
                <w:szCs w:val="21"/>
                <w:highlight w:val="none"/>
              </w:rPr>
              <w:t>事故油池</w:t>
            </w:r>
            <w:r>
              <w:rPr>
                <w:rFonts w:hint="eastAsia" w:cs="Times New Roman"/>
                <w:color w:val="auto"/>
                <w:sz w:val="21"/>
                <w:szCs w:val="21"/>
                <w:highlight w:val="none"/>
                <w:lang w:val="en-US" w:eastAsia="zh-CN"/>
              </w:rPr>
              <w:t>位于主变压器下方，</w:t>
            </w:r>
            <w:r>
              <w:rPr>
                <w:rFonts w:hint="default" w:ascii="Times New Roman" w:hAnsi="Times New Roman" w:cs="Times New Roman"/>
                <w:color w:val="auto"/>
                <w:sz w:val="21"/>
                <w:szCs w:val="21"/>
                <w:highlight w:val="none"/>
              </w:rPr>
              <w:t>有效容量</w:t>
            </w:r>
            <w:r>
              <w:rPr>
                <w:rFonts w:hint="eastAsia" w:cs="Times New Roman"/>
                <w:color w:val="auto"/>
                <w:sz w:val="21"/>
                <w:szCs w:val="21"/>
                <w:highlight w:val="none"/>
                <w:lang w:val="en-US" w:eastAsia="zh-CN"/>
              </w:rPr>
              <w:t>约23.5</w:t>
            </w:r>
            <w:r>
              <w:rPr>
                <w:rFonts w:hint="default" w:ascii="Times New Roman" w:hAnsi="Times New Roman" w:eastAsia="宋体" w:cs="Times New Roman"/>
                <w:color w:val="auto"/>
                <w:spacing w:val="6"/>
                <w:sz w:val="21"/>
                <w:szCs w:val="21"/>
                <w:highlight w:val="none"/>
              </w:rPr>
              <w:t>m</w:t>
            </w:r>
            <w:r>
              <w:rPr>
                <w:rFonts w:hint="eastAsia" w:cs="Times New Roman"/>
                <w:color w:val="auto"/>
                <w:spacing w:val="6"/>
                <w:sz w:val="21"/>
                <w:szCs w:val="21"/>
                <w:highlight w:val="none"/>
                <w:vertAlign w:val="superscript"/>
                <w:lang w:val="en-US" w:eastAsia="zh-CN"/>
              </w:rPr>
              <w:t>3</w:t>
            </w:r>
          </w:p>
        </w:tc>
        <w:tc>
          <w:tcPr>
            <w:tcW w:w="646" w:type="pct"/>
            <w:gridSpan w:val="2"/>
            <w:vMerge w:val="continue"/>
            <w:noWrap w:val="0"/>
            <w:vAlign w:val="center"/>
          </w:tcPr>
          <w:p w14:paraId="28A480C6">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宋体"/>
                <w:spacing w:val="-1"/>
                <w:sz w:val="21"/>
                <w:szCs w:val="21"/>
                <w:lang w:val="en-US" w:eastAsia="zh-CN"/>
              </w:rPr>
            </w:pPr>
          </w:p>
        </w:tc>
      </w:tr>
      <w:tr w14:paraId="04C48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3" w:type="pct"/>
            <w:vMerge w:val="continue"/>
            <w:noWrap w:val="0"/>
            <w:vAlign w:val="center"/>
          </w:tcPr>
          <w:p w14:paraId="041F012C">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rPr>
            </w:pPr>
          </w:p>
        </w:tc>
        <w:tc>
          <w:tcPr>
            <w:tcW w:w="1231" w:type="pct"/>
            <w:gridSpan w:val="5"/>
            <w:vMerge w:val="continue"/>
            <w:noWrap w:val="0"/>
            <w:vAlign w:val="center"/>
          </w:tcPr>
          <w:p w14:paraId="1EABED09">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rPr>
            </w:pPr>
          </w:p>
        </w:tc>
        <w:tc>
          <w:tcPr>
            <w:tcW w:w="2708" w:type="pct"/>
            <w:gridSpan w:val="12"/>
            <w:noWrap w:val="0"/>
            <w:vAlign w:val="center"/>
          </w:tcPr>
          <w:p w14:paraId="18BA09A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cs="Times New Roman"/>
                <w:color w:val="auto"/>
                <w:sz w:val="21"/>
                <w:szCs w:val="21"/>
                <w:highlight w:val="none"/>
              </w:rPr>
            </w:pPr>
            <w:r>
              <w:rPr>
                <w:rFonts w:hint="eastAsia"/>
                <w:spacing w:val="-1"/>
                <w:sz w:val="21"/>
                <w:szCs w:val="21"/>
                <w:lang w:val="en-US" w:eastAsia="zh-CN"/>
              </w:rPr>
              <w:t>主体工程现有一座</w:t>
            </w:r>
            <w:r>
              <w:rPr>
                <w:rFonts w:hint="default"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t>危废暂存间，</w:t>
            </w:r>
            <w:r>
              <w:rPr>
                <w:rFonts w:hint="eastAsia"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t>面积</w:t>
            </w:r>
            <w:r>
              <w:rPr>
                <w:rFonts w:hint="eastAsia"/>
                <w:spacing w:val="-1"/>
                <w:sz w:val="21"/>
                <w:szCs w:val="21"/>
                <w:lang w:val="en-US" w:eastAsia="zh-CN"/>
              </w:rPr>
              <w:t>约10</w:t>
            </w:r>
            <w:r>
              <w:rPr>
                <w:rFonts w:hint="default" w:ascii="Times New Roman" w:hAnsi="Times New Roman" w:eastAsia="宋体" w:cs="Times New Roman"/>
                <w:color w:val="auto"/>
                <w:spacing w:val="6"/>
                <w:sz w:val="21"/>
                <w:szCs w:val="21"/>
                <w:highlight w:val="none"/>
              </w:rPr>
              <w:t>m</w:t>
            </w:r>
            <w:r>
              <w:rPr>
                <w:rFonts w:hint="eastAsia" w:cs="Times New Roman"/>
                <w:color w:val="auto"/>
                <w:spacing w:val="6"/>
                <w:sz w:val="21"/>
                <w:szCs w:val="21"/>
                <w:highlight w:val="none"/>
                <w:vertAlign w:val="superscript"/>
                <w:lang w:val="en-US" w:eastAsia="zh-CN"/>
              </w:rPr>
              <w:t>2</w:t>
            </w:r>
            <w:r>
              <w:rPr>
                <w:rFonts w:hint="default"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kern w:val="2"/>
                <w:sz w:val="21"/>
                <w:szCs w:val="21"/>
                <w:lang w:val="en-US" w:eastAsia="zh-CN" w:bidi="ar-SA"/>
              </w:rPr>
              <w:t>及时委托有资质单位运走处置</w:t>
            </w:r>
            <w:r>
              <w:rPr>
                <w:rFonts w:hint="eastAsia" w:ascii="Times New Roman" w:hAnsi="Times New Roman" w:eastAsia="宋体" w:cs="Times New Roman"/>
                <w:b w:val="0"/>
                <w:bCs/>
                <w:kern w:val="2"/>
                <w:sz w:val="21"/>
                <w:szCs w:val="21"/>
                <w:lang w:val="en-US" w:eastAsia="zh-CN" w:bidi="ar-SA"/>
              </w:rPr>
              <w:t>。</w:t>
            </w:r>
          </w:p>
        </w:tc>
        <w:tc>
          <w:tcPr>
            <w:tcW w:w="646" w:type="pct"/>
            <w:gridSpan w:val="2"/>
            <w:noWrap w:val="0"/>
            <w:vAlign w:val="center"/>
          </w:tcPr>
          <w:p w14:paraId="15017E6D">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宋体"/>
                <w:spacing w:val="-1"/>
                <w:sz w:val="21"/>
                <w:szCs w:val="21"/>
                <w:lang w:val="en-US" w:eastAsia="zh-CN"/>
              </w:rPr>
            </w:pPr>
            <w:r>
              <w:rPr>
                <w:rFonts w:hint="eastAsia" w:cs="宋体"/>
                <w:spacing w:val="-1"/>
                <w:sz w:val="21"/>
                <w:szCs w:val="21"/>
                <w:lang w:val="en-US" w:eastAsia="zh-CN"/>
              </w:rPr>
              <w:t>依托现有</w:t>
            </w:r>
          </w:p>
        </w:tc>
      </w:tr>
      <w:tr w14:paraId="49EE2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02C779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firstLine="0" w:firstLineChars="0"/>
              <w:textAlignment w:val="auto"/>
              <w:rPr>
                <w:rFonts w:hint="eastAsia" w:ascii="Times New Roman" w:hAnsi="Times New Roman" w:eastAsia="宋体" w:cs="Times New Roman"/>
                <w:b/>
                <w:bCs/>
                <w:color w:val="000000"/>
                <w:kern w:val="2"/>
                <w:sz w:val="24"/>
                <w:szCs w:val="24"/>
                <w:lang w:val="en-US" w:eastAsia="zh-CN" w:bidi="ar-SA"/>
              </w:rPr>
            </w:pPr>
          </w:p>
          <w:p w14:paraId="0D98C5D6">
            <w:pPr>
              <w:keepNext w:val="0"/>
              <w:keepLines w:val="0"/>
              <w:suppressLineNumbers w:val="0"/>
              <w:snapToGrid w:val="0"/>
              <w:spacing w:before="0" w:beforeAutospacing="0" w:after="0" w:afterAutospacing="0" w:line="360" w:lineRule="auto"/>
              <w:ind w:left="0" w:leftChars="0" w:right="0" w:firstLine="0" w:firstLineChars="0"/>
              <w:rPr>
                <w:rFonts w:hint="default"/>
                <w:b/>
                <w:bCs/>
                <w:spacing w:val="-5"/>
              </w:rPr>
            </w:pPr>
            <w:r>
              <w:rPr>
                <w:rFonts w:hint="eastAsia" w:ascii="Times New Roman" w:hAnsi="Times New Roman" w:eastAsia="宋体" w:cs="Times New Roman"/>
                <w:b/>
                <w:bCs/>
                <w:color w:val="000000"/>
                <w:kern w:val="2"/>
                <w:sz w:val="24"/>
                <w:szCs w:val="24"/>
                <w:lang w:val="en-US" w:eastAsia="zh-CN" w:bidi="ar-SA"/>
              </w:rPr>
              <w:t>2.</w:t>
            </w:r>
            <w:r>
              <w:rPr>
                <w:rFonts w:hint="eastAsia" w:cs="Times New Roman"/>
                <w:b/>
                <w:bCs/>
                <w:color w:val="000000"/>
                <w:kern w:val="2"/>
                <w:sz w:val="24"/>
                <w:szCs w:val="24"/>
                <w:lang w:val="en-US" w:eastAsia="zh-CN" w:bidi="ar-SA"/>
              </w:rPr>
              <w:t>2.3</w:t>
            </w:r>
            <w:r>
              <w:rPr>
                <w:rFonts w:hint="eastAsia"/>
                <w:b/>
                <w:bCs/>
                <w:spacing w:val="-5"/>
                <w:lang w:val="en-US" w:eastAsia="zh-CN"/>
              </w:rPr>
              <w:t>工程</w:t>
            </w:r>
            <w:r>
              <w:rPr>
                <w:rFonts w:hint="default"/>
                <w:b/>
                <w:bCs/>
                <w:spacing w:val="-5"/>
              </w:rPr>
              <w:t>内容及规模</w:t>
            </w:r>
          </w:p>
          <w:p w14:paraId="1B27529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textAlignment w:val="auto"/>
              <w:rPr>
                <w:rFonts w:hint="default" w:ascii="Times New Roman" w:hAnsi="Times New Roman" w:cs="Times New Roman"/>
                <w:b w:val="0"/>
                <w:bCs w:val="0"/>
                <w:color w:val="000000"/>
                <w:kern w:val="2"/>
                <w:sz w:val="24"/>
                <w:szCs w:val="24"/>
                <w:highlight w:val="none"/>
                <w:lang w:val="en-US" w:eastAsia="zh-CN" w:bidi="ar-SA"/>
              </w:rPr>
            </w:pPr>
            <w:r>
              <w:rPr>
                <w:rFonts w:hint="eastAsia" w:ascii="Times New Roman" w:hAnsi="Times New Roman" w:cs="Times New Roman"/>
                <w:b w:val="0"/>
                <w:bCs w:val="0"/>
                <w:color w:val="000000"/>
                <w:kern w:val="2"/>
                <w:sz w:val="24"/>
                <w:szCs w:val="24"/>
                <w:highlight w:val="none"/>
                <w:lang w:val="en-US" w:eastAsia="zh-CN" w:bidi="ar-SA"/>
              </w:rPr>
              <w:t>（1）输电线路</w:t>
            </w:r>
          </w:p>
          <w:p w14:paraId="0F58D71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textAlignment w:val="auto"/>
              <w:rPr>
                <w:rFonts w:hint="eastAsia"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cs="Times New Roman"/>
                <w:b w:val="0"/>
                <w:bCs w:val="0"/>
                <w:color w:val="000000"/>
                <w:kern w:val="2"/>
                <w:sz w:val="24"/>
                <w:szCs w:val="24"/>
                <w:highlight w:val="none"/>
                <w:lang w:val="en-US" w:eastAsia="zh-CN" w:bidi="ar-SA"/>
              </w:rPr>
              <w:t>①</w:t>
            </w:r>
            <w:r>
              <w:rPr>
                <w:rFonts w:hint="eastAsia" w:ascii="Times New Roman" w:hAnsi="Times New Roman" w:eastAsia="宋体" w:cs="Times New Roman"/>
                <w:b w:val="0"/>
                <w:bCs w:val="0"/>
                <w:color w:val="000000"/>
                <w:kern w:val="2"/>
                <w:sz w:val="24"/>
                <w:szCs w:val="24"/>
                <w:highlight w:val="none"/>
                <w:lang w:val="en-US" w:eastAsia="zh-CN" w:bidi="ar-SA"/>
              </w:rPr>
              <w:t>线路规模</w:t>
            </w:r>
          </w:p>
          <w:p w14:paraId="6710353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textAlignment w:val="auto"/>
              <w:rPr>
                <w:rFonts w:hint="eastAsia"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本工程单回110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线路</w:t>
            </w:r>
            <w:r>
              <w:rPr>
                <w:rFonts w:hint="eastAsia" w:ascii="Times New Roman" w:hAnsi="Times New Roman" w:cs="Times New Roman"/>
                <w:b w:val="0"/>
                <w:bCs w:val="0"/>
                <w:color w:val="000000"/>
                <w:kern w:val="2"/>
                <w:sz w:val="24"/>
                <w:szCs w:val="24"/>
                <w:highlight w:val="none"/>
                <w:lang w:val="en-US" w:eastAsia="zh-CN" w:bidi="ar-SA"/>
              </w:rPr>
              <w:t>，</w:t>
            </w:r>
            <w:r>
              <w:rPr>
                <w:rFonts w:hint="eastAsia" w:ascii="Times New Roman" w:hAnsi="Times New Roman" w:eastAsia="宋体" w:cs="Times New Roman"/>
                <w:b w:val="0"/>
                <w:bCs w:val="0"/>
                <w:color w:val="000000"/>
                <w:kern w:val="2"/>
                <w:sz w:val="24"/>
                <w:szCs w:val="24"/>
                <w:highlight w:val="none"/>
                <w:lang w:val="en-US" w:eastAsia="zh-CN" w:bidi="ar-SA"/>
              </w:rPr>
              <w:t>路径全长约2.98</w:t>
            </w:r>
            <w:r>
              <w:rPr>
                <w:rFonts w:hint="eastAsia" w:ascii="Times New Roman" w:hAnsi="Times New Roman" w:cs="Times New Roman"/>
                <w:b w:val="0"/>
                <w:bCs w:val="0"/>
                <w:color w:val="000000"/>
                <w:kern w:val="2"/>
                <w:sz w:val="24"/>
                <w:szCs w:val="24"/>
                <w:highlight w:val="none"/>
                <w:lang w:val="en-US" w:eastAsia="zh-CN" w:bidi="ar-SA"/>
              </w:rPr>
              <w:t>千米</w:t>
            </w:r>
            <w:r>
              <w:rPr>
                <w:rFonts w:hint="eastAsia" w:ascii="Times New Roman" w:hAnsi="Times New Roman" w:eastAsia="宋体" w:cs="Times New Roman"/>
                <w:b w:val="0"/>
                <w:bCs w:val="0"/>
                <w:color w:val="000000"/>
                <w:kern w:val="2"/>
                <w:sz w:val="24"/>
                <w:szCs w:val="24"/>
                <w:highlight w:val="none"/>
                <w:lang w:val="en-US" w:eastAsia="zh-CN" w:bidi="ar-SA"/>
              </w:rPr>
              <w:t>，全线采用架空架设，</w:t>
            </w:r>
            <w:r>
              <w:rPr>
                <w:rFonts w:hint="default" w:ascii="Times New Roman" w:hAnsi="Times New Roman" w:eastAsia="宋体" w:cs="Times New Roman"/>
                <w:b w:val="0"/>
                <w:bCs w:val="0"/>
                <w:color w:val="000000"/>
                <w:kern w:val="2"/>
                <w:sz w:val="24"/>
                <w:szCs w:val="24"/>
                <w:highlight w:val="none"/>
                <w:lang w:val="en-US" w:eastAsia="zh-CN" w:bidi="ar-SA"/>
              </w:rPr>
              <w:t>采用</w:t>
            </w:r>
            <w:r>
              <w:rPr>
                <w:rFonts w:hint="eastAsia" w:ascii="Times New Roman" w:hAnsi="Times New Roman" w:eastAsia="宋体" w:cs="Times New Roman"/>
                <w:b w:val="0"/>
                <w:bCs w:val="0"/>
                <w:color w:val="000000"/>
                <w:kern w:val="2"/>
                <w:sz w:val="24"/>
                <w:szCs w:val="24"/>
                <w:highlight w:val="none"/>
                <w:lang w:val="en-US" w:eastAsia="zh-CN" w:bidi="ar-SA"/>
              </w:rPr>
              <w:t>LGJ-300/25钢芯铝纹线。</w:t>
            </w:r>
          </w:p>
          <w:p w14:paraId="57340C31">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cs="Times New Roman"/>
                <w:b w:val="0"/>
                <w:bCs w:val="0"/>
                <w:color w:val="000000"/>
                <w:kern w:val="2"/>
                <w:sz w:val="24"/>
                <w:szCs w:val="24"/>
                <w:highlight w:val="none"/>
                <w:lang w:val="en-US" w:eastAsia="zh-CN" w:bidi="ar-SA"/>
              </w:rPr>
            </w:pPr>
            <w:r>
              <w:rPr>
                <w:rFonts w:hint="eastAsia" w:ascii="Times New Roman" w:hAnsi="Times New Roman" w:cs="Times New Roman"/>
                <w:b w:val="0"/>
                <w:bCs w:val="0"/>
                <w:color w:val="000000"/>
                <w:kern w:val="2"/>
                <w:sz w:val="24"/>
                <w:szCs w:val="24"/>
                <w:highlight w:val="none"/>
                <w:lang w:val="en-US" w:eastAsia="zh-CN" w:bidi="ar-SA"/>
              </w:rPr>
              <w:t>②路径方案</w:t>
            </w:r>
          </w:p>
          <w:p w14:paraId="7A67C999">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b w:val="0"/>
                <w:bCs w:val="0"/>
                <w:color w:val="000000"/>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线路</w:t>
            </w:r>
            <w:r>
              <w:rPr>
                <w:rFonts w:hint="eastAsia" w:ascii="Times New Roman" w:hAnsi="Times New Roman" w:cs="Times New Roman"/>
                <w:kern w:val="2"/>
                <w:sz w:val="24"/>
                <w:szCs w:val="24"/>
                <w:lang w:val="en-US" w:eastAsia="zh-CN" w:bidi="ar-SA"/>
              </w:rPr>
              <w:t>由</w:t>
            </w:r>
            <w:r>
              <w:rPr>
                <w:rFonts w:hint="eastAsia" w:ascii="Times New Roman" w:hAnsi="Times New Roman" w:eastAsia="宋体" w:cs="Times New Roman"/>
                <w:kern w:val="2"/>
                <w:sz w:val="24"/>
                <w:szCs w:val="24"/>
                <w:lang w:val="en-US" w:eastAsia="zh-CN" w:bidi="ar-SA"/>
              </w:rPr>
              <w:t>兆瓦能源110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kern w:val="2"/>
                <w:sz w:val="24"/>
                <w:szCs w:val="24"/>
                <w:lang w:val="en-US" w:eastAsia="zh-CN" w:bidi="ar-SA"/>
              </w:rPr>
              <w:t>光伏升压站</w:t>
            </w:r>
            <w:r>
              <w:rPr>
                <w:rFonts w:hint="eastAsia" w:ascii="Times New Roman" w:hAnsi="Times New Roman" w:cs="Times New Roman"/>
                <w:kern w:val="2"/>
                <w:sz w:val="24"/>
                <w:szCs w:val="24"/>
                <w:lang w:val="en-US" w:eastAsia="zh-CN" w:bidi="ar-SA"/>
              </w:rPr>
              <w:t>起，西至J2转角塔</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右转至</w:t>
            </w:r>
            <w:r>
              <w:rPr>
                <w:rFonts w:hint="eastAsia" w:ascii="Times New Roman" w:hAnsi="Times New Roman" w:eastAsia="宋体" w:cs="Times New Roman"/>
                <w:kern w:val="2"/>
                <w:sz w:val="24"/>
                <w:szCs w:val="24"/>
                <w:lang w:val="en-US" w:eastAsia="zh-CN" w:bidi="ar-SA"/>
              </w:rPr>
              <w:t>种植园110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kern w:val="2"/>
                <w:sz w:val="24"/>
                <w:szCs w:val="24"/>
                <w:lang w:val="en-US" w:eastAsia="zh-CN" w:bidi="ar-SA"/>
              </w:rPr>
              <w:t>变电站</w:t>
            </w:r>
            <w:r>
              <w:rPr>
                <w:rFonts w:hint="eastAsia" w:ascii="Times New Roman" w:hAnsi="Times New Roman" w:cs="Times New Roman"/>
                <w:kern w:val="2"/>
                <w:sz w:val="24"/>
                <w:szCs w:val="24"/>
                <w:lang w:val="en-US" w:eastAsia="zh-CN" w:bidi="ar-SA"/>
              </w:rPr>
              <w:t>。</w:t>
            </w:r>
          </w:p>
          <w:p w14:paraId="03FC0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lang w:val="en-US" w:eastAsia="zh-CN"/>
              </w:rPr>
            </w:pPr>
          </w:p>
          <w:p w14:paraId="7C3F5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黑体" w:cs="Times New Roman"/>
                <w:b/>
                <w:bCs/>
                <w:color w:val="000000"/>
                <w:kern w:val="0"/>
                <w:sz w:val="24"/>
                <w:szCs w:val="20"/>
                <w:lang w:val="en-US" w:eastAsia="zh-CN" w:bidi="ar-SA"/>
              </w:rPr>
            </w:pPr>
            <w:r>
              <w:rPr>
                <w:rFonts w:hint="eastAsia" w:ascii="Times New Roman" w:hAnsi="Times New Roman" w:eastAsia="黑体" w:cs="Times New Roman"/>
                <w:b/>
                <w:bCs/>
                <w:color w:val="000000"/>
                <w:kern w:val="0"/>
                <w:sz w:val="24"/>
                <w:szCs w:val="20"/>
                <w:lang w:val="en-US" w:eastAsia="zh-CN" w:bidi="ar-SA"/>
              </w:rPr>
              <w:t>图</w:t>
            </w:r>
            <w:r>
              <w:rPr>
                <w:rFonts w:hint="eastAsia" w:eastAsia="黑体" w:cs="Times New Roman"/>
                <w:b/>
                <w:bCs/>
                <w:color w:val="000000"/>
                <w:kern w:val="0"/>
                <w:sz w:val="24"/>
                <w:szCs w:val="20"/>
                <w:lang w:val="en-US" w:eastAsia="zh-CN" w:bidi="ar-SA"/>
              </w:rPr>
              <w:t xml:space="preserve">2-3 </w:t>
            </w:r>
            <w:r>
              <w:rPr>
                <w:rFonts w:hint="eastAsia" w:ascii="Times New Roman" w:hAnsi="Times New Roman" w:eastAsia="黑体" w:cs="Times New Roman"/>
                <w:b/>
                <w:bCs/>
                <w:color w:val="000000"/>
                <w:kern w:val="0"/>
                <w:sz w:val="24"/>
                <w:szCs w:val="20"/>
                <w:lang w:val="en-US" w:eastAsia="zh-CN" w:bidi="ar-SA"/>
              </w:rPr>
              <w:t>线路路径图</w:t>
            </w:r>
          </w:p>
          <w:p w14:paraId="2D8E3611">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ascii="Times New Roman" w:hAnsi="Times New Roman" w:cs="宋体"/>
                <w:b w:val="0"/>
                <w:bCs w:val="0"/>
                <w:color w:val="000000"/>
                <w:kern w:val="2"/>
                <w:sz w:val="24"/>
                <w:szCs w:val="24"/>
                <w:highlight w:val="none"/>
                <w:lang w:val="en-US" w:eastAsia="zh-CN" w:bidi="ar-SA"/>
              </w:rPr>
            </w:pPr>
            <w:r>
              <w:rPr>
                <w:rFonts w:hint="eastAsia" w:ascii="Times New Roman" w:hAnsi="Times New Roman" w:cs="宋体"/>
                <w:b w:val="0"/>
                <w:bCs w:val="0"/>
                <w:color w:val="000000"/>
                <w:kern w:val="2"/>
                <w:sz w:val="24"/>
                <w:szCs w:val="24"/>
                <w:highlight w:val="none"/>
                <w:lang w:val="en-US" w:eastAsia="zh-CN" w:bidi="ar-SA"/>
              </w:rPr>
              <w:t>③杆塔</w:t>
            </w:r>
          </w:p>
          <w:p w14:paraId="012B164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textAlignment w:val="auto"/>
              <w:rPr>
                <w:rFonts w:hint="default" w:ascii="Times New Roman" w:hAnsi="Times New Roman" w:eastAsia="宋体" w:cs="Times New Roman"/>
                <w:b/>
                <w:bCs/>
                <w:spacing w:val="-2"/>
                <w:kern w:val="2"/>
                <w:sz w:val="24"/>
                <w:szCs w:val="24"/>
                <w:lang w:val="en-US" w:eastAsia="zh-CN" w:bidi="ar-SA"/>
              </w:rPr>
            </w:pPr>
            <w:r>
              <w:rPr>
                <w:rFonts w:hint="eastAsia" w:ascii="Times New Roman" w:hAnsi="Times New Roman" w:eastAsia="宋体" w:cs="宋体"/>
                <w:b w:val="0"/>
                <w:bCs w:val="0"/>
                <w:color w:val="000000"/>
                <w:kern w:val="2"/>
                <w:sz w:val="24"/>
                <w:szCs w:val="24"/>
                <w:highlight w:val="none"/>
                <w:lang w:val="en-US" w:eastAsia="zh-CN" w:bidi="ar-SA"/>
              </w:rPr>
              <w:t>本工程使用</w:t>
            </w:r>
            <w:r>
              <w:rPr>
                <w:rFonts w:hint="eastAsia" w:ascii="Times New Roman" w:hAnsi="Times New Roman" w:cs="宋体"/>
                <w:b w:val="0"/>
                <w:bCs w:val="0"/>
                <w:color w:val="000000"/>
                <w:kern w:val="2"/>
                <w:sz w:val="24"/>
                <w:szCs w:val="24"/>
                <w:highlight w:val="none"/>
                <w:lang w:val="en-US" w:eastAsia="zh-CN" w:bidi="ar-SA"/>
              </w:rPr>
              <w:t>杆塔</w:t>
            </w:r>
            <w:r>
              <w:rPr>
                <w:rFonts w:hint="eastAsia" w:ascii="Times New Roman" w:hAnsi="Times New Roman" w:eastAsia="宋体" w:cs="宋体"/>
                <w:b w:val="0"/>
                <w:bCs w:val="0"/>
                <w:color w:val="000000"/>
                <w:kern w:val="2"/>
                <w:sz w:val="24"/>
                <w:szCs w:val="24"/>
                <w:highlight w:val="none"/>
                <w:lang w:val="en-US" w:eastAsia="zh-CN" w:bidi="ar-SA"/>
              </w:rPr>
              <w:t>情况一览表见下表。</w:t>
            </w:r>
          </w:p>
          <w:p w14:paraId="7C4F86D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spacing w:val="-2"/>
                <w:kern w:val="2"/>
                <w:sz w:val="24"/>
                <w:szCs w:val="24"/>
                <w:lang w:val="en-US" w:eastAsia="zh-CN" w:bidi="ar-SA"/>
              </w:rPr>
            </w:pPr>
          </w:p>
          <w:p w14:paraId="533E51F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宋体"/>
                <w:b w:val="0"/>
                <w:bCs w:val="0"/>
                <w:color w:val="000000"/>
                <w:kern w:val="2"/>
                <w:sz w:val="24"/>
                <w:szCs w:val="24"/>
                <w:highlight w:val="none"/>
                <w:lang w:val="en-US" w:eastAsia="zh-CN" w:bidi="ar-SA"/>
              </w:rPr>
            </w:pPr>
            <w:r>
              <w:rPr>
                <w:rFonts w:hint="default" w:ascii="Times New Roman" w:hAnsi="Times New Roman" w:eastAsia="宋体" w:cs="Times New Roman"/>
                <w:b/>
                <w:bCs/>
                <w:spacing w:val="-2"/>
                <w:kern w:val="2"/>
                <w:sz w:val="24"/>
                <w:szCs w:val="24"/>
                <w:lang w:val="en-US" w:eastAsia="zh-CN" w:bidi="ar-SA"/>
              </w:rPr>
              <w:t>表</w:t>
            </w:r>
            <w:r>
              <w:rPr>
                <w:rFonts w:hint="eastAsia" w:ascii="Times New Roman" w:hAnsi="Times New Roman" w:cs="Times New Roman"/>
                <w:b/>
                <w:bCs/>
                <w:spacing w:val="-2"/>
                <w:kern w:val="2"/>
                <w:sz w:val="24"/>
                <w:szCs w:val="24"/>
                <w:lang w:val="en-US" w:eastAsia="zh-CN" w:bidi="ar-SA"/>
              </w:rPr>
              <w:t xml:space="preserve">2-2 </w:t>
            </w:r>
            <w:r>
              <w:rPr>
                <w:rFonts w:hint="eastAsia" w:ascii="Times New Roman" w:hAnsi="Times New Roman" w:eastAsia="宋体" w:cs="Times New Roman"/>
                <w:b/>
                <w:bCs/>
                <w:spacing w:val="-2"/>
                <w:kern w:val="2"/>
                <w:sz w:val="24"/>
                <w:szCs w:val="24"/>
                <w:lang w:val="en-US" w:eastAsia="zh-CN" w:bidi="ar-SA"/>
              </w:rPr>
              <w:t>本工程采用杆塔一览表</w:t>
            </w:r>
          </w:p>
        </w:tc>
      </w:tr>
      <w:tr w14:paraId="231FB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58" w:type="pct"/>
            <w:gridSpan w:val="4"/>
            <w:vMerge w:val="restart"/>
            <w:noWrap w:val="0"/>
            <w:vAlign w:val="center"/>
          </w:tcPr>
          <w:p w14:paraId="51ED0A1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杆塔名称</w:t>
            </w:r>
          </w:p>
        </w:tc>
        <w:tc>
          <w:tcPr>
            <w:tcW w:w="1116" w:type="pct"/>
            <w:gridSpan w:val="6"/>
            <w:noWrap w:val="0"/>
            <w:vAlign w:val="center"/>
          </w:tcPr>
          <w:p w14:paraId="712B0D9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线间距离(m)</w:t>
            </w:r>
          </w:p>
        </w:tc>
        <w:tc>
          <w:tcPr>
            <w:tcW w:w="1125" w:type="pct"/>
            <w:gridSpan w:val="4"/>
            <w:noWrap w:val="0"/>
            <w:vAlign w:val="center"/>
          </w:tcPr>
          <w:p w14:paraId="146A206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设计挡距(m)</w:t>
            </w:r>
          </w:p>
        </w:tc>
        <w:tc>
          <w:tcPr>
            <w:tcW w:w="541" w:type="pct"/>
            <w:gridSpan w:val="2"/>
            <w:vMerge w:val="restart"/>
            <w:noWrap w:val="0"/>
            <w:vAlign w:val="center"/>
          </w:tcPr>
          <w:p w14:paraId="715B804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转角度数（</w:t>
            </w:r>
            <w:r>
              <w:rPr>
                <w:rFonts w:hint="eastAsia" w:ascii="Times New Roman" w:hAnsi="Times New Roman"/>
                <w:kern w:val="0"/>
                <w:sz w:val="24"/>
                <w:szCs w:val="24"/>
              </w:rPr>
              <w:t>°</w:t>
            </w:r>
            <w:r>
              <w:rPr>
                <w:rFonts w:hint="eastAsia" w:ascii="Times New Roman" w:hAnsi="Times New Roman" w:cs="宋体"/>
                <w:b w:val="0"/>
                <w:bCs w:val="0"/>
                <w:color w:val="000000"/>
                <w:kern w:val="2"/>
                <w:sz w:val="21"/>
                <w:szCs w:val="21"/>
                <w:highlight w:val="none"/>
                <w:lang w:val="en-US" w:eastAsia="zh-CN" w:bidi="ar-SA"/>
              </w:rPr>
              <w:t>）</w:t>
            </w:r>
          </w:p>
        </w:tc>
        <w:tc>
          <w:tcPr>
            <w:tcW w:w="474" w:type="pct"/>
            <w:gridSpan w:val="3"/>
            <w:vMerge w:val="restart"/>
            <w:noWrap w:val="0"/>
            <w:vAlign w:val="center"/>
          </w:tcPr>
          <w:p w14:paraId="46A3EFB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呼高(m)</w:t>
            </w:r>
          </w:p>
        </w:tc>
        <w:tc>
          <w:tcPr>
            <w:tcW w:w="384" w:type="pct"/>
            <w:vMerge w:val="restart"/>
            <w:noWrap w:val="0"/>
            <w:vAlign w:val="center"/>
          </w:tcPr>
          <w:p w14:paraId="776D3EC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基数</w:t>
            </w:r>
          </w:p>
        </w:tc>
      </w:tr>
      <w:tr w14:paraId="55FE8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358" w:type="pct"/>
            <w:gridSpan w:val="4"/>
            <w:vMerge w:val="continue"/>
            <w:noWrap w:val="0"/>
            <w:vAlign w:val="center"/>
          </w:tcPr>
          <w:p w14:paraId="7AC0AF3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sz w:val="21"/>
                <w:szCs w:val="21"/>
              </w:rPr>
            </w:pPr>
          </w:p>
        </w:tc>
        <w:tc>
          <w:tcPr>
            <w:tcW w:w="589" w:type="pct"/>
            <w:gridSpan w:val="4"/>
            <w:noWrap w:val="0"/>
            <w:vAlign w:val="center"/>
          </w:tcPr>
          <w:p w14:paraId="4F3BF62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sz w:val="21"/>
                <w:szCs w:val="21"/>
              </w:rPr>
            </w:pPr>
            <w:r>
              <w:rPr>
                <w:rFonts w:hint="eastAsia" w:ascii="Times New Roman" w:hAnsi="Times New Roman"/>
                <w:sz w:val="21"/>
                <w:szCs w:val="21"/>
                <w:lang w:val="en-US" w:eastAsia="zh-CN"/>
              </w:rPr>
              <w:t>水平</w:t>
            </w:r>
          </w:p>
        </w:tc>
        <w:tc>
          <w:tcPr>
            <w:tcW w:w="526" w:type="pct"/>
            <w:gridSpan w:val="2"/>
            <w:noWrap w:val="0"/>
            <w:vAlign w:val="center"/>
          </w:tcPr>
          <w:p w14:paraId="71CC4E8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sz w:val="21"/>
                <w:szCs w:val="21"/>
              </w:rPr>
            </w:pPr>
            <w:r>
              <w:rPr>
                <w:rFonts w:hint="eastAsia" w:ascii="Times New Roman" w:hAnsi="Times New Roman" w:cs="宋体"/>
                <w:b w:val="0"/>
                <w:bCs w:val="0"/>
                <w:color w:val="000000"/>
                <w:kern w:val="2"/>
                <w:sz w:val="21"/>
                <w:szCs w:val="21"/>
                <w:highlight w:val="none"/>
                <w:lang w:val="en-US" w:eastAsia="zh-CN" w:bidi="ar-SA"/>
              </w:rPr>
              <w:t>垂直</w:t>
            </w:r>
          </w:p>
        </w:tc>
        <w:tc>
          <w:tcPr>
            <w:tcW w:w="576" w:type="pct"/>
            <w:gridSpan w:val="2"/>
            <w:noWrap w:val="0"/>
            <w:vAlign w:val="center"/>
          </w:tcPr>
          <w:p w14:paraId="062E793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水平</w:t>
            </w:r>
          </w:p>
        </w:tc>
        <w:tc>
          <w:tcPr>
            <w:tcW w:w="549" w:type="pct"/>
            <w:gridSpan w:val="2"/>
            <w:noWrap w:val="0"/>
            <w:vAlign w:val="center"/>
          </w:tcPr>
          <w:p w14:paraId="5E1021D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垂直</w:t>
            </w:r>
          </w:p>
        </w:tc>
        <w:tc>
          <w:tcPr>
            <w:tcW w:w="541" w:type="pct"/>
            <w:gridSpan w:val="2"/>
            <w:vMerge w:val="continue"/>
            <w:noWrap w:val="0"/>
            <w:vAlign w:val="center"/>
          </w:tcPr>
          <w:p w14:paraId="2DCCC37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p>
        </w:tc>
        <w:tc>
          <w:tcPr>
            <w:tcW w:w="474" w:type="pct"/>
            <w:gridSpan w:val="3"/>
            <w:vMerge w:val="continue"/>
            <w:noWrap w:val="0"/>
            <w:vAlign w:val="center"/>
          </w:tcPr>
          <w:p w14:paraId="615442B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p>
        </w:tc>
        <w:tc>
          <w:tcPr>
            <w:tcW w:w="384" w:type="pct"/>
            <w:vMerge w:val="continue"/>
            <w:noWrap w:val="0"/>
            <w:vAlign w:val="center"/>
          </w:tcPr>
          <w:p w14:paraId="54FD129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p>
        </w:tc>
      </w:tr>
      <w:tr w14:paraId="103C0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pct"/>
            <w:gridSpan w:val="4"/>
            <w:noWrap w:val="0"/>
            <w:vAlign w:val="center"/>
          </w:tcPr>
          <w:p w14:paraId="79EF6FA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1A4-ZM1单回路直线塔</w:t>
            </w:r>
          </w:p>
        </w:tc>
        <w:tc>
          <w:tcPr>
            <w:tcW w:w="589" w:type="pct"/>
            <w:gridSpan w:val="4"/>
            <w:noWrap w:val="0"/>
            <w:vAlign w:val="center"/>
          </w:tcPr>
          <w:p w14:paraId="7068385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6.9</w:t>
            </w:r>
          </w:p>
        </w:tc>
        <w:tc>
          <w:tcPr>
            <w:tcW w:w="526" w:type="pct"/>
            <w:gridSpan w:val="2"/>
            <w:noWrap w:val="0"/>
            <w:vAlign w:val="center"/>
          </w:tcPr>
          <w:p w14:paraId="7C17DE1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4.2</w:t>
            </w:r>
          </w:p>
        </w:tc>
        <w:tc>
          <w:tcPr>
            <w:tcW w:w="576" w:type="pct"/>
            <w:gridSpan w:val="2"/>
            <w:noWrap w:val="0"/>
            <w:vAlign w:val="center"/>
          </w:tcPr>
          <w:p w14:paraId="428C0A3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350</w:t>
            </w:r>
          </w:p>
        </w:tc>
        <w:tc>
          <w:tcPr>
            <w:tcW w:w="549" w:type="pct"/>
            <w:gridSpan w:val="2"/>
            <w:noWrap w:val="0"/>
            <w:vAlign w:val="center"/>
          </w:tcPr>
          <w:p w14:paraId="1690CB5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450</w:t>
            </w:r>
          </w:p>
        </w:tc>
        <w:tc>
          <w:tcPr>
            <w:tcW w:w="541" w:type="pct"/>
            <w:gridSpan w:val="2"/>
            <w:vMerge w:val="restart"/>
            <w:noWrap w:val="0"/>
            <w:vAlign w:val="center"/>
          </w:tcPr>
          <w:p w14:paraId="5D72A44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0</w:t>
            </w:r>
          </w:p>
        </w:tc>
        <w:tc>
          <w:tcPr>
            <w:tcW w:w="474" w:type="pct"/>
            <w:gridSpan w:val="3"/>
            <w:noWrap w:val="0"/>
            <w:vAlign w:val="center"/>
          </w:tcPr>
          <w:p w14:paraId="383937A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21</w:t>
            </w:r>
          </w:p>
        </w:tc>
        <w:tc>
          <w:tcPr>
            <w:tcW w:w="384" w:type="pct"/>
            <w:noWrap w:val="0"/>
            <w:vAlign w:val="center"/>
          </w:tcPr>
          <w:p w14:paraId="410ED4D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6</w:t>
            </w:r>
          </w:p>
        </w:tc>
      </w:tr>
      <w:tr w14:paraId="4A294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pct"/>
            <w:gridSpan w:val="4"/>
            <w:noWrap w:val="0"/>
            <w:vAlign w:val="center"/>
          </w:tcPr>
          <w:p w14:paraId="42311CA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1A4-ZM1单回路直线塔</w:t>
            </w:r>
          </w:p>
        </w:tc>
        <w:tc>
          <w:tcPr>
            <w:tcW w:w="589" w:type="pct"/>
            <w:gridSpan w:val="4"/>
            <w:noWrap w:val="0"/>
            <w:vAlign w:val="center"/>
          </w:tcPr>
          <w:p w14:paraId="7B0D16A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6.9</w:t>
            </w:r>
          </w:p>
        </w:tc>
        <w:tc>
          <w:tcPr>
            <w:tcW w:w="526" w:type="pct"/>
            <w:gridSpan w:val="2"/>
            <w:noWrap w:val="0"/>
            <w:vAlign w:val="center"/>
          </w:tcPr>
          <w:p w14:paraId="3913887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4.2</w:t>
            </w:r>
          </w:p>
        </w:tc>
        <w:tc>
          <w:tcPr>
            <w:tcW w:w="576" w:type="pct"/>
            <w:gridSpan w:val="2"/>
            <w:noWrap w:val="0"/>
            <w:vAlign w:val="center"/>
          </w:tcPr>
          <w:p w14:paraId="0BBF0AC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350</w:t>
            </w:r>
          </w:p>
        </w:tc>
        <w:tc>
          <w:tcPr>
            <w:tcW w:w="549" w:type="pct"/>
            <w:gridSpan w:val="2"/>
            <w:noWrap w:val="0"/>
            <w:vAlign w:val="center"/>
          </w:tcPr>
          <w:p w14:paraId="1D6D03D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450</w:t>
            </w:r>
          </w:p>
        </w:tc>
        <w:tc>
          <w:tcPr>
            <w:tcW w:w="541" w:type="pct"/>
            <w:gridSpan w:val="2"/>
            <w:vMerge w:val="continue"/>
            <w:noWrap w:val="0"/>
            <w:vAlign w:val="center"/>
          </w:tcPr>
          <w:p w14:paraId="0C4A4E1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p>
        </w:tc>
        <w:tc>
          <w:tcPr>
            <w:tcW w:w="474" w:type="pct"/>
            <w:gridSpan w:val="3"/>
            <w:noWrap w:val="0"/>
            <w:vAlign w:val="center"/>
          </w:tcPr>
          <w:p w14:paraId="0D257A4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24</w:t>
            </w:r>
          </w:p>
        </w:tc>
        <w:tc>
          <w:tcPr>
            <w:tcW w:w="384" w:type="pct"/>
            <w:noWrap w:val="0"/>
            <w:vAlign w:val="center"/>
          </w:tcPr>
          <w:p w14:paraId="01CA9F5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w:t>
            </w:r>
          </w:p>
        </w:tc>
      </w:tr>
      <w:tr w14:paraId="04270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pct"/>
            <w:gridSpan w:val="4"/>
            <w:noWrap w:val="0"/>
            <w:vAlign w:val="center"/>
          </w:tcPr>
          <w:p w14:paraId="6DB7F75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1A4-J1单回路转角塔</w:t>
            </w:r>
          </w:p>
        </w:tc>
        <w:tc>
          <w:tcPr>
            <w:tcW w:w="589" w:type="pct"/>
            <w:gridSpan w:val="4"/>
            <w:noWrap w:val="0"/>
            <w:vAlign w:val="center"/>
          </w:tcPr>
          <w:p w14:paraId="1C47A81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7.4</w:t>
            </w:r>
          </w:p>
        </w:tc>
        <w:tc>
          <w:tcPr>
            <w:tcW w:w="526" w:type="pct"/>
            <w:gridSpan w:val="2"/>
            <w:noWrap w:val="0"/>
            <w:vAlign w:val="center"/>
          </w:tcPr>
          <w:p w14:paraId="59EA23F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3.5</w:t>
            </w:r>
          </w:p>
        </w:tc>
        <w:tc>
          <w:tcPr>
            <w:tcW w:w="576" w:type="pct"/>
            <w:gridSpan w:val="2"/>
            <w:noWrap w:val="0"/>
            <w:vAlign w:val="center"/>
          </w:tcPr>
          <w:p w14:paraId="3ECF1F4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400</w:t>
            </w:r>
          </w:p>
        </w:tc>
        <w:tc>
          <w:tcPr>
            <w:tcW w:w="549" w:type="pct"/>
            <w:gridSpan w:val="2"/>
            <w:noWrap w:val="0"/>
            <w:vAlign w:val="center"/>
          </w:tcPr>
          <w:p w14:paraId="1E564C0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500</w:t>
            </w:r>
          </w:p>
        </w:tc>
        <w:tc>
          <w:tcPr>
            <w:tcW w:w="541" w:type="pct"/>
            <w:gridSpan w:val="2"/>
            <w:noWrap w:val="0"/>
            <w:vAlign w:val="center"/>
          </w:tcPr>
          <w:p w14:paraId="64E3FE0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0-20</w:t>
            </w:r>
          </w:p>
        </w:tc>
        <w:tc>
          <w:tcPr>
            <w:tcW w:w="474" w:type="pct"/>
            <w:gridSpan w:val="3"/>
            <w:noWrap w:val="0"/>
            <w:vAlign w:val="center"/>
          </w:tcPr>
          <w:p w14:paraId="34574DA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18</w:t>
            </w:r>
          </w:p>
        </w:tc>
        <w:tc>
          <w:tcPr>
            <w:tcW w:w="384" w:type="pct"/>
            <w:noWrap w:val="0"/>
            <w:vAlign w:val="center"/>
          </w:tcPr>
          <w:p w14:paraId="3AF35E1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w:t>
            </w:r>
          </w:p>
        </w:tc>
      </w:tr>
      <w:tr w14:paraId="1DD9D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pct"/>
            <w:gridSpan w:val="4"/>
            <w:noWrap w:val="0"/>
            <w:vAlign w:val="center"/>
          </w:tcPr>
          <w:p w14:paraId="7C68AF6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1A4-J4单回路转角塔</w:t>
            </w:r>
          </w:p>
        </w:tc>
        <w:tc>
          <w:tcPr>
            <w:tcW w:w="589" w:type="pct"/>
            <w:gridSpan w:val="4"/>
            <w:noWrap w:val="0"/>
            <w:vAlign w:val="center"/>
          </w:tcPr>
          <w:p w14:paraId="78CDFE9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8.3</w:t>
            </w:r>
          </w:p>
        </w:tc>
        <w:tc>
          <w:tcPr>
            <w:tcW w:w="526" w:type="pct"/>
            <w:gridSpan w:val="2"/>
            <w:noWrap w:val="0"/>
            <w:vAlign w:val="center"/>
          </w:tcPr>
          <w:p w14:paraId="4308E50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3.5</w:t>
            </w:r>
          </w:p>
        </w:tc>
        <w:tc>
          <w:tcPr>
            <w:tcW w:w="576" w:type="pct"/>
            <w:gridSpan w:val="2"/>
            <w:noWrap w:val="0"/>
            <w:vAlign w:val="center"/>
          </w:tcPr>
          <w:p w14:paraId="3C8B6A8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400</w:t>
            </w:r>
          </w:p>
        </w:tc>
        <w:tc>
          <w:tcPr>
            <w:tcW w:w="549" w:type="pct"/>
            <w:gridSpan w:val="2"/>
            <w:noWrap w:val="0"/>
            <w:vAlign w:val="center"/>
          </w:tcPr>
          <w:p w14:paraId="185C4FC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500</w:t>
            </w:r>
          </w:p>
        </w:tc>
        <w:tc>
          <w:tcPr>
            <w:tcW w:w="541" w:type="pct"/>
            <w:gridSpan w:val="2"/>
            <w:noWrap w:val="0"/>
            <w:vAlign w:val="center"/>
          </w:tcPr>
          <w:p w14:paraId="7F93BA4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60-90</w:t>
            </w:r>
          </w:p>
        </w:tc>
        <w:tc>
          <w:tcPr>
            <w:tcW w:w="474" w:type="pct"/>
            <w:gridSpan w:val="3"/>
            <w:noWrap w:val="0"/>
            <w:vAlign w:val="center"/>
          </w:tcPr>
          <w:p w14:paraId="78EAF45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21</w:t>
            </w:r>
          </w:p>
        </w:tc>
        <w:tc>
          <w:tcPr>
            <w:tcW w:w="384" w:type="pct"/>
            <w:noWrap w:val="0"/>
            <w:vAlign w:val="center"/>
          </w:tcPr>
          <w:p w14:paraId="2B19265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w:t>
            </w:r>
          </w:p>
        </w:tc>
      </w:tr>
      <w:tr w14:paraId="305D4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pct"/>
            <w:gridSpan w:val="4"/>
            <w:noWrap w:val="0"/>
            <w:vAlign w:val="center"/>
          </w:tcPr>
          <w:p w14:paraId="1B3DE90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1A4-J4单回路转角塔</w:t>
            </w:r>
          </w:p>
        </w:tc>
        <w:tc>
          <w:tcPr>
            <w:tcW w:w="589" w:type="pct"/>
            <w:gridSpan w:val="4"/>
            <w:noWrap w:val="0"/>
            <w:vAlign w:val="center"/>
          </w:tcPr>
          <w:p w14:paraId="6D40554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8.3</w:t>
            </w:r>
          </w:p>
        </w:tc>
        <w:tc>
          <w:tcPr>
            <w:tcW w:w="526" w:type="pct"/>
            <w:gridSpan w:val="2"/>
            <w:noWrap w:val="0"/>
            <w:vAlign w:val="center"/>
          </w:tcPr>
          <w:p w14:paraId="5CAEC39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3.5</w:t>
            </w:r>
          </w:p>
        </w:tc>
        <w:tc>
          <w:tcPr>
            <w:tcW w:w="576" w:type="pct"/>
            <w:gridSpan w:val="2"/>
            <w:noWrap w:val="0"/>
            <w:vAlign w:val="center"/>
          </w:tcPr>
          <w:p w14:paraId="04C894E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400</w:t>
            </w:r>
          </w:p>
        </w:tc>
        <w:tc>
          <w:tcPr>
            <w:tcW w:w="549" w:type="pct"/>
            <w:gridSpan w:val="2"/>
            <w:noWrap w:val="0"/>
            <w:vAlign w:val="center"/>
          </w:tcPr>
          <w:p w14:paraId="1A423BE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500</w:t>
            </w:r>
          </w:p>
        </w:tc>
        <w:tc>
          <w:tcPr>
            <w:tcW w:w="541" w:type="pct"/>
            <w:gridSpan w:val="2"/>
            <w:noWrap w:val="0"/>
            <w:vAlign w:val="center"/>
          </w:tcPr>
          <w:p w14:paraId="66114E2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60-90</w:t>
            </w:r>
          </w:p>
        </w:tc>
        <w:tc>
          <w:tcPr>
            <w:tcW w:w="474" w:type="pct"/>
            <w:gridSpan w:val="3"/>
            <w:noWrap w:val="0"/>
            <w:vAlign w:val="center"/>
          </w:tcPr>
          <w:p w14:paraId="7EED057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15</w:t>
            </w:r>
          </w:p>
        </w:tc>
        <w:tc>
          <w:tcPr>
            <w:tcW w:w="384" w:type="pct"/>
            <w:noWrap w:val="0"/>
            <w:vAlign w:val="center"/>
          </w:tcPr>
          <w:p w14:paraId="1B4CE81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w:t>
            </w:r>
          </w:p>
        </w:tc>
      </w:tr>
      <w:tr w14:paraId="32023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8" w:type="pct"/>
            <w:gridSpan w:val="4"/>
            <w:noWrap w:val="0"/>
            <w:vAlign w:val="center"/>
          </w:tcPr>
          <w:p w14:paraId="4385ADA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1A4-DJ单回路终端塔</w:t>
            </w:r>
          </w:p>
        </w:tc>
        <w:tc>
          <w:tcPr>
            <w:tcW w:w="589" w:type="pct"/>
            <w:gridSpan w:val="4"/>
            <w:noWrap w:val="0"/>
            <w:vAlign w:val="center"/>
          </w:tcPr>
          <w:p w14:paraId="152DAED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9.2</w:t>
            </w:r>
          </w:p>
        </w:tc>
        <w:tc>
          <w:tcPr>
            <w:tcW w:w="526" w:type="pct"/>
            <w:gridSpan w:val="2"/>
            <w:noWrap w:val="0"/>
            <w:vAlign w:val="center"/>
          </w:tcPr>
          <w:p w14:paraId="6AD60DA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3.5</w:t>
            </w:r>
          </w:p>
        </w:tc>
        <w:tc>
          <w:tcPr>
            <w:tcW w:w="576" w:type="pct"/>
            <w:gridSpan w:val="2"/>
            <w:noWrap w:val="0"/>
            <w:vAlign w:val="center"/>
          </w:tcPr>
          <w:p w14:paraId="34FFEAC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300</w:t>
            </w:r>
          </w:p>
        </w:tc>
        <w:tc>
          <w:tcPr>
            <w:tcW w:w="549" w:type="pct"/>
            <w:gridSpan w:val="2"/>
            <w:noWrap w:val="0"/>
            <w:vAlign w:val="center"/>
          </w:tcPr>
          <w:p w14:paraId="392F152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450</w:t>
            </w:r>
          </w:p>
        </w:tc>
        <w:tc>
          <w:tcPr>
            <w:tcW w:w="541" w:type="pct"/>
            <w:gridSpan w:val="2"/>
            <w:noWrap w:val="0"/>
            <w:vAlign w:val="center"/>
          </w:tcPr>
          <w:p w14:paraId="2F0390F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0-90</w:t>
            </w:r>
          </w:p>
        </w:tc>
        <w:tc>
          <w:tcPr>
            <w:tcW w:w="474" w:type="pct"/>
            <w:gridSpan w:val="3"/>
            <w:noWrap w:val="0"/>
            <w:vAlign w:val="center"/>
          </w:tcPr>
          <w:p w14:paraId="24B4091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15</w:t>
            </w:r>
          </w:p>
        </w:tc>
        <w:tc>
          <w:tcPr>
            <w:tcW w:w="384" w:type="pct"/>
            <w:noWrap w:val="0"/>
            <w:vAlign w:val="center"/>
          </w:tcPr>
          <w:p w14:paraId="7190E0F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2</w:t>
            </w:r>
          </w:p>
        </w:tc>
      </w:tr>
      <w:tr w14:paraId="4F531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5" w:type="pct"/>
            <w:gridSpan w:val="19"/>
            <w:noWrap w:val="0"/>
            <w:vAlign w:val="center"/>
          </w:tcPr>
          <w:p w14:paraId="700E977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合计</w:t>
            </w:r>
          </w:p>
        </w:tc>
        <w:tc>
          <w:tcPr>
            <w:tcW w:w="384" w:type="pct"/>
            <w:noWrap w:val="0"/>
            <w:vAlign w:val="center"/>
          </w:tcPr>
          <w:p w14:paraId="2D2126F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cs="宋体"/>
                <w:b w:val="0"/>
                <w:bCs w:val="0"/>
                <w:color w:val="000000"/>
                <w:kern w:val="2"/>
                <w:sz w:val="21"/>
                <w:szCs w:val="21"/>
                <w:highlight w:val="none"/>
                <w:lang w:val="en-US" w:eastAsia="zh-CN" w:bidi="ar-SA"/>
              </w:rPr>
            </w:pPr>
            <w:r>
              <w:rPr>
                <w:rFonts w:hint="eastAsia" w:ascii="Times New Roman" w:hAnsi="Times New Roman" w:cs="宋体"/>
                <w:b w:val="0"/>
                <w:bCs w:val="0"/>
                <w:color w:val="000000"/>
                <w:kern w:val="2"/>
                <w:sz w:val="21"/>
                <w:szCs w:val="21"/>
                <w:highlight w:val="none"/>
                <w:lang w:val="en-US" w:eastAsia="zh-CN" w:bidi="ar-SA"/>
              </w:rPr>
              <w:t>12</w:t>
            </w:r>
          </w:p>
        </w:tc>
      </w:tr>
      <w:tr w14:paraId="51A4B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523F493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textAlignment w:val="auto"/>
              <w:rPr>
                <w:rFonts w:hint="default"/>
              </w:rPr>
            </w:pPr>
          </w:p>
          <w:p w14:paraId="27F7579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rPr>
            </w:pPr>
          </w:p>
          <w:p w14:paraId="43081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bCs/>
                <w:color w:val="000000"/>
                <w:kern w:val="0"/>
                <w:sz w:val="24"/>
                <w:szCs w:val="20"/>
                <w:lang w:val="en-US" w:eastAsia="zh-CN" w:bidi="ar-SA"/>
              </w:rPr>
            </w:pPr>
            <w:r>
              <w:rPr>
                <w:rFonts w:hint="eastAsia" w:ascii="Times New Roman" w:hAnsi="Times New Roman" w:eastAsia="宋体" w:cs="Times New Roman"/>
                <w:b/>
                <w:bCs/>
                <w:color w:val="000000"/>
                <w:kern w:val="0"/>
                <w:sz w:val="24"/>
                <w:szCs w:val="20"/>
                <w:lang w:val="en-US" w:eastAsia="zh-CN" w:bidi="ar-SA"/>
              </w:rPr>
              <w:t>图</w:t>
            </w:r>
            <w:r>
              <w:rPr>
                <w:rFonts w:hint="eastAsia" w:cs="Times New Roman"/>
                <w:b/>
                <w:bCs/>
                <w:color w:val="000000"/>
                <w:kern w:val="0"/>
                <w:sz w:val="24"/>
                <w:szCs w:val="20"/>
                <w:lang w:val="en-US" w:eastAsia="zh-CN" w:bidi="ar-SA"/>
              </w:rPr>
              <w:t>2-</w:t>
            </w:r>
            <w:r>
              <w:rPr>
                <w:rFonts w:hint="eastAsia" w:ascii="Times New Roman" w:hAnsi="Times New Roman" w:eastAsia="宋体" w:cs="Times New Roman"/>
                <w:b/>
                <w:bCs/>
                <w:color w:val="000000"/>
                <w:kern w:val="0"/>
                <w:sz w:val="24"/>
                <w:szCs w:val="20"/>
                <w:lang w:val="en-US" w:eastAsia="zh-CN" w:bidi="ar-SA"/>
              </w:rPr>
              <w:t>4</w:t>
            </w:r>
            <w:r>
              <w:rPr>
                <w:rFonts w:hint="eastAsia" w:cs="Times New Roman"/>
                <w:b/>
                <w:bCs/>
                <w:color w:val="000000"/>
                <w:kern w:val="0"/>
                <w:sz w:val="24"/>
                <w:szCs w:val="20"/>
                <w:lang w:val="en-US" w:eastAsia="zh-CN" w:bidi="ar-SA"/>
              </w:rPr>
              <w:t xml:space="preserve"> </w:t>
            </w:r>
            <w:r>
              <w:rPr>
                <w:rFonts w:hint="eastAsia" w:ascii="Times New Roman" w:hAnsi="Times New Roman" w:eastAsia="宋体" w:cs="Times New Roman"/>
                <w:b/>
                <w:bCs/>
                <w:color w:val="000000"/>
                <w:kern w:val="0"/>
                <w:sz w:val="24"/>
                <w:szCs w:val="20"/>
                <w:lang w:val="en-US" w:eastAsia="zh-CN" w:bidi="ar-SA"/>
              </w:rPr>
              <w:t>杆塔图</w:t>
            </w:r>
          </w:p>
          <w:p w14:paraId="42789B72">
            <w:pPr>
              <w:keepNext w:val="0"/>
              <w:keepLines w:val="0"/>
              <w:numPr>
                <w:ilvl w:val="0"/>
                <w:numId w:val="0"/>
              </w:numPr>
              <w:suppressLineNumbers w:val="0"/>
              <w:topLinePunct/>
              <w:spacing w:before="0" w:beforeAutospacing="0" w:after="0" w:afterAutospacing="0" w:line="360" w:lineRule="auto"/>
              <w:ind w:left="480" w:leftChars="200" w:right="0" w:rightChars="0"/>
              <w:jc w:val="both"/>
              <w:rPr>
                <w:rFonts w:hint="default" w:ascii="Times New Roman" w:hAnsi="Times New Roman" w:eastAsia="宋体" w:cs="Times New Roman"/>
                <w:sz w:val="24"/>
                <w:szCs w:val="24"/>
              </w:rPr>
            </w:pPr>
            <w:r>
              <w:rPr>
                <w:rFonts w:hint="eastAsia" w:cs="Times New Roman"/>
                <w:sz w:val="24"/>
                <w:szCs w:val="24"/>
                <w:lang w:val="en-US" w:eastAsia="zh-CN"/>
              </w:rPr>
              <w:t>④</w:t>
            </w:r>
            <w:r>
              <w:rPr>
                <w:rFonts w:hint="default" w:ascii="Times New Roman" w:hAnsi="Times New Roman" w:eastAsia="宋体" w:cs="Times New Roman"/>
                <w:sz w:val="24"/>
                <w:szCs w:val="24"/>
              </w:rPr>
              <w:t>交叉跨越情况</w:t>
            </w:r>
          </w:p>
          <w:p w14:paraId="38947B1F">
            <w:pPr>
              <w:pStyle w:val="127"/>
              <w:keepNext w:val="0"/>
              <w:keepLines w:val="0"/>
              <w:suppressLineNumbers w:val="0"/>
              <w:bidi w:val="0"/>
              <w:spacing w:before="0" w:beforeAutospacing="0" w:after="0" w:afterAutospacing="0"/>
              <w:ind w:left="0" w:leftChars="0" w:right="0" w:firstLine="480" w:firstLineChars="200"/>
              <w:outlineLvl w:val="9"/>
              <w:rPr>
                <w:rFonts w:hint="default" w:ascii="Times New Roman" w:hAnsi="Times New Roman" w:eastAsia="黑体" w:cs="Times New Roman"/>
                <w:b/>
                <w:bCs/>
                <w:color w:val="000000"/>
                <w:kern w:val="0"/>
                <w:sz w:val="24"/>
                <w:szCs w:val="20"/>
                <w:lang w:val="en-US" w:eastAsia="zh-CN" w:bidi="ar-SA"/>
              </w:rPr>
            </w:pPr>
            <w:r>
              <w:rPr>
                <w:rFonts w:hint="eastAsia" w:ascii="Times New Roman" w:hAnsi="Times New Roman" w:cs="宋体"/>
                <w:b w:val="0"/>
                <w:bCs w:val="0"/>
                <w:color w:val="000000"/>
                <w:kern w:val="2"/>
                <w:sz w:val="24"/>
                <w:szCs w:val="24"/>
                <w:highlight w:val="none"/>
                <w:lang w:val="en-US" w:eastAsia="zh-CN" w:bidi="ar-SA"/>
              </w:rPr>
              <w:t>本项目线路跨越公路</w:t>
            </w:r>
            <w:r>
              <w:rPr>
                <w:rFonts w:hint="eastAsia" w:cs="宋体"/>
                <w:b w:val="0"/>
                <w:bCs w:val="0"/>
                <w:color w:val="000000"/>
                <w:kern w:val="2"/>
                <w:sz w:val="24"/>
                <w:szCs w:val="24"/>
                <w:highlight w:val="none"/>
                <w:lang w:val="en-US" w:eastAsia="zh-CN" w:bidi="ar-SA"/>
              </w:rPr>
              <w:t>两</w:t>
            </w:r>
            <w:r>
              <w:rPr>
                <w:rFonts w:hint="eastAsia" w:ascii="Times New Roman" w:hAnsi="Times New Roman" w:cs="宋体"/>
                <w:b w:val="0"/>
                <w:bCs w:val="0"/>
                <w:color w:val="000000"/>
                <w:kern w:val="2"/>
                <w:sz w:val="24"/>
                <w:szCs w:val="24"/>
                <w:highlight w:val="none"/>
                <w:lang w:val="en-US" w:eastAsia="zh-CN" w:bidi="ar-SA"/>
              </w:rPr>
              <w:t>处，跨越35kV线路两处</w:t>
            </w:r>
            <w:r>
              <w:rPr>
                <w:rFonts w:hint="eastAsia" w:cs="宋体"/>
                <w:b w:val="0"/>
                <w:bCs w:val="0"/>
                <w:color w:val="000000"/>
                <w:kern w:val="2"/>
                <w:sz w:val="24"/>
                <w:szCs w:val="24"/>
                <w:highlight w:val="none"/>
                <w:lang w:val="en-US" w:eastAsia="zh-CN" w:bidi="ar-SA"/>
              </w:rPr>
              <w:t>，</w:t>
            </w:r>
            <w:r>
              <w:rPr>
                <w:rFonts w:hint="eastAsia" w:ascii="Times New Roman" w:hAnsi="Times New Roman" w:cs="宋体"/>
                <w:b w:val="0"/>
                <w:bCs w:val="0"/>
                <w:color w:val="000000"/>
                <w:kern w:val="2"/>
                <w:sz w:val="24"/>
                <w:szCs w:val="24"/>
                <w:highlight w:val="none"/>
                <w:lang w:val="en-US" w:eastAsia="zh-CN" w:bidi="ar-SA"/>
              </w:rPr>
              <w:t>跨越10kV线路三处，跨越通讯线两处。</w:t>
            </w:r>
            <w:r>
              <w:rPr>
                <w:rFonts w:hint="default" w:ascii="Times New Roman" w:hAnsi="Times New Roman" w:cs="宋体"/>
                <w:b w:val="0"/>
                <w:bCs w:val="0"/>
                <w:color w:val="000000"/>
                <w:kern w:val="2"/>
                <w:sz w:val="24"/>
                <w:szCs w:val="24"/>
                <w:highlight w:val="none"/>
                <w:lang w:val="en-US" w:eastAsia="zh-CN" w:bidi="ar-SA"/>
              </w:rPr>
              <w:t>根据《</w:t>
            </w:r>
            <w:r>
              <w:rPr>
                <w:rFonts w:hint="eastAsia" w:ascii="Times New Roman" w:hAnsi="Times New Roman" w:cs="宋体"/>
                <w:b w:val="0"/>
                <w:bCs w:val="0"/>
                <w:color w:val="000000"/>
                <w:kern w:val="2"/>
                <w:sz w:val="24"/>
                <w:szCs w:val="24"/>
                <w:highlight w:val="none"/>
                <w:lang w:val="en-US" w:eastAsia="zh-CN" w:bidi="ar-SA"/>
              </w:rPr>
              <w:t>110kV～750kV架空输电线路设计规范</w:t>
            </w:r>
            <w:r>
              <w:rPr>
                <w:rFonts w:hint="default" w:ascii="Times New Roman" w:hAnsi="Times New Roman" w:cs="宋体"/>
                <w:b w:val="0"/>
                <w:bCs w:val="0"/>
                <w:color w:val="000000"/>
                <w:kern w:val="2"/>
                <w:sz w:val="24"/>
                <w:szCs w:val="24"/>
                <w:highlight w:val="none"/>
                <w:lang w:val="en-US" w:eastAsia="zh-CN" w:bidi="ar-SA"/>
              </w:rPr>
              <w:t>》（GB</w:t>
            </w:r>
            <w:r>
              <w:rPr>
                <w:rFonts w:hint="eastAsia" w:cs="宋体"/>
                <w:b w:val="0"/>
                <w:bCs w:val="0"/>
                <w:color w:val="000000"/>
                <w:kern w:val="2"/>
                <w:sz w:val="24"/>
                <w:szCs w:val="24"/>
                <w:highlight w:val="none"/>
                <w:lang w:val="en-US" w:eastAsia="zh-CN" w:bidi="ar-SA"/>
              </w:rPr>
              <w:t xml:space="preserve"> </w:t>
            </w:r>
            <w:r>
              <w:rPr>
                <w:rFonts w:hint="default" w:ascii="Times New Roman" w:hAnsi="Times New Roman" w:cs="宋体"/>
                <w:b w:val="0"/>
                <w:bCs w:val="0"/>
                <w:color w:val="000000"/>
                <w:kern w:val="2"/>
                <w:sz w:val="24"/>
                <w:szCs w:val="24"/>
                <w:highlight w:val="none"/>
                <w:lang w:val="en-US" w:eastAsia="zh-CN" w:bidi="ar-SA"/>
              </w:rPr>
              <w:t>50545-2010）</w:t>
            </w:r>
            <w:r>
              <w:rPr>
                <w:rFonts w:hint="eastAsia" w:ascii="Times New Roman" w:hAnsi="Times New Roman" w:cs="宋体"/>
                <w:b w:val="0"/>
                <w:bCs w:val="0"/>
                <w:color w:val="000000"/>
                <w:kern w:val="2"/>
                <w:sz w:val="24"/>
                <w:szCs w:val="24"/>
                <w:highlight w:val="none"/>
                <w:lang w:val="en-US" w:eastAsia="zh-CN" w:bidi="ar-SA"/>
              </w:rPr>
              <w:t>的规定</w:t>
            </w:r>
            <w:r>
              <w:rPr>
                <w:rFonts w:hint="default" w:ascii="Times New Roman" w:hAnsi="Times New Roman" w:cs="宋体"/>
                <w:b w:val="0"/>
                <w:bCs w:val="0"/>
                <w:color w:val="000000"/>
                <w:kern w:val="2"/>
                <w:sz w:val="24"/>
                <w:szCs w:val="24"/>
                <w:highlight w:val="none"/>
                <w:lang w:val="en-US" w:eastAsia="zh-CN" w:bidi="ar-SA"/>
              </w:rPr>
              <w:t>，本工程与相应物交叉跨越</w:t>
            </w:r>
            <w:r>
              <w:rPr>
                <w:rFonts w:hint="eastAsia" w:ascii="Times New Roman" w:hAnsi="Times New Roman" w:cs="宋体"/>
                <w:b w:val="0"/>
                <w:bCs w:val="0"/>
                <w:color w:val="000000"/>
                <w:kern w:val="2"/>
                <w:sz w:val="24"/>
                <w:szCs w:val="24"/>
                <w:highlight w:val="none"/>
                <w:lang w:val="en-US" w:eastAsia="zh-CN" w:bidi="ar-SA"/>
              </w:rPr>
              <w:t>的最小距离</w:t>
            </w:r>
            <w:r>
              <w:rPr>
                <w:rFonts w:hint="default" w:ascii="Times New Roman" w:hAnsi="Times New Roman" w:cs="宋体"/>
                <w:b w:val="0"/>
                <w:bCs w:val="0"/>
                <w:color w:val="000000"/>
                <w:kern w:val="2"/>
                <w:sz w:val="24"/>
                <w:szCs w:val="24"/>
                <w:highlight w:val="none"/>
                <w:lang w:val="en-US" w:eastAsia="zh-CN" w:bidi="ar-SA"/>
              </w:rPr>
              <w:t>严格按照下表要求进行设计、施工</w:t>
            </w:r>
            <w:r>
              <w:rPr>
                <w:rFonts w:hint="eastAsia" w:ascii="Times New Roman" w:hAnsi="Times New Roman" w:cs="宋体"/>
                <w:b w:val="0"/>
                <w:bCs w:val="0"/>
                <w:color w:val="000000"/>
                <w:kern w:val="2"/>
                <w:sz w:val="24"/>
                <w:szCs w:val="24"/>
                <w:highlight w:val="none"/>
                <w:lang w:val="en-US" w:eastAsia="zh-CN" w:bidi="ar-SA"/>
              </w:rPr>
              <w:t>。</w:t>
            </w:r>
          </w:p>
          <w:p w14:paraId="5B262DFE">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auto"/>
              <w:ind w:left="0" w:right="0" w:rightChars="0"/>
              <w:jc w:val="center"/>
              <w:textAlignment w:val="auto"/>
              <w:rPr>
                <w:rFonts w:hint="eastAsia" w:ascii="宋体" w:hAnsi="宋体" w:eastAsia="宋体" w:cs="宋体"/>
                <w:sz w:val="24"/>
                <w:szCs w:val="24"/>
                <w:lang w:val="en-US" w:eastAsia="zh-CN"/>
              </w:rPr>
            </w:pPr>
            <w:r>
              <w:rPr>
                <w:rFonts w:hint="default" w:ascii="Times New Roman" w:hAnsi="Times New Roman" w:eastAsia="黑体" w:cs="Times New Roman"/>
                <w:b/>
                <w:bCs/>
                <w:color w:val="000000"/>
                <w:kern w:val="0"/>
                <w:sz w:val="24"/>
                <w:szCs w:val="20"/>
                <w:lang w:val="en-US" w:eastAsia="zh-CN" w:bidi="ar-SA"/>
              </w:rPr>
              <w:t>表</w:t>
            </w:r>
            <w:r>
              <w:rPr>
                <w:rFonts w:hint="eastAsia" w:eastAsia="黑体" w:cs="Times New Roman"/>
                <w:b/>
                <w:bCs/>
                <w:color w:val="000000"/>
                <w:kern w:val="0"/>
                <w:sz w:val="24"/>
                <w:szCs w:val="20"/>
                <w:lang w:val="en-US" w:eastAsia="zh-CN" w:bidi="ar-SA"/>
              </w:rPr>
              <w:t xml:space="preserve">2-3 </w:t>
            </w:r>
            <w:r>
              <w:rPr>
                <w:rFonts w:hint="default" w:ascii="Times New Roman" w:hAnsi="Times New Roman" w:eastAsia="黑体" w:cs="Times New Roman"/>
                <w:b/>
                <w:bCs/>
                <w:color w:val="000000"/>
                <w:kern w:val="0"/>
                <w:sz w:val="24"/>
                <w:szCs w:val="20"/>
                <w:lang w:val="en-US" w:eastAsia="zh-CN" w:bidi="ar-SA"/>
              </w:rPr>
              <w:t>导线与相应物交叉跨越</w:t>
            </w:r>
            <w:r>
              <w:rPr>
                <w:rFonts w:hint="eastAsia" w:eastAsia="黑体" w:cs="Times New Roman"/>
                <w:b/>
                <w:bCs/>
                <w:color w:val="000000"/>
                <w:kern w:val="0"/>
                <w:sz w:val="24"/>
                <w:szCs w:val="20"/>
                <w:lang w:val="en-US" w:eastAsia="zh-CN" w:bidi="ar-SA"/>
              </w:rPr>
              <w:t>最小</w:t>
            </w:r>
            <w:r>
              <w:rPr>
                <w:rFonts w:hint="default" w:ascii="Times New Roman" w:hAnsi="Times New Roman" w:eastAsia="黑体" w:cs="Times New Roman"/>
                <w:b/>
                <w:bCs/>
                <w:color w:val="000000"/>
                <w:kern w:val="0"/>
                <w:sz w:val="24"/>
                <w:szCs w:val="20"/>
                <w:lang w:val="en-US" w:eastAsia="zh-CN" w:bidi="ar-SA"/>
              </w:rPr>
              <w:t>距离表</w:t>
            </w:r>
          </w:p>
        </w:tc>
      </w:tr>
      <w:tr w14:paraId="5E496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2C7EFC55">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4"/>
                <w:sz w:val="21"/>
                <w:szCs w:val="21"/>
              </w:rPr>
              <w:t>序号</w:t>
            </w:r>
          </w:p>
        </w:tc>
        <w:tc>
          <w:tcPr>
            <w:tcW w:w="2296" w:type="pct"/>
            <w:gridSpan w:val="10"/>
            <w:noWrap w:val="0"/>
            <w:vAlign w:val="center"/>
          </w:tcPr>
          <w:p w14:paraId="6632E346">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5"/>
                <w:sz w:val="21"/>
                <w:szCs w:val="21"/>
              </w:rPr>
              <w:t>工程</w:t>
            </w:r>
          </w:p>
        </w:tc>
        <w:tc>
          <w:tcPr>
            <w:tcW w:w="1025" w:type="pct"/>
            <w:gridSpan w:val="4"/>
            <w:noWrap w:val="0"/>
            <w:vAlign w:val="center"/>
          </w:tcPr>
          <w:p w14:paraId="66E2A932">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3"/>
                <w:sz w:val="21"/>
                <w:szCs w:val="21"/>
              </w:rPr>
              <w:t>最小距离（m）</w:t>
            </w:r>
          </w:p>
        </w:tc>
        <w:tc>
          <w:tcPr>
            <w:tcW w:w="1264" w:type="pct"/>
            <w:gridSpan w:val="5"/>
            <w:noWrap w:val="0"/>
            <w:vAlign w:val="center"/>
          </w:tcPr>
          <w:p w14:paraId="3E825ED2">
            <w:pPr>
              <w:keepNext w:val="0"/>
              <w:keepLines w:val="0"/>
              <w:pageBreakBefore w:val="0"/>
              <w:widowControl w:val="0"/>
              <w:numPr>
                <w:ilvl w:val="0"/>
                <w:numId w:val="0"/>
              </w:numPr>
              <w:suppressLineNumbers w:val="0"/>
              <w:kinsoku/>
              <w:wordWrap/>
              <w:overflowPunct/>
              <w:topLinePunct/>
              <w:autoSpaceDE/>
              <w:autoSpaceDN/>
              <w:bidi w:val="0"/>
              <w:adjustRightInd/>
              <w:snapToGrid/>
              <w:spacing w:before="0" w:beforeAutospacing="0" w:after="0" w:afterAutospacing="0" w:line="360" w:lineRule="exact"/>
              <w:ind w:left="0" w:right="0" w:rightChars="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5"/>
                <w:sz w:val="21"/>
                <w:szCs w:val="21"/>
              </w:rPr>
              <w:t>备注</w:t>
            </w:r>
          </w:p>
        </w:tc>
      </w:tr>
      <w:tr w14:paraId="795FE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1B411199">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1</w:t>
            </w:r>
          </w:p>
        </w:tc>
        <w:tc>
          <w:tcPr>
            <w:tcW w:w="2296" w:type="pct"/>
            <w:gridSpan w:val="10"/>
            <w:noWrap w:val="0"/>
            <w:vAlign w:val="center"/>
          </w:tcPr>
          <w:p w14:paraId="10A64E6C">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2"/>
                <w:sz w:val="21"/>
                <w:szCs w:val="21"/>
              </w:rPr>
              <w:t>导线对居民区地面</w:t>
            </w:r>
          </w:p>
        </w:tc>
        <w:tc>
          <w:tcPr>
            <w:tcW w:w="1025" w:type="pct"/>
            <w:gridSpan w:val="4"/>
            <w:noWrap w:val="0"/>
            <w:vAlign w:val="center"/>
          </w:tcPr>
          <w:p w14:paraId="0C2295B7">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7</w:t>
            </w:r>
          </w:p>
        </w:tc>
        <w:tc>
          <w:tcPr>
            <w:tcW w:w="1264" w:type="pct"/>
            <w:gridSpan w:val="5"/>
            <w:noWrap w:val="0"/>
            <w:vAlign w:val="center"/>
          </w:tcPr>
          <w:p w14:paraId="7378DBD6">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2"/>
                <w:sz w:val="21"/>
                <w:szCs w:val="21"/>
              </w:rPr>
              <w:t>最大弧垂</w:t>
            </w:r>
          </w:p>
        </w:tc>
      </w:tr>
      <w:tr w14:paraId="4D78C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2961159D">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2</w:t>
            </w:r>
          </w:p>
        </w:tc>
        <w:tc>
          <w:tcPr>
            <w:tcW w:w="2296" w:type="pct"/>
            <w:gridSpan w:val="10"/>
            <w:noWrap w:val="0"/>
            <w:vAlign w:val="center"/>
          </w:tcPr>
          <w:p w14:paraId="6A91D28E">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2"/>
                <w:sz w:val="21"/>
                <w:szCs w:val="21"/>
              </w:rPr>
              <w:t>导线对非居民区地面</w:t>
            </w:r>
          </w:p>
        </w:tc>
        <w:tc>
          <w:tcPr>
            <w:tcW w:w="1025" w:type="pct"/>
            <w:gridSpan w:val="4"/>
            <w:noWrap w:val="0"/>
            <w:vAlign w:val="center"/>
          </w:tcPr>
          <w:p w14:paraId="17956ABE">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6</w:t>
            </w:r>
          </w:p>
        </w:tc>
        <w:tc>
          <w:tcPr>
            <w:tcW w:w="1264" w:type="pct"/>
            <w:gridSpan w:val="5"/>
            <w:noWrap w:val="0"/>
            <w:vAlign w:val="center"/>
          </w:tcPr>
          <w:p w14:paraId="3BDBCA29">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2"/>
                <w:sz w:val="21"/>
                <w:szCs w:val="21"/>
              </w:rPr>
              <w:t>最大弧垂</w:t>
            </w:r>
          </w:p>
        </w:tc>
      </w:tr>
      <w:tr w14:paraId="39721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554BF47B">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3</w:t>
            </w:r>
          </w:p>
        </w:tc>
        <w:tc>
          <w:tcPr>
            <w:tcW w:w="2296" w:type="pct"/>
            <w:gridSpan w:val="10"/>
            <w:noWrap w:val="0"/>
            <w:vAlign w:val="center"/>
          </w:tcPr>
          <w:p w14:paraId="45169716">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1"/>
                <w:sz w:val="21"/>
                <w:szCs w:val="21"/>
              </w:rPr>
              <w:t>导线与建筑物之间最小垂直距离</w:t>
            </w:r>
          </w:p>
        </w:tc>
        <w:tc>
          <w:tcPr>
            <w:tcW w:w="1025" w:type="pct"/>
            <w:gridSpan w:val="4"/>
            <w:noWrap w:val="0"/>
            <w:vAlign w:val="center"/>
          </w:tcPr>
          <w:p w14:paraId="28BB7B43">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5</w:t>
            </w:r>
          </w:p>
        </w:tc>
        <w:tc>
          <w:tcPr>
            <w:tcW w:w="1264" w:type="pct"/>
            <w:gridSpan w:val="5"/>
            <w:noWrap w:val="0"/>
            <w:vAlign w:val="center"/>
          </w:tcPr>
          <w:p w14:paraId="5C2DDA81">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2"/>
                <w:sz w:val="21"/>
                <w:szCs w:val="21"/>
              </w:rPr>
              <w:t>最大弧垂</w:t>
            </w:r>
          </w:p>
        </w:tc>
      </w:tr>
      <w:tr w14:paraId="422DC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008A7141">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4</w:t>
            </w:r>
          </w:p>
        </w:tc>
        <w:tc>
          <w:tcPr>
            <w:tcW w:w="2296" w:type="pct"/>
            <w:gridSpan w:val="10"/>
            <w:noWrap w:val="0"/>
            <w:vAlign w:val="center"/>
          </w:tcPr>
          <w:p w14:paraId="3161923C">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1"/>
                <w:sz w:val="21"/>
                <w:szCs w:val="21"/>
              </w:rPr>
              <w:t>边导线对建筑物之间的最小净空距离</w:t>
            </w:r>
          </w:p>
        </w:tc>
        <w:tc>
          <w:tcPr>
            <w:tcW w:w="1025" w:type="pct"/>
            <w:gridSpan w:val="4"/>
            <w:noWrap w:val="0"/>
            <w:vAlign w:val="center"/>
          </w:tcPr>
          <w:p w14:paraId="47983441">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4</w:t>
            </w:r>
          </w:p>
        </w:tc>
        <w:tc>
          <w:tcPr>
            <w:tcW w:w="1264" w:type="pct"/>
            <w:gridSpan w:val="5"/>
            <w:noWrap w:val="0"/>
            <w:vAlign w:val="center"/>
          </w:tcPr>
          <w:p w14:paraId="1967107A">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pacing w:val="-2"/>
                <w:sz w:val="21"/>
                <w:szCs w:val="21"/>
              </w:rPr>
              <w:t>最大风偏</w:t>
            </w:r>
          </w:p>
        </w:tc>
      </w:tr>
      <w:tr w14:paraId="4D07F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20DC1C8B">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5</w:t>
            </w:r>
          </w:p>
        </w:tc>
        <w:tc>
          <w:tcPr>
            <w:tcW w:w="2296" w:type="pct"/>
            <w:gridSpan w:val="10"/>
            <w:noWrap w:val="0"/>
            <w:vAlign w:val="center"/>
          </w:tcPr>
          <w:p w14:paraId="1939EB0A">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sz w:val="21"/>
                <w:szCs w:val="21"/>
              </w:rPr>
            </w:pPr>
            <w:r>
              <w:rPr>
                <w:rFonts w:hint="default" w:ascii="Times New Roman" w:hAnsi="Times New Roman" w:eastAsia="宋体" w:cs="Times New Roman"/>
                <w:b w:val="0"/>
                <w:bCs w:val="0"/>
                <w:spacing w:val="-1"/>
                <w:sz w:val="21"/>
                <w:szCs w:val="21"/>
              </w:rPr>
              <w:t>边导线对建筑物最小水平距离</w:t>
            </w:r>
          </w:p>
        </w:tc>
        <w:tc>
          <w:tcPr>
            <w:tcW w:w="1025" w:type="pct"/>
            <w:gridSpan w:val="4"/>
            <w:noWrap w:val="0"/>
            <w:vAlign w:val="center"/>
          </w:tcPr>
          <w:p w14:paraId="6964EB7D">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64" w:type="pct"/>
            <w:gridSpan w:val="5"/>
            <w:noWrap w:val="0"/>
            <w:vAlign w:val="center"/>
          </w:tcPr>
          <w:p w14:paraId="6C01B82F">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sz w:val="21"/>
                <w:szCs w:val="21"/>
              </w:rPr>
            </w:pPr>
            <w:r>
              <w:rPr>
                <w:rFonts w:hint="default" w:ascii="Times New Roman" w:hAnsi="Times New Roman" w:eastAsia="宋体" w:cs="Times New Roman"/>
                <w:b w:val="0"/>
                <w:bCs w:val="0"/>
                <w:spacing w:val="-2"/>
                <w:sz w:val="21"/>
                <w:szCs w:val="21"/>
              </w:rPr>
              <w:t>无风情况下</w:t>
            </w:r>
          </w:p>
        </w:tc>
      </w:tr>
      <w:tr w14:paraId="1FFA9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71370EF2">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6</w:t>
            </w:r>
          </w:p>
        </w:tc>
        <w:tc>
          <w:tcPr>
            <w:tcW w:w="2296" w:type="pct"/>
            <w:gridSpan w:val="10"/>
            <w:noWrap w:val="0"/>
            <w:vAlign w:val="center"/>
          </w:tcPr>
          <w:p w14:paraId="70B12853">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sz w:val="21"/>
                <w:szCs w:val="21"/>
              </w:rPr>
            </w:pPr>
            <w:r>
              <w:rPr>
                <w:rFonts w:hint="default" w:ascii="Times New Roman" w:hAnsi="Times New Roman" w:eastAsia="宋体" w:cs="Times New Roman"/>
                <w:b w:val="0"/>
                <w:bCs w:val="0"/>
                <w:spacing w:val="-1"/>
                <w:sz w:val="21"/>
                <w:szCs w:val="21"/>
              </w:rPr>
              <w:t>导线与树木之间的垂直距离</w:t>
            </w:r>
          </w:p>
        </w:tc>
        <w:tc>
          <w:tcPr>
            <w:tcW w:w="1025" w:type="pct"/>
            <w:gridSpan w:val="4"/>
            <w:noWrap w:val="0"/>
            <w:vAlign w:val="center"/>
          </w:tcPr>
          <w:p w14:paraId="18381689">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p>
        </w:tc>
        <w:tc>
          <w:tcPr>
            <w:tcW w:w="1264" w:type="pct"/>
            <w:gridSpan w:val="5"/>
            <w:noWrap w:val="0"/>
            <w:vAlign w:val="center"/>
          </w:tcPr>
          <w:p w14:paraId="79BA5F21">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sz w:val="21"/>
                <w:szCs w:val="21"/>
              </w:rPr>
            </w:pPr>
            <w:r>
              <w:rPr>
                <w:rFonts w:hint="default" w:ascii="Times New Roman" w:hAnsi="Times New Roman" w:eastAsia="宋体" w:cs="Times New Roman"/>
                <w:b w:val="0"/>
                <w:bCs w:val="0"/>
                <w:spacing w:val="-2"/>
                <w:sz w:val="21"/>
                <w:szCs w:val="21"/>
              </w:rPr>
              <w:t>最大弧垂</w:t>
            </w:r>
          </w:p>
        </w:tc>
      </w:tr>
      <w:tr w14:paraId="0A6B2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35E5B198">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kern w:val="2"/>
                <w:sz w:val="21"/>
                <w:szCs w:val="21"/>
                <w:lang w:val="en-US" w:eastAsia="zh-CN" w:bidi="ar-SA"/>
              </w:rPr>
            </w:pPr>
            <w:r>
              <w:rPr>
                <w:rFonts w:hint="default" w:ascii="Times New Roman" w:hAnsi="Times New Roman" w:eastAsia="宋体" w:cs="Times New Roman"/>
                <w:b w:val="0"/>
                <w:bCs w:val="0"/>
                <w:sz w:val="21"/>
                <w:szCs w:val="21"/>
              </w:rPr>
              <w:t>7</w:t>
            </w:r>
          </w:p>
        </w:tc>
        <w:tc>
          <w:tcPr>
            <w:tcW w:w="2296" w:type="pct"/>
            <w:gridSpan w:val="10"/>
            <w:noWrap w:val="0"/>
            <w:vAlign w:val="center"/>
          </w:tcPr>
          <w:p w14:paraId="48E4D6E5">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sz w:val="21"/>
                <w:szCs w:val="21"/>
              </w:rPr>
            </w:pPr>
            <w:r>
              <w:rPr>
                <w:rFonts w:hint="default" w:ascii="Times New Roman" w:hAnsi="Times New Roman" w:eastAsia="宋体" w:cs="Times New Roman"/>
                <w:b w:val="0"/>
                <w:bCs w:val="0"/>
                <w:spacing w:val="-1"/>
                <w:sz w:val="21"/>
                <w:szCs w:val="21"/>
              </w:rPr>
              <w:t>导线与树木之间的净空距离</w:t>
            </w:r>
          </w:p>
        </w:tc>
        <w:tc>
          <w:tcPr>
            <w:tcW w:w="1025" w:type="pct"/>
            <w:gridSpan w:val="4"/>
            <w:noWrap w:val="0"/>
            <w:vAlign w:val="center"/>
          </w:tcPr>
          <w:p w14:paraId="783729D1">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3</w:t>
            </w:r>
            <w:r>
              <w:rPr>
                <w:rFonts w:hint="eastAsia" w:ascii="Times New Roman" w:hAnsi="Times New Roman" w:eastAsia="宋体" w:cs="Times New Roman"/>
                <w:b w:val="0"/>
                <w:bCs w:val="0"/>
                <w:sz w:val="21"/>
                <w:szCs w:val="21"/>
                <w:lang w:val="en-US" w:eastAsia="zh-CN"/>
              </w:rPr>
              <w:t>.5</w:t>
            </w:r>
          </w:p>
        </w:tc>
        <w:tc>
          <w:tcPr>
            <w:tcW w:w="1264" w:type="pct"/>
            <w:gridSpan w:val="5"/>
            <w:noWrap w:val="0"/>
            <w:vAlign w:val="center"/>
          </w:tcPr>
          <w:p w14:paraId="490B9659">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sz w:val="21"/>
                <w:szCs w:val="21"/>
              </w:rPr>
            </w:pPr>
            <w:r>
              <w:rPr>
                <w:rFonts w:hint="default" w:ascii="Times New Roman" w:hAnsi="Times New Roman" w:eastAsia="宋体" w:cs="Times New Roman"/>
                <w:b w:val="0"/>
                <w:bCs w:val="0"/>
                <w:spacing w:val="-2"/>
                <w:sz w:val="21"/>
                <w:szCs w:val="21"/>
              </w:rPr>
              <w:t>最大风偏</w:t>
            </w:r>
          </w:p>
        </w:tc>
      </w:tr>
      <w:tr w14:paraId="2B281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5F3A1112">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spacing w:val="-2"/>
                <w:kern w:val="2"/>
                <w:sz w:val="21"/>
                <w:szCs w:val="21"/>
                <w:lang w:val="en-US" w:eastAsia="zh-CN" w:bidi="ar-SA"/>
              </w:rPr>
            </w:pPr>
            <w:r>
              <w:rPr>
                <w:rFonts w:hint="eastAsia" w:ascii="Times New Roman" w:hAnsi="Times New Roman" w:eastAsia="宋体" w:cs="Times New Roman"/>
                <w:b w:val="0"/>
                <w:bCs w:val="0"/>
                <w:sz w:val="21"/>
                <w:szCs w:val="21"/>
                <w:lang w:val="en-US" w:eastAsia="zh-CN"/>
              </w:rPr>
              <w:t>8</w:t>
            </w:r>
          </w:p>
        </w:tc>
        <w:tc>
          <w:tcPr>
            <w:tcW w:w="2296" w:type="pct"/>
            <w:gridSpan w:val="10"/>
            <w:noWrap w:val="0"/>
            <w:vAlign w:val="center"/>
          </w:tcPr>
          <w:p w14:paraId="0C6480A7">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sz w:val="21"/>
                <w:szCs w:val="21"/>
              </w:rPr>
            </w:pPr>
            <w:r>
              <w:rPr>
                <w:rFonts w:hint="default" w:ascii="Times New Roman" w:hAnsi="Times New Roman" w:eastAsia="宋体" w:cs="Times New Roman"/>
                <w:b w:val="0"/>
                <w:bCs w:val="0"/>
                <w:spacing w:val="-1"/>
                <w:sz w:val="21"/>
                <w:szCs w:val="21"/>
              </w:rPr>
              <w:t>导线对公路最小垂直距离</w:t>
            </w:r>
          </w:p>
        </w:tc>
        <w:tc>
          <w:tcPr>
            <w:tcW w:w="1025" w:type="pct"/>
            <w:gridSpan w:val="4"/>
            <w:noWrap w:val="0"/>
            <w:vAlign w:val="center"/>
          </w:tcPr>
          <w:p w14:paraId="2C168F9A">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w:t>
            </w:r>
          </w:p>
        </w:tc>
        <w:tc>
          <w:tcPr>
            <w:tcW w:w="1264" w:type="pct"/>
            <w:gridSpan w:val="5"/>
            <w:noWrap w:val="0"/>
            <w:vAlign w:val="center"/>
          </w:tcPr>
          <w:p w14:paraId="5D0C818D">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sz w:val="21"/>
                <w:szCs w:val="21"/>
              </w:rPr>
            </w:pPr>
            <w:r>
              <w:rPr>
                <w:rFonts w:hint="default" w:ascii="Times New Roman" w:hAnsi="Times New Roman" w:eastAsia="宋体" w:cs="Times New Roman"/>
                <w:b w:val="0"/>
                <w:bCs w:val="0"/>
                <w:spacing w:val="-2"/>
                <w:sz w:val="21"/>
                <w:szCs w:val="21"/>
              </w:rPr>
              <w:t>最大弧垂</w:t>
            </w:r>
          </w:p>
        </w:tc>
      </w:tr>
      <w:tr w14:paraId="3FA43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noWrap w:val="0"/>
            <w:vAlign w:val="center"/>
          </w:tcPr>
          <w:p w14:paraId="2DB26F22">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0"/>
                <w:sz w:val="21"/>
                <w:szCs w:val="21"/>
                <w:lang w:val="en-US" w:eastAsia="zh-CN"/>
              </w:rPr>
            </w:pPr>
            <w:r>
              <w:rPr>
                <w:rFonts w:hint="eastAsia" w:ascii="Times New Roman" w:hAnsi="Times New Roman" w:eastAsia="宋体" w:cs="Times New Roman"/>
                <w:b w:val="0"/>
                <w:bCs w:val="0"/>
                <w:spacing w:val="-10"/>
                <w:sz w:val="21"/>
                <w:szCs w:val="21"/>
                <w:lang w:val="en-US" w:eastAsia="zh-CN"/>
              </w:rPr>
              <w:t>9</w:t>
            </w:r>
          </w:p>
        </w:tc>
        <w:tc>
          <w:tcPr>
            <w:tcW w:w="2296" w:type="pct"/>
            <w:gridSpan w:val="10"/>
            <w:noWrap w:val="0"/>
            <w:vAlign w:val="center"/>
          </w:tcPr>
          <w:p w14:paraId="5E95FD3B">
            <w:pPr>
              <w:pStyle w:val="135"/>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spacing w:val="-1"/>
                <w:sz w:val="21"/>
                <w:szCs w:val="21"/>
                <w:lang w:val="en-US" w:eastAsia="zh-CN"/>
              </w:rPr>
            </w:pPr>
            <w:r>
              <w:rPr>
                <w:rFonts w:hint="eastAsia" w:ascii="Times New Roman" w:hAnsi="Times New Roman" w:eastAsia="宋体" w:cs="Times New Roman"/>
                <w:b w:val="0"/>
                <w:bCs w:val="0"/>
                <w:spacing w:val="-1"/>
                <w:sz w:val="21"/>
                <w:szCs w:val="21"/>
                <w:lang w:val="en-US" w:eastAsia="zh-CN"/>
              </w:rPr>
              <w:t>电力线路</w:t>
            </w:r>
          </w:p>
        </w:tc>
        <w:tc>
          <w:tcPr>
            <w:tcW w:w="1025" w:type="pct"/>
            <w:gridSpan w:val="4"/>
            <w:noWrap w:val="0"/>
            <w:vAlign w:val="center"/>
          </w:tcPr>
          <w:p w14:paraId="2A203EFB">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w:t>
            </w:r>
          </w:p>
        </w:tc>
        <w:tc>
          <w:tcPr>
            <w:tcW w:w="1264" w:type="pct"/>
            <w:gridSpan w:val="5"/>
            <w:noWrap w:val="0"/>
            <w:vAlign w:val="center"/>
          </w:tcPr>
          <w:p w14:paraId="597E8094">
            <w:pPr>
              <w:keepNext w:val="0"/>
              <w:keepLines w:val="0"/>
              <w:pageBreakBefore w:val="0"/>
              <w:widowControl w:val="0"/>
              <w:suppressLineNumbers w:val="0"/>
              <w:kinsoku/>
              <w:wordWrap/>
              <w:overflowPunct/>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sz w:val="21"/>
                <w:szCs w:val="21"/>
              </w:rPr>
            </w:pPr>
            <w:r>
              <w:rPr>
                <w:rFonts w:hint="default" w:ascii="Times New Roman" w:hAnsi="Times New Roman" w:eastAsia="宋体" w:cs="Times New Roman"/>
                <w:b w:val="0"/>
                <w:bCs w:val="0"/>
                <w:spacing w:val="-2"/>
                <w:sz w:val="21"/>
                <w:szCs w:val="21"/>
              </w:rPr>
              <w:t>最大弧垂</w:t>
            </w:r>
          </w:p>
        </w:tc>
      </w:tr>
      <w:tr w14:paraId="44DF5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13" w:type="pct"/>
            <w:noWrap w:val="0"/>
            <w:vAlign w:val="center"/>
          </w:tcPr>
          <w:p w14:paraId="3D9B6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kern w:val="2"/>
                <w:sz w:val="21"/>
                <w:szCs w:val="21"/>
                <w:lang w:val="en-US" w:eastAsia="zh-CN" w:bidi="ar-SA"/>
              </w:rPr>
            </w:pPr>
            <w:r>
              <w:rPr>
                <w:rFonts w:hint="eastAsia" w:ascii="Times New Roman" w:hAnsi="Times New Roman" w:cs="Times New Roman"/>
                <w:b w:val="0"/>
                <w:bCs w:val="0"/>
                <w:spacing w:val="-1"/>
                <w:kern w:val="2"/>
                <w:sz w:val="21"/>
                <w:szCs w:val="21"/>
                <w:lang w:val="en-US" w:eastAsia="zh-CN" w:bidi="ar-SA"/>
              </w:rPr>
              <w:t>10</w:t>
            </w:r>
          </w:p>
        </w:tc>
        <w:tc>
          <w:tcPr>
            <w:tcW w:w="2296" w:type="pct"/>
            <w:gridSpan w:val="10"/>
            <w:noWrap w:val="0"/>
            <w:vAlign w:val="center"/>
          </w:tcPr>
          <w:p w14:paraId="4647FD8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kern w:val="2"/>
                <w:sz w:val="21"/>
                <w:szCs w:val="21"/>
                <w:lang w:val="en-US" w:eastAsia="zh-CN" w:bidi="ar-SA"/>
              </w:rPr>
            </w:pPr>
            <w:r>
              <w:rPr>
                <w:rFonts w:hint="eastAsia" w:ascii="Times New Roman" w:hAnsi="Times New Roman" w:eastAsia="宋体" w:cs="Times New Roman"/>
                <w:b w:val="0"/>
                <w:bCs w:val="0"/>
                <w:spacing w:val="-1"/>
                <w:kern w:val="2"/>
                <w:sz w:val="21"/>
                <w:szCs w:val="21"/>
                <w:lang w:val="en-US" w:eastAsia="zh-CN" w:bidi="ar-SA"/>
              </w:rPr>
              <w:t>弱电线路</w:t>
            </w:r>
          </w:p>
        </w:tc>
        <w:tc>
          <w:tcPr>
            <w:tcW w:w="1025" w:type="pct"/>
            <w:gridSpan w:val="4"/>
            <w:noWrap w:val="0"/>
            <w:vAlign w:val="center"/>
          </w:tcPr>
          <w:p w14:paraId="05D95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val="0"/>
                <w:spacing w:val="-1"/>
                <w:kern w:val="2"/>
                <w:sz w:val="21"/>
                <w:szCs w:val="21"/>
                <w:lang w:val="en-US" w:eastAsia="zh-CN" w:bidi="ar-SA"/>
              </w:rPr>
            </w:pPr>
            <w:r>
              <w:rPr>
                <w:rFonts w:hint="eastAsia" w:ascii="Times New Roman" w:hAnsi="Times New Roman" w:eastAsia="宋体" w:cs="Times New Roman"/>
                <w:b w:val="0"/>
                <w:bCs w:val="0"/>
                <w:spacing w:val="-1"/>
                <w:kern w:val="2"/>
                <w:sz w:val="21"/>
                <w:szCs w:val="21"/>
                <w:lang w:val="en-US" w:eastAsia="zh-CN" w:bidi="ar-SA"/>
              </w:rPr>
              <w:t>3</w:t>
            </w:r>
          </w:p>
        </w:tc>
        <w:tc>
          <w:tcPr>
            <w:tcW w:w="1264" w:type="pct"/>
            <w:gridSpan w:val="5"/>
            <w:noWrap w:val="0"/>
            <w:vAlign w:val="center"/>
          </w:tcPr>
          <w:p w14:paraId="7690C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
                <w:kern w:val="2"/>
                <w:sz w:val="21"/>
                <w:szCs w:val="21"/>
                <w:lang w:val="en-US" w:eastAsia="en-US" w:bidi="ar-SA"/>
              </w:rPr>
            </w:pPr>
            <w:r>
              <w:rPr>
                <w:rFonts w:hint="default" w:ascii="Times New Roman" w:hAnsi="Times New Roman" w:eastAsia="宋体" w:cs="Times New Roman"/>
                <w:b w:val="0"/>
                <w:bCs w:val="0"/>
                <w:spacing w:val="-1"/>
                <w:kern w:val="2"/>
                <w:sz w:val="21"/>
                <w:szCs w:val="21"/>
                <w:lang w:val="en-US" w:eastAsia="en-US" w:bidi="ar-SA"/>
              </w:rPr>
              <w:t>最大弧垂</w:t>
            </w:r>
          </w:p>
        </w:tc>
      </w:tr>
      <w:tr w14:paraId="02D38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5000" w:type="pct"/>
            <w:gridSpan w:val="20"/>
            <w:noWrap w:val="0"/>
            <w:vAlign w:val="top"/>
          </w:tcPr>
          <w:p w14:paraId="6F9BF19E">
            <w:pPr>
              <w:pStyle w:val="16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right="0" w:firstLine="480" w:firstLineChars="200"/>
              <w:textAlignment w:val="auto"/>
              <w:rPr>
                <w:rFonts w:hint="eastAsia" w:cs="Times New Roman"/>
                <w:sz w:val="24"/>
                <w:szCs w:val="24"/>
                <w:lang w:val="en-US" w:eastAsia="zh-CN"/>
              </w:rPr>
            </w:pPr>
          </w:p>
          <w:p w14:paraId="6C5B5954">
            <w:pPr>
              <w:pStyle w:val="163"/>
              <w:keepNext w:val="0"/>
              <w:keepLines w:val="0"/>
              <w:numPr>
                <w:ilvl w:val="0"/>
                <w:numId w:val="4"/>
              </w:numPr>
              <w:suppressLineNumbers w:val="0"/>
              <w:bidi w:val="0"/>
              <w:spacing w:before="0" w:beforeAutospacing="0" w:after="0" w:afterAutospacing="0"/>
              <w:ind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兆瓦能源110kV光伏升压站</w:t>
            </w:r>
          </w:p>
          <w:p w14:paraId="67D1BBA8">
            <w:pPr>
              <w:pStyle w:val="16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rightChars="0" w:firstLine="480" w:firstLineChars="20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兆瓦能源110kV光伏升压站</w:t>
            </w:r>
            <w:r>
              <w:rPr>
                <w:rFonts w:hint="eastAsia" w:cs="Times New Roman"/>
                <w:color w:val="000000" w:themeColor="text1"/>
                <w:sz w:val="24"/>
                <w:szCs w:val="24"/>
                <w:lang w:val="en-US" w:eastAsia="zh-CN"/>
                <w14:textFill>
                  <w14:solidFill>
                    <w14:schemeClr w14:val="tx1"/>
                  </w14:solidFill>
                </w14:textFill>
              </w:rPr>
              <w:t>位于主体工程综合管理区（用地面积约9195</w:t>
            </w:r>
            <w:r>
              <w:rPr>
                <w:rFonts w:hint="eastAsia" w:ascii="Times New Roman" w:hAnsi="Times New Roman" w:eastAsia="宋体" w:cs="Times New Roman"/>
                <w:bCs w:val="0"/>
                <w:color w:val="000000" w:themeColor="text1"/>
                <w:spacing w:val="0"/>
                <w:kern w:val="0"/>
                <w:sz w:val="24"/>
                <w:szCs w:val="24"/>
                <w:lang w:val="en-US" w:eastAsia="zh-CN" w:bidi="ar-SA"/>
                <w14:textFill>
                  <w14:solidFill>
                    <w14:schemeClr w14:val="tx1"/>
                  </w14:solidFill>
                </w14:textFill>
              </w:rPr>
              <w:t>m</w:t>
            </w:r>
            <w:r>
              <w:rPr>
                <w:rFonts w:hint="eastAsia" w:ascii="Times New Roman" w:hAnsi="Times New Roman" w:eastAsia="宋体" w:cs="Times New Roman"/>
                <w:bCs w:val="0"/>
                <w:color w:val="000000" w:themeColor="text1"/>
                <w:spacing w:val="0"/>
                <w:kern w:val="0"/>
                <w:sz w:val="24"/>
                <w:szCs w:val="24"/>
                <w:vertAlign w:val="superscript"/>
                <w:lang w:val="en-US" w:eastAsia="zh-CN" w:bidi="ar-SA"/>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）内，</w:t>
            </w:r>
            <w:r>
              <w:rPr>
                <w:rFonts w:hint="default"/>
                <w:color w:val="000000" w:themeColor="text1"/>
                <w:spacing w:val="-1"/>
                <w:sz w:val="24"/>
                <w:szCs w:val="24"/>
                <w14:textFill>
                  <w14:solidFill>
                    <w14:schemeClr w14:val="tx1"/>
                  </w14:solidFill>
                </w14:textFill>
              </w:rPr>
              <w:t>升压站内主要建设</w:t>
            </w:r>
            <w:r>
              <w:rPr>
                <w:rFonts w:hint="eastAsia"/>
                <w:color w:val="000000" w:themeColor="text1"/>
                <w:spacing w:val="-1"/>
                <w:sz w:val="24"/>
                <w:szCs w:val="24"/>
                <w:lang w:val="en-US" w:eastAsia="zh-CN"/>
                <w14:textFill>
                  <w14:solidFill>
                    <w14:schemeClr w14:val="tx1"/>
                  </w14:solidFill>
                </w14:textFill>
              </w:rPr>
              <w:t>有</w:t>
            </w:r>
            <w:r>
              <w:rPr>
                <w:rFonts w:hint="default" w:ascii="Times New Roman" w:hAnsi="Times New Roman" w:eastAsia="宋体" w:cs="Times New Roman"/>
                <w:color w:val="000000" w:themeColor="text1"/>
                <w:sz w:val="24"/>
                <w:szCs w:val="24"/>
                <w:highlight w:val="none"/>
                <w14:textFill>
                  <w14:solidFill>
                    <w14:schemeClr w14:val="tx1"/>
                  </w14:solidFill>
                </w14:textFill>
              </w:rPr>
              <w:t>主变压器</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无功补偿装置</w:t>
            </w:r>
            <w:r>
              <w:rPr>
                <w:rFonts w:hint="eastAsia" w:cs="Times New Roman"/>
                <w:color w:val="000000" w:themeColor="text1"/>
                <w:sz w:val="24"/>
                <w:szCs w:val="24"/>
                <w:highlight w:val="none"/>
                <w:lang w:val="en-US" w:eastAsia="zh-CN"/>
                <w14:textFill>
                  <w14:solidFill>
                    <w14:schemeClr w14:val="tx1"/>
                  </w14:solidFill>
                </w14:textFill>
              </w:rPr>
              <w:t>、综合自动化室、事故油池、避雷针等。</w:t>
            </w:r>
            <w:r>
              <w:rPr>
                <w:rFonts w:hint="default"/>
                <w:color w:val="000000" w:themeColor="text1"/>
                <w:spacing w:val="-3"/>
                <w:sz w:val="24"/>
                <w:szCs w:val="24"/>
                <w14:textFill>
                  <w14:solidFill>
                    <w14:schemeClr w14:val="tx1"/>
                  </w14:solidFill>
                </w14:textFill>
              </w:rPr>
              <w:t>升压站总占地面积</w:t>
            </w:r>
            <w:r>
              <w:rPr>
                <w:rFonts w:hint="eastAsia"/>
                <w:color w:val="000000" w:themeColor="text1"/>
                <w:spacing w:val="-3"/>
                <w:sz w:val="24"/>
                <w:szCs w:val="24"/>
                <w:lang w:val="en-US" w:eastAsia="zh-CN"/>
                <w14:textFill>
                  <w14:solidFill>
                    <w14:schemeClr w14:val="tx1"/>
                  </w14:solidFill>
                </w14:textFill>
              </w:rPr>
              <w:t>约</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3780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m</w:t>
            </w:r>
            <w:r>
              <w:rPr>
                <w:rFonts w:hint="eastAsia" w:ascii="Times New Roman" w:hAnsi="Times New Roman" w:cs="Times New Roman"/>
                <w:color w:val="000000" w:themeColor="text1"/>
                <w:spacing w:val="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p>
          <w:p w14:paraId="771079DA">
            <w:pPr>
              <w:pStyle w:val="16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rightChars="0" w:firstLine="480" w:firstLineChars="200"/>
              <w:textAlignment w:val="auto"/>
              <w:rPr>
                <w:rFonts w:hint="eastAsia" w:ascii="Times New Roman" w:hAnsi="Times New Roman" w:eastAsia="宋体" w:cs="Times New Roman"/>
                <w:color w:val="000000" w:themeColor="text1"/>
                <w:kern w:val="36"/>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主变压器由</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西安天虹电气</w:t>
            </w:r>
            <w:r>
              <w:rPr>
                <w:rFonts w:hint="eastAsia" w:ascii="Times New Roman" w:hAnsi="Times New Roman" w:eastAsia="宋体" w:cs="Times New Roman"/>
                <w:color w:val="000000" w:themeColor="text1"/>
                <w:kern w:val="0"/>
                <w:sz w:val="24"/>
                <w:szCs w:val="24"/>
                <w14:textFill>
                  <w14:solidFill>
                    <w14:schemeClr w14:val="tx1"/>
                  </w14:solidFill>
                </w14:textFill>
              </w:rPr>
              <w:t>有限公司生产</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36"/>
                <w:sz w:val="24"/>
                <w:szCs w:val="24"/>
                <w14:textFill>
                  <w14:solidFill>
                    <w14:schemeClr w14:val="tx1"/>
                  </w14:solidFill>
                </w14:textFill>
              </w:rPr>
              <w:t>型号</w:t>
            </w:r>
            <w:r>
              <w:rPr>
                <w:rFonts w:hint="default" w:ascii="Times New Roman" w:hAnsi="Times New Roman" w:eastAsia="宋体" w:cs="Times New Roman"/>
                <w:color w:val="000000" w:themeColor="text1"/>
                <w:sz w:val="24"/>
                <w:szCs w:val="24"/>
                <w14:textFill>
                  <w14:solidFill>
                    <w14:schemeClr w14:val="tx1"/>
                  </w14:solidFill>
                </w14:textFill>
              </w:rPr>
              <w:t>S</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w:t>
            </w:r>
            <w:r>
              <w:rPr>
                <w:rFonts w:hint="default" w:ascii="Times New Roman" w:hAnsi="Times New Roman" w:eastAsia="宋体" w:cs="Times New Roman"/>
                <w:color w:val="000000" w:themeColor="text1"/>
                <w:sz w:val="24"/>
                <w:szCs w:val="24"/>
                <w14:textFill>
                  <w14:solidFill>
                    <w14:schemeClr w14:val="tx1"/>
                  </w14:solidFill>
                </w14:textFill>
              </w:rPr>
              <w:t>Z1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63000</w:t>
            </w:r>
            <w:r>
              <w:rPr>
                <w:rFonts w:hint="default" w:ascii="Times New Roman" w:hAnsi="Times New Roman" w:eastAsia="宋体" w:cs="Times New Roman"/>
                <w:color w:val="000000" w:themeColor="text1"/>
                <w:sz w:val="24"/>
                <w:szCs w:val="24"/>
                <w14:textFill>
                  <w14:solidFill>
                    <w14:schemeClr w14:val="tx1"/>
                  </w14:solidFill>
                </w14:textFill>
              </w:rPr>
              <w:t>/110</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36"/>
                <w:sz w:val="24"/>
                <w:szCs w:val="24"/>
                <w14:textFill>
                  <w14:solidFill>
                    <w14:schemeClr w14:val="tx1"/>
                  </w14:solidFill>
                </w14:textFill>
              </w:rPr>
              <w:t>额定电压</w:t>
            </w:r>
            <w:r>
              <w:rPr>
                <w:rFonts w:hint="default" w:ascii="Times New Roman" w:hAnsi="Times New Roman" w:eastAsia="宋体" w:cs="Times New Roman"/>
                <w:color w:val="000000" w:themeColor="text1"/>
                <w:sz w:val="24"/>
                <w:szCs w:val="24"/>
                <w14:textFill>
                  <w14:solidFill>
                    <w14:schemeClr w14:val="tx1"/>
                  </w14:solidFill>
                </w14:textFill>
              </w:rPr>
              <w:t>(115</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1.25%)/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38.5kV，</w:t>
            </w:r>
            <w:r>
              <w:rPr>
                <w:rFonts w:hint="eastAsia" w:ascii="Times New Roman" w:hAnsi="Times New Roman" w:eastAsia="宋体" w:cs="Times New Roman"/>
                <w:color w:val="000000" w:themeColor="text1"/>
                <w:kern w:val="36"/>
                <w:sz w:val="24"/>
                <w:szCs w:val="24"/>
                <w14:textFill>
                  <w14:solidFill>
                    <w14:schemeClr w14:val="tx1"/>
                  </w14:solidFill>
                </w14:textFill>
              </w:rPr>
              <w:t>额定频率</w:t>
            </w:r>
            <w:r>
              <w:rPr>
                <w:rFonts w:hint="eastAsia" w:ascii="Times New Roman" w:hAnsi="Times New Roman" w:eastAsia="宋体" w:cs="Times New Roman"/>
                <w:color w:val="000000" w:themeColor="text1"/>
                <w:kern w:val="36"/>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kern w:val="36"/>
                <w:sz w:val="24"/>
                <w:szCs w:val="24"/>
                <w14:textFill>
                  <w14:solidFill>
                    <w14:schemeClr w14:val="tx1"/>
                  </w14:solidFill>
                </w14:textFill>
              </w:rPr>
              <w:t>Hz</w:t>
            </w:r>
            <w:r>
              <w:rPr>
                <w:rFonts w:hint="eastAsia" w:cs="Times New Roman"/>
                <w:color w:val="000000" w:themeColor="text1"/>
                <w:kern w:val="36"/>
                <w:sz w:val="24"/>
                <w:szCs w:val="24"/>
                <w:lang w:eastAsia="zh-CN"/>
                <w14:textFill>
                  <w14:solidFill>
                    <w14:schemeClr w14:val="tx1"/>
                  </w14:solidFill>
                </w14:textFill>
              </w:rPr>
              <w:t>；</w:t>
            </w:r>
            <w:r>
              <w:rPr>
                <w:rFonts w:hint="eastAsia" w:cs="Times New Roman"/>
                <w:sz w:val="24"/>
                <w:szCs w:val="24"/>
                <w:lang w:val="en-US" w:eastAsia="zh-CN"/>
              </w:rPr>
              <w:t>额定容量：63000kVA</w:t>
            </w:r>
            <w:r>
              <w:rPr>
                <w:rFonts w:hint="eastAsia" w:ascii="Times New Roman" w:hAnsi="Times New Roman" w:eastAsia="宋体" w:cs="Times New Roman"/>
                <w:color w:val="000000" w:themeColor="text1"/>
                <w:kern w:val="36"/>
                <w:sz w:val="24"/>
                <w:szCs w:val="24"/>
                <w:lang w:eastAsia="zh-CN"/>
                <w14:textFill>
                  <w14:solidFill>
                    <w14:schemeClr w14:val="tx1"/>
                  </w14:solidFill>
                </w14:textFill>
              </w:rPr>
              <w:t>。</w:t>
            </w:r>
          </w:p>
          <w:p w14:paraId="269346FE">
            <w:pPr>
              <w:pStyle w:val="16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rightChars="0" w:firstLine="480" w:firstLineChars="200"/>
              <w:textAlignment w:val="auto"/>
              <w:rPr>
                <w:rFonts w:hint="eastAsia" w:ascii="Times New Roman" w:hAnsi="Times New Roman" w:eastAsia="宋体" w:cs="Times New Roman"/>
                <w:color w:val="000000" w:themeColor="text1"/>
                <w:kern w:val="36"/>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无功补偿装置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采用山东新风光电子科技发展有限</w:t>
            </w:r>
            <w:r>
              <w:rPr>
                <w:rFonts w:hint="eastAsia" w:ascii="Times New Roman" w:hAnsi="Times New Roman" w:eastAsia="宋体" w:cs="Times New Roman"/>
                <w:color w:val="000000" w:themeColor="text1"/>
                <w:kern w:val="0"/>
                <w:sz w:val="24"/>
                <w:szCs w:val="24"/>
                <w14:textFill>
                  <w14:solidFill>
                    <w14:schemeClr w14:val="tx1"/>
                  </w14:solidFill>
                </w14:textFill>
              </w:rPr>
              <w:t>公司研制的级联式高压动态无功补偿装置</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额定容量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4"/>
                <w:szCs w:val="24"/>
                <w14:textFill>
                  <w14:solidFill>
                    <w14:schemeClr w14:val="tx1"/>
                  </w14:solidFill>
                </w14:textFill>
              </w:rPr>
              <w:t>Mvar</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额定工作电压</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35kV。</w:t>
            </w:r>
          </w:p>
          <w:p w14:paraId="2AC17B54">
            <w:pPr>
              <w:pStyle w:val="163"/>
              <w:keepNext w:val="0"/>
              <w:keepLines w:val="0"/>
              <w:numPr>
                <w:ilvl w:val="0"/>
                <w:numId w:val="0"/>
              </w:numPr>
              <w:suppressLineNumbers w:val="0"/>
              <w:bidi w:val="0"/>
              <w:spacing w:before="0" w:beforeAutospacing="0" w:after="0" w:afterAutospacing="0"/>
              <w:ind w:right="0"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（3）工程占地</w:t>
            </w:r>
          </w:p>
          <w:p w14:paraId="3A8EAE4F">
            <w:pPr>
              <w:pStyle w:val="16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firstLine="480" w:firstLineChars="200"/>
              <w:textAlignment w:val="auto"/>
              <w:rPr>
                <w:rFonts w:hint="eastAsia" w:ascii="Times New Roman" w:hAnsi="Times New Roman" w:eastAsia="宋体" w:cs="Times New Roman"/>
                <w:color w:val="000000" w:themeColor="text1"/>
                <w:sz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本工程已完成建设，</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本项目总占地面积为</w:t>
            </w:r>
            <w:r>
              <w:rPr>
                <w:rFonts w:hint="eastAsia" w:cs="Times New Roman"/>
                <w:bCs w:val="0"/>
                <w:color w:val="000000" w:themeColor="text1"/>
                <w:spacing w:val="0"/>
                <w:kern w:val="0"/>
                <w:sz w:val="24"/>
                <w:szCs w:val="28"/>
                <w:lang w:val="en-US" w:eastAsia="zh-CN" w:bidi="ar-SA"/>
                <w14:textFill>
                  <w14:solidFill>
                    <w14:schemeClr w14:val="tx1"/>
                  </w14:solidFill>
                </w14:textFill>
              </w:rPr>
              <w:t>1.7</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hm</w:t>
            </w:r>
            <w:r>
              <w:rPr>
                <w:rFonts w:hint="eastAsia" w:ascii="Times New Roman" w:hAnsi="Times New Roman" w:eastAsia="宋体" w:cs="Times New Roman"/>
                <w:bCs w:val="0"/>
                <w:color w:val="000000" w:themeColor="text1"/>
                <w:spacing w:val="0"/>
                <w:kern w:val="0"/>
                <w:sz w:val="24"/>
                <w:szCs w:val="28"/>
                <w:vertAlign w:val="superscript"/>
                <w:lang w:val="en-US" w:eastAsia="zh-CN" w:bidi="ar-SA"/>
                <w14:textFill>
                  <w14:solidFill>
                    <w14:schemeClr w14:val="tx1"/>
                  </w14:solidFill>
                </w14:textFill>
              </w:rPr>
              <w:t>2</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，其中永久占地0.</w:t>
            </w:r>
            <w:r>
              <w:rPr>
                <w:rFonts w:hint="eastAsia" w:cs="Times New Roman"/>
                <w:bCs w:val="0"/>
                <w:color w:val="000000" w:themeColor="text1"/>
                <w:spacing w:val="0"/>
                <w:kern w:val="0"/>
                <w:sz w:val="24"/>
                <w:szCs w:val="28"/>
                <w:lang w:val="en-US" w:eastAsia="zh-CN" w:bidi="ar-SA"/>
                <w14:textFill>
                  <w14:solidFill>
                    <w14:schemeClr w14:val="tx1"/>
                  </w14:solidFill>
                </w14:textFill>
              </w:rPr>
              <w:t>44</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hm</w:t>
            </w:r>
            <w:r>
              <w:rPr>
                <w:rFonts w:hint="eastAsia" w:ascii="Times New Roman" w:hAnsi="Times New Roman" w:eastAsia="宋体" w:cs="Times New Roman"/>
                <w:bCs w:val="0"/>
                <w:color w:val="000000" w:themeColor="text1"/>
                <w:spacing w:val="0"/>
                <w:kern w:val="0"/>
                <w:sz w:val="24"/>
                <w:szCs w:val="28"/>
                <w:vertAlign w:val="superscript"/>
                <w:lang w:val="en-US" w:eastAsia="zh-CN" w:bidi="ar-SA"/>
                <w14:textFill>
                  <w14:solidFill>
                    <w14:schemeClr w14:val="tx1"/>
                  </w14:solidFill>
                </w14:textFill>
              </w:rPr>
              <w:t>2</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，临时占地</w:t>
            </w:r>
            <w:r>
              <w:rPr>
                <w:rFonts w:hint="eastAsia" w:cs="Times New Roman"/>
                <w:bCs w:val="0"/>
                <w:color w:val="000000" w:themeColor="text1"/>
                <w:spacing w:val="0"/>
                <w:kern w:val="0"/>
                <w:sz w:val="24"/>
                <w:szCs w:val="28"/>
                <w:lang w:val="en-US" w:eastAsia="zh-CN" w:bidi="ar-SA"/>
                <w14:textFill>
                  <w14:solidFill>
                    <w14:schemeClr w14:val="tx1"/>
                  </w14:solidFill>
                </w14:textFill>
              </w:rPr>
              <w:t>1.26</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hm</w:t>
            </w:r>
            <w:r>
              <w:rPr>
                <w:rFonts w:hint="eastAsia" w:ascii="Times New Roman" w:hAnsi="Times New Roman" w:eastAsia="宋体" w:cs="Times New Roman"/>
                <w:bCs w:val="0"/>
                <w:color w:val="000000" w:themeColor="text1"/>
                <w:spacing w:val="0"/>
                <w:kern w:val="0"/>
                <w:sz w:val="24"/>
                <w:szCs w:val="28"/>
                <w:vertAlign w:val="superscript"/>
                <w:lang w:val="en-US" w:eastAsia="zh-CN" w:bidi="ar-SA"/>
                <w14:textFill>
                  <w14:solidFill>
                    <w14:schemeClr w14:val="tx1"/>
                  </w14:solidFill>
                </w14:textFill>
              </w:rPr>
              <w:t>2</w:t>
            </w:r>
            <w:r>
              <w:rPr>
                <w:rFonts w:hint="eastAsia" w:ascii="Times New Roman" w:hAnsi="Times New Roman" w:eastAsia="宋体" w:cs="Times New Roman"/>
                <w:bCs w:val="0"/>
                <w:color w:val="000000" w:themeColor="text1"/>
                <w:spacing w:val="0"/>
                <w:kern w:val="0"/>
                <w:sz w:val="24"/>
                <w:szCs w:val="28"/>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highlight w:val="none"/>
                <w:vertAlign w:val="baseline"/>
                <w:lang w:val="en-US" w:eastAsia="zh-CN"/>
                <w14:textFill>
                  <w14:solidFill>
                    <w14:schemeClr w14:val="tx1"/>
                  </w14:solidFill>
                </w14:textFill>
              </w:rPr>
              <w:t>具体的占地面积见下表。</w:t>
            </w:r>
          </w:p>
          <w:p w14:paraId="0C9E99E0">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eastAsia="黑体" w:cs="Times New Roman"/>
                <w:b/>
                <w:bCs/>
                <w:color w:val="000000"/>
                <w:kern w:val="0"/>
                <w:sz w:val="24"/>
                <w:szCs w:val="20"/>
                <w:lang w:val="en-US" w:eastAsia="zh-CN" w:bidi="ar-SA"/>
              </w:rPr>
              <w:t>表</w:t>
            </w:r>
            <w:r>
              <w:rPr>
                <w:rFonts w:hint="eastAsia" w:eastAsia="黑体" w:cs="Times New Roman"/>
                <w:b/>
                <w:bCs/>
                <w:color w:val="000000"/>
                <w:kern w:val="0"/>
                <w:sz w:val="24"/>
                <w:szCs w:val="20"/>
                <w:lang w:val="en-US" w:eastAsia="zh-CN" w:bidi="ar-SA"/>
              </w:rPr>
              <w:t xml:space="preserve">2-4 </w:t>
            </w:r>
            <w:r>
              <w:rPr>
                <w:rFonts w:hint="default" w:ascii="Times New Roman" w:hAnsi="Times New Roman" w:eastAsia="黑体" w:cs="Times New Roman"/>
                <w:b/>
                <w:bCs/>
                <w:color w:val="000000"/>
                <w:kern w:val="0"/>
                <w:sz w:val="24"/>
                <w:szCs w:val="20"/>
                <w:lang w:val="en-US" w:eastAsia="zh-CN" w:bidi="ar-SA"/>
              </w:rPr>
              <w:t>项目占地一览表</w:t>
            </w:r>
            <w:r>
              <w:rPr>
                <w:rFonts w:hint="eastAsia" w:ascii="Times New Roman" w:hAnsi="Times New Roman" w:eastAsia="黑体" w:cs="Times New Roman"/>
                <w:b/>
                <w:bCs/>
                <w:color w:val="000000"/>
                <w:kern w:val="0"/>
                <w:sz w:val="24"/>
                <w:szCs w:val="20"/>
                <w:lang w:val="en-US" w:eastAsia="zh-CN" w:bidi="ar-SA"/>
              </w:rPr>
              <w:t xml:space="preserve">  单位：hm</w:t>
            </w:r>
            <w:r>
              <w:rPr>
                <w:rFonts w:hint="eastAsia" w:ascii="Times New Roman" w:hAnsi="Times New Roman" w:eastAsia="黑体" w:cs="Times New Roman"/>
                <w:b/>
                <w:bCs/>
                <w:color w:val="000000"/>
                <w:kern w:val="0"/>
                <w:sz w:val="24"/>
                <w:szCs w:val="20"/>
                <w:vertAlign w:val="superscript"/>
                <w:lang w:val="en-US" w:eastAsia="zh-CN" w:bidi="ar-SA"/>
              </w:rPr>
              <w:t>2</w:t>
            </w:r>
          </w:p>
        </w:tc>
      </w:tr>
      <w:tr w14:paraId="53652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833" w:type="pct"/>
            <w:gridSpan w:val="2"/>
            <w:vMerge w:val="restart"/>
            <w:noWrap w:val="0"/>
            <w:vAlign w:val="center"/>
          </w:tcPr>
          <w:p w14:paraId="16D70662">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项目组成</w:t>
            </w:r>
          </w:p>
        </w:tc>
        <w:tc>
          <w:tcPr>
            <w:tcW w:w="833" w:type="pct"/>
            <w:gridSpan w:val="5"/>
            <w:vMerge w:val="restart"/>
            <w:noWrap w:val="0"/>
            <w:vAlign w:val="center"/>
          </w:tcPr>
          <w:p w14:paraId="1C711F32">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占地面积</w:t>
            </w:r>
          </w:p>
        </w:tc>
        <w:tc>
          <w:tcPr>
            <w:tcW w:w="1666" w:type="pct"/>
            <w:gridSpan w:val="6"/>
            <w:noWrap w:val="0"/>
            <w:vAlign w:val="center"/>
          </w:tcPr>
          <w:p w14:paraId="27E6006C">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占地性质</w:t>
            </w:r>
          </w:p>
        </w:tc>
        <w:tc>
          <w:tcPr>
            <w:tcW w:w="833" w:type="pct"/>
            <w:gridSpan w:val="4"/>
            <w:noWrap w:val="0"/>
            <w:vAlign w:val="center"/>
          </w:tcPr>
          <w:p w14:paraId="0801377D">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占地类型</w:t>
            </w:r>
          </w:p>
        </w:tc>
        <w:tc>
          <w:tcPr>
            <w:tcW w:w="833" w:type="pct"/>
            <w:gridSpan w:val="3"/>
            <w:noWrap w:val="0"/>
            <w:vAlign w:val="center"/>
          </w:tcPr>
          <w:p w14:paraId="034D5A79">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行政区划</w:t>
            </w:r>
          </w:p>
        </w:tc>
      </w:tr>
      <w:tr w14:paraId="4B010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pct"/>
            <w:gridSpan w:val="2"/>
            <w:vMerge w:val="continue"/>
            <w:noWrap w:val="0"/>
            <w:vAlign w:val="center"/>
          </w:tcPr>
          <w:p w14:paraId="6F91E8DB">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833" w:type="pct"/>
            <w:gridSpan w:val="5"/>
            <w:vMerge w:val="continue"/>
            <w:noWrap w:val="0"/>
            <w:vAlign w:val="center"/>
          </w:tcPr>
          <w:p w14:paraId="0EFB362E">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c>
          <w:tcPr>
            <w:tcW w:w="807" w:type="pct"/>
            <w:gridSpan w:val="2"/>
            <w:noWrap w:val="0"/>
            <w:vAlign w:val="center"/>
          </w:tcPr>
          <w:p w14:paraId="5ABAE8FF">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永久占地</w:t>
            </w:r>
          </w:p>
        </w:tc>
        <w:tc>
          <w:tcPr>
            <w:tcW w:w="859" w:type="pct"/>
            <w:gridSpan w:val="4"/>
            <w:noWrap w:val="0"/>
            <w:vAlign w:val="center"/>
          </w:tcPr>
          <w:p w14:paraId="44915948">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临时占地</w:t>
            </w:r>
          </w:p>
        </w:tc>
        <w:tc>
          <w:tcPr>
            <w:tcW w:w="833" w:type="pct"/>
            <w:gridSpan w:val="4"/>
            <w:vMerge w:val="restart"/>
            <w:noWrap w:val="0"/>
            <w:vAlign w:val="center"/>
          </w:tcPr>
          <w:p w14:paraId="1FBC8BF6">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未利用地</w:t>
            </w:r>
            <w:r>
              <w:rPr>
                <w:rFonts w:hint="eastAsia" w:cs="Times New Roman"/>
                <w:b w:val="0"/>
                <w:bCs w:val="0"/>
                <w:color w:val="000000" w:themeColor="text1"/>
                <w:sz w:val="21"/>
                <w:szCs w:val="21"/>
                <w:highlight w:val="none"/>
                <w:lang w:val="en-US" w:eastAsia="zh-CN"/>
                <w14:textFill>
                  <w14:solidFill>
                    <w14:schemeClr w14:val="tx1"/>
                  </w14:solidFill>
                </w14:textFill>
              </w:rPr>
              <w:t>（裸土地）</w:t>
            </w:r>
          </w:p>
        </w:tc>
        <w:tc>
          <w:tcPr>
            <w:tcW w:w="833" w:type="pct"/>
            <w:gridSpan w:val="3"/>
            <w:vMerge w:val="restart"/>
            <w:noWrap w:val="0"/>
            <w:vAlign w:val="center"/>
          </w:tcPr>
          <w:p w14:paraId="66FAEBCA">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博斯腾湖乡</w:t>
            </w:r>
          </w:p>
        </w:tc>
      </w:tr>
      <w:tr w14:paraId="2512B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33" w:type="pct"/>
            <w:gridSpan w:val="2"/>
            <w:noWrap w:val="0"/>
            <w:vAlign w:val="center"/>
          </w:tcPr>
          <w:p w14:paraId="511B2F83">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升压站</w:t>
            </w:r>
          </w:p>
        </w:tc>
        <w:tc>
          <w:tcPr>
            <w:tcW w:w="833" w:type="pct"/>
            <w:gridSpan w:val="5"/>
            <w:noWrap w:val="0"/>
            <w:vAlign w:val="center"/>
          </w:tcPr>
          <w:p w14:paraId="35D53092">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0.38</w:t>
            </w:r>
          </w:p>
        </w:tc>
        <w:tc>
          <w:tcPr>
            <w:tcW w:w="807" w:type="pct"/>
            <w:gridSpan w:val="2"/>
            <w:noWrap w:val="0"/>
            <w:vAlign w:val="center"/>
          </w:tcPr>
          <w:p w14:paraId="132E5810">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0.38</w:t>
            </w:r>
          </w:p>
        </w:tc>
        <w:tc>
          <w:tcPr>
            <w:tcW w:w="859" w:type="pct"/>
            <w:gridSpan w:val="4"/>
            <w:noWrap w:val="0"/>
            <w:vAlign w:val="center"/>
          </w:tcPr>
          <w:p w14:paraId="43B6601E">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w:t>
            </w:r>
          </w:p>
        </w:tc>
        <w:tc>
          <w:tcPr>
            <w:tcW w:w="833" w:type="pct"/>
            <w:gridSpan w:val="4"/>
            <w:vMerge w:val="continue"/>
            <w:noWrap w:val="0"/>
            <w:vAlign w:val="top"/>
          </w:tcPr>
          <w:p w14:paraId="40EB6CF5">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c>
          <w:tcPr>
            <w:tcW w:w="833" w:type="pct"/>
            <w:gridSpan w:val="3"/>
            <w:vMerge w:val="continue"/>
            <w:noWrap w:val="0"/>
            <w:vAlign w:val="top"/>
          </w:tcPr>
          <w:p w14:paraId="29DFA11D">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r>
      <w:tr w14:paraId="357DD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833" w:type="pct"/>
            <w:gridSpan w:val="2"/>
            <w:noWrap w:val="0"/>
            <w:vAlign w:val="center"/>
          </w:tcPr>
          <w:p w14:paraId="33634562">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auto"/>
                <w:kern w:val="0"/>
                <w:sz w:val="21"/>
                <w:szCs w:val="21"/>
                <w:lang w:val="en-US" w:eastAsia="zh-CN"/>
              </w:rPr>
              <w:t>塔基及施工场地区</w:t>
            </w:r>
          </w:p>
        </w:tc>
        <w:tc>
          <w:tcPr>
            <w:tcW w:w="833" w:type="pct"/>
            <w:gridSpan w:val="5"/>
            <w:noWrap w:val="0"/>
            <w:vAlign w:val="center"/>
          </w:tcPr>
          <w:p w14:paraId="7937BC28">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0.1</w:t>
            </w:r>
            <w:r>
              <w:rPr>
                <w:rFonts w:hint="eastAsia" w:ascii="Times New Roman" w:hAnsi="Times New Roman" w:eastAsia="宋体" w:cs="Times New Roman"/>
                <w:b w:val="0"/>
                <w:bCs/>
                <w:color w:val="auto"/>
                <w:kern w:val="0"/>
                <w:sz w:val="21"/>
                <w:szCs w:val="21"/>
                <w:lang w:val="en-US" w:eastAsia="zh-CN"/>
              </w:rPr>
              <w:t>8</w:t>
            </w:r>
          </w:p>
        </w:tc>
        <w:tc>
          <w:tcPr>
            <w:tcW w:w="807" w:type="pct"/>
            <w:gridSpan w:val="2"/>
            <w:noWrap w:val="0"/>
            <w:vAlign w:val="center"/>
          </w:tcPr>
          <w:p w14:paraId="5F034483">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0.0</w:t>
            </w:r>
            <w:r>
              <w:rPr>
                <w:rFonts w:hint="eastAsia" w:ascii="Times New Roman" w:hAnsi="Times New Roman" w:eastAsia="宋体" w:cs="Times New Roman"/>
                <w:b w:val="0"/>
                <w:bCs/>
                <w:color w:val="auto"/>
                <w:kern w:val="0"/>
                <w:sz w:val="21"/>
                <w:szCs w:val="21"/>
                <w:lang w:val="en-US" w:eastAsia="zh-CN"/>
              </w:rPr>
              <w:t>6</w:t>
            </w:r>
          </w:p>
        </w:tc>
        <w:tc>
          <w:tcPr>
            <w:tcW w:w="859" w:type="pct"/>
            <w:gridSpan w:val="4"/>
            <w:noWrap w:val="0"/>
            <w:vAlign w:val="center"/>
          </w:tcPr>
          <w:p w14:paraId="34A64353">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0.1</w:t>
            </w:r>
            <w:r>
              <w:rPr>
                <w:rFonts w:hint="eastAsia" w:ascii="Times New Roman" w:hAnsi="Times New Roman" w:eastAsia="宋体" w:cs="Times New Roman"/>
                <w:b w:val="0"/>
                <w:bCs/>
                <w:color w:val="auto"/>
                <w:kern w:val="0"/>
                <w:sz w:val="21"/>
                <w:szCs w:val="21"/>
                <w:lang w:val="en-US" w:eastAsia="zh-CN"/>
              </w:rPr>
              <w:t>2</w:t>
            </w:r>
          </w:p>
        </w:tc>
        <w:tc>
          <w:tcPr>
            <w:tcW w:w="833" w:type="pct"/>
            <w:gridSpan w:val="4"/>
            <w:vMerge w:val="continue"/>
            <w:noWrap w:val="0"/>
            <w:vAlign w:val="top"/>
          </w:tcPr>
          <w:p w14:paraId="0EAB1C2E">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c>
          <w:tcPr>
            <w:tcW w:w="833" w:type="pct"/>
            <w:gridSpan w:val="3"/>
            <w:vMerge w:val="continue"/>
            <w:noWrap w:val="0"/>
            <w:vAlign w:val="top"/>
          </w:tcPr>
          <w:p w14:paraId="76C98600">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r>
      <w:tr w14:paraId="24EB4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833" w:type="pct"/>
            <w:gridSpan w:val="2"/>
            <w:noWrap w:val="0"/>
            <w:vAlign w:val="center"/>
          </w:tcPr>
          <w:p w14:paraId="76315BFC">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auto"/>
                <w:kern w:val="0"/>
                <w:sz w:val="21"/>
                <w:szCs w:val="21"/>
                <w:lang w:val="en-US" w:eastAsia="zh-CN"/>
              </w:rPr>
              <w:t>牵张场</w:t>
            </w:r>
          </w:p>
        </w:tc>
        <w:tc>
          <w:tcPr>
            <w:tcW w:w="833" w:type="pct"/>
            <w:gridSpan w:val="5"/>
            <w:noWrap w:val="0"/>
            <w:vAlign w:val="center"/>
          </w:tcPr>
          <w:p w14:paraId="73FC70B6">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0.05</w:t>
            </w:r>
          </w:p>
        </w:tc>
        <w:tc>
          <w:tcPr>
            <w:tcW w:w="807" w:type="pct"/>
            <w:gridSpan w:val="2"/>
            <w:noWrap w:val="0"/>
            <w:vAlign w:val="center"/>
          </w:tcPr>
          <w:p w14:paraId="6B82DB44">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w:t>
            </w:r>
          </w:p>
        </w:tc>
        <w:tc>
          <w:tcPr>
            <w:tcW w:w="859" w:type="pct"/>
            <w:gridSpan w:val="4"/>
            <w:noWrap w:val="0"/>
            <w:vAlign w:val="center"/>
          </w:tcPr>
          <w:p w14:paraId="38A63D81">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auto"/>
                <w:kern w:val="0"/>
                <w:sz w:val="21"/>
                <w:szCs w:val="21"/>
                <w:lang w:val="en-US" w:eastAsia="zh-CN"/>
              </w:rPr>
              <w:t>0.05</w:t>
            </w:r>
          </w:p>
        </w:tc>
        <w:tc>
          <w:tcPr>
            <w:tcW w:w="833" w:type="pct"/>
            <w:gridSpan w:val="4"/>
            <w:vMerge w:val="continue"/>
            <w:noWrap w:val="0"/>
            <w:vAlign w:val="top"/>
          </w:tcPr>
          <w:p w14:paraId="7A71553E">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c>
          <w:tcPr>
            <w:tcW w:w="833" w:type="pct"/>
            <w:gridSpan w:val="3"/>
            <w:vMerge w:val="continue"/>
            <w:noWrap w:val="0"/>
            <w:vAlign w:val="top"/>
          </w:tcPr>
          <w:p w14:paraId="03F17EFA">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r>
      <w:tr w14:paraId="423FF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833" w:type="pct"/>
            <w:gridSpan w:val="2"/>
            <w:noWrap w:val="0"/>
            <w:vAlign w:val="center"/>
          </w:tcPr>
          <w:p w14:paraId="63A2571A">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auto"/>
                <w:kern w:val="0"/>
                <w:sz w:val="21"/>
                <w:szCs w:val="21"/>
                <w:lang w:val="en-US" w:eastAsia="zh-CN"/>
              </w:rPr>
              <w:t>施工道路区</w:t>
            </w:r>
          </w:p>
        </w:tc>
        <w:tc>
          <w:tcPr>
            <w:tcW w:w="833" w:type="pct"/>
            <w:gridSpan w:val="5"/>
            <w:noWrap w:val="0"/>
            <w:vAlign w:val="center"/>
          </w:tcPr>
          <w:p w14:paraId="03CF7C49">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1.09</w:t>
            </w:r>
          </w:p>
        </w:tc>
        <w:tc>
          <w:tcPr>
            <w:tcW w:w="807" w:type="pct"/>
            <w:gridSpan w:val="2"/>
            <w:noWrap w:val="0"/>
            <w:vAlign w:val="center"/>
          </w:tcPr>
          <w:p w14:paraId="69A3F8FD">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w:t>
            </w:r>
          </w:p>
        </w:tc>
        <w:tc>
          <w:tcPr>
            <w:tcW w:w="859" w:type="pct"/>
            <w:gridSpan w:val="4"/>
            <w:noWrap w:val="0"/>
            <w:vAlign w:val="center"/>
          </w:tcPr>
          <w:p w14:paraId="024BE6D6">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auto"/>
                <w:kern w:val="0"/>
                <w:sz w:val="21"/>
                <w:szCs w:val="21"/>
                <w:lang w:val="en-US" w:eastAsia="zh-CN"/>
              </w:rPr>
              <w:t>1.09</w:t>
            </w:r>
          </w:p>
        </w:tc>
        <w:tc>
          <w:tcPr>
            <w:tcW w:w="833" w:type="pct"/>
            <w:gridSpan w:val="4"/>
            <w:vMerge w:val="continue"/>
            <w:noWrap w:val="0"/>
            <w:vAlign w:val="top"/>
          </w:tcPr>
          <w:p w14:paraId="36864709">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c>
          <w:tcPr>
            <w:tcW w:w="833" w:type="pct"/>
            <w:gridSpan w:val="3"/>
            <w:vMerge w:val="continue"/>
            <w:noWrap w:val="0"/>
            <w:vAlign w:val="top"/>
          </w:tcPr>
          <w:p w14:paraId="6D787C2B">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r>
      <w:tr w14:paraId="46298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3" w:type="pct"/>
            <w:gridSpan w:val="2"/>
            <w:noWrap w:val="0"/>
            <w:vAlign w:val="center"/>
          </w:tcPr>
          <w:p w14:paraId="2DEBFA68">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auto"/>
                <w:kern w:val="0"/>
                <w:sz w:val="21"/>
                <w:szCs w:val="21"/>
                <w:lang w:val="en-US" w:eastAsia="zh-CN"/>
              </w:rPr>
              <w:t>合计</w:t>
            </w:r>
          </w:p>
        </w:tc>
        <w:tc>
          <w:tcPr>
            <w:tcW w:w="833" w:type="pct"/>
            <w:gridSpan w:val="5"/>
            <w:noWrap w:val="0"/>
            <w:vAlign w:val="center"/>
          </w:tcPr>
          <w:p w14:paraId="5E2AEFD1">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1.7</w:t>
            </w:r>
          </w:p>
        </w:tc>
        <w:tc>
          <w:tcPr>
            <w:tcW w:w="807" w:type="pct"/>
            <w:gridSpan w:val="2"/>
            <w:noWrap w:val="0"/>
            <w:vAlign w:val="center"/>
          </w:tcPr>
          <w:p w14:paraId="5366DB52">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0.44</w:t>
            </w:r>
          </w:p>
        </w:tc>
        <w:tc>
          <w:tcPr>
            <w:tcW w:w="859" w:type="pct"/>
            <w:gridSpan w:val="4"/>
            <w:noWrap w:val="0"/>
            <w:vAlign w:val="center"/>
          </w:tcPr>
          <w:p w14:paraId="218D3686">
            <w:pPr>
              <w:pStyle w:val="8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1.26</w:t>
            </w:r>
          </w:p>
        </w:tc>
        <w:tc>
          <w:tcPr>
            <w:tcW w:w="833" w:type="pct"/>
            <w:gridSpan w:val="4"/>
            <w:vMerge w:val="continue"/>
            <w:noWrap w:val="0"/>
            <w:vAlign w:val="top"/>
          </w:tcPr>
          <w:p w14:paraId="250ED915">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c>
          <w:tcPr>
            <w:tcW w:w="833" w:type="pct"/>
            <w:gridSpan w:val="3"/>
            <w:vMerge w:val="continue"/>
            <w:noWrap w:val="0"/>
            <w:vAlign w:val="top"/>
          </w:tcPr>
          <w:p w14:paraId="74089511">
            <w:pPr>
              <w:keepNext w:val="0"/>
              <w:keepLines w:val="0"/>
              <w:numPr>
                <w:ilvl w:val="0"/>
                <w:numId w:val="0"/>
              </w:numPr>
              <w:suppressLineNumbers w:val="0"/>
              <w:topLinePunct/>
              <w:spacing w:before="0" w:beforeAutospacing="0" w:after="0" w:afterAutospacing="0" w:line="360" w:lineRule="auto"/>
              <w:ind w:left="0" w:right="0" w:rightChars="0"/>
              <w:jc w:val="both"/>
              <w:rPr>
                <w:rFonts w:hint="default"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tc>
      </w:tr>
      <w:tr w14:paraId="7355F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0B68D81A">
            <w:pPr>
              <w:keepNext w:val="0"/>
              <w:keepLines w:val="0"/>
              <w:pageBreakBefore w:val="0"/>
              <w:widowControl w:val="0"/>
              <w:suppressLineNumbers w:val="0"/>
              <w:kinsoku/>
              <w:wordWrap/>
              <w:overflowPunct/>
              <w:topLinePunct/>
              <w:autoSpaceDE/>
              <w:autoSpaceDN/>
              <w:bidi w:val="0"/>
              <w:adjustRightInd/>
              <w:snapToGrid/>
              <w:spacing w:before="60" w:beforeAutospacing="0" w:after="60" w:afterAutospacing="0" w:line="240" w:lineRule="auto"/>
              <w:ind w:left="0" w:leftChars="0" w:right="0" w:firstLine="0" w:firstLineChars="0"/>
              <w:jc w:val="center"/>
              <w:textAlignment w:val="auto"/>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总平面及现场布置</w:t>
            </w:r>
          </w:p>
        </w:tc>
      </w:tr>
      <w:tr w14:paraId="7D3E5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61B5D54A">
            <w:pPr>
              <w:keepNext w:val="0"/>
              <w:keepLines w:val="0"/>
              <w:suppressLineNumbers w:val="0"/>
              <w:snapToGrid w:val="0"/>
              <w:spacing w:before="0" w:beforeAutospacing="0" w:after="0" w:afterAutospacing="0" w:line="360" w:lineRule="auto"/>
              <w:ind w:left="0" w:leftChars="0" w:right="0" w:firstLine="0" w:firstLineChars="0"/>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2.3</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总平面及现场布置</w:t>
            </w:r>
          </w:p>
          <w:p w14:paraId="06D86CA5">
            <w:pPr>
              <w:keepNext w:val="0"/>
              <w:keepLines w:val="0"/>
              <w:suppressLineNumbers w:val="0"/>
              <w:snapToGrid w:val="0"/>
              <w:spacing w:before="0" w:beforeAutospacing="0" w:after="0" w:afterAutospacing="0" w:line="360" w:lineRule="auto"/>
              <w:ind w:left="0" w:leftChars="0" w:right="0" w:firstLine="0" w:firstLineChars="0"/>
              <w:rPr>
                <w:rFonts w:hint="eastAsia"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2.3.1工程布置情况</w:t>
            </w:r>
          </w:p>
          <w:p w14:paraId="2B5D88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输电线路</w:t>
            </w:r>
          </w:p>
          <w:p w14:paraId="4D8E3D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spacing w:val="-4"/>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w:t>
            </w:r>
            <w:r>
              <w:rPr>
                <w:rFonts w:hint="eastAsia" w:ascii="宋体" w:hAnsi="宋体" w:cs="宋体"/>
                <w:color w:val="000000" w:themeColor="text1"/>
                <w:sz w:val="24"/>
                <w:szCs w:val="24"/>
                <w:highlight w:val="none"/>
                <w:lang w:val="en-US" w:eastAsia="zh-CN"/>
                <w14:textFill>
                  <w14:solidFill>
                    <w14:schemeClr w14:val="tx1"/>
                  </w14:solidFill>
                </w14:textFill>
              </w:rPr>
              <w:t>已</w:t>
            </w:r>
            <w:r>
              <w:rPr>
                <w:rFonts w:hint="eastAsia"/>
                <w:color w:val="000000" w:themeColor="text1"/>
                <w:lang w:val="en-US" w:eastAsia="zh-CN"/>
                <w14:textFill>
                  <w14:solidFill>
                    <w14:schemeClr w14:val="tx1"/>
                  </w14:solidFill>
                </w14:textFill>
              </w:rPr>
              <w:t>建</w:t>
            </w:r>
            <w:r>
              <w:rPr>
                <w:rFonts w:hint="eastAsia" w:ascii="Times New Roman" w:hAnsi="Times New Roman" w:eastAsia="宋体" w:cs="Times New Roman"/>
                <w:color w:val="000000" w:themeColor="text1"/>
                <w:lang w:val="en-US" w:eastAsia="zh-CN"/>
                <w14:textFill>
                  <w14:solidFill>
                    <w14:schemeClr w14:val="tx1"/>
                  </w14:solidFill>
                </w14:textFill>
              </w:rPr>
              <w:t>设完毕。</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线路</w:t>
            </w:r>
            <w:r>
              <w:rPr>
                <w:rFonts w:hint="eastAsia" w:cs="Times New Roman"/>
                <w:color w:val="000000" w:themeColor="text1"/>
                <w:kern w:val="2"/>
                <w:sz w:val="24"/>
                <w:szCs w:val="24"/>
                <w:lang w:val="en-US" w:eastAsia="zh-CN" w:bidi="ar-SA"/>
                <w14:textFill>
                  <w14:solidFill>
                    <w14:schemeClr w14:val="tx1"/>
                  </w14:solidFill>
                </w14:textFill>
              </w:rPr>
              <w:t>由</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兆瓦能源110</w:t>
            </w:r>
            <w:r>
              <w:rPr>
                <w:rFonts w:hint="eastAsia"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t>kV</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光伏升压站</w:t>
            </w:r>
            <w:r>
              <w:rPr>
                <w:rFonts w:hint="eastAsia" w:cs="Times New Roman"/>
                <w:color w:val="000000" w:themeColor="text1"/>
                <w:kern w:val="2"/>
                <w:sz w:val="24"/>
                <w:szCs w:val="24"/>
                <w:lang w:val="en-US" w:eastAsia="zh-CN" w:bidi="ar-SA"/>
                <w14:textFill>
                  <w14:solidFill>
                    <w14:schemeClr w14:val="tx1"/>
                  </w14:solidFill>
                </w14:textFill>
              </w:rPr>
              <w:t>向西出线，</w:t>
            </w:r>
            <w:r>
              <w:rPr>
                <w:rFonts w:hint="eastAsia" w:ascii="宋体" w:hAnsi="宋体" w:eastAsia="宋体" w:cs="宋体"/>
                <w:color w:val="000000" w:themeColor="text1"/>
                <w:sz w:val="24"/>
                <w:szCs w:val="24"/>
                <w:highlight w:val="none"/>
                <w:lang w:val="en-US" w:eastAsia="zh-CN"/>
                <w14:textFill>
                  <w14:solidFill>
                    <w14:schemeClr w14:val="tx1"/>
                  </w14:solidFill>
                </w14:textFill>
              </w:rPr>
              <w:t>经出线调整向西单回路架设，毗邻博斯腾湖乡-闹音呼都克公路，</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至J2转角塔</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lang w:val="en-US" w:eastAsia="zh-CN"/>
                <w14:textFill>
                  <w14:solidFill>
                    <w14:schemeClr w14:val="tx1"/>
                  </w14:solidFill>
                </w14:textFill>
              </w:rPr>
              <w:t>右转至</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种植园110</w:t>
            </w:r>
            <w:r>
              <w:rPr>
                <w:rFonts w:hint="eastAsia"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t>kV</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变电站</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路径全长约2.98</w:t>
            </w:r>
            <w:r>
              <w:rPr>
                <w:rFonts w:hint="eastAsia" w:cs="宋体"/>
                <w:b w:val="0"/>
                <w:bCs w:val="0"/>
                <w:color w:val="000000" w:themeColor="text1"/>
                <w:kern w:val="2"/>
                <w:sz w:val="24"/>
                <w:szCs w:val="24"/>
                <w:highlight w:val="none"/>
                <w:lang w:val="en-US" w:eastAsia="zh-CN" w:bidi="ar-SA"/>
                <w14:textFill>
                  <w14:solidFill>
                    <w14:schemeClr w14:val="tx1"/>
                  </w14:solidFill>
                </w14:textFill>
              </w:rPr>
              <w:t>千米</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2"/>
                <w14:textFill>
                  <w14:solidFill>
                    <w14:schemeClr w14:val="tx1"/>
                  </w14:solidFill>
                </w14:textFill>
              </w:rPr>
              <w:t>线路工程塔</w:t>
            </w:r>
            <w:r>
              <w:rPr>
                <w:rFonts w:hint="default" w:ascii="Times New Roman" w:hAnsi="Times New Roman" w:eastAsia="宋体" w:cs="Times New Roman"/>
                <w:color w:val="000000" w:themeColor="text1"/>
                <w:spacing w:val="1"/>
                <w14:textFill>
                  <w14:solidFill>
                    <w14:schemeClr w14:val="tx1"/>
                  </w14:solidFill>
                </w14:textFill>
              </w:rPr>
              <w:t>基永久占地约</w:t>
            </w:r>
            <w:r>
              <w:rPr>
                <w:rFonts w:hint="eastAsia" w:ascii="Times New Roman" w:hAnsi="Times New Roman" w:eastAsia="宋体" w:cs="Times New Roman"/>
                <w:color w:val="000000" w:themeColor="text1"/>
                <w:spacing w:val="1"/>
                <w:highlight w:val="none"/>
                <w:lang w:val="en-US" w:eastAsia="zh-CN"/>
                <w14:textFill>
                  <w14:solidFill>
                    <w14:schemeClr w14:val="tx1"/>
                  </w14:solidFill>
                </w14:textFill>
              </w:rPr>
              <w:t>64</w:t>
            </w:r>
            <w:r>
              <w:rPr>
                <w:rFonts w:hint="eastAsia" w:cs="Times New Roman"/>
                <w:color w:val="000000" w:themeColor="text1"/>
                <w:spacing w:val="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1"/>
                <w:highlight w:val="none"/>
                <w14:textFill>
                  <w14:solidFill>
                    <w14:schemeClr w14:val="tx1"/>
                  </w14:solidFill>
                </w14:textFill>
              </w:rPr>
              <w:t>m</w:t>
            </w:r>
            <w:r>
              <w:rPr>
                <w:rFonts w:hint="default" w:ascii="Times New Roman" w:hAnsi="Times New Roman" w:eastAsia="宋体" w:cs="Times New Roman"/>
                <w:color w:val="000000" w:themeColor="text1"/>
                <w:spacing w:val="1"/>
                <w:position w:val="8"/>
                <w:sz w:val="15"/>
                <w:szCs w:val="15"/>
                <w:highlight w:val="none"/>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4"/>
                <w14:textFill>
                  <w14:solidFill>
                    <w14:schemeClr w14:val="tx1"/>
                  </w14:solidFill>
                </w14:textFill>
              </w:rPr>
              <w:t>占地类型为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未利用地</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（裸土地）</w:t>
            </w:r>
            <w:r>
              <w:rPr>
                <w:rFonts w:hint="eastAsia" w:ascii="Times New Roman" w:hAnsi="Times New Roman" w:eastAsia="宋体" w:cs="Times New Roman"/>
                <w:color w:val="000000" w:themeColor="text1"/>
                <w:spacing w:val="-4"/>
                <w:lang w:eastAsia="zh-CN"/>
                <w14:textFill>
                  <w14:solidFill>
                    <w14:schemeClr w14:val="tx1"/>
                  </w14:solidFill>
                </w14:textFill>
              </w:rPr>
              <w:t>。</w:t>
            </w:r>
          </w:p>
          <w:p w14:paraId="2E6ABDFE">
            <w:pPr>
              <w:pStyle w:val="163"/>
              <w:keepNext w:val="0"/>
              <w:keepLines w:val="0"/>
              <w:numPr>
                <w:ilvl w:val="0"/>
                <w:numId w:val="0"/>
              </w:numPr>
              <w:suppressLineNumbers w:val="0"/>
              <w:bidi w:val="0"/>
              <w:spacing w:before="0" w:beforeAutospacing="0" w:after="0" w:afterAutospacing="0"/>
              <w:ind w:leftChars="200" w:right="0" w:rightChars="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兆瓦能源110kV光伏升压站</w:t>
            </w:r>
          </w:p>
          <w:p w14:paraId="78903F1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2" w:firstLineChars="200"/>
              <w:textAlignment w:val="auto"/>
              <w:rPr>
                <w:rFonts w:hint="eastAsia" w:ascii="Times New Roman" w:hAnsi="Times New Roman" w:eastAsia="宋体" w:cs="Times New Roman"/>
                <w:color w:val="0000FF"/>
                <w:spacing w:val="-2"/>
                <w:kern w:val="2"/>
                <w:sz w:val="24"/>
                <w:szCs w:val="24"/>
                <w:lang w:val="en-US" w:eastAsia="zh-CN" w:bidi="ar-SA"/>
              </w:rPr>
            </w:pPr>
            <w:r>
              <w:rPr>
                <w:rFonts w:hint="eastAsia"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本工程兆瓦能源110kV光伏升压站向西出线，</w:t>
            </w:r>
            <w:r>
              <w:rPr>
                <w:rFonts w:hint="default"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主变位于站内中部</w:t>
            </w:r>
            <w:r>
              <w:rPr>
                <w:rFonts w:hint="eastAsia"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户外布置，事故油池位于主变</w:t>
            </w:r>
            <w:r>
              <w:rPr>
                <w:rFonts w:hint="eastAsia"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下方。</w:t>
            </w:r>
            <w:r>
              <w:rPr>
                <w:rFonts w:hint="default"/>
                <w:color w:val="000000" w:themeColor="text1"/>
                <w:spacing w:val="-3"/>
                <w:sz w:val="24"/>
                <w:szCs w:val="24"/>
                <w14:textFill>
                  <w14:solidFill>
                    <w14:schemeClr w14:val="tx1"/>
                  </w14:solidFill>
                </w14:textFill>
              </w:rPr>
              <w:t>升压站总占地面积</w:t>
            </w:r>
            <w:r>
              <w:rPr>
                <w:rFonts w:hint="eastAsia"/>
                <w:color w:val="000000" w:themeColor="text1"/>
                <w:spacing w:val="-3"/>
                <w:sz w:val="24"/>
                <w:szCs w:val="24"/>
                <w:lang w:val="en-US" w:eastAsia="zh-CN"/>
                <w14:textFill>
                  <w14:solidFill>
                    <w14:schemeClr w14:val="tx1"/>
                  </w14:solidFill>
                </w14:textFill>
              </w:rPr>
              <w:t>约</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3780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m</w:t>
            </w:r>
            <w:r>
              <w:rPr>
                <w:rFonts w:hint="eastAsia" w:ascii="Times New Roman" w:hAnsi="Times New Roman" w:cs="Times New Roman"/>
                <w:color w:val="000000" w:themeColor="text1"/>
                <w:spacing w:val="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占地类型为</w:t>
            </w:r>
            <w:r>
              <w:rPr>
                <w:rFonts w:hint="eastAsia" w:ascii="Times New Roman" w:hAnsi="Times New Roman" w:eastAsia="宋体" w:cs="Times New Roman"/>
                <w:color w:val="000000" w:themeColor="text1"/>
                <w:spacing w:val="-2"/>
                <w:kern w:val="2"/>
                <w:sz w:val="24"/>
                <w:szCs w:val="24"/>
                <w:lang w:val="en-US" w:eastAsia="zh-CN" w:bidi="ar-SA"/>
                <w14:textFill>
                  <w14:solidFill>
                    <w14:schemeClr w14:val="tx1"/>
                  </w14:solidFill>
                </w14:textFill>
              </w:rPr>
              <w:t>未利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用地</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（裸土地）</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14:paraId="0CDFAB4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0000FF"/>
                <w:sz w:val="24"/>
                <w:szCs w:val="24"/>
                <w:highlight w:val="none"/>
                <w:lang w:val="en-US" w:eastAsia="zh-CN"/>
              </w:rPr>
            </w:pPr>
          </w:p>
          <w:p w14:paraId="3FA4C7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kern w:val="0"/>
                <w:sz w:val="24"/>
                <w:szCs w:val="20"/>
                <w:lang w:val="en-US" w:eastAsia="zh-CN" w:bidi="ar-SA"/>
              </w:rPr>
              <w:t>图</w:t>
            </w:r>
            <w:r>
              <w:rPr>
                <w:rFonts w:hint="eastAsia" w:cs="Times New Roman"/>
                <w:b/>
                <w:bCs/>
                <w:color w:val="000000"/>
                <w:kern w:val="0"/>
                <w:sz w:val="24"/>
                <w:szCs w:val="20"/>
                <w:lang w:val="en-US" w:eastAsia="zh-CN" w:bidi="ar-SA"/>
              </w:rPr>
              <w:t>2-5 升压站平面布置图</w:t>
            </w:r>
          </w:p>
          <w:p w14:paraId="3FE076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施工布置情况</w:t>
            </w:r>
          </w:p>
          <w:p w14:paraId="5A65716B">
            <w:pPr>
              <w:pStyle w:val="135"/>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输电线路</w:t>
            </w:r>
          </w:p>
          <w:p w14:paraId="63883C0C">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施工便道布置</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满足运输施工器材、组装</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材料等，布设了临时施工道路</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。线路附近有公路可以利用，</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交通便利</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，部分施工材料由人力抬到施工现场。</w:t>
            </w:r>
          </w:p>
          <w:p w14:paraId="68F89DB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塔基施工场地布置</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塔基基础施工临时场地以单个塔基为单位分散布置。施工时在塔基一侧设置临时施工场地，用来临时堆置土方、砂石料、水、材料和工具等。</w:t>
            </w:r>
          </w:p>
          <w:p w14:paraId="6C3EF3A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牵张场布置</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为满足施工放线需要，输电线路沿线设置了牵张场地，牵张场满足牵引机、张力机能直接运达到位，地形平坦，满足布置牵张设备、布置导线及施工操作等要求。牵张场选择地形平缓的场地进行施工，已尽量避免占用林地及耕地，施工过程中未破坏原始地貌，牵张场均采取直接铺设钢板或苦布铺垫的方式，使用完毕后恢复了原始功能。</w:t>
            </w:r>
          </w:p>
          <w:p w14:paraId="7034F96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施工生活区布置</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本项目线路塔基较分散，单个塔基施工周期短，因此施工时在塔基一侧设置临时施工场地（已纳入塔基施工场地）</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项目施工人员租住在周边民房，未集中设置施工生活区。</w:t>
            </w:r>
          </w:p>
          <w:p w14:paraId="15D0A888">
            <w:pPr>
              <w:pStyle w:val="163"/>
              <w:keepNext w:val="0"/>
              <w:keepLines w:val="0"/>
              <w:numPr>
                <w:ilvl w:val="0"/>
                <w:numId w:val="0"/>
              </w:numPr>
              <w:suppressLineNumbers w:val="0"/>
              <w:bidi w:val="0"/>
              <w:spacing w:before="0" w:beforeAutospacing="0" w:after="0" w:afterAutospacing="0"/>
              <w:ind w:leftChars="200" w:right="0" w:rightChars="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兆瓦能源110kV光伏升压站</w:t>
            </w:r>
          </w:p>
          <w:p w14:paraId="7951A40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sz w:val="24"/>
                <w:highlight w:val="none"/>
                <w14:textFill>
                  <w14:solidFill>
                    <w14:schemeClr w14:val="tx1"/>
                  </w14:solidFill>
                </w14:textFill>
              </w:rPr>
              <w:t>110kV</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w:t>
            </w:r>
            <w:r>
              <w:rPr>
                <w:rFonts w:hint="default"/>
                <w:color w:val="000000" w:themeColor="text1"/>
                <w:spacing w:val="-2"/>
                <w14:textFill>
                  <w14:solidFill>
                    <w14:schemeClr w14:val="tx1"/>
                  </w14:solidFill>
                </w14:textFill>
              </w:rPr>
              <w:t>施工临时设施依托</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博湖县兆瓦能源科技有限公司20MWp并网太阳能光伏电站项目</w:t>
            </w:r>
            <w:r>
              <w:rPr>
                <w:rFonts w:hint="default"/>
                <w:color w:val="000000" w:themeColor="text1"/>
                <w:spacing w:val="-2"/>
                <w14:textFill>
                  <w14:solidFill>
                    <w14:schemeClr w14:val="tx1"/>
                  </w14:solidFill>
                </w14:textFill>
              </w:rPr>
              <w:t>施工营地布</w:t>
            </w:r>
            <w:r>
              <w:rPr>
                <w:rFonts w:hint="default"/>
                <w:color w:val="000000" w:themeColor="text1"/>
                <w:spacing w:val="-3"/>
                <w14:textFill>
                  <w14:solidFill>
                    <w14:schemeClr w14:val="tx1"/>
                  </w14:solidFill>
                </w14:textFill>
              </w:rPr>
              <w:t>设</w:t>
            </w:r>
            <w:r>
              <w:rPr>
                <w:rFonts w:hint="default"/>
                <w:color w:val="000000" w:themeColor="text1"/>
                <w:spacing w:val="-2"/>
                <w14:textFill>
                  <w14:solidFill>
                    <w14:schemeClr w14:val="tx1"/>
                  </w14:solidFill>
                </w14:textFill>
              </w:rPr>
              <w:t>，无临时占地。</w:t>
            </w:r>
            <w:r>
              <w:rPr>
                <w:rFonts w:hint="eastAsia"/>
                <w:color w:val="000000" w:themeColor="text1"/>
                <w:spacing w:val="-2"/>
                <w:lang w:val="en-US" w:eastAsia="zh-CN"/>
                <w14:textFill>
                  <w14:solidFill>
                    <w14:schemeClr w14:val="tx1"/>
                  </w14:solidFill>
                </w14:textFill>
              </w:rPr>
              <w:t>施工场地</w:t>
            </w:r>
            <w:r>
              <w:rPr>
                <w:rFonts w:hint="default" w:ascii="Times New Roman" w:hAnsi="Times New Roman" w:cs="Times New Roman"/>
                <w:color w:val="000000" w:themeColor="text1"/>
                <w:sz w:val="24"/>
                <w:highlight w:val="none"/>
                <w14:textFill>
                  <w14:solidFill>
                    <w14:schemeClr w14:val="tx1"/>
                  </w14:solidFill>
                </w14:textFill>
              </w:rPr>
              <w:t>设有围挡、材料堆场、临时堆土区等，施工结束后拆除恢复原有地貌。</w:t>
            </w:r>
          </w:p>
          <w:p w14:paraId="52B1E341">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3.3</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土石方平衡</w:t>
            </w:r>
          </w:p>
          <w:p w14:paraId="43DB6F2E">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80" w:firstLineChars="200"/>
              <w:textAlignment w:val="auto"/>
              <w:rPr>
                <w:rFonts w:hint="default" w:ascii="Times New Roman" w:hAnsi="Times New Roman" w:eastAsia="黑体" w:cs="Times New Roman"/>
                <w:b/>
                <w:bCs/>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本工程</w:t>
            </w:r>
            <w:r>
              <w:rPr>
                <w:rFonts w:hint="eastAsia" w:ascii="Times New Roman" w:hAnsi="Times New Roman" w:cs="Times New Roman"/>
                <w:color w:val="000000" w:themeColor="text1"/>
                <w:sz w:val="24"/>
                <w:szCs w:val="24"/>
                <w:lang w:val="en-US" w:eastAsia="zh-CN"/>
                <w14:textFill>
                  <w14:solidFill>
                    <w14:schemeClr w14:val="tx1"/>
                  </w14:solidFill>
                </w14:textFill>
              </w:rPr>
              <w:t>输电线路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区</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开挖土方</w:t>
            </w:r>
            <w:r>
              <w:rPr>
                <w:rFonts w:hint="eastAsia" w:ascii="Times New Roman" w:hAnsi="Times New Roman" w:cs="Times New Roman"/>
                <w:bCs w:val="0"/>
                <w:color w:val="000000" w:themeColor="text1"/>
                <w:spacing w:val="0"/>
                <w:kern w:val="0"/>
                <w:sz w:val="24"/>
                <w:szCs w:val="28"/>
                <w:lang w:val="en-US" w:eastAsia="zh-CN" w:bidi="ar-SA"/>
                <w14:textFill>
                  <w14:solidFill>
                    <w14:schemeClr w14:val="tx1"/>
                  </w14:solidFill>
                </w14:textFill>
              </w:rPr>
              <w:t>约2080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m³</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升压站区</w:t>
            </w:r>
            <w:r>
              <w:rPr>
                <w:rFonts w:hint="eastAsia" w:ascii="Times New Roman" w:hAnsi="Times New Roman" w:eastAsia="宋体" w:cs="Times New Roman"/>
                <w:bCs w:val="0"/>
                <w:color w:val="000000" w:themeColor="text1"/>
                <w:spacing w:val="0"/>
                <w:kern w:val="0"/>
                <w:sz w:val="24"/>
                <w:szCs w:val="28"/>
                <w:lang w:val="en-US" w:eastAsia="zh-CN" w:bidi="ar-SA"/>
                <w14:textFill>
                  <w14:solidFill>
                    <w14:schemeClr w14:val="tx1"/>
                  </w14:solidFill>
                </w14:textFill>
              </w:rPr>
              <w:t>开挖土方</w:t>
            </w:r>
            <w:r>
              <w:rPr>
                <w:rFonts w:hint="eastAsia" w:ascii="Times New Roman" w:hAnsi="Times New Roman" w:cs="Times New Roman"/>
                <w:bCs w:val="0"/>
                <w:color w:val="000000" w:themeColor="text1"/>
                <w:spacing w:val="0"/>
                <w:kern w:val="0"/>
                <w:sz w:val="24"/>
                <w:szCs w:val="28"/>
                <w:lang w:val="en-US" w:eastAsia="zh-CN" w:bidi="ar-SA"/>
                <w14:textFill>
                  <w14:solidFill>
                    <w14:schemeClr w14:val="tx1"/>
                  </w14:solidFill>
                </w14:textFill>
              </w:rPr>
              <w:t>约2850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m³</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，共计4930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m³</w:t>
            </w:r>
            <w:r>
              <w:rPr>
                <w:rFonts w:hint="eastAsia" w:ascii="Times New Roman" w:hAnsi="Times New Roman" w:cs="Times New Roman"/>
                <w:bCs w:val="0"/>
                <w:color w:val="000000" w:themeColor="text1"/>
                <w:spacing w:val="0"/>
                <w:kern w:val="0"/>
                <w:sz w:val="24"/>
                <w:szCs w:val="28"/>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回</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填</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土方</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约4930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m³</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用于塔基护坡或运至临近低洼处平整处理</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无借方，无弃方。</w:t>
            </w:r>
          </w:p>
          <w:p w14:paraId="077D5F43">
            <w:pPr>
              <w:keepNext w:val="0"/>
              <w:keepLines w:val="0"/>
              <w:suppressLineNumbers w:val="0"/>
              <w:snapToGrid w:val="0"/>
              <w:spacing w:before="0" w:beforeAutospacing="0" w:after="0" w:afterAutospacing="0" w:line="360" w:lineRule="auto"/>
              <w:ind w:left="0" w:leftChars="0" w:right="0" w:firstLine="0" w:firstLineChars="0"/>
              <w:jc w:val="cente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4"/>
                <w:szCs w:val="20"/>
                <w:lang w:val="en-US" w:eastAsia="zh-CN" w:bidi="ar-SA"/>
                <w14:textFill>
                  <w14:solidFill>
                    <w14:schemeClr w14:val="tx1"/>
                  </w14:solidFill>
                </w14:textFill>
              </w:rPr>
              <w:t>表</w:t>
            </w:r>
            <w:r>
              <w:rPr>
                <w:rFonts w:hint="eastAsia" w:eastAsia="黑体" w:cs="Times New Roman"/>
                <w:b/>
                <w:bCs/>
                <w:color w:val="000000" w:themeColor="text1"/>
                <w:kern w:val="0"/>
                <w:sz w:val="24"/>
                <w:szCs w:val="20"/>
                <w:lang w:val="en-US" w:eastAsia="zh-CN" w:bidi="ar-SA"/>
                <w14:textFill>
                  <w14:solidFill>
                    <w14:schemeClr w14:val="tx1"/>
                  </w14:solidFill>
                </w14:textFill>
              </w:rPr>
              <w:t xml:space="preserve">2-5 </w:t>
            </w: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本工程土石方平衡表</w:t>
            </w:r>
          </w:p>
        </w:tc>
      </w:tr>
      <w:tr w14:paraId="3D6B6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9" w:type="pct"/>
            <w:gridSpan w:val="5"/>
            <w:noWrap w:val="0"/>
            <w:vAlign w:val="center"/>
          </w:tcPr>
          <w:p w14:paraId="4BC04AF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宋体"/>
                <w:color w:val="000000" w:themeColor="text1"/>
                <w:spacing w:val="-4"/>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挖方量（m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w:t>
            </w:r>
          </w:p>
        </w:tc>
        <w:tc>
          <w:tcPr>
            <w:tcW w:w="2235" w:type="pct"/>
            <w:gridSpan w:val="10"/>
            <w:noWrap w:val="0"/>
            <w:vAlign w:val="center"/>
          </w:tcPr>
          <w:p w14:paraId="45674C6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填方量（m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w:t>
            </w:r>
          </w:p>
        </w:tc>
        <w:tc>
          <w:tcPr>
            <w:tcW w:w="1264" w:type="pct"/>
            <w:gridSpan w:val="5"/>
            <w:noWrap w:val="0"/>
            <w:vAlign w:val="center"/>
          </w:tcPr>
          <w:p w14:paraId="050B1A6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宋体"/>
                <w:color w:val="000000" w:themeColor="text1"/>
                <w:spacing w:val="-4"/>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弃方量（m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w:t>
            </w:r>
          </w:p>
        </w:tc>
      </w:tr>
      <w:tr w14:paraId="5D2E4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9" w:type="pct"/>
            <w:gridSpan w:val="5"/>
            <w:noWrap w:val="0"/>
            <w:vAlign w:val="center"/>
          </w:tcPr>
          <w:p w14:paraId="1CAA76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宋体"/>
                <w:color w:val="000000" w:themeColor="text1"/>
                <w:spacing w:val="-4"/>
                <w:sz w:val="21"/>
                <w:szCs w:val="21"/>
                <w:highlight w:val="none"/>
                <w:lang w:val="en-US" w:eastAsia="zh-CN"/>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4930</w:t>
            </w:r>
          </w:p>
        </w:tc>
        <w:tc>
          <w:tcPr>
            <w:tcW w:w="2235" w:type="pct"/>
            <w:gridSpan w:val="10"/>
            <w:noWrap w:val="0"/>
            <w:vAlign w:val="center"/>
          </w:tcPr>
          <w:p w14:paraId="3D81ED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宋体"/>
                <w:color w:val="000000" w:themeColor="text1"/>
                <w:spacing w:val="-4"/>
                <w:sz w:val="21"/>
                <w:szCs w:val="21"/>
                <w:highlight w:val="none"/>
                <w:lang w:val="en-US" w:eastAsia="zh-CN"/>
                <w14:textFill>
                  <w14:solidFill>
                    <w14:schemeClr w14:val="tx1"/>
                  </w14:solidFill>
                </w14:textFill>
              </w:rPr>
            </w:pPr>
            <w:r>
              <w:rPr>
                <w:rFonts w:hint="eastAsia" w:cs="宋体"/>
                <w:color w:val="000000" w:themeColor="text1"/>
                <w:spacing w:val="-4"/>
                <w:sz w:val="21"/>
                <w:szCs w:val="21"/>
                <w:highlight w:val="none"/>
                <w:lang w:val="en-US" w:eastAsia="zh-CN"/>
                <w14:textFill>
                  <w14:solidFill>
                    <w14:schemeClr w14:val="tx1"/>
                  </w14:solidFill>
                </w14:textFill>
              </w:rPr>
              <w:t>4930</w:t>
            </w:r>
          </w:p>
        </w:tc>
        <w:tc>
          <w:tcPr>
            <w:tcW w:w="1264" w:type="pct"/>
            <w:gridSpan w:val="5"/>
            <w:noWrap w:val="0"/>
            <w:vAlign w:val="center"/>
          </w:tcPr>
          <w:p w14:paraId="3B2A708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宋体"/>
                <w:color w:val="000000" w:themeColor="text1"/>
                <w:spacing w:val="-4"/>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vertAlign w:val="baseline"/>
                <w:lang w:val="en-US" w:eastAsia="zh-CN"/>
                <w14:textFill>
                  <w14:solidFill>
                    <w14:schemeClr w14:val="tx1"/>
                  </w14:solidFill>
                </w14:textFill>
              </w:rPr>
              <w:t>0</w:t>
            </w:r>
          </w:p>
        </w:tc>
      </w:tr>
      <w:tr w14:paraId="52D3B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center"/>
          </w:tcPr>
          <w:p w14:paraId="756B551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textAlignment w:val="auto"/>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7B7EC7D4">
            <w:pPr>
              <w:pStyle w:val="5"/>
              <w:suppressLineNumbers w:val="0"/>
              <w:bidi w:val="0"/>
              <w:spacing w:before="0" w:beforeAutospacing="0" w:after="0" w:afterAutospacing="0"/>
              <w:ind w:left="0" w:leftChars="0" w:right="0" w:firstLine="0" w:firstLineChars="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2.3.</w:t>
            </w:r>
            <w:r>
              <w:rPr>
                <w:rFonts w:hint="eastAsia" w:cs="Times New Roman"/>
                <w:b/>
                <w:bCs/>
                <w:color w:val="000000" w:themeColor="text1"/>
                <w:kern w:val="2"/>
                <w:sz w:val="24"/>
                <w:szCs w:val="24"/>
                <w:lang w:val="en-US" w:eastAsia="zh-CN" w:bidi="ar-SA"/>
                <w14:textFill>
                  <w14:solidFill>
                    <w14:schemeClr w14:val="tx1"/>
                  </w14:solidFill>
                </w14:textFill>
              </w:rPr>
              <w:t>4</w:t>
            </w:r>
            <w:r>
              <w:rPr>
                <w:rFonts w:hint="default"/>
                <w:color w:val="000000" w:themeColor="text1"/>
                <w:lang w:val="en-US" w:eastAsia="zh-CN"/>
                <w14:textFill>
                  <w14:solidFill>
                    <w14:schemeClr w14:val="tx1"/>
                  </w14:solidFill>
                </w14:textFill>
              </w:rPr>
              <w:t>生产组织及劳动定员</w:t>
            </w:r>
          </w:p>
          <w:p w14:paraId="168F528E">
            <w:pPr>
              <w:pStyle w:val="163"/>
              <w:keepNext w:val="0"/>
              <w:keepLines w:val="0"/>
              <w:widowControl w:val="0"/>
              <w:suppressLineNumbers w:val="0"/>
              <w:bidi w:val="0"/>
              <w:spacing w:before="0" w:beforeAutospacing="0" w:after="0" w:afterAutospacing="0" w:line="360" w:lineRule="auto"/>
              <w:ind w:left="0" w:leftChars="0" w:right="0" w:firstLine="480" w:firstLineChars="200"/>
              <w:jc w:val="both"/>
              <w:rPr>
                <w:rFonts w:hint="eastAsia" w:ascii="Times New Roman" w:hAnsi="Times New Roman" w:eastAsia="宋体"/>
                <w:color w:val="000000" w:themeColor="text1"/>
                <w:kern w:val="2"/>
                <w:sz w:val="24"/>
                <w:szCs w:val="44"/>
                <w:highlight w:val="yellow"/>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博湖县兆瓦能源科技有限公司20MWp并网太阳能光伏电站项目</w:t>
            </w:r>
            <w:r>
              <w:rPr>
                <w:rFonts w:hint="default" w:ascii="Times New Roman" w:hAnsi="Times New Roman" w:eastAsia="宋体"/>
                <w:color w:val="000000" w:themeColor="text1"/>
                <w:kern w:val="2"/>
                <w:sz w:val="24"/>
                <w:szCs w:val="44"/>
                <w:highlight w:val="none"/>
                <w:lang w:bidi="ar-SA"/>
                <w14:textFill>
                  <w14:solidFill>
                    <w14:schemeClr w14:val="tx1"/>
                  </w14:solidFill>
                </w14:textFill>
              </w:rPr>
              <w:t>配备工作人员共</w:t>
            </w:r>
            <w:r>
              <w:rPr>
                <w:rFonts w:hint="eastAsia"/>
                <w:color w:val="000000" w:themeColor="text1"/>
                <w:highlight w:val="none"/>
                <w:lang w:val="en-US" w:eastAsia="zh-CN"/>
                <w14:textFill>
                  <w14:solidFill>
                    <w14:schemeClr w14:val="tx1"/>
                  </w14:solidFill>
                </w14:textFill>
              </w:rPr>
              <w:t>6</w:t>
            </w:r>
            <w:r>
              <w:rPr>
                <w:rFonts w:hint="default" w:ascii="Times New Roman" w:hAnsi="Times New Roman" w:eastAsia="宋体"/>
                <w:color w:val="000000" w:themeColor="text1"/>
                <w:kern w:val="2"/>
                <w:sz w:val="24"/>
                <w:szCs w:val="44"/>
                <w:highlight w:val="none"/>
                <w:lang w:bidi="ar-SA"/>
                <w14:textFill>
                  <w14:solidFill>
                    <w14:schemeClr w14:val="tx1"/>
                  </w14:solidFill>
                </w14:textFill>
              </w:rPr>
              <w:t>名，本工程不涉及新增人员。全年工作日为</w:t>
            </w:r>
            <w:r>
              <w:rPr>
                <w:rFonts w:hint="eastAsia"/>
                <w:color w:val="000000" w:themeColor="text1"/>
                <w:kern w:val="2"/>
                <w:sz w:val="24"/>
                <w:szCs w:val="44"/>
                <w:highlight w:val="none"/>
                <w:lang w:val="en-US" w:eastAsia="zh-CN" w:bidi="ar-SA"/>
                <w14:textFill>
                  <w14:solidFill>
                    <w14:schemeClr w14:val="tx1"/>
                  </w14:solidFill>
                </w14:textFill>
              </w:rPr>
              <w:t>365</w:t>
            </w:r>
            <w:r>
              <w:rPr>
                <w:rFonts w:hint="default" w:ascii="Times New Roman" w:hAnsi="Times New Roman" w:eastAsia="宋体"/>
                <w:color w:val="000000" w:themeColor="text1"/>
                <w:kern w:val="2"/>
                <w:sz w:val="24"/>
                <w:szCs w:val="44"/>
                <w:highlight w:val="none"/>
                <w:lang w:bidi="ar-SA"/>
                <w14:textFill>
                  <w14:solidFill>
                    <w14:schemeClr w14:val="tx1"/>
                  </w14:solidFill>
                </w14:textFill>
              </w:rPr>
              <w:t>天。</w:t>
            </w:r>
          </w:p>
        </w:tc>
      </w:tr>
      <w:tr w14:paraId="217EE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7D6E4523">
            <w:pPr>
              <w:keepNext w:val="0"/>
              <w:keepLines w:val="0"/>
              <w:pageBreakBefore w:val="0"/>
              <w:widowControl w:val="0"/>
              <w:suppressLineNumbers w:val="0"/>
              <w:kinsoku/>
              <w:wordWrap/>
              <w:overflowPunct/>
              <w:topLinePunct/>
              <w:autoSpaceDE/>
              <w:autoSpaceDN/>
              <w:bidi w:val="0"/>
              <w:adjustRightInd/>
              <w:snapToGrid/>
              <w:spacing w:before="60" w:beforeAutospacing="0" w:after="60" w:afterAutospacing="0" w:line="240" w:lineRule="auto"/>
              <w:ind w:left="0" w:leftChars="0" w:right="0" w:firstLine="0" w:firstLineChars="0"/>
              <w:jc w:val="center"/>
              <w:textAlignment w:val="auto"/>
              <w:rPr>
                <w:rFonts w:hint="eastAsia" w:ascii="Times New Roman" w:hAnsi="Times New Roman" w:eastAsia="宋体" w:cs="Times New Roman"/>
                <w:color w:val="000000"/>
                <w:sz w:val="24"/>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施工方案</w:t>
            </w:r>
          </w:p>
        </w:tc>
      </w:tr>
      <w:tr w14:paraId="6D3F9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456A0AD4">
            <w:pPr>
              <w:keepNext w:val="0"/>
              <w:keepLines w:val="0"/>
              <w:pageBreakBefore w:val="0"/>
              <w:widowControl w:val="0"/>
              <w:numPr>
                <w:ilvl w:val="0"/>
                <w:numId w:val="0"/>
              </w:numPr>
              <w:suppressLineNumbers w:val="0"/>
              <w:kinsoku/>
              <w:wordWrap/>
              <w:topLinePunct w:val="0"/>
              <w:autoSpaceDE/>
              <w:autoSpaceDN/>
              <w:bidi w:val="0"/>
              <w:adjustRightInd/>
              <w:spacing w:before="0" w:beforeAutospacing="0" w:after="0" w:afterAutospacing="0" w:line="360" w:lineRule="auto"/>
              <w:ind w:left="0" w:leftChars="0" w:right="0" w:rightChars="0"/>
              <w:jc w:val="both"/>
              <w:textAlignment w:val="auto"/>
              <w:outlineLvl w:val="9"/>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2.4施工方案</w:t>
            </w:r>
          </w:p>
          <w:p w14:paraId="7D128200">
            <w:pPr>
              <w:keepNext w:val="0"/>
              <w:keepLines w:val="0"/>
              <w:pageBreakBefore w:val="0"/>
              <w:widowControl w:val="0"/>
              <w:numPr>
                <w:ilvl w:val="0"/>
                <w:numId w:val="0"/>
              </w:numPr>
              <w:suppressLineNumbers w:val="0"/>
              <w:kinsoku/>
              <w:wordWrap/>
              <w:topLinePunct w:val="0"/>
              <w:autoSpaceDE/>
              <w:autoSpaceDN/>
              <w:bidi w:val="0"/>
              <w:adjustRightInd/>
              <w:spacing w:before="0" w:beforeAutospacing="0" w:after="0" w:afterAutospacing="0" w:line="360" w:lineRule="auto"/>
              <w:ind w:left="0" w:leftChars="0" w:right="0" w:rightChars="0"/>
              <w:jc w:val="both"/>
              <w:textAlignment w:val="auto"/>
              <w:outlineLvl w:val="9"/>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2.4.1施工工艺和方法</w:t>
            </w:r>
          </w:p>
          <w:p w14:paraId="0C962F37">
            <w:pPr>
              <w:pStyle w:val="5"/>
              <w:suppressLineNumbers w:val="0"/>
              <w:spacing w:before="0" w:beforeAutospacing="0" w:after="0" w:afterAutospacing="0"/>
              <w:ind w:left="0" w:right="0"/>
              <w:rPr>
                <w:rFonts w:hint="default" w:ascii="Times New Roman" w:hAnsi="Times New Roman" w:eastAsia="宋体" w:cs="Times New Roman"/>
                <w:sz w:val="24"/>
                <w:szCs w:val="24"/>
                <w:highlight w:val="none"/>
              </w:rPr>
            </w:pPr>
            <w:r>
              <w:rPr>
                <w:rFonts w:hint="eastAsia" w:cs="Times New Roman"/>
                <w:b w:val="0"/>
                <w:bCs w:val="0"/>
                <w:kern w:val="2"/>
                <w:sz w:val="24"/>
                <w:szCs w:val="24"/>
                <w:highlight w:val="none"/>
                <w:lang w:val="en-US" w:eastAsia="zh-CN" w:bidi="ar-SA"/>
              </w:rPr>
              <w:t>（1）</w:t>
            </w:r>
            <w:r>
              <w:rPr>
                <w:rFonts w:hint="eastAsia" w:ascii="Times New Roman" w:hAnsi="Times New Roman" w:eastAsia="宋体" w:cs="Times New Roman"/>
                <w:b w:val="0"/>
                <w:bCs w:val="0"/>
                <w:kern w:val="2"/>
                <w:sz w:val="24"/>
                <w:szCs w:val="24"/>
                <w:highlight w:val="none"/>
                <w:lang w:val="en-US" w:eastAsia="zh-CN" w:bidi="ar-SA"/>
              </w:rPr>
              <w:t>输电线路施工主要包括：基础开挖、塔基建设、铁塔安装和输电线及地线架设等阶段。架空输电线路施工主要为：</w:t>
            </w:r>
          </w:p>
          <w:p w14:paraId="1C7D6189">
            <w:pPr>
              <w:pStyle w:val="162"/>
              <w:keepNext w:val="0"/>
              <w:keepLines w:val="0"/>
              <w:suppressLineNumbers w:val="0"/>
              <w:spacing w:before="0" w:beforeAutospacing="0" w:after="0" w:afterAutospacing="0"/>
              <w:ind w:left="0" w:right="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基坑开挖：基坑开挖前，先采用GPS卫星定位系统、全站仪及经纬仪进行复测，</w:t>
            </w:r>
            <w:r>
              <w:rPr>
                <w:rFonts w:hint="eastAsia" w:ascii="Times New Roman" w:hAnsi="Times New Roman" w:eastAsia="宋体" w:cs="Times New Roman"/>
                <w:sz w:val="24"/>
                <w:szCs w:val="24"/>
                <w:highlight w:val="none"/>
                <w:lang w:val="zh-CN"/>
              </w:rPr>
              <w:t>确定位置后采用机械及人工辅助开挖</w:t>
            </w:r>
            <w:r>
              <w:rPr>
                <w:rFonts w:hint="eastAsia" w:ascii="Times New Roman" w:hAnsi="Times New Roman" w:eastAsia="宋体" w:cs="Times New Roman"/>
                <w:sz w:val="24"/>
                <w:szCs w:val="24"/>
                <w:highlight w:val="none"/>
              </w:rPr>
              <w:t>。基坑开挖前要先清理基面，保证基面的平整和高差的统一</w:t>
            </w:r>
            <w:r>
              <w:rPr>
                <w:rFonts w:hint="eastAsia" w:ascii="Times New Roman" w:hAnsi="Times New Roman" w:eastAsia="宋体" w:cs="Times New Roman"/>
                <w:sz w:val="24"/>
                <w:szCs w:val="24"/>
                <w:highlight w:val="none"/>
                <w:lang w:eastAsia="zh-CN"/>
              </w:rPr>
              <w:t>。</w:t>
            </w:r>
          </w:p>
          <w:p w14:paraId="664A922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z w:val="24"/>
                <w:highlight w:val="none"/>
              </w:rPr>
            </w:pPr>
            <w:r>
              <w:rPr>
                <w:rFonts w:hint="eastAsia" w:ascii="Times New Roman" w:hAnsi="Times New Roman" w:cs="Times New Roman"/>
                <w:sz w:val="24"/>
                <w:highlight w:val="none"/>
              </w:rPr>
              <w:t>塔基建设：基坑开挖后进行</w:t>
            </w:r>
            <w:r>
              <w:rPr>
                <w:rFonts w:hint="eastAsia" w:ascii="Times New Roman" w:hAnsi="Times New Roman" w:cs="Times New Roman"/>
                <w:sz w:val="24"/>
                <w:highlight w:val="none"/>
                <w:lang w:val="zh-CN"/>
              </w:rPr>
              <w:t>钢筋绑扎，混凝土采用混凝土运输车运输，现场布料浇筑，振动棒进行振捣，</w:t>
            </w:r>
            <w:r>
              <w:rPr>
                <w:rFonts w:hint="eastAsia" w:ascii="Times New Roman" w:hAnsi="Times New Roman" w:cs="Times New Roman"/>
                <w:sz w:val="24"/>
                <w:highlight w:val="none"/>
              </w:rPr>
              <w:t>最后进行</w:t>
            </w:r>
            <w:r>
              <w:rPr>
                <w:rFonts w:hint="eastAsia" w:ascii="Times New Roman" w:hAnsi="Times New Roman" w:cs="Times New Roman"/>
                <w:sz w:val="24"/>
                <w:highlight w:val="none"/>
                <w:lang w:val="zh-CN"/>
              </w:rPr>
              <w:t>混凝土养护及基坑回填。</w:t>
            </w:r>
          </w:p>
          <w:p w14:paraId="027F8CEA">
            <w:pPr>
              <w:pStyle w:val="162"/>
              <w:keepNext w:val="0"/>
              <w:keepLines w:val="0"/>
              <w:suppressLineNumbers w:val="0"/>
              <w:spacing w:before="0" w:beforeAutospacing="0" w:after="0" w:afterAutospacing="0"/>
              <w:ind w:left="0" w:right="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铁塔安装：铁塔采流动式起重机组立，预先将塔身组装成塔片或塔段，按吊装的顺序叠放，横担部分组装成整体，以提高起重机吊装的使用效率。</w:t>
            </w:r>
          </w:p>
          <w:p w14:paraId="060BFEF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highlight w:val="none"/>
              </w:rPr>
            </w:pPr>
            <w:r>
              <w:rPr>
                <w:rFonts w:hint="eastAsia" w:ascii="Times New Roman" w:hAnsi="Times New Roman" w:cs="Times New Roman"/>
                <w:sz w:val="24"/>
                <w:highlight w:val="none"/>
              </w:rPr>
              <w:t>输电线及地线架设：设置牵张场，导线采用张力机、牵引机“一牵一”张力展放，导线连接采用液压机压接。地线安装采用人力展放或汽车牵引展放，各级引绳带张力逐级牵引，导引绳转换采用小张力机、小牵引机“一牵一”张力展放，地线连接采用液压机压接。</w:t>
            </w:r>
          </w:p>
          <w:p w14:paraId="36E7EB31">
            <w:pPr>
              <w:pStyle w:val="162"/>
              <w:keepNext w:val="0"/>
              <w:keepLines w:val="0"/>
              <w:suppressLineNumbers w:val="0"/>
              <w:spacing w:before="0" w:beforeAutospacing="0" w:after="0" w:afterAutospacing="0"/>
              <w:ind w:left="0" w:right="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sz w:val="24"/>
                <w:szCs w:val="24"/>
                <w:highlight w:val="none"/>
              </w:rPr>
              <w:t>投入使用。</w:t>
            </w:r>
          </w:p>
          <w:p w14:paraId="141A13AA">
            <w:pPr>
              <w:keepNext w:val="0"/>
              <w:keepLines w:val="0"/>
              <w:suppressLineNumbers w:val="0"/>
              <w:topLinePunct/>
              <w:spacing w:before="0" w:beforeAutospacing="0" w:after="0" w:afterAutospacing="0" w:line="360" w:lineRule="auto"/>
              <w:ind w:left="0" w:leftChars="0" w:right="0" w:firstLine="0" w:firstLineChars="0"/>
              <w:jc w:val="center"/>
              <w:rPr>
                <w:rFonts w:hint="default"/>
              </w:rPr>
            </w:pPr>
            <w:r>
              <w:rPr>
                <w:rFonts w:hint="default"/>
              </w:rPr>
              <w:drawing>
                <wp:inline distT="0" distB="0" distL="114300" distR="114300">
                  <wp:extent cx="5614670" cy="622935"/>
                  <wp:effectExtent l="0" t="0" r="5080" b="571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4"/>
                          <a:stretch>
                            <a:fillRect/>
                          </a:stretch>
                        </pic:blipFill>
                        <pic:spPr>
                          <a:xfrm>
                            <a:off x="0" y="0"/>
                            <a:ext cx="5614670" cy="622935"/>
                          </a:xfrm>
                          <a:prstGeom prst="rect">
                            <a:avLst/>
                          </a:prstGeom>
                          <a:noFill/>
                          <a:ln>
                            <a:noFill/>
                          </a:ln>
                        </pic:spPr>
                      </pic:pic>
                    </a:graphicData>
                  </a:graphic>
                </wp:inline>
              </w:drawing>
            </w:r>
          </w:p>
          <w:p w14:paraId="6133F9F0">
            <w:pPr>
              <w:pStyle w:val="5"/>
              <w:suppressLineNumbers w:val="0"/>
              <w:spacing w:before="0" w:beforeAutospacing="0" w:after="0" w:afterAutospacing="0"/>
              <w:ind w:left="0" w:leftChars="0" w:right="0" w:firstLine="0" w:firstLineChars="0"/>
              <w:jc w:val="center"/>
              <w:rPr>
                <w:rFonts w:hint="eastAsia" w:ascii="Times New Roman" w:hAnsi="Times New Roman" w:eastAsia="黑体" w:cs="Times New Roman"/>
                <w:b/>
                <w:bCs/>
                <w:color w:val="000000"/>
                <w:kern w:val="0"/>
                <w:sz w:val="24"/>
                <w:szCs w:val="20"/>
                <w:lang w:val="en-US" w:eastAsia="zh-CN" w:bidi="ar-SA"/>
              </w:rPr>
            </w:pPr>
            <w:r>
              <w:rPr>
                <w:rFonts w:hint="eastAsia" w:ascii="Times New Roman" w:hAnsi="Times New Roman" w:eastAsia="黑体" w:cs="Times New Roman"/>
                <w:b/>
                <w:bCs/>
                <w:color w:val="000000"/>
                <w:kern w:val="0"/>
                <w:sz w:val="24"/>
                <w:szCs w:val="20"/>
                <w:lang w:val="en-US" w:eastAsia="zh-CN" w:bidi="ar-SA"/>
              </w:rPr>
              <w:t>图</w:t>
            </w:r>
            <w:r>
              <w:rPr>
                <w:rFonts w:hint="eastAsia" w:eastAsia="黑体" w:cs="Times New Roman"/>
                <w:b/>
                <w:bCs/>
                <w:color w:val="000000"/>
                <w:kern w:val="0"/>
                <w:sz w:val="24"/>
                <w:szCs w:val="20"/>
                <w:lang w:val="en-US" w:eastAsia="zh-CN" w:bidi="ar-SA"/>
              </w:rPr>
              <w:t xml:space="preserve">2-5 </w:t>
            </w:r>
            <w:r>
              <w:rPr>
                <w:rFonts w:hint="eastAsia" w:ascii="Times New Roman" w:hAnsi="Times New Roman" w:eastAsia="黑体" w:cs="Times New Roman"/>
                <w:b/>
                <w:bCs/>
                <w:color w:val="000000"/>
                <w:kern w:val="0"/>
                <w:sz w:val="24"/>
                <w:szCs w:val="20"/>
                <w:lang w:val="en-US" w:eastAsia="zh-CN" w:bidi="ar-SA"/>
              </w:rPr>
              <w:t>输电线路主要施工工艺</w:t>
            </w:r>
          </w:p>
          <w:p w14:paraId="4C6AB5DC">
            <w:pPr>
              <w:pStyle w:val="163"/>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spacing w:val="-2"/>
                <w:sz w:val="24"/>
                <w:szCs w:val="24"/>
              </w:rPr>
            </w:pPr>
            <w:r>
              <w:rPr>
                <w:rFonts w:hint="eastAsia" w:ascii="Times New Roman" w:hAnsi="Times New Roman" w:eastAsia="宋体" w:cs="Times New Roman"/>
                <w:sz w:val="24"/>
                <w:highlight w:val="none"/>
                <w:lang w:val="en-US" w:eastAsia="zh-CN"/>
              </w:rPr>
              <w:t>（</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110kV光伏升压站</w:t>
            </w:r>
            <w:r>
              <w:rPr>
                <w:rFonts w:hint="default"/>
                <w:spacing w:val="-1"/>
              </w:rPr>
              <w:t>施工顺序大致为</w:t>
            </w:r>
            <w:r>
              <w:rPr>
                <w:rFonts w:hint="default" w:ascii="Times New Roman" w:hAnsi="Times New Roman" w:eastAsia="宋体" w:cs="Times New Roman"/>
                <w:spacing w:val="-3"/>
                <w:sz w:val="24"/>
                <w:szCs w:val="24"/>
              </w:rPr>
              <w:t>施工准备、</w:t>
            </w:r>
            <w:r>
              <w:rPr>
                <w:rFonts w:hint="default"/>
                <w:spacing w:val="-1"/>
              </w:rPr>
              <w:t>场地平整</w:t>
            </w:r>
            <w:r>
              <w:rPr>
                <w:rFonts w:hint="eastAsia"/>
                <w:spacing w:val="-1"/>
                <w:lang w:val="en-US" w:eastAsia="zh-CN"/>
              </w:rPr>
              <w:t>及</w:t>
            </w:r>
            <w:r>
              <w:rPr>
                <w:rFonts w:hint="default"/>
                <w:spacing w:val="-1"/>
              </w:rPr>
              <w:t>碾压、基础开挖</w:t>
            </w:r>
            <w:r>
              <w:rPr>
                <w:rFonts w:hint="default" w:ascii="Times New Roman" w:hAnsi="Times New Roman" w:eastAsia="宋体" w:cs="Times New Roman"/>
                <w:spacing w:val="-3"/>
                <w:sz w:val="24"/>
                <w:szCs w:val="24"/>
              </w:rPr>
              <w:t>、</w:t>
            </w:r>
            <w:r>
              <w:rPr>
                <w:rFonts w:hint="default"/>
                <w:spacing w:val="-1"/>
              </w:rPr>
              <w:t>地基处理</w:t>
            </w:r>
            <w:r>
              <w:rPr>
                <w:rFonts w:hint="default" w:ascii="Times New Roman" w:hAnsi="Times New Roman" w:eastAsia="宋体" w:cs="Times New Roman"/>
                <w:spacing w:val="-3"/>
                <w:sz w:val="24"/>
                <w:szCs w:val="24"/>
              </w:rPr>
              <w:t>、</w:t>
            </w:r>
            <w:r>
              <w:rPr>
                <w:rFonts w:hint="default"/>
                <w:spacing w:val="-1"/>
              </w:rPr>
              <w:t>设备基础层浇筑</w:t>
            </w:r>
            <w:r>
              <w:rPr>
                <w:rFonts w:hint="default" w:ascii="Times New Roman" w:hAnsi="Times New Roman" w:eastAsia="宋体" w:cs="Times New Roman"/>
                <w:spacing w:val="-3"/>
                <w:sz w:val="24"/>
                <w:szCs w:val="24"/>
              </w:rPr>
              <w:t>、设备安装调试</w:t>
            </w:r>
            <w:r>
              <w:rPr>
                <w:rFonts w:hint="default" w:ascii="Times New Roman" w:hAnsi="Times New Roman" w:eastAsia="宋体" w:cs="Times New Roman"/>
                <w:spacing w:val="-2"/>
                <w:sz w:val="24"/>
                <w:szCs w:val="24"/>
              </w:rPr>
              <w:t>等环节。</w:t>
            </w:r>
          </w:p>
          <w:p w14:paraId="3C4E8D21">
            <w:pPr>
              <w:pStyle w:val="163"/>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textAlignment w:val="auto"/>
              <w:rPr>
                <w:rFonts w:hint="eastAsia" w:ascii="Times New Roman" w:hAnsi="Times New Roman" w:eastAsia="宋体" w:cs="Times New Roman"/>
                <w:spacing w:val="-2"/>
                <w:sz w:val="24"/>
                <w:szCs w:val="24"/>
                <w:lang w:val="en-US" w:eastAsia="zh-CN"/>
              </w:rPr>
            </w:pPr>
            <w:r>
              <w:rPr>
                <w:rFonts w:hint="default"/>
              </w:rPr>
              <w:drawing>
                <wp:inline distT="0" distB="0" distL="114300" distR="114300">
                  <wp:extent cx="5607685" cy="573405"/>
                  <wp:effectExtent l="0" t="0" r="12065" b="1714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5"/>
                          <a:stretch>
                            <a:fillRect/>
                          </a:stretch>
                        </pic:blipFill>
                        <pic:spPr>
                          <a:xfrm>
                            <a:off x="0" y="0"/>
                            <a:ext cx="5607685" cy="573405"/>
                          </a:xfrm>
                          <a:prstGeom prst="rect">
                            <a:avLst/>
                          </a:prstGeom>
                          <a:noFill/>
                          <a:ln>
                            <a:noFill/>
                          </a:ln>
                        </pic:spPr>
                      </pic:pic>
                    </a:graphicData>
                  </a:graphic>
                </wp:inline>
              </w:drawing>
            </w:r>
          </w:p>
          <w:p w14:paraId="4F1D4119">
            <w:pPr>
              <w:pStyle w:val="5"/>
              <w:suppressLineNumbers w:val="0"/>
              <w:spacing w:before="0" w:beforeAutospacing="0" w:after="0" w:afterAutospacing="0"/>
              <w:ind w:left="0" w:leftChars="0" w:right="0" w:firstLine="0" w:firstLineChars="0"/>
              <w:jc w:val="center"/>
              <w:rPr>
                <w:rFonts w:hint="eastAsia" w:ascii="Times New Roman" w:hAnsi="Times New Roman" w:cs="Times New Roman"/>
                <w:b/>
                <w:bCs/>
                <w:color w:val="000000"/>
                <w:kern w:val="2"/>
                <w:sz w:val="24"/>
                <w:szCs w:val="24"/>
                <w:lang w:val="en-US" w:eastAsia="zh-CN" w:bidi="ar-SA"/>
              </w:rPr>
            </w:pPr>
            <w:r>
              <w:rPr>
                <w:rFonts w:hint="eastAsia" w:ascii="Times New Roman" w:hAnsi="Times New Roman" w:eastAsia="黑体" w:cs="Times New Roman"/>
                <w:b/>
                <w:bCs/>
                <w:color w:val="000000"/>
                <w:kern w:val="0"/>
                <w:sz w:val="24"/>
                <w:szCs w:val="20"/>
                <w:lang w:val="en-US" w:eastAsia="zh-CN" w:bidi="ar-SA"/>
              </w:rPr>
              <w:t>图</w:t>
            </w:r>
            <w:r>
              <w:rPr>
                <w:rFonts w:hint="eastAsia" w:eastAsia="黑体" w:cs="Times New Roman"/>
                <w:b/>
                <w:bCs/>
                <w:color w:val="000000"/>
                <w:kern w:val="0"/>
                <w:sz w:val="24"/>
                <w:szCs w:val="20"/>
                <w:lang w:val="en-US" w:eastAsia="zh-CN" w:bidi="ar-SA"/>
              </w:rPr>
              <w:t xml:space="preserve">2-6 </w:t>
            </w:r>
            <w:r>
              <w:rPr>
                <w:rFonts w:hint="eastAsia" w:ascii="Times New Roman" w:hAnsi="Times New Roman" w:eastAsia="黑体" w:cs="Times New Roman"/>
                <w:b/>
                <w:bCs/>
                <w:color w:val="000000"/>
                <w:kern w:val="0"/>
                <w:sz w:val="24"/>
                <w:szCs w:val="20"/>
                <w:lang w:val="en-US" w:eastAsia="zh-CN" w:bidi="ar-SA"/>
              </w:rPr>
              <w:t>升压站主要施工工艺</w:t>
            </w:r>
          </w:p>
          <w:p w14:paraId="286B3615">
            <w:pPr>
              <w:keepNext w:val="0"/>
              <w:keepLines w:val="0"/>
              <w:pageBreakBefore w:val="0"/>
              <w:widowControl w:val="0"/>
              <w:numPr>
                <w:ilvl w:val="0"/>
                <w:numId w:val="0"/>
              </w:numPr>
              <w:suppressLineNumbers w:val="0"/>
              <w:kinsoku/>
              <w:wordWrap/>
              <w:topLinePunct w:val="0"/>
              <w:autoSpaceDE/>
              <w:autoSpaceDN/>
              <w:bidi w:val="0"/>
              <w:adjustRightInd/>
              <w:spacing w:before="0" w:beforeAutospacing="0" w:after="0" w:afterAutospacing="0" w:line="360" w:lineRule="auto"/>
              <w:ind w:left="0" w:leftChars="0" w:right="0" w:rightChars="0"/>
              <w:jc w:val="both"/>
              <w:textAlignment w:val="auto"/>
              <w:outlineLvl w:val="9"/>
              <w:rPr>
                <w:rFonts w:hint="eastAsia" w:ascii="宋体" w:hAnsi="宋体" w:cs="宋体"/>
                <w:b/>
                <w:bCs w:val="0"/>
                <w:color w:val="000000"/>
                <w:kern w:val="2"/>
                <w:sz w:val="24"/>
                <w:szCs w:val="24"/>
                <w:highlight w:val="none"/>
                <w:lang w:val="en-US" w:eastAsia="zh-CN" w:bidi="ar-SA"/>
              </w:rPr>
            </w:pPr>
            <w:r>
              <w:rPr>
                <w:rFonts w:hint="eastAsia" w:ascii="Times New Roman" w:hAnsi="Times New Roman" w:cs="Times New Roman"/>
                <w:b/>
                <w:bCs/>
                <w:color w:val="000000"/>
                <w:kern w:val="2"/>
                <w:sz w:val="24"/>
                <w:szCs w:val="24"/>
                <w:lang w:val="en-US" w:eastAsia="zh-CN" w:bidi="ar-SA"/>
              </w:rPr>
              <w:t>2.</w:t>
            </w:r>
            <w:r>
              <w:rPr>
                <w:rFonts w:hint="eastAsia" w:cs="Times New Roman"/>
                <w:b/>
                <w:bCs/>
                <w:color w:val="000000"/>
                <w:kern w:val="2"/>
                <w:sz w:val="24"/>
                <w:szCs w:val="24"/>
                <w:lang w:val="en-US" w:eastAsia="zh-CN" w:bidi="ar-SA"/>
              </w:rPr>
              <w:t>4.2</w:t>
            </w:r>
            <w:r>
              <w:rPr>
                <w:rFonts w:hint="eastAsia" w:ascii="宋体" w:hAnsi="宋体" w:eastAsia="宋体" w:cs="宋体"/>
                <w:b/>
                <w:bCs w:val="0"/>
                <w:color w:val="000000"/>
                <w:kern w:val="2"/>
                <w:sz w:val="24"/>
                <w:szCs w:val="24"/>
                <w:highlight w:val="none"/>
                <w:lang w:val="en-US" w:eastAsia="zh-CN" w:bidi="ar-SA"/>
              </w:rPr>
              <w:t>施工</w:t>
            </w:r>
            <w:r>
              <w:rPr>
                <w:rFonts w:hint="eastAsia" w:ascii="宋体" w:hAnsi="宋体" w:cs="宋体"/>
                <w:b/>
                <w:bCs w:val="0"/>
                <w:color w:val="000000"/>
                <w:kern w:val="2"/>
                <w:sz w:val="24"/>
                <w:szCs w:val="24"/>
                <w:highlight w:val="none"/>
                <w:lang w:val="en-US" w:eastAsia="zh-CN" w:bidi="ar-SA"/>
              </w:rPr>
              <w:t>时序</w:t>
            </w:r>
          </w:p>
          <w:p w14:paraId="47A06FED">
            <w:pPr>
              <w:pStyle w:val="5"/>
              <w:suppressLineNumbers w:val="0"/>
              <w:spacing w:before="0" w:beforeAutospacing="0" w:after="0" w:afterAutospacing="0"/>
              <w:ind w:left="0" w:right="0"/>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升压站工程施工期对建设场地进行了开挖和平整，施工开挖时已分层取土，土石方临时堆放在站区空地，施工结束进行了回填。施工过程中做到了随挖、随填，尽量缩短</w:t>
            </w:r>
            <w:r>
              <w:rPr>
                <w:rFonts w:hint="eastAsia" w:ascii="宋体" w:hAnsi="宋体" w:cs="宋体"/>
                <w:b w:val="0"/>
                <w:bCs w:val="0"/>
                <w:kern w:val="2"/>
                <w:sz w:val="24"/>
                <w:szCs w:val="24"/>
                <w:highlight w:val="none"/>
                <w:lang w:val="en-US" w:eastAsia="zh-CN" w:bidi="ar-SA"/>
              </w:rPr>
              <w:t>了</w:t>
            </w:r>
            <w:r>
              <w:rPr>
                <w:rFonts w:hint="eastAsia" w:ascii="宋体" w:hAnsi="宋体" w:eastAsia="宋体" w:cs="宋体"/>
                <w:b w:val="0"/>
                <w:bCs w:val="0"/>
                <w:kern w:val="2"/>
                <w:sz w:val="24"/>
                <w:szCs w:val="24"/>
                <w:highlight w:val="none"/>
                <w:lang w:val="en-US" w:eastAsia="zh-CN" w:bidi="ar-SA"/>
              </w:rPr>
              <w:t>施工周期，同时避免了倒运或二次占压。</w:t>
            </w:r>
          </w:p>
          <w:p w14:paraId="6244A9B7">
            <w:pPr>
              <w:pStyle w:val="5"/>
              <w:suppressLineNumbers w:val="0"/>
              <w:spacing w:before="0" w:beforeAutospacing="0" w:after="0" w:afterAutospacing="0"/>
              <w:ind w:left="0" w:right="0"/>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施工单位负责了全部塔基基础开挖施工、浇制、铁塔组立。在基础施工中已按照设计要求进行施工，将基础开挖土石方及表土临时堆放在塔基连梁内及周边用地范围内，施工完成后土石方用于塔基护坡或运至临近低洼处平整处理。工程施工已合理安排施工时间，尽量避开了雨季和汛期。施工结束</w:t>
            </w:r>
            <w:r>
              <w:rPr>
                <w:rFonts w:hint="eastAsia" w:ascii="宋体" w:hAnsi="宋体" w:cs="宋体"/>
                <w:b w:val="0"/>
                <w:bCs w:val="0"/>
                <w:kern w:val="2"/>
                <w:sz w:val="24"/>
                <w:szCs w:val="24"/>
                <w:highlight w:val="none"/>
                <w:lang w:val="en-US" w:eastAsia="zh-CN" w:bidi="ar-SA"/>
              </w:rPr>
              <w:t>，</w:t>
            </w:r>
            <w:r>
              <w:rPr>
                <w:rFonts w:hint="eastAsia" w:ascii="宋体" w:hAnsi="宋体" w:eastAsia="宋体" w:cs="宋体"/>
                <w:b w:val="0"/>
                <w:bCs w:val="0"/>
                <w:kern w:val="2"/>
                <w:sz w:val="24"/>
                <w:szCs w:val="24"/>
                <w:highlight w:val="none"/>
                <w:lang w:val="en-US" w:eastAsia="zh-CN" w:bidi="ar-SA"/>
              </w:rPr>
              <w:t>已进行</w:t>
            </w:r>
            <w:r>
              <w:rPr>
                <w:rFonts w:hint="eastAsia" w:ascii="宋体" w:hAnsi="宋体" w:cs="宋体"/>
                <w:b w:val="0"/>
                <w:bCs w:val="0"/>
                <w:kern w:val="2"/>
                <w:sz w:val="24"/>
                <w:szCs w:val="24"/>
                <w:highlight w:val="none"/>
                <w:lang w:val="en-US" w:eastAsia="zh-CN" w:bidi="ar-SA"/>
              </w:rPr>
              <w:t>土地平整</w:t>
            </w:r>
            <w:r>
              <w:rPr>
                <w:rFonts w:hint="eastAsia" w:ascii="宋体" w:hAnsi="宋体" w:eastAsia="宋体" w:cs="宋体"/>
                <w:b w:val="0"/>
                <w:bCs w:val="0"/>
                <w:kern w:val="2"/>
                <w:sz w:val="24"/>
                <w:szCs w:val="24"/>
                <w:highlight w:val="none"/>
                <w:lang w:val="en-US" w:eastAsia="zh-CN" w:bidi="ar-SA"/>
              </w:rPr>
              <w:t>等恢复工程。</w:t>
            </w:r>
          </w:p>
          <w:p w14:paraId="65EB99DB">
            <w:pPr>
              <w:keepNext w:val="0"/>
              <w:keepLines w:val="0"/>
              <w:pageBreakBefore w:val="0"/>
              <w:widowControl w:val="0"/>
              <w:numPr>
                <w:ilvl w:val="0"/>
                <w:numId w:val="0"/>
              </w:numPr>
              <w:suppressLineNumbers w:val="0"/>
              <w:kinsoku/>
              <w:wordWrap/>
              <w:topLinePunct w:val="0"/>
              <w:autoSpaceDE/>
              <w:autoSpaceDN/>
              <w:bidi w:val="0"/>
              <w:adjustRightInd/>
              <w:spacing w:before="0" w:beforeAutospacing="0" w:after="0" w:afterAutospacing="0" w:line="360" w:lineRule="auto"/>
              <w:ind w:left="0" w:leftChars="0" w:right="0" w:rightChars="0"/>
              <w:jc w:val="both"/>
              <w:textAlignment w:val="auto"/>
              <w:outlineLvl w:val="9"/>
              <w:rPr>
                <w:rFonts w:hint="eastAsia" w:ascii="Times New Roman" w:hAnsi="Times New Roman" w:cs="Times New Roman"/>
                <w:b/>
                <w:bCs/>
                <w:color w:val="000000"/>
                <w:kern w:val="2"/>
                <w:sz w:val="24"/>
                <w:szCs w:val="24"/>
                <w:lang w:val="en-US" w:eastAsia="zh-CN" w:bidi="ar-SA"/>
              </w:rPr>
            </w:pPr>
            <w:r>
              <w:rPr>
                <w:rFonts w:hint="eastAsia" w:ascii="Times New Roman" w:hAnsi="Times New Roman" w:cs="Times New Roman"/>
                <w:b/>
                <w:bCs/>
                <w:color w:val="000000"/>
                <w:kern w:val="2"/>
                <w:sz w:val="24"/>
                <w:szCs w:val="24"/>
                <w:lang w:val="en-US" w:eastAsia="zh-CN" w:bidi="ar-SA"/>
              </w:rPr>
              <w:t>2.</w:t>
            </w:r>
            <w:r>
              <w:rPr>
                <w:rFonts w:hint="eastAsia" w:cs="Times New Roman"/>
                <w:b/>
                <w:bCs/>
                <w:color w:val="000000"/>
                <w:kern w:val="2"/>
                <w:sz w:val="24"/>
                <w:szCs w:val="24"/>
                <w:lang w:val="en-US" w:eastAsia="zh-CN" w:bidi="ar-SA"/>
              </w:rPr>
              <w:t>4.3</w:t>
            </w:r>
            <w:r>
              <w:rPr>
                <w:rFonts w:hint="eastAsia" w:ascii="Times New Roman" w:hAnsi="Times New Roman" w:cs="Times New Roman"/>
                <w:b/>
                <w:bCs/>
                <w:color w:val="000000"/>
                <w:kern w:val="2"/>
                <w:sz w:val="24"/>
                <w:szCs w:val="24"/>
                <w:lang w:val="en-US" w:eastAsia="zh-CN" w:bidi="ar-SA"/>
              </w:rPr>
              <w:t>建设周期</w:t>
            </w:r>
          </w:p>
          <w:p w14:paraId="487691AF">
            <w:pPr>
              <w:pStyle w:val="5"/>
              <w:suppressLineNumbers w:val="0"/>
              <w:spacing w:before="0" w:beforeAutospacing="0" w:after="0" w:afterAutospacing="0"/>
              <w:ind w:left="0" w:right="0"/>
              <w:rPr>
                <w:rFonts w:hint="default"/>
                <w:lang w:val="en-US" w:eastAsia="zh-CN"/>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项目已于</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2016年3月开工，</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于</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2016</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年</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月</w:t>
            </w:r>
            <w:r>
              <w:rPr>
                <w:rFonts w:hint="eastAsia" w:cs="宋体"/>
                <w:b w:val="0"/>
                <w:bCs w:val="0"/>
                <w:color w:val="000000" w:themeColor="text1"/>
                <w:kern w:val="2"/>
                <w:sz w:val="24"/>
                <w:szCs w:val="24"/>
                <w:highlight w:val="none"/>
                <w:lang w:val="en-US" w:eastAsia="zh-CN" w:bidi="ar-SA"/>
                <w14:textFill>
                  <w14:solidFill>
                    <w14:schemeClr w14:val="tx1"/>
                  </w14:solidFill>
                </w14:textFill>
              </w:rPr>
              <w:t>建成运行</w:t>
            </w:r>
            <w:r>
              <w:rPr>
                <w:rFonts w:hint="default"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w:t>
            </w:r>
          </w:p>
        </w:tc>
      </w:tr>
      <w:tr w14:paraId="40765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1440AC75">
            <w:pPr>
              <w:keepNext w:val="0"/>
              <w:keepLines w:val="0"/>
              <w:pageBreakBefore w:val="0"/>
              <w:widowControl w:val="0"/>
              <w:suppressLineNumbers w:val="0"/>
              <w:kinsoku/>
              <w:wordWrap/>
              <w:overflowPunct/>
              <w:topLinePunct/>
              <w:autoSpaceDE/>
              <w:autoSpaceDN/>
              <w:bidi w:val="0"/>
              <w:adjustRightInd/>
              <w:snapToGrid/>
              <w:spacing w:before="60" w:beforeAutospacing="0" w:after="60" w:afterAutospacing="0" w:line="240" w:lineRule="auto"/>
              <w:ind w:left="0" w:leftChars="0" w:right="0" w:firstLine="0" w:firstLineChars="0"/>
              <w:jc w:val="center"/>
              <w:textAlignment w:val="auto"/>
              <w:rPr>
                <w:rFonts w:hint="eastAsia" w:ascii="Times New Roman" w:hAnsi="Times New Roman" w:eastAsia="宋体" w:cs="Times New Roman"/>
                <w:color w:val="000000"/>
                <w:sz w:val="24"/>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其他</w:t>
            </w:r>
          </w:p>
        </w:tc>
      </w:tr>
      <w:tr w14:paraId="53422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0"/>
            <w:noWrap w:val="0"/>
            <w:vAlign w:val="top"/>
          </w:tcPr>
          <w:p w14:paraId="78F0C875">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r>
              <w:rPr>
                <w:rFonts w:hint="eastAsia" w:cs="Times New Roman"/>
                <w:color w:val="000000"/>
                <w:sz w:val="24"/>
                <w:lang w:val="en-US" w:eastAsia="zh-CN"/>
              </w:rPr>
              <w:t>无</w:t>
            </w:r>
          </w:p>
          <w:p w14:paraId="77AFBEDD">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08D9CD8D">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20BD84AA">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5C4930A4">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3354693B">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2DD8F7B5">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1E85FF2C">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5CB04B3F">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48772AAA">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3C9D5FBF">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6E89534F">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3249CFCC">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78967B89">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06967026">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18AA49F7">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22E3E449">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07C34DAA">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74C8733C">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center"/>
              <w:textAlignment w:val="auto"/>
              <w:rPr>
                <w:rFonts w:hint="eastAsia" w:cs="Times New Roman"/>
                <w:color w:val="000000"/>
                <w:sz w:val="24"/>
                <w:lang w:val="en-US" w:eastAsia="zh-CN"/>
              </w:rPr>
            </w:pPr>
          </w:p>
          <w:p w14:paraId="72BE6459">
            <w:pPr>
              <w:keepNext w:val="0"/>
              <w:keepLines w:val="0"/>
              <w:pageBreakBefore w:val="0"/>
              <w:widowControl w:val="0"/>
              <w:suppressLineNumbers w:val="0"/>
              <w:kinsoku/>
              <w:wordWrap/>
              <w:overflowPunct/>
              <w:topLinePunct/>
              <w:autoSpaceDE/>
              <w:autoSpaceDN/>
              <w:bidi w:val="0"/>
              <w:adjustRightInd/>
              <w:snapToGrid/>
              <w:spacing w:before="60" w:beforeAutospacing="0" w:after="0" w:afterAutospacing="0" w:line="360" w:lineRule="auto"/>
              <w:ind w:left="0" w:leftChars="0" w:right="0" w:firstLine="0" w:firstLineChars="0"/>
              <w:jc w:val="both"/>
              <w:textAlignment w:val="auto"/>
              <w:rPr>
                <w:rFonts w:hint="default" w:cs="Times New Roman"/>
                <w:color w:val="000000"/>
                <w:sz w:val="24"/>
                <w:lang w:val="en-US" w:eastAsia="zh-CN"/>
              </w:rPr>
            </w:pPr>
          </w:p>
        </w:tc>
      </w:tr>
    </w:tbl>
    <w:p w14:paraId="706F7A91">
      <w:pPr>
        <w:pStyle w:val="3"/>
        <w:spacing w:before="0" w:after="0" w:line="240" w:lineRule="auto"/>
        <w:ind w:left="0" w:leftChars="0" w:firstLine="0" w:firstLineChars="0"/>
        <w:jc w:val="both"/>
        <w:rPr>
          <w:rFonts w:hint="eastAsia"/>
        </w:rPr>
        <w:sectPr>
          <w:pgSz w:w="11907" w:h="16840"/>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0EC4C82C">
      <w:pPr>
        <w:pStyle w:val="3"/>
        <w:keepNext/>
        <w:keepLines w:val="0"/>
        <w:pageBreakBefore w:val="0"/>
        <w:widowControl w:val="0"/>
        <w:kinsoku/>
        <w:wordWrap/>
        <w:overflowPunct w:val="0"/>
        <w:topLinePunct w:val="0"/>
        <w:autoSpaceDE/>
        <w:autoSpaceDN/>
        <w:bidi w:val="0"/>
        <w:adjustRightInd/>
        <w:snapToGrid w:val="0"/>
        <w:spacing w:before="0" w:after="0" w:line="360" w:lineRule="auto"/>
        <w:ind w:left="0" w:firstLine="0" w:firstLineChars="0"/>
        <w:textAlignment w:val="auto"/>
        <w:rPr>
          <w:rFonts w:hint="eastAsia" w:ascii="Times New Roman" w:hAnsi="Times New Roman" w:cs="Times New Roman"/>
        </w:rPr>
      </w:pPr>
      <w:bookmarkStart w:id="7" w:name="_Toc18206"/>
      <w:r>
        <w:rPr>
          <w:rFonts w:hint="eastAsia" w:ascii="Times New Roman" w:hAnsi="Times New Roman" w:cs="Times New Roman"/>
        </w:rPr>
        <w:t>三、</w:t>
      </w:r>
      <w:bookmarkEnd w:id="7"/>
      <w:r>
        <w:rPr>
          <w:rFonts w:hint="eastAsia" w:ascii="Times New Roman" w:hAnsi="Times New Roman" w:cs="Times New Roman"/>
          <w:lang w:val="en-US" w:eastAsia="zh-CN"/>
        </w:rPr>
        <w:t>生态环境现状、保护目标及评价标准</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0"/>
        <w:gridCol w:w="417"/>
        <w:gridCol w:w="7"/>
        <w:gridCol w:w="18"/>
        <w:gridCol w:w="835"/>
        <w:gridCol w:w="43"/>
        <w:gridCol w:w="411"/>
        <w:gridCol w:w="127"/>
        <w:gridCol w:w="442"/>
        <w:gridCol w:w="263"/>
        <w:gridCol w:w="286"/>
        <w:gridCol w:w="24"/>
        <w:gridCol w:w="469"/>
        <w:gridCol w:w="564"/>
        <w:gridCol w:w="105"/>
        <w:gridCol w:w="129"/>
        <w:gridCol w:w="69"/>
        <w:gridCol w:w="475"/>
        <w:gridCol w:w="228"/>
        <w:gridCol w:w="502"/>
        <w:gridCol w:w="112"/>
        <w:gridCol w:w="165"/>
        <w:gridCol w:w="149"/>
        <w:gridCol w:w="315"/>
        <w:gridCol w:w="665"/>
        <w:gridCol w:w="24"/>
        <w:gridCol w:w="156"/>
        <w:gridCol w:w="134"/>
        <w:gridCol w:w="482"/>
        <w:gridCol w:w="734"/>
        <w:gridCol w:w="4"/>
      </w:tblGrid>
      <w:tr w14:paraId="4D73A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4997" w:type="pct"/>
            <w:gridSpan w:val="31"/>
            <w:noWrap w:val="0"/>
            <w:vAlign w:val="center"/>
          </w:tcPr>
          <w:p w14:paraId="6D5F9FB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eastAsia="黑体" w:cs="Times New Roman"/>
                <w:b/>
                <w:bCs/>
                <w:color w:val="000000"/>
                <w:sz w:val="24"/>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生态环境现状</w:t>
            </w:r>
          </w:p>
        </w:tc>
      </w:tr>
      <w:tr w14:paraId="3318A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4997" w:type="pct"/>
            <w:gridSpan w:val="31"/>
            <w:noWrap w:val="0"/>
            <w:vAlign w:val="center"/>
          </w:tcPr>
          <w:p w14:paraId="5B179B4B">
            <w:pPr>
              <w:keepNext w:val="0"/>
              <w:keepLines w:val="0"/>
              <w:pageBreakBefore w:val="0"/>
              <w:widowControl w:val="0"/>
              <w:numPr>
                <w:ilvl w:val="0"/>
                <w:numId w:val="0"/>
              </w:numPr>
              <w:suppressLineNumbers w:val="0"/>
              <w:kinsoku/>
              <w:wordWrap/>
              <w:topLinePunct w:val="0"/>
              <w:autoSpaceDE/>
              <w:autoSpaceDN/>
              <w:bidi w:val="0"/>
              <w:adjustRightInd/>
              <w:spacing w:before="0" w:beforeAutospacing="0" w:after="0" w:afterAutospacing="0" w:line="360" w:lineRule="auto"/>
              <w:ind w:left="0" w:leftChars="0" w:right="0" w:rightChars="0"/>
              <w:jc w:val="both"/>
              <w:textAlignment w:val="auto"/>
              <w:outlineLvl w:val="9"/>
              <w:rPr>
                <w:rFonts w:hint="default"/>
                <w:b/>
                <w:bCs/>
                <w:spacing w:val="-8"/>
              </w:rPr>
            </w:pPr>
            <w:r>
              <w:rPr>
                <w:rFonts w:hint="eastAsia" w:cs="Times New Roman"/>
                <w:b/>
                <w:bCs/>
                <w:color w:val="000000"/>
                <w:kern w:val="2"/>
                <w:sz w:val="24"/>
                <w:szCs w:val="24"/>
                <w:lang w:val="en-US" w:eastAsia="zh-CN" w:bidi="ar-SA"/>
              </w:rPr>
              <w:t>3</w:t>
            </w:r>
            <w:r>
              <w:rPr>
                <w:rFonts w:hint="eastAsia" w:ascii="Times New Roman" w:hAnsi="Times New Roman" w:cs="Times New Roman"/>
                <w:b/>
                <w:bCs/>
                <w:color w:val="000000"/>
                <w:kern w:val="2"/>
                <w:sz w:val="24"/>
                <w:szCs w:val="24"/>
                <w:lang w:val="en-US" w:eastAsia="zh-CN" w:bidi="ar-SA"/>
              </w:rPr>
              <w:t>.1</w:t>
            </w:r>
            <w:r>
              <w:rPr>
                <w:rFonts w:hint="default"/>
                <w:b/>
                <w:bCs/>
                <w:spacing w:val="-8"/>
              </w:rPr>
              <w:t>生态环境现状</w:t>
            </w:r>
          </w:p>
          <w:p w14:paraId="3C3CCA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rPr>
            </w:pPr>
            <w:r>
              <w:rPr>
                <w:rFonts w:hint="eastAsia" w:cs="Times New Roman"/>
                <w:b/>
                <w:bCs/>
                <w:color w:val="000000"/>
                <w:kern w:val="2"/>
                <w:sz w:val="24"/>
                <w:szCs w:val="24"/>
                <w:lang w:val="en-US" w:eastAsia="zh-CN" w:bidi="ar-SA"/>
              </w:rPr>
              <w:t>3</w:t>
            </w:r>
            <w:r>
              <w:rPr>
                <w:rFonts w:hint="eastAsia" w:ascii="Times New Roman" w:hAnsi="Times New Roman" w:cs="Times New Roman"/>
                <w:b/>
                <w:bCs/>
                <w:color w:val="000000"/>
                <w:kern w:val="2"/>
                <w:sz w:val="24"/>
                <w:szCs w:val="24"/>
                <w:lang w:val="en-US" w:eastAsia="zh-CN" w:bidi="ar-SA"/>
              </w:rPr>
              <w:t>.1</w:t>
            </w:r>
            <w:r>
              <w:rPr>
                <w:rFonts w:hint="eastAsia" w:cs="Times New Roman"/>
                <w:b/>
                <w:bCs/>
                <w:color w:val="000000"/>
                <w:kern w:val="2"/>
                <w:sz w:val="24"/>
                <w:szCs w:val="24"/>
                <w:lang w:val="en-US" w:eastAsia="zh-CN" w:bidi="ar-SA"/>
              </w:rPr>
              <w:t>.1</w:t>
            </w:r>
            <w:r>
              <w:rPr>
                <w:rFonts w:hint="default"/>
                <w:b/>
                <w:bCs/>
                <w:spacing w:val="-6"/>
              </w:rPr>
              <w:t>主体功能区规划情况</w:t>
            </w:r>
          </w:p>
          <w:p w14:paraId="4298D35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auto"/>
              <w:ind w:left="0" w:right="0" w:firstLine="479"/>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根据《新疆维吾尔自治区主体功能区规划》，新疆国土空间划分为重点开发、限制开发和禁止开发区域；按开发内容，分为城市化地区、农产品主产区和重点生态功能区；按层级，包括国家和自治区两个层面。</w:t>
            </w:r>
          </w:p>
          <w:p w14:paraId="0F0154C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auto"/>
              <w:ind w:left="0" w:right="0" w:firstLine="479"/>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本项目位于巴音郭楞蒙古自治州</w:t>
            </w:r>
            <w:r>
              <w:rPr>
                <w:rFonts w:hint="eastAsia" w:cs="宋体"/>
                <w:b w:val="0"/>
                <w:bCs w:val="0"/>
                <w:kern w:val="2"/>
                <w:sz w:val="24"/>
                <w:szCs w:val="24"/>
                <w:highlight w:val="none"/>
                <w:lang w:val="en-US" w:eastAsia="zh-CN" w:bidi="ar-SA"/>
              </w:rPr>
              <w:t>博湖县东南约</w:t>
            </w:r>
            <w:r>
              <w:rPr>
                <w:rFonts w:hint="default" w:ascii="Times New Roman" w:hAnsi="Times New Roman" w:cs="Times New Roman"/>
                <w:b w:val="0"/>
                <w:bCs w:val="0"/>
                <w:kern w:val="2"/>
                <w:sz w:val="24"/>
                <w:szCs w:val="24"/>
                <w:highlight w:val="none"/>
                <w:lang w:val="en-US" w:eastAsia="zh-CN" w:bidi="ar-SA"/>
              </w:rPr>
              <w:t>3</w:t>
            </w:r>
            <w:r>
              <w:rPr>
                <w:rFonts w:hint="eastAsia" w:ascii="Times New Roman" w:hAnsi="Times New Roman" w:cs="Times New Roman"/>
                <w:b w:val="0"/>
                <w:bCs w:val="0"/>
                <w:kern w:val="2"/>
                <w:sz w:val="24"/>
                <w:szCs w:val="24"/>
                <w:highlight w:val="none"/>
                <w:lang w:val="en-US" w:eastAsia="zh-CN" w:bidi="ar-SA"/>
              </w:rPr>
              <w:t>6</w:t>
            </w:r>
            <w:r>
              <w:rPr>
                <w:rFonts w:hint="default" w:ascii="Times New Roman" w:hAnsi="Times New Roman" w:cs="Times New Roman"/>
                <w:b w:val="0"/>
                <w:bCs w:val="0"/>
                <w:kern w:val="2"/>
                <w:sz w:val="24"/>
                <w:szCs w:val="24"/>
                <w:highlight w:val="none"/>
                <w:lang w:val="en-US" w:eastAsia="zh-CN" w:bidi="ar-SA"/>
              </w:rPr>
              <w:t>km</w:t>
            </w:r>
            <w:r>
              <w:rPr>
                <w:rFonts w:hint="eastAsia" w:cs="宋体"/>
                <w:b w:val="0"/>
                <w:bCs w:val="0"/>
                <w:kern w:val="2"/>
                <w:sz w:val="24"/>
                <w:szCs w:val="24"/>
                <w:highlight w:val="none"/>
                <w:lang w:val="en-US" w:eastAsia="zh-CN" w:bidi="ar-SA"/>
              </w:rPr>
              <w:t>处</w:t>
            </w:r>
            <w:r>
              <w:rPr>
                <w:rFonts w:hint="eastAsia" w:ascii="宋体" w:hAnsi="宋体" w:eastAsia="宋体" w:cs="宋体"/>
                <w:b w:val="0"/>
                <w:bCs w:val="0"/>
                <w:kern w:val="2"/>
                <w:sz w:val="24"/>
                <w:szCs w:val="24"/>
                <w:highlight w:val="none"/>
                <w:lang w:val="en-US" w:eastAsia="zh-CN" w:bidi="ar-SA"/>
              </w:rPr>
              <w:t>，不属于主体功能区划中确定的国家和自治区层面的禁止开发区域。对照《新疆维吾尔自治区主体功能区规划》的划分，建设项目</w:t>
            </w:r>
            <w:r>
              <w:rPr>
                <w:rFonts w:hint="eastAsia" w:cs="宋体"/>
                <w:b w:val="0"/>
                <w:bCs w:val="0"/>
                <w:kern w:val="2"/>
                <w:sz w:val="24"/>
                <w:szCs w:val="24"/>
                <w:highlight w:val="none"/>
                <w:lang w:val="en-US" w:eastAsia="zh-CN" w:bidi="ar-SA"/>
              </w:rPr>
              <w:t>所在区域</w:t>
            </w:r>
            <w:r>
              <w:rPr>
                <w:rFonts w:hint="eastAsia" w:ascii="宋体" w:hAnsi="宋体" w:eastAsia="宋体" w:cs="宋体"/>
                <w:b w:val="0"/>
                <w:bCs w:val="0"/>
                <w:kern w:val="2"/>
                <w:sz w:val="24"/>
                <w:szCs w:val="24"/>
                <w:highlight w:val="none"/>
                <w:lang w:val="en-US" w:eastAsia="zh-CN" w:bidi="ar-SA"/>
              </w:rPr>
              <w:t>属于</w:t>
            </w:r>
            <w:r>
              <w:rPr>
                <w:rFonts w:hint="eastAsia" w:cs="宋体"/>
                <w:b w:val="0"/>
                <w:bCs w:val="0"/>
                <w:kern w:val="2"/>
                <w:sz w:val="24"/>
                <w:szCs w:val="24"/>
                <w:highlight w:val="none"/>
                <w:lang w:val="en-US" w:eastAsia="zh-CN" w:bidi="ar-SA"/>
              </w:rPr>
              <w:t>自治</w:t>
            </w:r>
            <w:r>
              <w:rPr>
                <w:rFonts w:hint="eastAsia" w:ascii="宋体" w:hAnsi="宋体" w:eastAsia="宋体" w:cs="宋体"/>
                <w:b w:val="0"/>
                <w:bCs w:val="0"/>
                <w:kern w:val="2"/>
                <w:sz w:val="24"/>
                <w:szCs w:val="24"/>
                <w:highlight w:val="none"/>
                <w:lang w:val="en-US" w:eastAsia="zh-CN" w:bidi="ar-SA"/>
              </w:rPr>
              <w:t>级重点生态功能区</w:t>
            </w:r>
            <w:r>
              <w:rPr>
                <w:rFonts w:hint="eastAsia" w:cs="宋体"/>
                <w:b w:val="0"/>
                <w:bCs w:val="0"/>
                <w:kern w:val="2"/>
                <w:sz w:val="24"/>
                <w:szCs w:val="24"/>
                <w:highlight w:val="none"/>
                <w:lang w:val="en-US" w:eastAsia="zh-CN" w:bidi="ar-SA"/>
              </w:rPr>
              <w:t>，为限制开发区域</w:t>
            </w:r>
            <w:r>
              <w:rPr>
                <w:rFonts w:hint="eastAsia" w:ascii="宋体" w:hAnsi="宋体" w:eastAsia="宋体" w:cs="宋体"/>
                <w:b w:val="0"/>
                <w:bCs w:val="0"/>
                <w:kern w:val="2"/>
                <w:sz w:val="24"/>
                <w:szCs w:val="24"/>
                <w:highlight w:val="none"/>
                <w:lang w:val="en-US" w:eastAsia="zh-CN" w:bidi="ar-SA"/>
              </w:rPr>
              <w:t>。本项目在新疆主体功能区划中的位置</w:t>
            </w:r>
            <w:r>
              <w:rPr>
                <w:rFonts w:hint="eastAsia" w:cs="宋体"/>
                <w:b w:val="0"/>
                <w:bCs w:val="0"/>
                <w:kern w:val="2"/>
                <w:sz w:val="24"/>
                <w:szCs w:val="24"/>
                <w:highlight w:val="none"/>
                <w:lang w:val="en-US" w:eastAsia="zh-CN" w:bidi="ar-SA"/>
              </w:rPr>
              <w:t>见下图</w:t>
            </w:r>
            <w:r>
              <w:rPr>
                <w:rFonts w:hint="eastAsia" w:ascii="宋体" w:hAnsi="宋体" w:eastAsia="宋体" w:cs="宋体"/>
                <w:b w:val="0"/>
                <w:bCs w:val="0"/>
                <w:kern w:val="2"/>
                <w:sz w:val="24"/>
                <w:szCs w:val="24"/>
                <w:highlight w:val="none"/>
                <w:lang w:val="en-US" w:eastAsia="zh-CN" w:bidi="ar-SA"/>
              </w:rPr>
              <w:t>。</w:t>
            </w:r>
          </w:p>
          <w:p w14:paraId="12FBA26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ascii="Times New Roman" w:hAnsi="Times New Roman" w:eastAsia="黑体" w:cs="Times New Roman"/>
                <w:b/>
                <w:bCs/>
                <w:color w:val="000000"/>
                <w:kern w:val="0"/>
                <w:sz w:val="24"/>
                <w:szCs w:val="20"/>
                <w:lang w:val="en-US" w:eastAsia="zh-CN" w:bidi="ar-SA"/>
              </w:rPr>
              <w:t>图3-1 新疆主体功能区划图</w:t>
            </w:r>
          </w:p>
          <w:p w14:paraId="0401ADC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auto"/>
              <w:ind w:left="0" w:right="0" w:firstLine="479"/>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该区域的功能定位是：保障国家及自治区生态安全的主体区域，全疆乃至全国重要的生态功能区，人与自然和谐相处的生态文明区。</w:t>
            </w:r>
          </w:p>
          <w:p w14:paraId="126D5A7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auto"/>
              <w:ind w:left="0" w:right="0" w:firstLine="479"/>
              <w:jc w:val="both"/>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开发原则：</w:t>
            </w:r>
            <w:r>
              <w:rPr>
                <w:rFonts w:hint="default" w:ascii="宋体" w:hAnsi="宋体" w:eastAsia="宋体" w:cs="宋体"/>
                <w:sz w:val="24"/>
                <w:szCs w:val="24"/>
              </w:rPr>
              <w:t>重点生态功能区要把增强提供生态产品能力作为首要任务，同时可适度发展不影响主体功能的适宜产业。</w:t>
            </w:r>
          </w:p>
          <w:p w14:paraId="002CB79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auto"/>
              <w:ind w:left="0" w:right="0" w:firstLine="479"/>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相符性分析：本项目为</w:t>
            </w:r>
            <w:r>
              <w:rPr>
                <w:rFonts w:hint="eastAsia" w:ascii="Times New Roman" w:hAnsi="Times New Roman" w:eastAsia="宋体" w:cs="宋体"/>
                <w:b w:val="0"/>
                <w:bCs w:val="0"/>
                <w:color w:val="000000"/>
                <w:kern w:val="2"/>
                <w:sz w:val="24"/>
                <w:szCs w:val="24"/>
                <w:highlight w:val="none"/>
                <w:lang w:val="en-US" w:eastAsia="zh-CN" w:bidi="ar-SA"/>
              </w:rPr>
              <w:t>太阳能发电项目</w:t>
            </w:r>
            <w:r>
              <w:rPr>
                <w:rFonts w:hint="eastAsia" w:ascii="Times New Roman" w:hAnsi="Times New Roman" w:cs="宋体"/>
                <w:b w:val="0"/>
                <w:bCs w:val="0"/>
                <w:color w:val="000000"/>
                <w:kern w:val="2"/>
                <w:sz w:val="24"/>
                <w:szCs w:val="24"/>
                <w:highlight w:val="none"/>
                <w:lang w:val="en-US" w:eastAsia="zh-CN" w:bidi="ar-SA"/>
              </w:rPr>
              <w:t>的</w:t>
            </w:r>
            <w:r>
              <w:rPr>
                <w:rFonts w:hint="eastAsia" w:ascii="Times New Roman" w:hAnsi="Times New Roman" w:eastAsia="宋体" w:cs="宋体"/>
                <w:b w:val="0"/>
                <w:bCs w:val="0"/>
                <w:color w:val="000000"/>
                <w:kern w:val="2"/>
                <w:sz w:val="24"/>
                <w:szCs w:val="24"/>
                <w:highlight w:val="none"/>
                <w:lang w:val="en-US" w:eastAsia="zh-CN" w:bidi="ar-SA"/>
              </w:rPr>
              <w:t>配套工程</w:t>
            </w:r>
            <w:r>
              <w:rPr>
                <w:rFonts w:hint="eastAsia" w:ascii="宋体" w:hAnsi="宋体" w:eastAsia="宋体" w:cs="宋体"/>
                <w:b w:val="0"/>
                <w:bCs w:val="0"/>
                <w:kern w:val="2"/>
                <w:sz w:val="24"/>
                <w:szCs w:val="24"/>
                <w:highlight w:val="none"/>
                <w:lang w:val="en-US" w:eastAsia="zh-CN" w:bidi="ar-SA"/>
              </w:rPr>
              <w:t>，项目所在区域不在生态红线区内，项目占地类型主要为</w:t>
            </w:r>
            <w:r>
              <w:rPr>
                <w:rFonts w:hint="eastAsia" w:cs="宋体"/>
                <w:b w:val="0"/>
                <w:bCs w:val="0"/>
                <w:kern w:val="2"/>
                <w:sz w:val="24"/>
                <w:szCs w:val="24"/>
                <w:highlight w:val="none"/>
                <w:lang w:val="en-US" w:eastAsia="zh-CN" w:bidi="ar-SA"/>
              </w:rPr>
              <w:t>未利用地</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（裸土地）</w:t>
            </w:r>
            <w:r>
              <w:rPr>
                <w:rFonts w:hint="eastAsia" w:ascii="宋体" w:hAnsi="宋体" w:eastAsia="宋体" w:cs="宋体"/>
                <w:b w:val="0"/>
                <w:bCs w:val="0"/>
                <w:kern w:val="2"/>
                <w:sz w:val="24"/>
                <w:szCs w:val="24"/>
                <w:highlight w:val="none"/>
                <w:lang w:val="en-US" w:eastAsia="zh-CN" w:bidi="ar-SA"/>
              </w:rPr>
              <w:t>，占用土地</w:t>
            </w:r>
            <w:r>
              <w:rPr>
                <w:rFonts w:hint="eastAsia" w:cs="宋体"/>
                <w:b w:val="0"/>
                <w:bCs w:val="0"/>
                <w:kern w:val="2"/>
                <w:sz w:val="24"/>
                <w:szCs w:val="24"/>
                <w:highlight w:val="none"/>
                <w:lang w:val="en-US" w:eastAsia="zh-CN" w:bidi="ar-SA"/>
              </w:rPr>
              <w:t>面积较少。项目施工期</w:t>
            </w:r>
            <w:r>
              <w:rPr>
                <w:rFonts w:hint="eastAsia" w:ascii="宋体" w:hAnsi="宋体" w:eastAsia="宋体" w:cs="宋体"/>
                <w:b w:val="0"/>
                <w:bCs w:val="0"/>
                <w:kern w:val="2"/>
                <w:sz w:val="24"/>
                <w:szCs w:val="24"/>
                <w:highlight w:val="none"/>
                <w:lang w:val="en-US" w:eastAsia="zh-CN" w:bidi="ar-SA"/>
              </w:rPr>
              <w:t>严格控制开发活动，尽可能减少</w:t>
            </w:r>
            <w:r>
              <w:rPr>
                <w:rFonts w:hint="eastAsia" w:cs="宋体"/>
                <w:b w:val="0"/>
                <w:bCs w:val="0"/>
                <w:kern w:val="2"/>
                <w:sz w:val="24"/>
                <w:szCs w:val="24"/>
                <w:highlight w:val="none"/>
                <w:lang w:val="en-US" w:eastAsia="zh-CN" w:bidi="ar-SA"/>
              </w:rPr>
              <w:t>了</w:t>
            </w:r>
            <w:r>
              <w:rPr>
                <w:rFonts w:hint="eastAsia" w:ascii="宋体" w:hAnsi="宋体" w:eastAsia="宋体" w:cs="宋体"/>
                <w:b w:val="0"/>
                <w:bCs w:val="0"/>
                <w:kern w:val="2"/>
                <w:sz w:val="24"/>
                <w:szCs w:val="24"/>
                <w:highlight w:val="none"/>
                <w:lang w:val="en-US" w:eastAsia="zh-CN" w:bidi="ar-SA"/>
              </w:rPr>
              <w:t>对生态系统的干扰；</w:t>
            </w:r>
            <w:r>
              <w:rPr>
                <w:rFonts w:hint="eastAsia" w:cs="宋体"/>
                <w:b w:val="0"/>
                <w:bCs w:val="0"/>
                <w:kern w:val="2"/>
                <w:sz w:val="24"/>
                <w:szCs w:val="24"/>
                <w:highlight w:val="none"/>
                <w:lang w:val="en-US" w:eastAsia="zh-CN" w:bidi="ar-SA"/>
              </w:rPr>
              <w:t>且</w:t>
            </w:r>
            <w:r>
              <w:rPr>
                <w:rFonts w:hint="eastAsia" w:ascii="宋体" w:hAnsi="宋体" w:eastAsia="宋体" w:cs="宋体"/>
                <w:b w:val="0"/>
                <w:bCs w:val="0"/>
                <w:kern w:val="2"/>
                <w:sz w:val="24"/>
                <w:szCs w:val="24"/>
                <w:highlight w:val="none"/>
                <w:lang w:val="en-US" w:eastAsia="zh-CN" w:bidi="ar-SA"/>
              </w:rPr>
              <w:t>项目在实施过程中积极采取生态保护措施，加强对生态系统保护，高度注意保护植被，保护野生动物，保护地貌，维护自然生态环境，积极落实本环评提出的各项生态环境保护措施</w:t>
            </w:r>
            <w:r>
              <w:rPr>
                <w:rFonts w:hint="eastAsia" w:cs="宋体"/>
                <w:b w:val="0"/>
                <w:bCs w:val="0"/>
                <w:kern w:val="2"/>
                <w:sz w:val="24"/>
                <w:szCs w:val="24"/>
                <w:highlight w:val="none"/>
                <w:lang w:val="en-US" w:eastAsia="zh-CN" w:bidi="ar-SA"/>
              </w:rPr>
              <w:t>，</w:t>
            </w:r>
            <w:r>
              <w:rPr>
                <w:rFonts w:hint="default" w:ascii="宋体" w:hAnsi="宋体" w:eastAsia="宋体" w:cs="宋体"/>
                <w:sz w:val="24"/>
                <w:szCs w:val="24"/>
              </w:rPr>
              <w:t>不影响</w:t>
            </w:r>
            <w:r>
              <w:rPr>
                <w:rFonts w:hint="eastAsia" w:cs="宋体"/>
                <w:sz w:val="24"/>
                <w:szCs w:val="24"/>
                <w:lang w:val="en-US" w:eastAsia="zh-CN"/>
              </w:rPr>
              <w:t>区域</w:t>
            </w:r>
            <w:r>
              <w:rPr>
                <w:rFonts w:hint="default" w:ascii="宋体" w:hAnsi="宋体" w:eastAsia="宋体" w:cs="宋体"/>
                <w:sz w:val="24"/>
                <w:szCs w:val="24"/>
              </w:rPr>
              <w:t>主体功能</w:t>
            </w:r>
            <w:r>
              <w:rPr>
                <w:rFonts w:hint="eastAsia" w:ascii="宋体" w:hAnsi="宋体" w:eastAsia="宋体" w:cs="宋体"/>
                <w:b w:val="0"/>
                <w:bCs w:val="0"/>
                <w:kern w:val="2"/>
                <w:sz w:val="24"/>
                <w:szCs w:val="24"/>
                <w:highlight w:val="none"/>
                <w:lang w:val="en-US" w:eastAsia="zh-CN" w:bidi="ar-SA"/>
              </w:rPr>
              <w:t>。</w:t>
            </w:r>
          </w:p>
          <w:p w14:paraId="173418D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auto"/>
              <w:ind w:left="0" w:right="0" w:firstLine="479"/>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因此，本项目建设符合《新疆维吾尔自治区主体功能区规划》对于项目区块的功能定位，与区域生态功能的保护是协调的。</w:t>
            </w:r>
          </w:p>
          <w:p w14:paraId="2B3796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b/>
                <w:bCs/>
                <w:spacing w:val="-6"/>
              </w:rPr>
            </w:pPr>
            <w:r>
              <w:rPr>
                <w:rFonts w:hint="eastAsia" w:cs="Times New Roman"/>
                <w:b/>
                <w:bCs/>
                <w:color w:val="000000"/>
                <w:kern w:val="2"/>
                <w:sz w:val="24"/>
                <w:szCs w:val="24"/>
                <w:lang w:val="en-US" w:eastAsia="zh-CN" w:bidi="ar-SA"/>
              </w:rPr>
              <w:t>3</w:t>
            </w:r>
            <w:r>
              <w:rPr>
                <w:rFonts w:hint="eastAsia" w:ascii="Times New Roman" w:hAnsi="Times New Roman" w:cs="Times New Roman"/>
                <w:b/>
                <w:bCs/>
                <w:color w:val="000000"/>
                <w:kern w:val="2"/>
                <w:sz w:val="24"/>
                <w:szCs w:val="24"/>
                <w:lang w:val="en-US" w:eastAsia="zh-CN" w:bidi="ar-SA"/>
              </w:rPr>
              <w:t>.1</w:t>
            </w:r>
            <w:r>
              <w:rPr>
                <w:rFonts w:hint="eastAsia" w:cs="Times New Roman"/>
                <w:b/>
                <w:bCs/>
                <w:color w:val="000000"/>
                <w:kern w:val="2"/>
                <w:sz w:val="24"/>
                <w:szCs w:val="24"/>
                <w:lang w:val="en-US" w:eastAsia="zh-CN" w:bidi="ar-SA"/>
              </w:rPr>
              <w:t>.2</w:t>
            </w:r>
            <w:r>
              <w:rPr>
                <w:rFonts w:hint="eastAsia" w:ascii="宋体" w:hAnsi="宋体" w:eastAsia="宋体" w:cs="宋体"/>
                <w:b/>
                <w:bCs/>
                <w:color w:val="000000"/>
                <w:sz w:val="24"/>
                <w:szCs w:val="24"/>
                <w:highlight w:val="none"/>
                <w:lang w:val="en-US" w:eastAsia="zh-CN"/>
              </w:rPr>
              <w:t>生态功能区划</w:t>
            </w:r>
            <w:r>
              <w:rPr>
                <w:rFonts w:hint="default"/>
                <w:b/>
                <w:bCs/>
                <w:spacing w:val="-6"/>
              </w:rPr>
              <w:t>情况</w:t>
            </w:r>
          </w:p>
          <w:p w14:paraId="7F0493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60" w:firstLineChars="200"/>
              <w:jc w:val="both"/>
              <w:textAlignment w:val="auto"/>
              <w:outlineLvl w:val="9"/>
              <w:rPr>
                <w:rFonts w:hint="eastAsia" w:ascii="Times New Roman" w:hAnsi="Times New Roman" w:eastAsia="宋体" w:cs="Times New Roman"/>
                <w:spacing w:val="-5"/>
                <w:kern w:val="2"/>
                <w:sz w:val="24"/>
                <w:szCs w:val="24"/>
                <w:lang w:val="en-US" w:eastAsia="zh-CN" w:bidi="ar-SA"/>
              </w:rPr>
            </w:pPr>
            <w:r>
              <w:rPr>
                <w:rFonts w:hint="default"/>
                <w:spacing w:val="-5"/>
              </w:rPr>
              <w:t>根据《新疆生态功能区划》，本项目所在区域属于</w:t>
            </w:r>
            <w:r>
              <w:rPr>
                <w:rFonts w:hint="eastAsia"/>
                <w:spacing w:val="-5"/>
              </w:rPr>
              <w:t>天山山地温性草原</w:t>
            </w:r>
            <w:r>
              <w:rPr>
                <w:rFonts w:hint="eastAsia"/>
                <w:spacing w:val="-5"/>
                <w:lang w:val="en-US" w:eastAsia="zh-CN"/>
              </w:rPr>
              <w:t>、</w:t>
            </w:r>
            <w:r>
              <w:rPr>
                <w:rFonts w:hint="eastAsia"/>
                <w:spacing w:val="-5"/>
              </w:rPr>
              <w:t>森林生态区</w:t>
            </w:r>
            <w:r>
              <w:rPr>
                <w:rFonts w:hint="default"/>
              </w:rPr>
              <w:t>(</w:t>
            </w:r>
            <w:r>
              <w:rPr>
                <w:rFonts w:hint="default" w:ascii="Times New Roman" w:hAnsi="Times New Roman" w:cs="Times New Roman"/>
              </w:rPr>
              <w:t>Ⅲ</w:t>
            </w:r>
            <w:r>
              <w:rPr>
                <w:rFonts w:hint="default"/>
              </w:rPr>
              <w:t>)</w:t>
            </w:r>
            <w:r>
              <w:rPr>
                <w:rFonts w:hint="eastAsia"/>
                <w:lang w:val="en-US" w:eastAsia="zh-CN"/>
              </w:rPr>
              <w:t>-</w:t>
            </w:r>
            <w:r>
              <w:rPr>
                <w:rFonts w:hint="eastAsia" w:ascii="Times New Roman" w:hAnsi="Times New Roman" w:eastAsia="宋体" w:cs="Times New Roman"/>
                <w:spacing w:val="-5"/>
                <w:kern w:val="2"/>
                <w:sz w:val="24"/>
                <w:szCs w:val="24"/>
                <w:lang w:val="en-US" w:eastAsia="zh-CN" w:bidi="ar-SA"/>
              </w:rPr>
              <w:t>天山南坡草原牧业、绿洲农业生态亚区（</w:t>
            </w:r>
            <w:r>
              <w:rPr>
                <w:rFonts w:hint="default" w:ascii="Times New Roman" w:hAnsi="Times New Roman" w:eastAsia="宋体" w:cs="Times New Roman"/>
                <w:spacing w:val="-5"/>
                <w:kern w:val="2"/>
                <w:sz w:val="24"/>
                <w:szCs w:val="24"/>
                <w:lang w:val="en-US" w:eastAsia="zh-CN" w:bidi="ar-SA"/>
              </w:rPr>
              <w:t>Ⅲ</w:t>
            </w:r>
            <w:r>
              <w:rPr>
                <w:rFonts w:hint="eastAsia" w:ascii="Times New Roman" w:hAnsi="Times New Roman" w:eastAsia="宋体" w:cs="Times New Roman"/>
                <w:spacing w:val="-5"/>
                <w:kern w:val="2"/>
                <w:sz w:val="24"/>
                <w:szCs w:val="24"/>
                <w:vertAlign w:val="subscript"/>
                <w:lang w:val="en-US" w:eastAsia="zh-CN" w:bidi="ar-SA"/>
              </w:rPr>
              <w:t>3</w:t>
            </w:r>
            <w:r>
              <w:rPr>
                <w:rFonts w:hint="eastAsia" w:ascii="Times New Roman" w:hAnsi="Times New Roman" w:eastAsia="宋体" w:cs="Times New Roman"/>
                <w:spacing w:val="-5"/>
                <w:kern w:val="2"/>
                <w:sz w:val="24"/>
                <w:szCs w:val="24"/>
                <w:lang w:val="en-US" w:eastAsia="zh-CN" w:bidi="ar-SA"/>
              </w:rPr>
              <w:t>）</w:t>
            </w:r>
            <w:r>
              <w:rPr>
                <w:rFonts w:hint="eastAsia" w:ascii="Times New Roman" w:hAnsi="Times New Roman" w:cs="Times New Roman"/>
                <w:spacing w:val="-5"/>
                <w:kern w:val="2"/>
                <w:sz w:val="24"/>
                <w:szCs w:val="24"/>
                <w:lang w:val="en-US" w:eastAsia="zh-CN" w:bidi="ar-SA"/>
              </w:rPr>
              <w:t>-</w:t>
            </w:r>
            <w:r>
              <w:rPr>
                <w:rFonts w:hint="eastAsia" w:ascii="Times New Roman" w:hAnsi="Times New Roman" w:eastAsia="宋体" w:cs="Times New Roman"/>
                <w:spacing w:val="-5"/>
                <w:kern w:val="2"/>
                <w:sz w:val="24"/>
                <w:szCs w:val="24"/>
                <w:lang w:val="en-US" w:eastAsia="zh-CN" w:bidi="ar-SA"/>
              </w:rPr>
              <w:t>48.</w:t>
            </w:r>
            <w:r>
              <w:rPr>
                <w:rFonts w:hint="default" w:ascii="Times New Roman" w:hAnsi="Times New Roman" w:eastAsia="宋体" w:cs="Times New Roman"/>
                <w:spacing w:val="-5"/>
                <w:kern w:val="2"/>
                <w:sz w:val="24"/>
                <w:szCs w:val="24"/>
                <w:lang w:val="en-US" w:eastAsia="zh-CN" w:bidi="ar-SA"/>
              </w:rPr>
              <w:t>觉罗塔格</w:t>
            </w:r>
            <w:r>
              <w:rPr>
                <w:rFonts w:hint="eastAsia" w:ascii="Times New Roman" w:hAnsi="Times New Roman" w:cs="Times New Roman"/>
                <w:spacing w:val="-5"/>
                <w:kern w:val="2"/>
                <w:sz w:val="24"/>
                <w:szCs w:val="24"/>
                <w:lang w:val="en-US" w:eastAsia="zh-CN" w:bidi="ar-SA"/>
              </w:rPr>
              <w:t>-</w:t>
            </w:r>
            <w:r>
              <w:rPr>
                <w:rFonts w:hint="default" w:ascii="Times New Roman" w:hAnsi="Times New Roman" w:eastAsia="宋体" w:cs="Times New Roman"/>
                <w:spacing w:val="-5"/>
                <w:kern w:val="2"/>
                <w:sz w:val="24"/>
                <w:szCs w:val="24"/>
                <w:lang w:val="en-US" w:eastAsia="zh-CN" w:bidi="ar-SA"/>
              </w:rPr>
              <w:t>库鲁克塔格山矿业开发、植被保护生态功能区</w:t>
            </w:r>
            <w:r>
              <w:rPr>
                <w:rFonts w:hint="eastAsia" w:ascii="Times New Roman" w:hAnsi="Times New Roman" w:eastAsia="宋体" w:cs="Times New Roman"/>
                <w:spacing w:val="-5"/>
                <w:kern w:val="2"/>
                <w:sz w:val="24"/>
                <w:szCs w:val="24"/>
                <w:lang w:val="en-US" w:eastAsia="zh-CN" w:bidi="ar-SA"/>
              </w:rPr>
              <w:t>。</w:t>
            </w:r>
          </w:p>
          <w:p w14:paraId="3AC7405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p w14:paraId="1B44E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spacing w:val="-5"/>
                <w:kern w:val="2"/>
                <w:sz w:val="24"/>
                <w:szCs w:val="24"/>
                <w:lang w:val="en-US" w:eastAsia="zh-CN" w:bidi="ar-SA"/>
              </w:rPr>
            </w:pPr>
            <w:r>
              <w:rPr>
                <w:rFonts w:hint="eastAsia" w:ascii="Times New Roman" w:hAnsi="Times New Roman" w:eastAsia="黑体" w:cs="Times New Roman"/>
                <w:b/>
                <w:bCs/>
                <w:color w:val="000000"/>
                <w:kern w:val="0"/>
                <w:sz w:val="24"/>
                <w:szCs w:val="20"/>
                <w:lang w:val="en-US" w:eastAsia="zh-CN" w:bidi="ar-SA"/>
              </w:rPr>
              <w:t>图</w:t>
            </w:r>
            <w:r>
              <w:rPr>
                <w:rFonts w:hint="eastAsia" w:eastAsia="黑体" w:cs="Times New Roman"/>
                <w:b/>
                <w:bCs/>
                <w:color w:val="000000"/>
                <w:kern w:val="0"/>
                <w:sz w:val="24"/>
                <w:szCs w:val="20"/>
                <w:lang w:val="en-US" w:eastAsia="zh-CN" w:bidi="ar-SA"/>
              </w:rPr>
              <w:t xml:space="preserve">3-2 </w:t>
            </w:r>
            <w:r>
              <w:rPr>
                <w:rFonts w:hint="eastAsia" w:ascii="Times New Roman" w:hAnsi="Times New Roman" w:eastAsia="黑体" w:cs="Times New Roman"/>
                <w:b/>
                <w:bCs/>
                <w:color w:val="000000"/>
                <w:kern w:val="0"/>
                <w:sz w:val="24"/>
                <w:szCs w:val="20"/>
                <w:lang w:val="en-US" w:eastAsia="zh-CN" w:bidi="ar-SA"/>
              </w:rPr>
              <w:t>新疆生态功能区划图</w:t>
            </w:r>
          </w:p>
          <w:p w14:paraId="7F66194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Times New Roman" w:hAnsi="Times New Roman" w:eastAsia="黑体" w:cs="Times New Roman"/>
                <w:b/>
                <w:bCs/>
                <w:color w:val="000000"/>
                <w:kern w:val="0"/>
                <w:sz w:val="24"/>
                <w:szCs w:val="20"/>
                <w:lang w:val="en-US" w:eastAsia="zh-CN" w:bidi="ar-SA"/>
              </w:rPr>
            </w:pPr>
            <w:r>
              <w:rPr>
                <w:rFonts w:hint="default" w:ascii="Times New Roman" w:hAnsi="Times New Roman" w:eastAsia="宋体" w:cs="Times New Roman"/>
                <w:spacing w:val="-5"/>
                <w:kern w:val="2"/>
                <w:sz w:val="24"/>
                <w:szCs w:val="24"/>
                <w:lang w:val="en-US" w:eastAsia="zh-CN" w:bidi="ar-SA"/>
              </w:rPr>
              <w:t>该功能区主要的特征详见</w:t>
            </w:r>
            <w:r>
              <w:rPr>
                <w:rFonts w:hint="eastAsia" w:ascii="Times New Roman" w:hAnsi="Times New Roman" w:eastAsia="宋体" w:cs="Times New Roman"/>
                <w:spacing w:val="-5"/>
                <w:kern w:val="2"/>
                <w:sz w:val="24"/>
                <w:szCs w:val="24"/>
                <w:lang w:val="en-US" w:eastAsia="zh-CN" w:bidi="ar-SA"/>
              </w:rPr>
              <w:t>下</w:t>
            </w:r>
            <w:r>
              <w:rPr>
                <w:rFonts w:hint="default" w:ascii="Times New Roman" w:hAnsi="Times New Roman" w:eastAsia="宋体" w:cs="Times New Roman"/>
                <w:spacing w:val="-5"/>
                <w:kern w:val="2"/>
                <w:sz w:val="24"/>
                <w:szCs w:val="24"/>
                <w:lang w:val="en-US" w:eastAsia="zh-CN" w:bidi="ar-SA"/>
              </w:rPr>
              <w:t>表。</w:t>
            </w:r>
          </w:p>
          <w:p w14:paraId="774C0BD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黑体" w:cs="Times New Roman"/>
                <w:b/>
                <w:bCs/>
                <w:color w:val="000000"/>
                <w:kern w:val="0"/>
                <w:sz w:val="24"/>
                <w:szCs w:val="20"/>
                <w:lang w:val="en-US" w:eastAsia="zh-CN" w:bidi="ar-SA"/>
              </w:rPr>
            </w:pPr>
            <w:r>
              <w:rPr>
                <w:rFonts w:hint="default" w:ascii="Times New Roman" w:hAnsi="Times New Roman" w:eastAsia="黑体" w:cs="Times New Roman"/>
                <w:b/>
                <w:bCs/>
                <w:color w:val="000000"/>
                <w:kern w:val="0"/>
                <w:sz w:val="24"/>
                <w:szCs w:val="20"/>
                <w:lang w:val="en-US" w:eastAsia="zh-CN" w:bidi="ar-SA"/>
              </w:rPr>
              <w:t>表</w:t>
            </w:r>
            <w:r>
              <w:rPr>
                <w:rFonts w:hint="eastAsia" w:ascii="Times New Roman" w:hAnsi="Times New Roman" w:eastAsia="黑体" w:cs="Times New Roman"/>
                <w:b/>
                <w:bCs/>
                <w:color w:val="000000"/>
                <w:kern w:val="0"/>
                <w:sz w:val="24"/>
                <w:szCs w:val="20"/>
                <w:lang w:val="en-US" w:eastAsia="zh-CN" w:bidi="ar-SA"/>
              </w:rPr>
              <w:t>3-1 生态功能区主要特征表</w:t>
            </w:r>
          </w:p>
        </w:tc>
      </w:tr>
      <w:tr w14:paraId="5580C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634" w:type="pct"/>
            <w:gridSpan w:val="5"/>
            <w:vMerge w:val="restart"/>
            <w:noWrap w:val="0"/>
            <w:vAlign w:val="center"/>
          </w:tcPr>
          <w:p w14:paraId="6023D295">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生态功能分区单元</w:t>
            </w:r>
          </w:p>
        </w:tc>
        <w:tc>
          <w:tcPr>
            <w:tcW w:w="711" w:type="pct"/>
            <w:gridSpan w:val="3"/>
            <w:noWrap w:val="0"/>
            <w:vAlign w:val="center"/>
          </w:tcPr>
          <w:p w14:paraId="1A8AABED">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生态区</w:t>
            </w:r>
          </w:p>
        </w:tc>
        <w:tc>
          <w:tcPr>
            <w:tcW w:w="3652" w:type="pct"/>
            <w:gridSpan w:val="23"/>
            <w:noWrap w:val="0"/>
            <w:vAlign w:val="center"/>
          </w:tcPr>
          <w:p w14:paraId="16CB6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spacing w:val="-5"/>
                <w:sz w:val="21"/>
                <w:szCs w:val="21"/>
              </w:rPr>
              <w:t>天山山地温性草原</w:t>
            </w:r>
            <w:r>
              <w:rPr>
                <w:rFonts w:hint="eastAsia" w:ascii="Times New Roman" w:hAnsi="Times New Roman" w:eastAsia="宋体"/>
                <w:spacing w:val="-5"/>
                <w:sz w:val="21"/>
                <w:szCs w:val="21"/>
                <w:lang w:val="en-US" w:eastAsia="zh-CN"/>
              </w:rPr>
              <w:t>、</w:t>
            </w:r>
            <w:r>
              <w:rPr>
                <w:rFonts w:hint="eastAsia" w:ascii="Times New Roman" w:hAnsi="Times New Roman" w:eastAsia="宋体"/>
                <w:spacing w:val="-5"/>
                <w:sz w:val="21"/>
                <w:szCs w:val="21"/>
              </w:rPr>
              <w:t>森林生态区</w:t>
            </w:r>
            <w:r>
              <w:rPr>
                <w:rFonts w:hint="default" w:ascii="Times New Roman" w:hAnsi="Times New Roman" w:eastAsia="宋体"/>
                <w:sz w:val="21"/>
                <w:szCs w:val="21"/>
              </w:rPr>
              <w:t>(</w:t>
            </w:r>
            <w:r>
              <w:rPr>
                <w:rFonts w:hint="default" w:ascii="Times New Roman" w:hAnsi="Times New Roman" w:eastAsia="宋体" w:cs="Times New Roman"/>
                <w:sz w:val="21"/>
                <w:szCs w:val="21"/>
              </w:rPr>
              <w:t>Ⅲ</w:t>
            </w:r>
            <w:r>
              <w:rPr>
                <w:rFonts w:hint="default" w:ascii="Times New Roman" w:hAnsi="Times New Roman" w:eastAsia="宋体"/>
                <w:sz w:val="21"/>
                <w:szCs w:val="21"/>
              </w:rPr>
              <w:t>)</w:t>
            </w:r>
          </w:p>
        </w:tc>
      </w:tr>
      <w:tr w14:paraId="0DF52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634" w:type="pct"/>
            <w:gridSpan w:val="5"/>
            <w:vMerge w:val="continue"/>
            <w:noWrap w:val="0"/>
            <w:vAlign w:val="center"/>
          </w:tcPr>
          <w:p w14:paraId="5CE44E1C">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default" w:ascii="Times New Roman" w:hAnsi="Times New Roman" w:eastAsia="宋体"/>
                <w:sz w:val="21"/>
                <w:szCs w:val="21"/>
              </w:rPr>
            </w:pPr>
          </w:p>
        </w:tc>
        <w:tc>
          <w:tcPr>
            <w:tcW w:w="711" w:type="pct"/>
            <w:gridSpan w:val="3"/>
            <w:noWrap w:val="0"/>
            <w:vAlign w:val="center"/>
          </w:tcPr>
          <w:p w14:paraId="10CA7F54">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生态亚区</w:t>
            </w:r>
          </w:p>
        </w:tc>
        <w:tc>
          <w:tcPr>
            <w:tcW w:w="3652" w:type="pct"/>
            <w:gridSpan w:val="23"/>
            <w:noWrap w:val="0"/>
            <w:vAlign w:val="center"/>
          </w:tcPr>
          <w:p w14:paraId="10E15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spacing w:val="-5"/>
                <w:kern w:val="2"/>
                <w:sz w:val="21"/>
                <w:szCs w:val="21"/>
                <w:lang w:val="en-US" w:eastAsia="zh-CN" w:bidi="ar-SA"/>
              </w:rPr>
              <w:t>天山南坡草原牧业、绿洲农业生态亚区（</w:t>
            </w:r>
            <w:r>
              <w:rPr>
                <w:rFonts w:hint="default" w:ascii="Times New Roman" w:hAnsi="Times New Roman" w:eastAsia="宋体" w:cs="Times New Roman"/>
                <w:spacing w:val="-5"/>
                <w:kern w:val="2"/>
                <w:sz w:val="21"/>
                <w:szCs w:val="21"/>
                <w:lang w:val="en-US" w:eastAsia="zh-CN" w:bidi="ar-SA"/>
              </w:rPr>
              <w:t>Ⅲ</w:t>
            </w:r>
            <w:r>
              <w:rPr>
                <w:rFonts w:hint="eastAsia" w:ascii="Times New Roman" w:hAnsi="Times New Roman" w:eastAsia="宋体" w:cs="Times New Roman"/>
                <w:spacing w:val="-5"/>
                <w:kern w:val="2"/>
                <w:sz w:val="21"/>
                <w:szCs w:val="21"/>
                <w:vertAlign w:val="subscript"/>
                <w:lang w:val="en-US" w:eastAsia="zh-CN" w:bidi="ar-SA"/>
              </w:rPr>
              <w:t>3</w:t>
            </w:r>
            <w:r>
              <w:rPr>
                <w:rFonts w:hint="eastAsia" w:ascii="Times New Roman" w:hAnsi="Times New Roman" w:eastAsia="宋体" w:cs="Times New Roman"/>
                <w:spacing w:val="-5"/>
                <w:kern w:val="2"/>
                <w:sz w:val="21"/>
                <w:szCs w:val="21"/>
                <w:lang w:val="en-US" w:eastAsia="zh-CN" w:bidi="ar-SA"/>
              </w:rPr>
              <w:t>）</w:t>
            </w:r>
          </w:p>
        </w:tc>
      </w:tr>
      <w:tr w14:paraId="3AFDC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634" w:type="pct"/>
            <w:gridSpan w:val="5"/>
            <w:vMerge w:val="continue"/>
            <w:noWrap w:val="0"/>
            <w:vAlign w:val="center"/>
          </w:tcPr>
          <w:p w14:paraId="45E9AE4F">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p>
        </w:tc>
        <w:tc>
          <w:tcPr>
            <w:tcW w:w="711" w:type="pct"/>
            <w:gridSpan w:val="3"/>
            <w:noWrap w:val="0"/>
            <w:vAlign w:val="center"/>
          </w:tcPr>
          <w:p w14:paraId="2A611EA2">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生态功能区</w:t>
            </w:r>
          </w:p>
        </w:tc>
        <w:tc>
          <w:tcPr>
            <w:tcW w:w="3652" w:type="pct"/>
            <w:gridSpan w:val="23"/>
            <w:noWrap w:val="0"/>
            <w:vAlign w:val="center"/>
          </w:tcPr>
          <w:p w14:paraId="55ED7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spacing w:val="-5"/>
                <w:kern w:val="2"/>
                <w:sz w:val="21"/>
                <w:szCs w:val="21"/>
                <w:lang w:val="en-US" w:eastAsia="zh-CN" w:bidi="ar-SA"/>
              </w:rPr>
              <w:t>48.</w:t>
            </w:r>
            <w:r>
              <w:rPr>
                <w:rFonts w:hint="default" w:ascii="Times New Roman" w:hAnsi="Times New Roman" w:eastAsia="宋体" w:cs="Times New Roman"/>
                <w:spacing w:val="-5"/>
                <w:kern w:val="2"/>
                <w:sz w:val="21"/>
                <w:szCs w:val="21"/>
                <w:lang w:val="en-US" w:eastAsia="zh-CN" w:bidi="ar-SA"/>
              </w:rPr>
              <w:t>觉罗塔格</w:t>
            </w:r>
            <w:r>
              <w:rPr>
                <w:rFonts w:hint="eastAsia" w:ascii="Times New Roman" w:hAnsi="Times New Roman" w:eastAsia="宋体" w:cs="Times New Roman"/>
                <w:spacing w:val="-5"/>
                <w:kern w:val="2"/>
                <w:sz w:val="21"/>
                <w:szCs w:val="21"/>
                <w:lang w:val="en-US" w:eastAsia="zh-CN" w:bidi="ar-SA"/>
              </w:rPr>
              <w:t>-</w:t>
            </w:r>
            <w:r>
              <w:rPr>
                <w:rFonts w:hint="default" w:ascii="Times New Roman" w:hAnsi="Times New Roman" w:eastAsia="宋体" w:cs="Times New Roman"/>
                <w:spacing w:val="-5"/>
                <w:kern w:val="2"/>
                <w:sz w:val="21"/>
                <w:szCs w:val="21"/>
                <w:lang w:val="en-US" w:eastAsia="zh-CN" w:bidi="ar-SA"/>
              </w:rPr>
              <w:t>库鲁克塔格山矿业开发、植被保护生态功能区</w:t>
            </w:r>
          </w:p>
        </w:tc>
      </w:tr>
      <w:tr w14:paraId="4F504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1345" w:type="pct"/>
            <w:gridSpan w:val="8"/>
            <w:noWrap w:val="0"/>
            <w:vAlign w:val="center"/>
          </w:tcPr>
          <w:p w14:paraId="0B54279A">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主要生态服务功能</w:t>
            </w:r>
          </w:p>
        </w:tc>
        <w:tc>
          <w:tcPr>
            <w:tcW w:w="3652" w:type="pct"/>
            <w:gridSpan w:val="23"/>
            <w:noWrap w:val="0"/>
            <w:vAlign w:val="center"/>
          </w:tcPr>
          <w:p w14:paraId="02EC7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spacing w:val="6"/>
                <w:sz w:val="21"/>
                <w:szCs w:val="21"/>
              </w:rPr>
              <w:t>荒漠化</w:t>
            </w:r>
            <w:r>
              <w:rPr>
                <w:rFonts w:hint="default" w:ascii="Times New Roman" w:hAnsi="Times New Roman" w:eastAsia="宋体"/>
                <w:spacing w:val="7"/>
                <w:sz w:val="21"/>
                <w:szCs w:val="21"/>
              </w:rPr>
              <w:t>控制、矿产资源开发</w:t>
            </w:r>
          </w:p>
        </w:tc>
      </w:tr>
      <w:tr w14:paraId="31EB1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1345" w:type="pct"/>
            <w:gridSpan w:val="8"/>
            <w:noWrap w:val="0"/>
            <w:vAlign w:val="center"/>
          </w:tcPr>
          <w:p w14:paraId="40230E98">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主要生态环境问题</w:t>
            </w:r>
          </w:p>
        </w:tc>
        <w:tc>
          <w:tcPr>
            <w:tcW w:w="3652" w:type="pct"/>
            <w:gridSpan w:val="23"/>
            <w:noWrap w:val="0"/>
            <w:vAlign w:val="center"/>
          </w:tcPr>
          <w:p w14:paraId="7EFA3D2B">
            <w:pPr>
              <w:pStyle w:val="135"/>
              <w:keepNext w:val="0"/>
              <w:keepLines w:val="0"/>
              <w:pageBreakBefore w:val="0"/>
              <w:widowControl w:val="0"/>
              <w:suppressLineNumbers w:val="0"/>
              <w:kinsoku/>
              <w:wordWrap/>
              <w:topLinePunct w:val="0"/>
              <w:autoSpaceDE/>
              <w:autoSpaceDN/>
              <w:bidi w:val="0"/>
              <w:snapToGrid/>
              <w:spacing w:before="0" w:beforeAutospacing="0" w:after="0" w:afterAutospacing="0" w:line="360" w:lineRule="exact"/>
              <w:ind w:left="0" w:right="0" w:firstLine="0" w:firstLineChars="0"/>
              <w:jc w:val="center"/>
              <w:rPr>
                <w:rFonts w:hint="eastAsia"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spacing w:val="6"/>
                <w:kern w:val="2"/>
                <w:sz w:val="21"/>
                <w:szCs w:val="21"/>
                <w:lang w:val="en-US" w:eastAsia="zh-CN" w:bidi="ar-SA"/>
              </w:rPr>
              <w:t>荒漠植被破坏、地貌破坏</w:t>
            </w:r>
          </w:p>
        </w:tc>
      </w:tr>
      <w:tr w14:paraId="2C98F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1345" w:type="pct"/>
            <w:gridSpan w:val="8"/>
            <w:noWrap w:val="0"/>
            <w:vAlign w:val="center"/>
          </w:tcPr>
          <w:p w14:paraId="3C70DF3F">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生态敏感因子敏感程度</w:t>
            </w:r>
          </w:p>
        </w:tc>
        <w:tc>
          <w:tcPr>
            <w:tcW w:w="3652" w:type="pct"/>
            <w:gridSpan w:val="23"/>
            <w:noWrap w:val="0"/>
            <w:vAlign w:val="center"/>
          </w:tcPr>
          <w:p w14:paraId="4DB5D64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spacing w:val="7"/>
                <w:sz w:val="21"/>
                <w:szCs w:val="21"/>
              </w:rPr>
              <w:t>土壤侵蚀</w:t>
            </w:r>
            <w:r>
              <w:rPr>
                <w:rFonts w:hint="default" w:ascii="Times New Roman" w:hAnsi="Times New Roman" w:eastAsia="宋体"/>
                <w:spacing w:val="-3"/>
                <w:sz w:val="21"/>
                <w:szCs w:val="21"/>
              </w:rPr>
              <w:t>高度敏感，</w:t>
            </w:r>
            <w:r>
              <w:rPr>
                <w:rFonts w:hint="default" w:ascii="Times New Roman" w:hAnsi="Times New Roman" w:eastAsia="宋体"/>
                <w:spacing w:val="28"/>
                <w:sz w:val="21"/>
                <w:szCs w:val="21"/>
              </w:rPr>
              <w:t>土地沙漠化轻度敏</w:t>
            </w:r>
            <w:r>
              <w:rPr>
                <w:rFonts w:hint="default" w:ascii="Times New Roman" w:hAnsi="Times New Roman" w:eastAsia="宋体"/>
                <w:sz w:val="21"/>
                <w:szCs w:val="21"/>
              </w:rPr>
              <w:t>感</w:t>
            </w:r>
          </w:p>
        </w:tc>
      </w:tr>
      <w:tr w14:paraId="499A6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1345" w:type="pct"/>
            <w:gridSpan w:val="8"/>
            <w:noWrap w:val="0"/>
            <w:vAlign w:val="center"/>
          </w:tcPr>
          <w:p w14:paraId="1733675B">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保护目标</w:t>
            </w:r>
          </w:p>
        </w:tc>
        <w:tc>
          <w:tcPr>
            <w:tcW w:w="3652" w:type="pct"/>
            <w:gridSpan w:val="23"/>
            <w:noWrap w:val="0"/>
            <w:vAlign w:val="center"/>
          </w:tcPr>
          <w:p w14:paraId="23966158">
            <w:pPr>
              <w:pStyle w:val="135"/>
              <w:keepNext w:val="0"/>
              <w:keepLines w:val="0"/>
              <w:pageBreakBefore w:val="0"/>
              <w:widowControl w:val="0"/>
              <w:suppressLineNumbers w:val="0"/>
              <w:kinsoku/>
              <w:wordWrap/>
              <w:topLinePunct w:val="0"/>
              <w:autoSpaceDE/>
              <w:autoSpaceDN/>
              <w:bidi w:val="0"/>
              <w:snapToGrid/>
              <w:spacing w:before="0" w:beforeAutospacing="0" w:after="0" w:afterAutospacing="0" w:line="360" w:lineRule="exact"/>
              <w:ind w:left="0" w:right="0" w:firstLine="0" w:firstLineChars="0"/>
              <w:jc w:val="center"/>
              <w:rPr>
                <w:rFonts w:hint="eastAsia"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spacing w:val="6"/>
                <w:sz w:val="21"/>
                <w:szCs w:val="21"/>
              </w:rPr>
              <w:t>保护荒</w:t>
            </w:r>
            <w:r>
              <w:rPr>
                <w:rFonts w:hint="default" w:ascii="Times New Roman" w:hAnsi="Times New Roman" w:eastAsia="宋体"/>
                <w:spacing w:val="-2"/>
                <w:sz w:val="21"/>
                <w:szCs w:val="21"/>
              </w:rPr>
              <w:t>漠植被、</w:t>
            </w:r>
            <w:r>
              <w:rPr>
                <w:rFonts w:hint="default" w:ascii="Times New Roman" w:hAnsi="Times New Roman" w:eastAsia="宋体"/>
                <w:spacing w:val="6"/>
                <w:sz w:val="21"/>
                <w:szCs w:val="21"/>
              </w:rPr>
              <w:t>保护野骆驼等野生动</w:t>
            </w:r>
            <w:r>
              <w:rPr>
                <w:rFonts w:hint="default" w:ascii="Times New Roman" w:hAnsi="Times New Roman" w:eastAsia="宋体"/>
                <w:sz w:val="21"/>
                <w:szCs w:val="21"/>
              </w:rPr>
              <w:t>物</w:t>
            </w:r>
          </w:p>
        </w:tc>
      </w:tr>
      <w:tr w14:paraId="289FB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1345" w:type="pct"/>
            <w:gridSpan w:val="8"/>
            <w:noWrap w:val="0"/>
            <w:vAlign w:val="center"/>
          </w:tcPr>
          <w:p w14:paraId="2460DA98">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rPr>
              <w:t>保护措施</w:t>
            </w:r>
          </w:p>
        </w:tc>
        <w:tc>
          <w:tcPr>
            <w:tcW w:w="3652" w:type="pct"/>
            <w:gridSpan w:val="23"/>
            <w:noWrap w:val="0"/>
            <w:vAlign w:val="center"/>
          </w:tcPr>
          <w:p w14:paraId="3A59C123">
            <w:pPr>
              <w:pStyle w:val="135"/>
              <w:keepNext w:val="0"/>
              <w:keepLines w:val="0"/>
              <w:pageBreakBefore w:val="0"/>
              <w:widowControl w:val="0"/>
              <w:suppressLineNumbers w:val="0"/>
              <w:kinsoku/>
              <w:wordWrap/>
              <w:topLinePunct w:val="0"/>
              <w:autoSpaceDE/>
              <w:autoSpaceDN/>
              <w:bidi w:val="0"/>
              <w:snapToGrid/>
              <w:spacing w:before="0" w:beforeAutospacing="0" w:after="0" w:afterAutospacing="0" w:line="360" w:lineRule="exact"/>
              <w:ind w:left="0" w:right="0" w:firstLine="0" w:firstLineChars="0"/>
              <w:jc w:val="center"/>
              <w:rPr>
                <w:rFonts w:hint="eastAsia"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spacing w:val="7"/>
                <w:sz w:val="21"/>
                <w:szCs w:val="21"/>
              </w:rPr>
              <w:t>加强采矿</w:t>
            </w:r>
            <w:r>
              <w:rPr>
                <w:rFonts w:hint="default" w:ascii="Times New Roman" w:hAnsi="Times New Roman" w:eastAsia="宋体"/>
                <w:spacing w:val="-5"/>
                <w:sz w:val="21"/>
                <w:szCs w:val="21"/>
              </w:rPr>
              <w:t>管理、禁止</w:t>
            </w:r>
            <w:r>
              <w:rPr>
                <w:rFonts w:hint="default" w:ascii="Times New Roman" w:hAnsi="Times New Roman" w:eastAsia="宋体"/>
                <w:spacing w:val="25"/>
                <w:sz w:val="21"/>
                <w:szCs w:val="21"/>
              </w:rPr>
              <w:t>在野骆驼保护区缓冲区内进行开发活</w:t>
            </w:r>
            <w:r>
              <w:rPr>
                <w:rFonts w:hint="default" w:ascii="Times New Roman" w:hAnsi="Times New Roman" w:eastAsia="宋体"/>
                <w:sz w:val="21"/>
                <w:szCs w:val="21"/>
              </w:rPr>
              <w:t>动</w:t>
            </w:r>
          </w:p>
        </w:tc>
      </w:tr>
      <w:tr w14:paraId="2FE36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62" w:hRule="atLeast"/>
          <w:jc w:val="center"/>
        </w:trPr>
        <w:tc>
          <w:tcPr>
            <w:tcW w:w="1345" w:type="pct"/>
            <w:gridSpan w:val="8"/>
            <w:noWrap w:val="0"/>
            <w:vAlign w:val="center"/>
          </w:tcPr>
          <w:p w14:paraId="59A03009">
            <w:pPr>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360" w:lineRule="exact"/>
              <w:ind w:left="0" w:right="0" w:firstLine="0" w:firstLineChars="0"/>
              <w:jc w:val="center"/>
              <w:textAlignment w:val="baseline"/>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宋体"/>
                <w:color w:val="000000"/>
                <w:sz w:val="21"/>
                <w:szCs w:val="21"/>
                <w:highlight w:val="none"/>
                <w:lang w:eastAsia="zh-CN"/>
              </w:rPr>
              <w:t>发展方向</w:t>
            </w:r>
          </w:p>
        </w:tc>
        <w:tc>
          <w:tcPr>
            <w:tcW w:w="3652" w:type="pct"/>
            <w:gridSpan w:val="23"/>
            <w:noWrap w:val="0"/>
            <w:vAlign w:val="center"/>
          </w:tcPr>
          <w:p w14:paraId="6D546C57">
            <w:pPr>
              <w:pStyle w:val="135"/>
              <w:keepNext w:val="0"/>
              <w:keepLines w:val="0"/>
              <w:pageBreakBefore w:val="0"/>
              <w:widowControl w:val="0"/>
              <w:suppressLineNumbers w:val="0"/>
              <w:kinsoku/>
              <w:wordWrap/>
              <w:topLinePunct w:val="0"/>
              <w:autoSpaceDE/>
              <w:autoSpaceDN/>
              <w:bidi w:val="0"/>
              <w:snapToGrid/>
              <w:spacing w:before="0" w:beforeAutospacing="0" w:after="0" w:afterAutospacing="0" w:line="360" w:lineRule="exact"/>
              <w:ind w:left="0" w:right="0" w:firstLine="0" w:firstLineChars="0"/>
              <w:jc w:val="center"/>
              <w:rPr>
                <w:rFonts w:hint="eastAsia"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spacing w:val="5"/>
                <w:sz w:val="21"/>
                <w:szCs w:val="21"/>
              </w:rPr>
              <w:t>维护自</w:t>
            </w:r>
            <w:r>
              <w:rPr>
                <w:rFonts w:hint="default" w:ascii="Times New Roman" w:hAnsi="Times New Roman" w:eastAsia="宋体"/>
                <w:spacing w:val="6"/>
                <w:sz w:val="21"/>
                <w:szCs w:val="21"/>
              </w:rPr>
              <w:t>然生态</w:t>
            </w:r>
            <w:r>
              <w:rPr>
                <w:rFonts w:hint="default" w:ascii="Times New Roman" w:hAnsi="Times New Roman" w:eastAsia="宋体"/>
                <w:spacing w:val="-9"/>
                <w:sz w:val="21"/>
                <w:szCs w:val="21"/>
              </w:rPr>
              <w:t>环境，合</w:t>
            </w:r>
            <w:r>
              <w:rPr>
                <w:rFonts w:hint="default" w:ascii="Times New Roman" w:hAnsi="Times New Roman" w:eastAsia="宋体"/>
                <w:spacing w:val="6"/>
                <w:sz w:val="21"/>
                <w:szCs w:val="21"/>
              </w:rPr>
              <w:t>理发展</w:t>
            </w:r>
            <w:r>
              <w:rPr>
                <w:rFonts w:hint="default" w:ascii="Times New Roman" w:hAnsi="Times New Roman" w:eastAsia="宋体"/>
                <w:spacing w:val="5"/>
                <w:sz w:val="21"/>
                <w:szCs w:val="21"/>
              </w:rPr>
              <w:t>矿业</w:t>
            </w:r>
          </w:p>
        </w:tc>
      </w:tr>
      <w:tr w14:paraId="691C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4997" w:type="pct"/>
            <w:gridSpan w:val="31"/>
            <w:noWrap w:val="0"/>
            <w:vAlign w:val="center"/>
          </w:tcPr>
          <w:p w14:paraId="428FB9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firstLine="480" w:firstLineChars="200"/>
              <w:textAlignment w:val="auto"/>
              <w:rPr>
                <w:rFonts w:hint="eastAsia" w:ascii="宋体" w:hAnsi="宋体" w:eastAsia="宋体" w:cs="宋体"/>
                <w:color w:val="000000"/>
                <w:sz w:val="24"/>
                <w:szCs w:val="24"/>
                <w:highlight w:val="none"/>
                <w:lang w:val="en-US" w:eastAsia="zh-CN"/>
              </w:rPr>
            </w:pPr>
          </w:p>
          <w:p w14:paraId="7202B9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eastAsia" w:ascii="宋体" w:hAnsi="宋体" w:cs="宋体"/>
                <w:b/>
                <w:bCs/>
                <w:color w:val="000000"/>
                <w:sz w:val="24"/>
                <w:szCs w:val="24"/>
                <w:highlight w:val="none"/>
                <w:lang w:val="en-US" w:eastAsia="zh-CN"/>
              </w:rPr>
            </w:pPr>
            <w:r>
              <w:rPr>
                <w:rFonts w:hint="eastAsia" w:cs="Times New Roman"/>
                <w:b/>
                <w:bCs/>
                <w:color w:val="000000"/>
                <w:kern w:val="2"/>
                <w:sz w:val="24"/>
                <w:szCs w:val="24"/>
                <w:lang w:val="en-US" w:eastAsia="zh-CN" w:bidi="ar-SA"/>
              </w:rPr>
              <w:t>3</w:t>
            </w:r>
            <w:r>
              <w:rPr>
                <w:rFonts w:hint="eastAsia" w:ascii="Times New Roman" w:hAnsi="Times New Roman" w:cs="Times New Roman"/>
                <w:b/>
                <w:bCs/>
                <w:color w:val="000000"/>
                <w:kern w:val="2"/>
                <w:sz w:val="24"/>
                <w:szCs w:val="24"/>
                <w:lang w:val="en-US" w:eastAsia="zh-CN" w:bidi="ar-SA"/>
              </w:rPr>
              <w:t>.1</w:t>
            </w:r>
            <w:r>
              <w:rPr>
                <w:rFonts w:hint="eastAsia" w:cs="Times New Roman"/>
                <w:b/>
                <w:bCs/>
                <w:color w:val="000000"/>
                <w:kern w:val="2"/>
                <w:sz w:val="24"/>
                <w:szCs w:val="24"/>
                <w:lang w:val="en-US" w:eastAsia="zh-CN" w:bidi="ar-SA"/>
              </w:rPr>
              <w:t>.3</w:t>
            </w:r>
            <w:r>
              <w:rPr>
                <w:rFonts w:hint="eastAsia" w:ascii="宋体" w:hAnsi="宋体" w:eastAsia="宋体" w:cs="宋体"/>
                <w:b/>
                <w:bCs/>
                <w:color w:val="000000"/>
                <w:sz w:val="24"/>
                <w:szCs w:val="24"/>
                <w:highlight w:val="none"/>
                <w:lang w:val="en-US" w:eastAsia="zh-CN"/>
              </w:rPr>
              <w:t>生态</w:t>
            </w:r>
            <w:r>
              <w:rPr>
                <w:rFonts w:hint="eastAsia" w:ascii="宋体" w:hAnsi="宋体" w:cs="宋体"/>
                <w:b/>
                <w:bCs/>
                <w:color w:val="000000"/>
                <w:sz w:val="24"/>
                <w:szCs w:val="24"/>
                <w:highlight w:val="none"/>
                <w:lang w:val="en-US" w:eastAsia="zh-CN"/>
              </w:rPr>
              <w:t>环境现状</w:t>
            </w:r>
          </w:p>
          <w:p w14:paraId="2AE811CF">
            <w:pPr>
              <w:keepNext w:val="0"/>
              <w:keepLines w:val="0"/>
              <w:suppressLineNumbers w:val="0"/>
              <w:spacing w:before="0" w:beforeAutospacing="0" w:after="0" w:afterAutospacing="0"/>
              <w:ind w:left="0" w:right="0" w:firstLine="480"/>
              <w:rPr>
                <w:rFonts w:hint="eastAsia"/>
                <w:color w:val="000000" w:themeColor="text1"/>
                <w:highlight w:val="none"/>
                <w14:textFill>
                  <w14:solidFill>
                    <w14:schemeClr w14:val="tx1"/>
                  </w14:solidFill>
                </w14:textFill>
              </w:rPr>
            </w:pPr>
            <w:r>
              <w:rPr>
                <w:rFonts w:hint="eastAsia" w:ascii="Times New Roman" w:hAnsi="Times New Roman" w:cs="宋体"/>
                <w:color w:val="000000" w:themeColor="text1"/>
                <w:sz w:val="24"/>
                <w:szCs w:val="24"/>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土壤环境现状</w:t>
            </w:r>
          </w:p>
          <w:p w14:paraId="23C407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60" w:firstLineChars="200"/>
              <w:jc w:val="both"/>
              <w:textAlignment w:val="auto"/>
              <w:outlineLvl w:val="9"/>
              <w:rPr>
                <w:rFonts w:hint="default" w:ascii="Times New Roman" w:hAnsi="Times New Roman" w:eastAsia="宋体" w:cs="Times New Roman"/>
                <w:color w:val="000000" w:themeColor="text1"/>
                <w:spacing w:val="-5"/>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kern w:val="2"/>
                <w:sz w:val="24"/>
                <w:szCs w:val="24"/>
                <w:lang w:val="en-US" w:eastAsia="zh-CN" w:bidi="ar-SA"/>
                <w14:textFill>
                  <w14:solidFill>
                    <w14:schemeClr w14:val="tx1"/>
                  </w14:solidFill>
                </w14:textFill>
              </w:rPr>
              <w:t>本</w:t>
            </w:r>
            <w:r>
              <w:rPr>
                <w:rFonts w:hint="eastAsia" w:ascii="Times New Roman" w:hAnsi="Times New Roman" w:eastAsia="宋体" w:cs="Times New Roman"/>
                <w:color w:val="000000" w:themeColor="text1"/>
                <w:spacing w:val="-5"/>
                <w:kern w:val="2"/>
                <w:sz w:val="24"/>
                <w:szCs w:val="24"/>
                <w:lang w:val="en-US" w:eastAsia="zh-CN" w:bidi="ar-SA"/>
                <w14:textFill>
                  <w14:solidFill>
                    <w14:schemeClr w14:val="tx1"/>
                  </w14:solidFill>
                </w14:textFill>
              </w:rPr>
              <w:t>工程所在区域土壤类型为石膏棕漠土。</w:t>
            </w:r>
          </w:p>
          <w:p w14:paraId="280F0D19">
            <w:pPr>
              <w:keepNext w:val="0"/>
              <w:keepLines w:val="0"/>
              <w:suppressLineNumbers w:val="0"/>
              <w:snapToGrid w:val="0"/>
              <w:spacing w:before="0" w:beforeAutospacing="0" w:after="0" w:afterAutospacing="0" w:line="360" w:lineRule="auto"/>
              <w:ind w:left="0" w:leftChars="0" w:right="0" w:firstLine="0" w:firstLineChars="0"/>
              <w:jc w:val="cente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pPr>
          </w:p>
          <w:p w14:paraId="2BFEFB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center"/>
              <w:textAlignment w:val="auto"/>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图</w:t>
            </w:r>
            <w:r>
              <w:rPr>
                <w:rFonts w:hint="eastAsia" w:eastAsia="黑体" w:cs="Times New Roman"/>
                <w:b/>
                <w:bCs/>
                <w:color w:val="000000" w:themeColor="text1"/>
                <w:kern w:val="0"/>
                <w:sz w:val="24"/>
                <w:szCs w:val="20"/>
                <w:lang w:val="en-US" w:eastAsia="zh-CN" w:bidi="ar-SA"/>
                <w14:textFill>
                  <w14:solidFill>
                    <w14:schemeClr w14:val="tx1"/>
                  </w14:solidFill>
                </w14:textFill>
              </w:rPr>
              <w:t xml:space="preserve">3-3 </w:t>
            </w: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土壤类型图</w:t>
            </w:r>
          </w:p>
          <w:p w14:paraId="18FF0F45">
            <w:pPr>
              <w:pStyle w:val="4"/>
              <w:suppressLineNumbers w:val="0"/>
              <w:spacing w:before="0" w:beforeAutospacing="0" w:after="0" w:afterAutospacing="0"/>
              <w:ind w:left="0" w:right="0"/>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形态特征：</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剖面粗骨性强，孔状结皮片状层发育很弱，甚至缺失。在风蚀强烈影响下，石膏层常接近或出露地表，植被覆盖率</w:t>
            </w: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低。理化性质：石膏棕漠土</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的石膏富集层厚达20-40厘米，石膏含量高达520克每千克以上，比棕漠土高10倍左右，其下土层石膏含量160克每千克，也高3-4倍；易溶盐的含量也有增高，达10-40克每千克，最高含量出现在石膏富集层之下。土壤盐分组成在石膏层之上常以硫酸盐为主，而以下土层则以氯化物为主，显示出土壤残余积盐的特点。</w:t>
            </w:r>
          </w:p>
          <w:p w14:paraId="4A10C2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宋体" w:hAnsi="宋体" w:cs="宋体"/>
                <w:b/>
                <w:bCs/>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土</w:t>
            </w:r>
            <w:r>
              <w:rPr>
                <w:rFonts w:hint="default"/>
                <w:color w:val="000000" w:themeColor="text1"/>
                <w:spacing w:val="-2"/>
                <w14:textFill>
                  <w14:solidFill>
                    <w14:schemeClr w14:val="tx1"/>
                  </w14:solidFill>
                </w14:textFill>
              </w:rPr>
              <w:t>地利用现状</w:t>
            </w:r>
          </w:p>
          <w:p w14:paraId="258E2B59">
            <w:pPr>
              <w:keepNext w:val="0"/>
              <w:keepLines w:val="0"/>
              <w:suppressLineNumbers w:val="0"/>
              <w:snapToGrid w:val="0"/>
              <w:spacing w:before="0" w:beforeAutospacing="0" w:after="0" w:afterAutospacing="0" w:line="360" w:lineRule="auto"/>
              <w:ind w:left="0" w:leftChars="0" w:right="0" w:firstLine="480" w:firstLineChars="200"/>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参照全国土地利用现状调查技术规程、全国土地利用现状分类系统及当地土地利用资料，根据实地调查</w:t>
            </w:r>
            <w:r>
              <w:rPr>
                <w:rFonts w:hint="eastAsia"/>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本工程</w:t>
            </w:r>
            <w:r>
              <w:rPr>
                <w:rFonts w:hint="default"/>
                <w:color w:val="000000" w:themeColor="text1"/>
                <w:spacing w:val="-3"/>
                <w14:textFill>
                  <w14:solidFill>
                    <w14:schemeClr w14:val="tx1"/>
                  </w14:solidFill>
                </w14:textFill>
              </w:rPr>
              <w:t>位于博斯腾湖乡，</w:t>
            </w:r>
            <w:r>
              <w:rPr>
                <w:rFonts w:hint="eastAsia" w:ascii="宋体" w:hAnsi="宋体" w:eastAsia="宋体" w:cs="宋体"/>
                <w:color w:val="000000" w:themeColor="text1"/>
                <w:sz w:val="24"/>
                <w:szCs w:val="24"/>
                <w:highlight w:val="none"/>
                <w:lang w:val="en-US" w:eastAsia="zh-CN"/>
                <w14:textFill>
                  <w14:solidFill>
                    <w14:schemeClr w14:val="tx1"/>
                  </w14:solidFill>
                </w14:textFill>
              </w:rPr>
              <w:t>占地</w:t>
            </w:r>
            <w:r>
              <w:rPr>
                <w:rFonts w:hint="eastAsia" w:ascii="宋体" w:hAnsi="宋体" w:eastAsia="宋体" w:cs="宋体"/>
                <w:color w:val="000000" w:themeColor="text1"/>
                <w:sz w:val="24"/>
                <w:szCs w:val="24"/>
                <w:highlight w:val="none"/>
                <w14:textFill>
                  <w14:solidFill>
                    <w14:schemeClr w14:val="tx1"/>
                  </w14:solidFill>
                </w14:textFill>
              </w:rPr>
              <w:t>土地类型</w:t>
            </w:r>
            <w:r>
              <w:rPr>
                <w:rFonts w:hint="eastAsia" w:ascii="宋体" w:hAnsi="宋体" w:eastAsia="宋体" w:cs="宋体"/>
                <w:color w:val="000000" w:themeColor="text1"/>
                <w:sz w:val="24"/>
                <w:szCs w:val="24"/>
                <w:highlight w:val="none"/>
                <w:lang w:val="en-US" w:eastAsia="zh-CN"/>
                <w14:textFill>
                  <w14:solidFill>
                    <w14:schemeClr w14:val="tx1"/>
                  </w14:solidFill>
                </w14:textFill>
              </w:rPr>
              <w:t>为</w:t>
            </w:r>
            <w:r>
              <w:rPr>
                <w:rFonts w:hint="eastAsia" w:ascii="宋体" w:hAnsi="宋体" w:eastAsia="宋体"/>
                <w:color w:val="000000" w:themeColor="text1"/>
                <w:sz w:val="24"/>
                <w:highlight w:val="none"/>
                <w:lang w:val="en-US" w:eastAsia="zh-CN"/>
                <w14:textFill>
                  <w14:solidFill>
                    <w14:schemeClr w14:val="tx1"/>
                  </w14:solidFill>
                </w14:textFill>
              </w:rPr>
              <w:t>未利用地</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（裸土地）</w:t>
            </w:r>
            <w:r>
              <w:rPr>
                <w:rFonts w:hint="eastAsia" w:ascii="宋体" w:hAnsi="宋体"/>
                <w:color w:val="000000" w:themeColor="text1"/>
                <w:sz w:val="24"/>
                <w:highlight w:val="none"/>
                <w:lang w:val="en-US" w:eastAsia="zh-CN"/>
                <w14:textFill>
                  <w14:solidFill>
                    <w14:schemeClr w14:val="tx1"/>
                  </w14:solidFill>
                </w14:textFill>
              </w:rPr>
              <w:t>。</w:t>
            </w:r>
          </w:p>
          <w:p w14:paraId="3740B76D">
            <w:pPr>
              <w:keepNext w:val="0"/>
              <w:keepLines w:val="0"/>
              <w:suppressLineNumbers w:val="0"/>
              <w:snapToGrid w:val="0"/>
              <w:spacing w:before="0" w:beforeAutospacing="0" w:after="0" w:afterAutospacing="0" w:line="360" w:lineRule="auto"/>
              <w:ind w:left="0" w:leftChars="0" w:right="0" w:firstLine="0" w:firstLineChars="0"/>
              <w:jc w:val="center"/>
              <w:rPr>
                <w:rFonts w:hint="eastAsia" w:ascii="宋体" w:hAnsi="宋体" w:eastAsia="宋体"/>
                <w:color w:val="000000" w:themeColor="text1"/>
                <w:sz w:val="24"/>
                <w:highlight w:val="none"/>
                <w:lang w:val="en-US" w:eastAsia="zh-CN"/>
                <w14:textFill>
                  <w14:solidFill>
                    <w14:schemeClr w14:val="tx1"/>
                  </w14:solidFill>
                </w14:textFill>
              </w:rPr>
            </w:pPr>
          </w:p>
          <w:p w14:paraId="3C1EBBCB">
            <w:pPr>
              <w:keepNext w:val="0"/>
              <w:keepLines w:val="0"/>
              <w:suppressLineNumbers w:val="0"/>
              <w:snapToGrid w:val="0"/>
              <w:spacing w:before="0" w:beforeAutospacing="0" w:after="0" w:afterAutospacing="0" w:line="360" w:lineRule="auto"/>
              <w:ind w:left="0" w:leftChars="0" w:right="0" w:firstLine="0" w:firstLineChars="0"/>
              <w:jc w:val="cente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图</w:t>
            </w:r>
            <w:r>
              <w:rPr>
                <w:rFonts w:hint="eastAsia" w:eastAsia="黑体" w:cs="Times New Roman"/>
                <w:b/>
                <w:bCs/>
                <w:color w:val="000000" w:themeColor="text1"/>
                <w:kern w:val="0"/>
                <w:sz w:val="24"/>
                <w:szCs w:val="20"/>
                <w:lang w:val="en-US" w:eastAsia="zh-CN" w:bidi="ar-SA"/>
                <w14:textFill>
                  <w14:solidFill>
                    <w14:schemeClr w14:val="tx1"/>
                  </w14:solidFill>
                </w14:textFill>
              </w:rPr>
              <w:t xml:space="preserve">3-4 </w:t>
            </w: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土地利用现状图</w:t>
            </w:r>
          </w:p>
          <w:p w14:paraId="1EA3FE79">
            <w:pPr>
              <w:keepNext w:val="0"/>
              <w:keepLines w:val="0"/>
              <w:suppressLineNumbers w:val="0"/>
              <w:snapToGrid w:val="0"/>
              <w:spacing w:before="0" w:beforeAutospacing="0" w:after="0" w:afterAutospacing="0" w:line="360" w:lineRule="auto"/>
              <w:ind w:left="0" w:leftChars="0" w:right="0" w:firstLine="480" w:firstLineChars="200"/>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color w:val="000000" w:themeColor="text1"/>
                <w:sz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rFonts w:hint="eastAsia" w:ascii="Times New Roman" w:hAnsi="Times New Roman"/>
                <w:color w:val="000000" w:themeColor="text1"/>
                <w:sz w:val="24"/>
                <w:highlight w:val="none"/>
                <w:lang w:val="en-US" w:eastAsia="zh-CN"/>
                <w14:textFill>
                  <w14:solidFill>
                    <w14:schemeClr w14:val="tx1"/>
                  </w14:solidFill>
                </w14:textFill>
              </w:rPr>
              <w:t>）</w:t>
            </w:r>
            <w:r>
              <w:rPr>
                <w:rFonts w:hint="default" w:ascii="Times New Roman" w:hAnsi="Times New Roman"/>
                <w:color w:val="000000" w:themeColor="text1"/>
                <w:spacing w:val="-4"/>
                <w:sz w:val="24"/>
                <w14:textFill>
                  <w14:solidFill>
                    <w14:schemeClr w14:val="tx1"/>
                  </w14:solidFill>
                </w14:textFill>
              </w:rPr>
              <w:t>植被</w:t>
            </w:r>
            <w:r>
              <w:rPr>
                <w:rFonts w:hint="eastAsia"/>
                <w:color w:val="000000" w:themeColor="text1"/>
                <w:spacing w:val="-4"/>
                <w:sz w:val="24"/>
                <w:lang w:val="en-US" w:eastAsia="zh-CN"/>
                <w14:textFill>
                  <w14:solidFill>
                    <w14:schemeClr w14:val="tx1"/>
                  </w14:solidFill>
                </w14:textFill>
              </w:rPr>
              <w:t>现状</w:t>
            </w:r>
          </w:p>
          <w:p w14:paraId="2609553B">
            <w:pPr>
              <w:keepNext w:val="0"/>
              <w:keepLines w:val="0"/>
              <w:suppressLineNumbers w:val="0"/>
              <w:snapToGrid w:val="0"/>
              <w:spacing w:before="0" w:beforeAutospacing="0" w:after="0" w:afterAutospacing="0" w:line="360" w:lineRule="auto"/>
              <w:ind w:left="0" w:leftChars="0" w:right="0" w:firstLine="464" w:firstLineChars="200"/>
              <w:rPr>
                <w:rFonts w:hint="eastAsia" w:eastAsia="宋体"/>
                <w:color w:val="000000" w:themeColor="text1"/>
                <w:spacing w:val="-5"/>
                <w:lang w:eastAsia="zh-CN"/>
                <w14:textFill>
                  <w14:solidFill>
                    <w14:schemeClr w14:val="tx1"/>
                  </w14:solidFill>
                </w14:textFill>
              </w:rPr>
            </w:pPr>
            <w:r>
              <w:rPr>
                <w:rFonts w:hint="default" w:ascii="Times New Roman" w:hAnsi="Times New Roman"/>
                <w:color w:val="000000" w:themeColor="text1"/>
                <w:spacing w:val="-4"/>
                <w:sz w:val="24"/>
                <w14:textFill>
                  <w14:solidFill>
                    <w14:schemeClr w14:val="tx1"/>
                  </w14:solidFill>
                </w14:textFill>
              </w:rPr>
              <w:t>根据现场调</w:t>
            </w:r>
            <w:r>
              <w:rPr>
                <w:rFonts w:hint="default"/>
                <w:color w:val="000000" w:themeColor="text1"/>
                <w:spacing w:val="-4"/>
                <w14:textFill>
                  <w14:solidFill>
                    <w14:schemeClr w14:val="tx1"/>
                  </w14:solidFill>
                </w14:textFill>
              </w:rPr>
              <w:t>查，地表原有植</w:t>
            </w:r>
            <w:r>
              <w:rPr>
                <w:rFonts w:hint="default"/>
                <w:color w:val="000000" w:themeColor="text1"/>
                <w:spacing w:val="-5"/>
                <w14:textFill>
                  <w14:solidFill>
                    <w14:schemeClr w14:val="tx1"/>
                  </w14:solidFill>
                </w14:textFill>
              </w:rPr>
              <w:t>被</w:t>
            </w:r>
            <w:r>
              <w:rPr>
                <w:rFonts w:hint="eastAsia"/>
                <w:color w:val="000000" w:themeColor="text1"/>
                <w:spacing w:val="-5"/>
                <w:lang w:val="en-US" w:eastAsia="zh-CN"/>
                <w14:textFill>
                  <w14:solidFill>
                    <w14:schemeClr w14:val="tx1"/>
                  </w14:solidFill>
                </w14:textFill>
              </w:rPr>
              <w:t>较为</w:t>
            </w:r>
            <w:r>
              <w:rPr>
                <w:rFonts w:hint="default"/>
                <w:color w:val="000000" w:themeColor="text1"/>
                <w:spacing w:val="-5"/>
                <w14:textFill>
                  <w14:solidFill>
                    <w14:schemeClr w14:val="tx1"/>
                  </w14:solidFill>
                </w14:textFill>
              </w:rPr>
              <w:t>稀疏，生产力低下，植被覆盖度</w:t>
            </w:r>
            <w:r>
              <w:rPr>
                <w:rFonts w:hint="eastAsia"/>
                <w:color w:val="000000" w:themeColor="text1"/>
                <w:spacing w:val="-5"/>
                <w:lang w:val="en-US" w:eastAsia="zh-CN"/>
                <w14:textFill>
                  <w14:solidFill>
                    <w14:schemeClr w14:val="tx1"/>
                  </w14:solidFill>
                </w14:textFill>
              </w:rPr>
              <w:t>约20%</w:t>
            </w:r>
            <w:r>
              <w:rPr>
                <w:rFonts w:hint="default"/>
                <w:color w:val="000000" w:themeColor="text1"/>
                <w:spacing w:val="-5"/>
                <w14:textFill>
                  <w14:solidFill>
                    <w14:schemeClr w14:val="tx1"/>
                  </w14:solidFill>
                </w14:textFill>
              </w:rPr>
              <w:t>。原生植被种类稀少，主要有琵琶柴</w:t>
            </w:r>
            <w:r>
              <w:rPr>
                <w:rFonts w:hint="default" w:ascii="Times New Roman" w:hAnsi="Times New Roman" w:eastAsia="宋体" w:cs="Times New Roman"/>
                <w:color w:val="000000" w:themeColor="text1"/>
                <w:spacing w:val="-4"/>
                <w14:textFill>
                  <w14:solidFill>
                    <w14:schemeClr w14:val="tx1"/>
                  </w14:solidFill>
                </w14:textFill>
              </w:rPr>
              <w:t>、骆驼刺、芨芨草、膜</w:t>
            </w:r>
            <w:r>
              <w:rPr>
                <w:rFonts w:hint="default"/>
                <w:color w:val="000000" w:themeColor="text1"/>
                <w14:textFill>
                  <w14:solidFill>
                    <w14:schemeClr w14:val="tx1"/>
                  </w14:solidFill>
                </w14:textFill>
              </w:rPr>
              <w:t>果麻黄等，均为耐旱、耐盐植被</w:t>
            </w:r>
            <w:r>
              <w:rPr>
                <w:rFonts w:hint="eastAsia"/>
                <w:color w:val="000000" w:themeColor="text1"/>
                <w:lang w:eastAsia="zh-CN"/>
                <w14:textFill>
                  <w14:solidFill>
                    <w14:schemeClr w14:val="tx1"/>
                  </w14:solidFill>
                </w14:textFill>
              </w:rPr>
              <w:t>。</w:t>
            </w:r>
            <w:r>
              <w:rPr>
                <w:rFonts w:hint="default"/>
                <w:color w:val="000000" w:themeColor="text1"/>
                <w:spacing w:val="-1"/>
                <w14:textFill>
                  <w14:solidFill>
                    <w14:schemeClr w14:val="tx1"/>
                  </w14:solidFill>
                </w14:textFill>
              </w:rPr>
              <w:t>工程评价范围内未发现国家</w:t>
            </w:r>
            <w:r>
              <w:rPr>
                <w:rFonts w:hint="default"/>
                <w:color w:val="000000" w:themeColor="text1"/>
                <w:spacing w:val="-5"/>
                <w14:textFill>
                  <w14:solidFill>
                    <w14:schemeClr w14:val="tx1"/>
                  </w14:solidFill>
                </w14:textFill>
              </w:rPr>
              <w:t>级或地方重点保护植物。</w:t>
            </w:r>
            <w:r>
              <w:rPr>
                <w:rFonts w:hint="default" w:ascii="Times New Roman" w:hAnsi="Times New Roman" w:cs="Times New Roman"/>
                <w:color w:val="000000" w:themeColor="text1"/>
                <w:sz w:val="24"/>
                <w:highlight w:val="none"/>
                <w14:textFill>
                  <w14:solidFill>
                    <w14:schemeClr w14:val="tx1"/>
                  </w14:solidFill>
                </w14:textFill>
              </w:rPr>
              <w:t>本工程施工过程中采用了控制施工范围、减少扰动面积等</w:t>
            </w:r>
            <w:r>
              <w:rPr>
                <w:rFonts w:hint="eastAsia" w:cs="Times New Roman"/>
                <w:color w:val="000000" w:themeColor="text1"/>
                <w:sz w:val="24"/>
                <w:highlight w:val="none"/>
                <w:lang w:val="en-US" w:eastAsia="zh-CN"/>
                <w14:textFill>
                  <w14:solidFill>
                    <w14:schemeClr w14:val="tx1"/>
                  </w14:solidFill>
                </w14:textFill>
              </w:rPr>
              <w:t>生态环境保护</w:t>
            </w:r>
            <w:r>
              <w:rPr>
                <w:rFonts w:hint="default" w:ascii="Times New Roman" w:hAnsi="Times New Roman" w:cs="Times New Roman"/>
                <w:color w:val="000000" w:themeColor="text1"/>
                <w:sz w:val="24"/>
                <w:highlight w:val="none"/>
                <w14:textFill>
                  <w14:solidFill>
                    <w14:schemeClr w14:val="tx1"/>
                  </w14:solidFill>
                </w14:textFill>
              </w:rPr>
              <w:t>措施，施工后对临时占地进行了平整，</w:t>
            </w:r>
            <w:r>
              <w:rPr>
                <w:rFonts w:hint="default"/>
                <w:spacing w:val="-2"/>
              </w:rPr>
              <w:t>升压站四周及线</w:t>
            </w:r>
            <w:r>
              <w:rPr>
                <w:rFonts w:hint="default"/>
                <w:spacing w:val="-3"/>
              </w:rPr>
              <w:t>路塔基</w:t>
            </w:r>
            <w:r>
              <w:rPr>
                <w:rFonts w:hint="default" w:ascii="Times New Roman" w:hAnsi="Times New Roman" w:cs="Times New Roman"/>
                <w:color w:val="000000" w:themeColor="text1"/>
                <w:sz w:val="24"/>
                <w:highlight w:val="none"/>
                <w14:textFill>
                  <w14:solidFill>
                    <w14:schemeClr w14:val="tx1"/>
                  </w14:solidFill>
                </w14:textFill>
              </w:rPr>
              <w:t>周边植被已自然恢复</w:t>
            </w:r>
            <w:r>
              <w:rPr>
                <w:rFonts w:hint="eastAsia" w:cs="Times New Roman"/>
                <w:color w:val="000000" w:themeColor="text1"/>
                <w:sz w:val="24"/>
                <w:highlight w:val="none"/>
                <w:lang w:eastAsia="zh-CN"/>
                <w14:textFill>
                  <w14:solidFill>
                    <w14:schemeClr w14:val="tx1"/>
                  </w14:solidFill>
                </w14:textFill>
              </w:rPr>
              <w:t>。</w:t>
            </w:r>
          </w:p>
          <w:p w14:paraId="590CBA2C">
            <w:pPr>
              <w:keepNext w:val="0"/>
              <w:keepLines w:val="0"/>
              <w:suppressLineNumbers w:val="0"/>
              <w:snapToGrid w:val="0"/>
              <w:spacing w:before="0" w:beforeAutospacing="0" w:after="0" w:afterAutospacing="0" w:line="360" w:lineRule="auto"/>
              <w:ind w:left="0" w:leftChars="0" w:right="0" w:firstLine="0" w:firstLineChars="0"/>
              <w:jc w:val="center"/>
              <w:rPr>
                <w:rFonts w:hint="eastAsia" w:eastAsia="宋体"/>
                <w:color w:val="000000" w:themeColor="text1"/>
                <w:spacing w:val="-5"/>
                <w:lang w:eastAsia="zh-CN"/>
                <w14:textFill>
                  <w14:solidFill>
                    <w14:schemeClr w14:val="tx1"/>
                  </w14:solidFill>
                </w14:textFill>
              </w:rPr>
            </w:pPr>
          </w:p>
          <w:p w14:paraId="6EF11FD0">
            <w:pPr>
              <w:keepNext w:val="0"/>
              <w:keepLines w:val="0"/>
              <w:suppressLineNumbers w:val="0"/>
              <w:snapToGrid w:val="0"/>
              <w:spacing w:before="0" w:beforeAutospacing="0" w:after="0" w:afterAutospacing="0" w:line="360" w:lineRule="auto"/>
              <w:ind w:left="0" w:leftChars="0" w:right="0" w:firstLine="0" w:firstLineChars="0"/>
              <w:jc w:val="center"/>
              <w:rPr>
                <w:rFonts w:hint="eastAsia"/>
                <w:color w:val="000000" w:themeColor="text1"/>
                <w:lang w:val="en-US" w:eastAsia="zh-CN"/>
                <w14:textFill>
                  <w14:solidFill>
                    <w14:schemeClr w14:val="tx1"/>
                  </w14:solidFill>
                </w14:textFill>
              </w:rPr>
            </w:pP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图</w:t>
            </w:r>
            <w:r>
              <w:rPr>
                <w:rFonts w:hint="eastAsia" w:eastAsia="黑体" w:cs="Times New Roman"/>
                <w:b/>
                <w:bCs/>
                <w:color w:val="000000" w:themeColor="text1"/>
                <w:kern w:val="0"/>
                <w:sz w:val="24"/>
                <w:szCs w:val="20"/>
                <w:lang w:val="en-US" w:eastAsia="zh-CN" w:bidi="ar-SA"/>
                <w14:textFill>
                  <w14:solidFill>
                    <w14:schemeClr w14:val="tx1"/>
                  </w14:solidFill>
                </w14:textFill>
              </w:rPr>
              <w:t xml:space="preserve">3-5 </w:t>
            </w: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植物类型图</w:t>
            </w:r>
          </w:p>
          <w:p w14:paraId="621032F2">
            <w:pPr>
              <w:keepNext w:val="0"/>
              <w:keepLines w:val="0"/>
              <w:suppressLineNumbers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000000" w:themeColor="text1"/>
                <w:spacing w:val="-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4"/>
                <w14:textFill>
                  <w14:solidFill>
                    <w14:schemeClr w14:val="tx1"/>
                  </w14:solidFill>
                </w14:textFill>
              </w:rPr>
              <w:t>动物现状</w:t>
            </w:r>
          </w:p>
          <w:p w14:paraId="36338B05">
            <w:pPr>
              <w:keepNext w:val="0"/>
              <w:keepLines w:val="0"/>
              <w:suppressLineNumbers w:val="0"/>
              <w:snapToGrid w:val="0"/>
              <w:spacing w:before="0" w:beforeAutospacing="0" w:after="0" w:afterAutospacing="0" w:line="360" w:lineRule="auto"/>
              <w:ind w:left="0" w:leftChars="0" w:right="0" w:firstLine="464" w:firstLineChars="200"/>
              <w:rPr>
                <w:rFonts w:hint="default" w:ascii="Times New Roman" w:hAnsi="Times New Roman" w:eastAsia="宋体" w:cs="Times New Roman"/>
                <w:color w:val="000000" w:themeColor="text1"/>
                <w:spacing w:val="-4"/>
                <w14:textFill>
                  <w14:solidFill>
                    <w14:schemeClr w14:val="tx1"/>
                  </w14:solidFill>
                </w14:textFill>
              </w:rPr>
            </w:pPr>
            <w:r>
              <w:rPr>
                <w:rFonts w:hint="default" w:ascii="Times New Roman" w:hAnsi="Times New Roman" w:eastAsia="宋体" w:cs="Times New Roman"/>
                <w:color w:val="000000" w:themeColor="text1"/>
                <w:spacing w:val="-4"/>
                <w:lang w:val="en-US" w:eastAsia="zh-CN"/>
                <w14:textFill>
                  <w14:solidFill>
                    <w14:schemeClr w14:val="tx1"/>
                  </w14:solidFill>
                </w14:textFill>
              </w:rPr>
              <w:t>项目远离博湖县城乡镇，因人为活动的干扰导致区内野生动物稀少，</w:t>
            </w:r>
            <w:r>
              <w:rPr>
                <w:rFonts w:hint="eastAsia" w:ascii="Times New Roman" w:hAnsi="Times New Roman" w:eastAsia="宋体" w:cs="Times New Roman"/>
                <w:color w:val="000000" w:themeColor="text1"/>
                <w:spacing w:val="-4"/>
                <w:lang w:val="en-US" w:eastAsia="zh-CN"/>
                <w14:textFill>
                  <w14:solidFill>
                    <w14:schemeClr w14:val="tx1"/>
                  </w14:solidFill>
                </w14:textFill>
              </w:rPr>
              <w:t>可能出没的动物有</w:t>
            </w:r>
            <w:r>
              <w:rPr>
                <w:rFonts w:hint="default" w:ascii="Times New Roman" w:hAnsi="Times New Roman" w:eastAsia="宋体" w:cs="Times New Roman"/>
                <w:color w:val="000000" w:themeColor="text1"/>
                <w:spacing w:val="-4"/>
                <w:lang w:val="en-US" w:eastAsia="zh-CN"/>
                <w14:textFill>
                  <w14:solidFill>
                    <w14:schemeClr w14:val="tx1"/>
                  </w14:solidFill>
                </w14:textFill>
              </w:rPr>
              <w:t>生存型啮齿类动物、麻雀、燕子等。由于人类活动干扰大，该区域没有国家及自治区级野生保护动物分布。</w:t>
            </w:r>
          </w:p>
          <w:p w14:paraId="198799DD">
            <w:pPr>
              <w:keepNext w:val="0"/>
              <w:keepLines w:val="0"/>
              <w:suppressLineNumbers w:val="0"/>
              <w:snapToGrid w:val="0"/>
              <w:spacing w:before="0" w:beforeAutospacing="0" w:after="0" w:afterAutospacing="0" w:line="360" w:lineRule="auto"/>
              <w:ind w:left="0" w:leftChars="0" w:right="0" w:firstLine="464" w:firstLineChars="200"/>
              <w:rPr>
                <w:rFonts w:hint="default" w:ascii="Times New Roman" w:hAnsi="Times New Roman" w:eastAsia="宋体" w:cs="Times New Roman"/>
                <w:color w:val="000000" w:themeColor="text1"/>
                <w:spacing w:val="-4"/>
                <w14:textFill>
                  <w14:solidFill>
                    <w14:schemeClr w14:val="tx1"/>
                  </w14:solidFill>
                </w14:textFill>
              </w:rPr>
            </w:pPr>
            <w:r>
              <w:rPr>
                <w:rFonts w:hint="default" w:ascii="Times New Roman" w:hAnsi="Times New Roman" w:eastAsia="宋体" w:cs="Times New Roman"/>
                <w:color w:val="000000" w:themeColor="text1"/>
                <w:spacing w:val="-4"/>
                <w14:textFill>
                  <w14:solidFill>
                    <w14:schemeClr w14:val="tx1"/>
                  </w14:solidFill>
                </w14:textFill>
              </w:rPr>
              <w:t>项目所在区域地处未利用的荒漠戈壁，植被覆盖度</w:t>
            </w:r>
            <w:r>
              <w:rPr>
                <w:rFonts w:hint="eastAsia" w:cs="Times New Roman"/>
                <w:color w:val="000000" w:themeColor="text1"/>
                <w:spacing w:val="-4"/>
                <w:lang w:val="en-US" w:eastAsia="zh-CN"/>
                <w14:textFill>
                  <w14:solidFill>
                    <w14:schemeClr w14:val="tx1"/>
                  </w14:solidFill>
                </w14:textFill>
              </w:rPr>
              <w:t>低</w:t>
            </w:r>
            <w:r>
              <w:rPr>
                <w:rFonts w:hint="default" w:ascii="Times New Roman" w:hAnsi="Times New Roman" w:eastAsia="宋体" w:cs="Times New Roman"/>
                <w:color w:val="000000" w:themeColor="text1"/>
                <w:spacing w:val="-4"/>
                <w14:textFill>
                  <w14:solidFill>
                    <w14:schemeClr w14:val="tx1"/>
                  </w14:solidFill>
                </w14:textFill>
              </w:rPr>
              <w:t>，区域内无野生的珍稀濒危动植物种类，无风景名胜、文物古迹保护单位，不在矿区压覆带上。</w:t>
            </w:r>
          </w:p>
          <w:p w14:paraId="21AC62CD">
            <w:pPr>
              <w:keepNext w:val="0"/>
              <w:keepLines w:val="0"/>
              <w:suppressLineNumbers w:val="0"/>
              <w:snapToGrid w:val="0"/>
              <w:spacing w:before="0" w:beforeAutospacing="0" w:after="0" w:afterAutospacing="0" w:line="360" w:lineRule="auto"/>
              <w:ind w:left="0" w:leftChars="0" w:right="0" w:firstLine="464" w:firstLineChars="200"/>
              <w:rPr>
                <w:rFonts w:hint="default" w:ascii="Times New Roman" w:hAnsi="Times New Roman" w:eastAsia="宋体" w:cs="Times New Roman"/>
                <w:color w:val="000000" w:themeColor="text1"/>
                <w:spacing w:val="-4"/>
                <w:lang w:val="en-US" w:eastAsia="zh-CN"/>
                <w14:textFill>
                  <w14:solidFill>
                    <w14:schemeClr w14:val="tx1"/>
                  </w14:solidFill>
                </w14:textFill>
              </w:rPr>
            </w:pPr>
            <w:r>
              <w:rPr>
                <w:rFonts w:hint="eastAsia" w:ascii="Times New Roman" w:hAnsi="Times New Roman" w:eastAsia="宋体" w:cs="Times New Roman"/>
                <w:color w:val="000000" w:themeColor="text1"/>
                <w:spacing w:val="-4"/>
                <w:lang w:eastAsia="zh-CN"/>
                <w14:textFill>
                  <w14:solidFill>
                    <w14:schemeClr w14:val="tx1"/>
                  </w14:solidFill>
                </w14:textFill>
              </w:rPr>
              <w:t>（</w:t>
            </w:r>
            <w:r>
              <w:rPr>
                <w:rFonts w:hint="eastAsia" w:ascii="Times New Roman" w:hAnsi="Times New Roman" w:eastAsia="宋体" w:cs="Times New Roman"/>
                <w:color w:val="000000" w:themeColor="text1"/>
                <w:spacing w:val="-4"/>
                <w:lang w:val="en-US" w:eastAsia="zh-CN"/>
                <w14:textFill>
                  <w14:solidFill>
                    <w14:schemeClr w14:val="tx1"/>
                  </w14:solidFill>
                </w14:textFill>
              </w:rPr>
              <w:t>5</w:t>
            </w:r>
            <w:r>
              <w:rPr>
                <w:rFonts w:hint="eastAsia" w:ascii="Times New Roman" w:hAnsi="Times New Roman" w:eastAsia="宋体" w:cs="Times New Roman"/>
                <w:color w:val="000000" w:themeColor="text1"/>
                <w:spacing w:val="-4"/>
                <w:lang w:eastAsia="zh-CN"/>
                <w14:textFill>
                  <w14:solidFill>
                    <w14:schemeClr w14:val="tx1"/>
                  </w14:solidFill>
                </w14:textFill>
              </w:rPr>
              <w:t>）</w:t>
            </w:r>
            <w:r>
              <w:rPr>
                <w:rFonts w:hint="eastAsia" w:ascii="Times New Roman" w:hAnsi="Times New Roman" w:eastAsia="宋体" w:cs="Times New Roman"/>
                <w:color w:val="000000" w:themeColor="text1"/>
                <w:spacing w:val="-4"/>
                <w:lang w:val="en-US" w:eastAsia="zh-CN"/>
                <w14:textFill>
                  <w14:solidFill>
                    <w14:schemeClr w14:val="tx1"/>
                  </w14:solidFill>
                </w14:textFill>
              </w:rPr>
              <w:t>防沙治沙现状调查</w:t>
            </w:r>
          </w:p>
          <w:p w14:paraId="4BB427B8">
            <w:pPr>
              <w:keepNext w:val="0"/>
              <w:keepLines w:val="0"/>
              <w:suppressLineNumbers w:val="0"/>
              <w:snapToGrid w:val="0"/>
              <w:spacing w:before="0" w:beforeAutospacing="0" w:after="0" w:afterAutospacing="0" w:line="360" w:lineRule="auto"/>
              <w:ind w:left="0" w:leftChars="0" w:right="0" w:firstLine="464" w:firstLineChars="200"/>
              <w:rPr>
                <w:rFonts w:hint="eastAsia"/>
                <w:lang w:val="en-US" w:eastAsia="zh-CN"/>
              </w:rPr>
            </w:pPr>
            <w:r>
              <w:rPr>
                <w:rFonts w:hint="eastAsia" w:ascii="Times New Roman" w:hAnsi="Times New Roman" w:eastAsia="宋体" w:cs="Times New Roman"/>
                <w:color w:val="000000" w:themeColor="text1"/>
                <w:spacing w:val="-4"/>
                <w:lang w:val="en-US" w:eastAsia="zh-CN"/>
                <w14:textFill>
                  <w14:solidFill>
                    <w14:schemeClr w14:val="tx1"/>
                  </w14:solidFill>
                </w14:textFill>
              </w:rPr>
              <w:t>根据《新疆第六次沙化土地监测报告》，项目途经区域属于非沙化土地，不在沙区</w:t>
            </w:r>
            <w:r>
              <w:rPr>
                <w:rFonts w:hint="eastAsia" w:cs="Times New Roman"/>
                <w:color w:val="000000" w:themeColor="text1"/>
                <w:spacing w:val="-4"/>
                <w:lang w:val="en-US" w:eastAsia="zh-CN"/>
                <w14:textFill>
                  <w14:solidFill>
                    <w14:schemeClr w14:val="tx1"/>
                  </w14:solidFill>
                </w14:textFill>
              </w:rPr>
              <w:t>。</w:t>
            </w:r>
            <w:r>
              <w:rPr>
                <w:rFonts w:hint="eastAsia" w:ascii="Times New Roman" w:hAnsi="Times New Roman" w:eastAsia="宋体" w:cs="Times New Roman"/>
                <w:color w:val="000000" w:themeColor="text1"/>
                <w:spacing w:val="-4"/>
                <w:lang w:val="en-US" w:eastAsia="zh-CN"/>
                <w14:textFill>
                  <w14:solidFill>
                    <w14:schemeClr w14:val="tx1"/>
                  </w14:solidFill>
                </w14:textFill>
              </w:rPr>
              <w:t>根据现场踏勘，项目所在地无</w:t>
            </w:r>
            <w:r>
              <w:rPr>
                <w:rFonts w:hint="eastAsia" w:cs="Times New Roman"/>
                <w:color w:val="000000" w:themeColor="text1"/>
                <w:spacing w:val="-4"/>
                <w:lang w:val="en-US" w:eastAsia="zh-CN"/>
                <w14:textFill>
                  <w14:solidFill>
                    <w14:schemeClr w14:val="tx1"/>
                  </w14:solidFill>
                </w14:textFill>
              </w:rPr>
              <w:t>明显</w:t>
            </w:r>
            <w:r>
              <w:rPr>
                <w:rFonts w:hint="eastAsia" w:ascii="Times New Roman" w:hAnsi="Times New Roman" w:eastAsia="宋体" w:cs="Times New Roman"/>
                <w:color w:val="000000" w:themeColor="text1"/>
                <w:spacing w:val="-4"/>
                <w:lang w:val="en-US" w:eastAsia="zh-CN"/>
                <w14:textFill>
                  <w14:solidFill>
                    <w14:schemeClr w14:val="tx1"/>
                  </w14:solidFill>
                </w14:textFill>
              </w:rPr>
              <w:t>沙化现象。</w:t>
            </w:r>
          </w:p>
          <w:p w14:paraId="1AC11CAD">
            <w:pPr>
              <w:pStyle w:val="4"/>
              <w:suppressLineNumbers w:val="0"/>
              <w:spacing w:before="0" w:beforeAutospacing="0" w:after="0" w:afterAutospacing="0"/>
              <w:ind w:left="0" w:leftChars="0" w:right="0" w:firstLine="0" w:firstLineChars="0"/>
              <w:rPr>
                <w:rFonts w:hint="eastAsia"/>
                <w:lang w:eastAsia="zh-CN"/>
              </w:rPr>
            </w:pPr>
          </w:p>
          <w:p w14:paraId="4A2F18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pPr>
          </w:p>
          <w:p w14:paraId="633A39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eastAsia" w:cs="Times New Roman"/>
                <w:b/>
                <w:bCs/>
                <w:color w:val="000000"/>
                <w:kern w:val="2"/>
                <w:sz w:val="24"/>
                <w:szCs w:val="24"/>
                <w:lang w:val="en-US" w:eastAsia="zh-CN" w:bidi="ar-SA"/>
              </w:rPr>
            </w:pP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图</w:t>
            </w:r>
            <w:r>
              <w:rPr>
                <w:rFonts w:hint="eastAsia" w:eastAsia="黑体" w:cs="Times New Roman"/>
                <w:b/>
                <w:bCs/>
                <w:color w:val="000000" w:themeColor="text1"/>
                <w:kern w:val="0"/>
                <w:sz w:val="24"/>
                <w:szCs w:val="20"/>
                <w:lang w:val="en-US" w:eastAsia="zh-CN" w:bidi="ar-SA"/>
                <w14:textFill>
                  <w14:solidFill>
                    <w14:schemeClr w14:val="tx1"/>
                  </w14:solidFill>
                </w14:textFill>
              </w:rPr>
              <w:t xml:space="preserve">3-6 </w:t>
            </w:r>
            <w:r>
              <w:rPr>
                <w:rFonts w:hint="eastAsia" w:ascii="Times New Roman" w:hAnsi="Times New Roman" w:eastAsia="黑体" w:cs="Times New Roman"/>
                <w:b/>
                <w:bCs/>
                <w:color w:val="000000" w:themeColor="text1"/>
                <w:kern w:val="0"/>
                <w:sz w:val="24"/>
                <w:szCs w:val="20"/>
                <w:lang w:val="en-US" w:eastAsia="zh-CN" w:bidi="ar-SA"/>
                <w14:textFill>
                  <w14:solidFill>
                    <w14:schemeClr w14:val="tx1"/>
                  </w14:solidFill>
                </w14:textFill>
              </w:rPr>
              <w:t>沙化土地类型图</w:t>
            </w:r>
          </w:p>
          <w:p w14:paraId="69EA30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b/>
                <w:bCs/>
                <w:spacing w:val="-6"/>
              </w:rPr>
            </w:pPr>
            <w:r>
              <w:rPr>
                <w:rFonts w:hint="eastAsia" w:cs="Times New Roman"/>
                <w:b/>
                <w:bCs/>
                <w:color w:val="000000"/>
                <w:kern w:val="2"/>
                <w:sz w:val="24"/>
                <w:szCs w:val="24"/>
                <w:lang w:val="en-US" w:eastAsia="zh-CN" w:bidi="ar-SA"/>
              </w:rPr>
              <w:t>3</w:t>
            </w:r>
            <w:r>
              <w:rPr>
                <w:rFonts w:hint="eastAsia" w:ascii="Times New Roman" w:hAnsi="Times New Roman" w:cs="Times New Roman"/>
                <w:b/>
                <w:bCs/>
                <w:color w:val="000000"/>
                <w:kern w:val="2"/>
                <w:sz w:val="24"/>
                <w:szCs w:val="24"/>
                <w:lang w:val="en-US" w:eastAsia="zh-CN" w:bidi="ar-SA"/>
              </w:rPr>
              <w:t>.1</w:t>
            </w:r>
            <w:r>
              <w:rPr>
                <w:rFonts w:hint="eastAsia" w:cs="Times New Roman"/>
                <w:b/>
                <w:bCs/>
                <w:color w:val="000000"/>
                <w:kern w:val="2"/>
                <w:sz w:val="24"/>
                <w:szCs w:val="24"/>
                <w:lang w:val="en-US" w:eastAsia="zh-CN" w:bidi="ar-SA"/>
              </w:rPr>
              <w:t>.4</w:t>
            </w:r>
            <w:r>
              <w:rPr>
                <w:rFonts w:hint="default"/>
                <w:b/>
                <w:bCs/>
                <w:spacing w:val="-2"/>
              </w:rPr>
              <w:t>大气</w:t>
            </w:r>
            <w:r>
              <w:rPr>
                <w:rFonts w:hint="default"/>
                <w:b/>
                <w:bCs/>
                <w:spacing w:val="-6"/>
              </w:rPr>
              <w:t>环境质量现状</w:t>
            </w:r>
          </w:p>
          <w:p w14:paraId="1C450E7B">
            <w:pPr>
              <w:keepNext w:val="0"/>
              <w:keepLines w:val="0"/>
              <w:suppressLineNumbers w:val="0"/>
              <w:snapToGrid w:val="0"/>
              <w:spacing w:before="0" w:beforeAutospacing="0" w:after="0" w:afterAutospacing="0" w:line="360" w:lineRule="auto"/>
              <w:ind w:left="0" w:leftChars="0" w:right="0" w:firstLine="464" w:firstLineChars="200"/>
              <w:rPr>
                <w:rFonts w:hint="default" w:ascii="Times New Roman" w:hAnsi="Times New Roman" w:eastAsia="宋体" w:cs="Times New Roman"/>
                <w:spacing w:val="-4"/>
              </w:rPr>
            </w:pPr>
            <w:r>
              <w:rPr>
                <w:rFonts w:hint="default" w:ascii="Times New Roman" w:hAnsi="Times New Roman" w:eastAsia="宋体" w:cs="Times New Roman"/>
                <w:spacing w:val="-4"/>
              </w:rPr>
              <w:t>根据《环境影响评价技术导则</w:t>
            </w:r>
            <w:r>
              <w:rPr>
                <w:rFonts w:hint="eastAsia" w:cs="Times New Roman"/>
                <w:spacing w:val="-4"/>
                <w:lang w:val="en-US" w:eastAsia="zh-CN"/>
              </w:rPr>
              <w:t xml:space="preserve"> </w:t>
            </w:r>
            <w:r>
              <w:rPr>
                <w:rFonts w:hint="default" w:ascii="Times New Roman" w:hAnsi="Times New Roman" w:eastAsia="宋体" w:cs="Times New Roman"/>
                <w:spacing w:val="-4"/>
              </w:rPr>
              <w:t>大气环境》（HJ</w:t>
            </w:r>
            <w:r>
              <w:rPr>
                <w:rFonts w:hint="eastAsia" w:cs="Times New Roman"/>
                <w:spacing w:val="-4"/>
                <w:lang w:val="en-US" w:eastAsia="zh-CN"/>
              </w:rPr>
              <w:t xml:space="preserve"> </w:t>
            </w:r>
            <w:r>
              <w:rPr>
                <w:rFonts w:hint="default" w:ascii="Times New Roman" w:hAnsi="Times New Roman" w:eastAsia="宋体" w:cs="Times New Roman"/>
                <w:spacing w:val="-4"/>
              </w:rPr>
              <w:t>2.2-2018）中</w:t>
            </w:r>
            <w:r>
              <w:rPr>
                <w:rFonts w:hint="eastAsia" w:ascii="Times New Roman" w:hAnsi="Times New Roman" w:eastAsia="宋体" w:cs="Times New Roman"/>
                <w:spacing w:val="-4"/>
                <w:lang w:eastAsia="zh-CN"/>
              </w:rPr>
              <w:t>“</w:t>
            </w:r>
            <w:r>
              <w:rPr>
                <w:rFonts w:hint="default" w:ascii="Times New Roman" w:hAnsi="Times New Roman" w:eastAsia="宋体" w:cs="Times New Roman"/>
                <w:spacing w:val="-4"/>
              </w:rPr>
              <w:t>评价范围内没有环境空气质量监测网络数据或公开发布的环境空气质量现状监测数据的，可选择符合《环境空气质量监测点位布设技术规范（试行）》（HJ</w:t>
            </w:r>
            <w:r>
              <w:rPr>
                <w:rFonts w:hint="eastAsia" w:cs="Times New Roman"/>
                <w:spacing w:val="-4"/>
                <w:lang w:val="en-US" w:eastAsia="zh-CN"/>
              </w:rPr>
              <w:t xml:space="preserve"> </w:t>
            </w:r>
            <w:r>
              <w:rPr>
                <w:rFonts w:hint="default" w:ascii="Times New Roman" w:hAnsi="Times New Roman" w:eastAsia="宋体" w:cs="Times New Roman"/>
                <w:spacing w:val="-4"/>
              </w:rPr>
              <w:t>664-2013）规定，并且与评价范围地理位置临近，地形、气候条件相近的环境空气质量城市点或区域点监测数据</w:t>
            </w:r>
            <w:r>
              <w:rPr>
                <w:rFonts w:hint="eastAsia" w:ascii="Times New Roman" w:hAnsi="Times New Roman" w:eastAsia="宋体" w:cs="Times New Roman"/>
                <w:spacing w:val="-4"/>
                <w:lang w:eastAsia="zh-CN"/>
              </w:rPr>
              <w:t>”</w:t>
            </w:r>
            <w:r>
              <w:rPr>
                <w:rFonts w:hint="default" w:ascii="Times New Roman" w:hAnsi="Times New Roman" w:eastAsia="宋体" w:cs="Times New Roman"/>
                <w:spacing w:val="-4"/>
              </w:rPr>
              <w:t>的规定，选取距离本项目最近的监测点库尔勒市孔雀公园自动监测站，2023年基准年连续1年环境质量监测数据作为本项目环境空气现状评价基本污染物SO</w:t>
            </w:r>
            <w:r>
              <w:rPr>
                <w:rFonts w:hint="default" w:ascii="Times New Roman" w:hAnsi="Times New Roman" w:eastAsia="宋体" w:cs="Times New Roman"/>
                <w:spacing w:val="-4"/>
                <w:vertAlign w:val="subscript"/>
              </w:rPr>
              <w:t>2</w:t>
            </w:r>
            <w:r>
              <w:rPr>
                <w:rFonts w:hint="default" w:ascii="Times New Roman" w:hAnsi="Times New Roman" w:eastAsia="宋体" w:cs="Times New Roman"/>
                <w:spacing w:val="-4"/>
              </w:rPr>
              <w:t>、NO</w:t>
            </w:r>
            <w:r>
              <w:rPr>
                <w:rFonts w:hint="default" w:ascii="Times New Roman" w:hAnsi="Times New Roman" w:eastAsia="宋体" w:cs="Times New Roman"/>
                <w:spacing w:val="-4"/>
                <w:vertAlign w:val="subscript"/>
              </w:rPr>
              <w:t>2</w:t>
            </w:r>
            <w:r>
              <w:rPr>
                <w:rFonts w:hint="default" w:ascii="Times New Roman" w:hAnsi="Times New Roman" w:eastAsia="宋体" w:cs="Times New Roman"/>
                <w:spacing w:val="-4"/>
              </w:rPr>
              <w:t>、PM</w:t>
            </w:r>
            <w:r>
              <w:rPr>
                <w:rFonts w:hint="default" w:ascii="Times New Roman" w:hAnsi="Times New Roman" w:eastAsia="宋体" w:cs="Times New Roman"/>
                <w:spacing w:val="-4"/>
                <w:vertAlign w:val="subscript"/>
              </w:rPr>
              <w:t>10</w:t>
            </w:r>
            <w:r>
              <w:rPr>
                <w:rFonts w:hint="default" w:ascii="Times New Roman" w:hAnsi="Times New Roman" w:eastAsia="宋体" w:cs="Times New Roman"/>
                <w:spacing w:val="-4"/>
              </w:rPr>
              <w:t>、PM</w:t>
            </w:r>
            <w:r>
              <w:rPr>
                <w:rFonts w:hint="default" w:ascii="Times New Roman" w:hAnsi="Times New Roman" w:eastAsia="宋体" w:cs="Times New Roman"/>
                <w:spacing w:val="-4"/>
                <w:vertAlign w:val="subscript"/>
              </w:rPr>
              <w:t>2.5</w:t>
            </w:r>
            <w:r>
              <w:rPr>
                <w:rFonts w:hint="default" w:ascii="Times New Roman" w:hAnsi="Times New Roman" w:eastAsia="宋体" w:cs="Times New Roman"/>
                <w:spacing w:val="-4"/>
              </w:rPr>
              <w:t>、CO和O</w:t>
            </w:r>
            <w:r>
              <w:rPr>
                <w:rFonts w:hint="default" w:ascii="Times New Roman" w:hAnsi="Times New Roman" w:eastAsia="宋体" w:cs="Times New Roman"/>
                <w:spacing w:val="-4"/>
                <w:vertAlign w:val="subscript"/>
              </w:rPr>
              <w:t>3</w:t>
            </w:r>
            <w:r>
              <w:rPr>
                <w:rFonts w:hint="default" w:ascii="Times New Roman" w:hAnsi="Times New Roman" w:eastAsia="宋体" w:cs="Times New Roman"/>
                <w:spacing w:val="-4"/>
              </w:rPr>
              <w:t>的数据来源。详见下表。</w:t>
            </w:r>
          </w:p>
          <w:p w14:paraId="645BDBAB">
            <w:pPr>
              <w:keepNext w:val="0"/>
              <w:keepLines w:val="0"/>
              <w:suppressLineNumbers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spacing w:val="-4"/>
                <w:lang w:val="en-US" w:eastAsia="zh-CN"/>
              </w:rPr>
            </w:pPr>
            <w:r>
              <w:rPr>
                <w:rFonts w:hint="default"/>
                <w:b/>
                <w:bCs/>
                <w:spacing w:val="-4"/>
                <w:sz w:val="24"/>
                <w:szCs w:val="24"/>
              </w:rPr>
              <w:t>表</w:t>
            </w:r>
            <w:r>
              <w:rPr>
                <w:rFonts w:hint="eastAsia"/>
                <w:b/>
                <w:bCs/>
                <w:spacing w:val="-4"/>
                <w:sz w:val="24"/>
                <w:szCs w:val="24"/>
                <w:lang w:val="en-US" w:eastAsia="zh-CN"/>
              </w:rPr>
              <w:t xml:space="preserve">3-2 </w:t>
            </w:r>
            <w:r>
              <w:rPr>
                <w:rFonts w:hint="default"/>
                <w:b/>
                <w:bCs/>
                <w:spacing w:val="-4"/>
                <w:sz w:val="24"/>
                <w:szCs w:val="24"/>
              </w:rPr>
              <w:t>区域环境质量现状评价表</w:t>
            </w:r>
          </w:p>
        </w:tc>
      </w:tr>
      <w:tr w14:paraId="2DDF2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noWrap w:val="0"/>
            <w:vAlign w:val="center"/>
          </w:tcPr>
          <w:p w14:paraId="22C30E46">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5"/>
                <w:sz w:val="21"/>
                <w:szCs w:val="21"/>
              </w:rPr>
              <w:t>污染</w:t>
            </w:r>
            <w:r>
              <w:rPr>
                <w:rFonts w:hint="default" w:ascii="Times New Roman" w:hAnsi="Times New Roman" w:eastAsia="宋体"/>
                <w:sz w:val="21"/>
                <w:szCs w:val="21"/>
              </w:rPr>
              <w:t>物</w:t>
            </w:r>
          </w:p>
        </w:tc>
        <w:tc>
          <w:tcPr>
            <w:tcW w:w="1351" w:type="pct"/>
            <w:gridSpan w:val="9"/>
            <w:noWrap w:val="0"/>
            <w:vAlign w:val="center"/>
          </w:tcPr>
          <w:p w14:paraId="5D1C3545">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2"/>
                <w:sz w:val="21"/>
                <w:szCs w:val="21"/>
              </w:rPr>
              <w:t>评价</w:t>
            </w:r>
            <w:r>
              <w:rPr>
                <w:rFonts w:hint="eastAsia" w:ascii="Times New Roman" w:hAnsi="Times New Roman" w:eastAsia="宋体"/>
                <w:spacing w:val="-2"/>
                <w:sz w:val="21"/>
                <w:szCs w:val="21"/>
                <w:lang w:val="en-US" w:eastAsia="zh-CN"/>
              </w:rPr>
              <w:t>项目</w:t>
            </w:r>
          </w:p>
        </w:tc>
        <w:tc>
          <w:tcPr>
            <w:tcW w:w="699" w:type="pct"/>
            <w:gridSpan w:val="4"/>
            <w:noWrap w:val="0"/>
            <w:vAlign w:val="center"/>
          </w:tcPr>
          <w:p w14:paraId="650F663B">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3"/>
                <w:sz w:val="21"/>
                <w:szCs w:val="21"/>
              </w:rPr>
              <w:t>浓度</w:t>
            </w:r>
            <w:r>
              <w:rPr>
                <w:rFonts w:hint="default" w:ascii="Times New Roman" w:hAnsi="Times New Roman" w:eastAsia="宋体"/>
                <w:spacing w:val="-7"/>
                <w:sz w:val="21"/>
                <w:szCs w:val="21"/>
              </w:rPr>
              <w:t>(μg/m³)</w:t>
            </w:r>
          </w:p>
        </w:tc>
        <w:tc>
          <w:tcPr>
            <w:tcW w:w="855" w:type="pct"/>
            <w:gridSpan w:val="6"/>
            <w:noWrap w:val="0"/>
            <w:vAlign w:val="center"/>
          </w:tcPr>
          <w:p w14:paraId="283F445D">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3"/>
                <w:sz w:val="21"/>
                <w:szCs w:val="21"/>
              </w:rPr>
              <w:t>标准值/</w:t>
            </w:r>
            <w:r>
              <w:rPr>
                <w:rFonts w:hint="default" w:ascii="Times New Roman" w:hAnsi="Times New Roman" w:eastAsia="宋体"/>
                <w:spacing w:val="-7"/>
                <w:sz w:val="21"/>
                <w:szCs w:val="21"/>
              </w:rPr>
              <w:t>(μg/m³)</w:t>
            </w:r>
          </w:p>
        </w:tc>
        <w:tc>
          <w:tcPr>
            <w:tcW w:w="796" w:type="pct"/>
            <w:gridSpan w:val="6"/>
            <w:noWrap w:val="0"/>
            <w:vAlign w:val="center"/>
          </w:tcPr>
          <w:p w14:paraId="30B5CD61">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3"/>
                <w:sz w:val="21"/>
                <w:szCs w:val="21"/>
              </w:rPr>
              <w:t>占标率</w:t>
            </w:r>
            <w:r>
              <w:rPr>
                <w:rFonts w:hint="default" w:ascii="Times New Roman" w:hAnsi="Times New Roman" w:eastAsia="宋体"/>
                <w:spacing w:val="-3"/>
                <w:sz w:val="21"/>
                <w:szCs w:val="21"/>
              </w:rPr>
              <w:t>/%</w:t>
            </w:r>
          </w:p>
        </w:tc>
        <w:tc>
          <w:tcPr>
            <w:tcW w:w="671" w:type="pct"/>
            <w:gridSpan w:val="2"/>
            <w:noWrap w:val="0"/>
            <w:vAlign w:val="center"/>
          </w:tcPr>
          <w:p w14:paraId="574FBC30">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2"/>
                <w:sz w:val="21"/>
                <w:szCs w:val="21"/>
              </w:rPr>
              <w:t>达标情况</w:t>
            </w:r>
          </w:p>
        </w:tc>
      </w:tr>
      <w:tr w14:paraId="5467D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vMerge w:val="restart"/>
            <w:noWrap w:val="0"/>
            <w:vAlign w:val="center"/>
          </w:tcPr>
          <w:p w14:paraId="6F59C807">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4"/>
                <w:sz w:val="21"/>
                <w:szCs w:val="21"/>
              </w:rPr>
              <w:t>SO</w:t>
            </w:r>
            <w:r>
              <w:rPr>
                <w:rFonts w:hint="default" w:ascii="Times New Roman" w:hAnsi="Times New Roman" w:eastAsia="宋体" w:cs="Calibri"/>
                <w:spacing w:val="-4"/>
                <w:sz w:val="21"/>
                <w:szCs w:val="21"/>
              </w:rPr>
              <w:t>₂</w:t>
            </w:r>
          </w:p>
        </w:tc>
        <w:tc>
          <w:tcPr>
            <w:tcW w:w="1351" w:type="pct"/>
            <w:gridSpan w:val="9"/>
            <w:noWrap w:val="0"/>
            <w:vAlign w:val="center"/>
          </w:tcPr>
          <w:p w14:paraId="16A699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年平均</w:t>
            </w:r>
          </w:p>
        </w:tc>
        <w:tc>
          <w:tcPr>
            <w:tcW w:w="699" w:type="pct"/>
            <w:gridSpan w:val="4"/>
            <w:noWrap w:val="0"/>
            <w:vAlign w:val="center"/>
          </w:tcPr>
          <w:p w14:paraId="774BAD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5</w:t>
            </w:r>
          </w:p>
        </w:tc>
        <w:tc>
          <w:tcPr>
            <w:tcW w:w="855" w:type="pct"/>
            <w:gridSpan w:val="6"/>
            <w:noWrap w:val="0"/>
            <w:vAlign w:val="center"/>
          </w:tcPr>
          <w:p w14:paraId="431ECB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60</w:t>
            </w:r>
          </w:p>
        </w:tc>
        <w:tc>
          <w:tcPr>
            <w:tcW w:w="796" w:type="pct"/>
            <w:gridSpan w:val="6"/>
            <w:noWrap w:val="0"/>
            <w:vAlign w:val="center"/>
          </w:tcPr>
          <w:p w14:paraId="6D893E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8.3</w:t>
            </w:r>
          </w:p>
        </w:tc>
        <w:tc>
          <w:tcPr>
            <w:tcW w:w="671" w:type="pct"/>
            <w:gridSpan w:val="2"/>
            <w:noWrap w:val="0"/>
            <w:vAlign w:val="center"/>
          </w:tcPr>
          <w:p w14:paraId="13BC88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达标</w:t>
            </w:r>
          </w:p>
        </w:tc>
      </w:tr>
      <w:tr w14:paraId="32F34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vMerge w:val="continue"/>
            <w:noWrap w:val="0"/>
            <w:vAlign w:val="center"/>
          </w:tcPr>
          <w:p w14:paraId="2BFCE0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p>
        </w:tc>
        <w:tc>
          <w:tcPr>
            <w:tcW w:w="1351" w:type="pct"/>
            <w:gridSpan w:val="9"/>
            <w:noWrap w:val="0"/>
            <w:vAlign w:val="center"/>
          </w:tcPr>
          <w:p w14:paraId="1ACB7B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24h平均第98百分位数</w:t>
            </w:r>
          </w:p>
        </w:tc>
        <w:tc>
          <w:tcPr>
            <w:tcW w:w="699" w:type="pct"/>
            <w:gridSpan w:val="4"/>
            <w:noWrap w:val="0"/>
            <w:vAlign w:val="center"/>
          </w:tcPr>
          <w:p w14:paraId="0001190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12</w:t>
            </w:r>
          </w:p>
        </w:tc>
        <w:tc>
          <w:tcPr>
            <w:tcW w:w="855" w:type="pct"/>
            <w:gridSpan w:val="6"/>
            <w:noWrap w:val="0"/>
            <w:vAlign w:val="center"/>
          </w:tcPr>
          <w:p w14:paraId="6E2E62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150</w:t>
            </w:r>
          </w:p>
        </w:tc>
        <w:tc>
          <w:tcPr>
            <w:tcW w:w="796" w:type="pct"/>
            <w:gridSpan w:val="6"/>
            <w:noWrap w:val="0"/>
            <w:vAlign w:val="center"/>
          </w:tcPr>
          <w:p w14:paraId="79C8E2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8</w:t>
            </w:r>
          </w:p>
        </w:tc>
        <w:tc>
          <w:tcPr>
            <w:tcW w:w="671" w:type="pct"/>
            <w:gridSpan w:val="2"/>
            <w:noWrap w:val="0"/>
            <w:vAlign w:val="center"/>
          </w:tcPr>
          <w:p w14:paraId="42BEF5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达标</w:t>
            </w:r>
          </w:p>
        </w:tc>
      </w:tr>
      <w:tr w14:paraId="35219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01" w:hRule="atLeast"/>
          <w:jc w:val="center"/>
        </w:trPr>
        <w:tc>
          <w:tcPr>
            <w:tcW w:w="624" w:type="pct"/>
            <w:gridSpan w:val="4"/>
            <w:vMerge w:val="restart"/>
            <w:noWrap w:val="0"/>
            <w:vAlign w:val="center"/>
          </w:tcPr>
          <w:p w14:paraId="72A329A9">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spacing w:val="-1"/>
                <w:sz w:val="21"/>
                <w:szCs w:val="21"/>
              </w:rPr>
              <w:t>NO</w:t>
            </w:r>
            <w:r>
              <w:rPr>
                <w:rFonts w:hint="default" w:ascii="Times New Roman" w:hAnsi="Times New Roman" w:eastAsia="宋体" w:cs="Calibri"/>
                <w:spacing w:val="-1"/>
                <w:sz w:val="21"/>
                <w:szCs w:val="21"/>
              </w:rPr>
              <w:t>₂</w:t>
            </w:r>
          </w:p>
        </w:tc>
        <w:tc>
          <w:tcPr>
            <w:tcW w:w="1351" w:type="pct"/>
            <w:gridSpan w:val="9"/>
            <w:noWrap w:val="0"/>
            <w:vAlign w:val="center"/>
          </w:tcPr>
          <w:p w14:paraId="4A3AEA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年平均</w:t>
            </w:r>
          </w:p>
        </w:tc>
        <w:tc>
          <w:tcPr>
            <w:tcW w:w="699" w:type="pct"/>
            <w:gridSpan w:val="4"/>
            <w:noWrap w:val="0"/>
            <w:vAlign w:val="center"/>
          </w:tcPr>
          <w:p w14:paraId="56FC6E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29</w:t>
            </w:r>
          </w:p>
        </w:tc>
        <w:tc>
          <w:tcPr>
            <w:tcW w:w="855" w:type="pct"/>
            <w:gridSpan w:val="6"/>
            <w:noWrap w:val="0"/>
            <w:vAlign w:val="center"/>
          </w:tcPr>
          <w:p w14:paraId="5614FC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40</w:t>
            </w:r>
          </w:p>
        </w:tc>
        <w:tc>
          <w:tcPr>
            <w:tcW w:w="796" w:type="pct"/>
            <w:gridSpan w:val="6"/>
            <w:noWrap w:val="0"/>
            <w:vAlign w:val="center"/>
          </w:tcPr>
          <w:p w14:paraId="1FA6E1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72.5</w:t>
            </w:r>
          </w:p>
        </w:tc>
        <w:tc>
          <w:tcPr>
            <w:tcW w:w="671" w:type="pct"/>
            <w:gridSpan w:val="2"/>
            <w:noWrap w:val="0"/>
            <w:vAlign w:val="center"/>
          </w:tcPr>
          <w:p w14:paraId="4304F1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达标</w:t>
            </w:r>
          </w:p>
        </w:tc>
      </w:tr>
      <w:tr w14:paraId="4F96B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01" w:hRule="atLeast"/>
          <w:jc w:val="center"/>
        </w:trPr>
        <w:tc>
          <w:tcPr>
            <w:tcW w:w="624" w:type="pct"/>
            <w:gridSpan w:val="4"/>
            <w:vMerge w:val="continue"/>
            <w:noWrap w:val="0"/>
            <w:vAlign w:val="center"/>
          </w:tcPr>
          <w:p w14:paraId="55536D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sz w:val="21"/>
                <w:szCs w:val="21"/>
              </w:rPr>
            </w:pPr>
          </w:p>
        </w:tc>
        <w:tc>
          <w:tcPr>
            <w:tcW w:w="1351" w:type="pct"/>
            <w:gridSpan w:val="9"/>
            <w:noWrap w:val="0"/>
            <w:vAlign w:val="center"/>
          </w:tcPr>
          <w:p w14:paraId="543B68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24h平均第98百分位数</w:t>
            </w:r>
          </w:p>
        </w:tc>
        <w:tc>
          <w:tcPr>
            <w:tcW w:w="699" w:type="pct"/>
            <w:gridSpan w:val="4"/>
            <w:noWrap w:val="0"/>
            <w:vAlign w:val="center"/>
          </w:tcPr>
          <w:p w14:paraId="30F184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60</w:t>
            </w:r>
          </w:p>
        </w:tc>
        <w:tc>
          <w:tcPr>
            <w:tcW w:w="855" w:type="pct"/>
            <w:gridSpan w:val="6"/>
            <w:noWrap w:val="0"/>
            <w:vAlign w:val="center"/>
          </w:tcPr>
          <w:p w14:paraId="0780BF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80</w:t>
            </w:r>
          </w:p>
        </w:tc>
        <w:tc>
          <w:tcPr>
            <w:tcW w:w="796" w:type="pct"/>
            <w:gridSpan w:val="6"/>
            <w:noWrap w:val="0"/>
            <w:vAlign w:val="center"/>
          </w:tcPr>
          <w:p w14:paraId="26861B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75</w:t>
            </w:r>
          </w:p>
        </w:tc>
        <w:tc>
          <w:tcPr>
            <w:tcW w:w="671" w:type="pct"/>
            <w:gridSpan w:val="2"/>
            <w:noWrap w:val="0"/>
            <w:vAlign w:val="center"/>
          </w:tcPr>
          <w:p w14:paraId="55D91A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达标</w:t>
            </w:r>
          </w:p>
        </w:tc>
      </w:tr>
      <w:tr w14:paraId="603DF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noWrap w:val="0"/>
            <w:vAlign w:val="center"/>
          </w:tcPr>
          <w:p w14:paraId="7C702583">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spacing w:val="-2"/>
                <w:sz w:val="21"/>
                <w:szCs w:val="21"/>
                <w:lang w:val="en-US" w:eastAsia="zh-CN"/>
              </w:rPr>
              <w:t>CO（mg/</w:t>
            </w:r>
            <w:r>
              <w:rPr>
                <w:rFonts w:hint="default" w:ascii="Times New Roman" w:hAnsi="Times New Roman" w:eastAsia="宋体"/>
                <w:spacing w:val="-7"/>
                <w:sz w:val="21"/>
                <w:szCs w:val="21"/>
              </w:rPr>
              <w:t>m³</w:t>
            </w:r>
            <w:r>
              <w:rPr>
                <w:rFonts w:hint="eastAsia" w:ascii="Times New Roman" w:hAnsi="Times New Roman" w:eastAsia="宋体"/>
                <w:spacing w:val="-2"/>
                <w:sz w:val="21"/>
                <w:szCs w:val="21"/>
                <w:lang w:val="en-US" w:eastAsia="zh-CN"/>
              </w:rPr>
              <w:t>）</w:t>
            </w:r>
          </w:p>
        </w:tc>
        <w:tc>
          <w:tcPr>
            <w:tcW w:w="1351" w:type="pct"/>
            <w:gridSpan w:val="9"/>
            <w:noWrap w:val="0"/>
            <w:vAlign w:val="center"/>
          </w:tcPr>
          <w:p w14:paraId="3AE3E7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24h平均第9</w:t>
            </w:r>
            <w:r>
              <w:rPr>
                <w:rFonts w:hint="eastAsia" w:ascii="Times New Roman" w:hAnsi="Times New Roman" w:eastAsia="宋体" w:cs="微软雅黑"/>
                <w:i w:val="0"/>
                <w:iCs w:val="0"/>
                <w:caps w:val="0"/>
                <w:color w:val="000000"/>
                <w:spacing w:val="0"/>
                <w:sz w:val="21"/>
                <w:szCs w:val="21"/>
                <w:lang w:val="en-US" w:eastAsia="zh-CN"/>
              </w:rPr>
              <w:t>5</w:t>
            </w:r>
            <w:r>
              <w:rPr>
                <w:rFonts w:hint="default" w:ascii="Times New Roman" w:hAnsi="Times New Roman" w:eastAsia="宋体" w:cs="微软雅黑"/>
                <w:i w:val="0"/>
                <w:iCs w:val="0"/>
                <w:caps w:val="0"/>
                <w:color w:val="000000"/>
                <w:spacing w:val="0"/>
                <w:sz w:val="21"/>
                <w:szCs w:val="21"/>
              </w:rPr>
              <w:t>百分位数</w:t>
            </w:r>
          </w:p>
        </w:tc>
        <w:tc>
          <w:tcPr>
            <w:tcW w:w="699" w:type="pct"/>
            <w:gridSpan w:val="4"/>
            <w:noWrap w:val="0"/>
            <w:vAlign w:val="center"/>
          </w:tcPr>
          <w:p w14:paraId="556CE6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w:t>
            </w:r>
          </w:p>
        </w:tc>
        <w:tc>
          <w:tcPr>
            <w:tcW w:w="855" w:type="pct"/>
            <w:gridSpan w:val="6"/>
            <w:noWrap w:val="0"/>
            <w:vAlign w:val="center"/>
          </w:tcPr>
          <w:p w14:paraId="004837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4</w:t>
            </w:r>
          </w:p>
        </w:tc>
        <w:tc>
          <w:tcPr>
            <w:tcW w:w="796" w:type="pct"/>
            <w:gridSpan w:val="6"/>
            <w:noWrap w:val="0"/>
            <w:vAlign w:val="center"/>
          </w:tcPr>
          <w:p w14:paraId="19D4E6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25</w:t>
            </w:r>
          </w:p>
        </w:tc>
        <w:tc>
          <w:tcPr>
            <w:tcW w:w="671" w:type="pct"/>
            <w:gridSpan w:val="2"/>
            <w:noWrap w:val="0"/>
            <w:vAlign w:val="center"/>
          </w:tcPr>
          <w:p w14:paraId="584E22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达标</w:t>
            </w:r>
          </w:p>
        </w:tc>
      </w:tr>
      <w:tr w14:paraId="610D1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noWrap w:val="0"/>
            <w:vAlign w:val="center"/>
          </w:tcPr>
          <w:p w14:paraId="6DC0597E">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spacing w:val="-2"/>
                <w:position w:val="-3"/>
                <w:sz w:val="21"/>
                <w:szCs w:val="21"/>
                <w:lang w:val="en-US" w:eastAsia="zh-CN"/>
              </w:rPr>
              <w:t>O</w:t>
            </w:r>
            <w:r>
              <w:rPr>
                <w:rFonts w:hint="eastAsia" w:ascii="Times New Roman" w:hAnsi="Times New Roman" w:eastAsia="宋体"/>
                <w:spacing w:val="-2"/>
                <w:position w:val="-3"/>
                <w:sz w:val="21"/>
                <w:szCs w:val="21"/>
                <w:vertAlign w:val="subscript"/>
                <w:lang w:val="en-US" w:eastAsia="zh-CN"/>
              </w:rPr>
              <w:t>3</w:t>
            </w:r>
          </w:p>
        </w:tc>
        <w:tc>
          <w:tcPr>
            <w:tcW w:w="1351" w:type="pct"/>
            <w:gridSpan w:val="9"/>
            <w:noWrap w:val="0"/>
            <w:vAlign w:val="center"/>
          </w:tcPr>
          <w:p w14:paraId="5D9D70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最大8小时滑动平均值的第90百分位数</w:t>
            </w:r>
          </w:p>
        </w:tc>
        <w:tc>
          <w:tcPr>
            <w:tcW w:w="699" w:type="pct"/>
            <w:gridSpan w:val="4"/>
            <w:noWrap w:val="0"/>
            <w:vAlign w:val="center"/>
          </w:tcPr>
          <w:p w14:paraId="7CD4DA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127</w:t>
            </w:r>
          </w:p>
        </w:tc>
        <w:tc>
          <w:tcPr>
            <w:tcW w:w="855" w:type="pct"/>
            <w:gridSpan w:val="6"/>
            <w:noWrap w:val="0"/>
            <w:vAlign w:val="center"/>
          </w:tcPr>
          <w:p w14:paraId="3F2366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160</w:t>
            </w:r>
          </w:p>
        </w:tc>
        <w:tc>
          <w:tcPr>
            <w:tcW w:w="796" w:type="pct"/>
            <w:gridSpan w:val="6"/>
            <w:noWrap w:val="0"/>
            <w:vAlign w:val="center"/>
          </w:tcPr>
          <w:p w14:paraId="564A35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79.4</w:t>
            </w:r>
          </w:p>
        </w:tc>
        <w:tc>
          <w:tcPr>
            <w:tcW w:w="671" w:type="pct"/>
            <w:gridSpan w:val="2"/>
            <w:noWrap w:val="0"/>
            <w:vAlign w:val="center"/>
          </w:tcPr>
          <w:p w14:paraId="253402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达标</w:t>
            </w:r>
          </w:p>
        </w:tc>
      </w:tr>
      <w:tr w14:paraId="1C9A2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21" w:hRule="atLeast"/>
          <w:jc w:val="center"/>
        </w:trPr>
        <w:tc>
          <w:tcPr>
            <w:tcW w:w="624" w:type="pct"/>
            <w:gridSpan w:val="4"/>
            <w:vMerge w:val="restart"/>
            <w:noWrap w:val="0"/>
            <w:vAlign w:val="center"/>
          </w:tcPr>
          <w:p w14:paraId="628C5CB1">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spacing w:val="-2"/>
                <w:sz w:val="21"/>
                <w:szCs w:val="21"/>
                <w:lang w:val="en-US" w:eastAsia="zh-CN"/>
              </w:rPr>
              <w:t>PM</w:t>
            </w:r>
            <w:r>
              <w:rPr>
                <w:rFonts w:hint="eastAsia" w:ascii="Times New Roman" w:hAnsi="Times New Roman" w:eastAsia="宋体"/>
                <w:spacing w:val="-2"/>
                <w:sz w:val="21"/>
                <w:szCs w:val="21"/>
                <w:vertAlign w:val="subscript"/>
                <w:lang w:val="en-US" w:eastAsia="zh-CN"/>
              </w:rPr>
              <w:t>10</w:t>
            </w:r>
          </w:p>
        </w:tc>
        <w:tc>
          <w:tcPr>
            <w:tcW w:w="1351" w:type="pct"/>
            <w:gridSpan w:val="9"/>
            <w:noWrap w:val="0"/>
            <w:vAlign w:val="center"/>
          </w:tcPr>
          <w:p w14:paraId="5C6E2A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年平均</w:t>
            </w:r>
          </w:p>
        </w:tc>
        <w:tc>
          <w:tcPr>
            <w:tcW w:w="699" w:type="pct"/>
            <w:gridSpan w:val="4"/>
            <w:noWrap w:val="0"/>
            <w:vAlign w:val="center"/>
          </w:tcPr>
          <w:p w14:paraId="5CE6F3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147</w:t>
            </w:r>
          </w:p>
        </w:tc>
        <w:tc>
          <w:tcPr>
            <w:tcW w:w="855" w:type="pct"/>
            <w:gridSpan w:val="6"/>
            <w:noWrap w:val="0"/>
            <w:vAlign w:val="center"/>
          </w:tcPr>
          <w:p w14:paraId="1F640D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70</w:t>
            </w:r>
          </w:p>
        </w:tc>
        <w:tc>
          <w:tcPr>
            <w:tcW w:w="796" w:type="pct"/>
            <w:gridSpan w:val="6"/>
            <w:noWrap w:val="0"/>
            <w:vAlign w:val="center"/>
          </w:tcPr>
          <w:p w14:paraId="52FD36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210</w:t>
            </w:r>
          </w:p>
        </w:tc>
        <w:tc>
          <w:tcPr>
            <w:tcW w:w="671" w:type="pct"/>
            <w:gridSpan w:val="2"/>
            <w:noWrap w:val="0"/>
            <w:vAlign w:val="center"/>
          </w:tcPr>
          <w:p w14:paraId="220C37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不达标</w:t>
            </w:r>
          </w:p>
        </w:tc>
      </w:tr>
      <w:tr w14:paraId="0A8CE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21" w:hRule="atLeast"/>
          <w:jc w:val="center"/>
        </w:trPr>
        <w:tc>
          <w:tcPr>
            <w:tcW w:w="624" w:type="pct"/>
            <w:gridSpan w:val="4"/>
            <w:vMerge w:val="continue"/>
            <w:noWrap w:val="0"/>
            <w:vAlign w:val="center"/>
          </w:tcPr>
          <w:p w14:paraId="3FC8C9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sz w:val="21"/>
                <w:szCs w:val="21"/>
              </w:rPr>
            </w:pPr>
          </w:p>
        </w:tc>
        <w:tc>
          <w:tcPr>
            <w:tcW w:w="1351" w:type="pct"/>
            <w:gridSpan w:val="9"/>
            <w:shd w:val="clear" w:color="auto" w:fill="auto"/>
            <w:noWrap w:val="0"/>
            <w:vAlign w:val="center"/>
          </w:tcPr>
          <w:p w14:paraId="5A4985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kern w:val="2"/>
                <w:sz w:val="21"/>
                <w:szCs w:val="21"/>
                <w:lang w:val="en-US" w:eastAsia="zh-CN" w:bidi="ar-SA"/>
              </w:rPr>
            </w:pPr>
            <w:r>
              <w:rPr>
                <w:rFonts w:hint="default" w:ascii="Times New Roman" w:hAnsi="Times New Roman" w:eastAsia="宋体" w:cs="微软雅黑"/>
                <w:i w:val="0"/>
                <w:iCs w:val="0"/>
                <w:caps w:val="0"/>
                <w:color w:val="000000"/>
                <w:spacing w:val="0"/>
                <w:sz w:val="21"/>
                <w:szCs w:val="21"/>
              </w:rPr>
              <w:t>24h平均第9</w:t>
            </w:r>
            <w:r>
              <w:rPr>
                <w:rFonts w:hint="eastAsia" w:ascii="Times New Roman" w:hAnsi="Times New Roman" w:eastAsia="宋体" w:cs="微软雅黑"/>
                <w:i w:val="0"/>
                <w:iCs w:val="0"/>
                <w:caps w:val="0"/>
                <w:color w:val="000000"/>
                <w:spacing w:val="0"/>
                <w:sz w:val="21"/>
                <w:szCs w:val="21"/>
                <w:lang w:val="en-US" w:eastAsia="zh-CN"/>
              </w:rPr>
              <w:t>5</w:t>
            </w:r>
            <w:r>
              <w:rPr>
                <w:rFonts w:hint="default" w:ascii="Times New Roman" w:hAnsi="Times New Roman" w:eastAsia="宋体" w:cs="微软雅黑"/>
                <w:i w:val="0"/>
                <w:iCs w:val="0"/>
                <w:caps w:val="0"/>
                <w:color w:val="000000"/>
                <w:spacing w:val="0"/>
                <w:sz w:val="21"/>
                <w:szCs w:val="21"/>
              </w:rPr>
              <w:t>百分位数</w:t>
            </w:r>
          </w:p>
        </w:tc>
        <w:tc>
          <w:tcPr>
            <w:tcW w:w="699" w:type="pct"/>
            <w:gridSpan w:val="4"/>
            <w:noWrap w:val="0"/>
            <w:vAlign w:val="center"/>
          </w:tcPr>
          <w:p w14:paraId="0409EA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402</w:t>
            </w:r>
          </w:p>
        </w:tc>
        <w:tc>
          <w:tcPr>
            <w:tcW w:w="855" w:type="pct"/>
            <w:gridSpan w:val="6"/>
            <w:noWrap w:val="0"/>
            <w:vAlign w:val="center"/>
          </w:tcPr>
          <w:p w14:paraId="7E3C57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150</w:t>
            </w:r>
          </w:p>
        </w:tc>
        <w:tc>
          <w:tcPr>
            <w:tcW w:w="796" w:type="pct"/>
            <w:gridSpan w:val="6"/>
            <w:noWrap w:val="0"/>
            <w:vAlign w:val="center"/>
          </w:tcPr>
          <w:p w14:paraId="221350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268</w:t>
            </w:r>
          </w:p>
        </w:tc>
        <w:tc>
          <w:tcPr>
            <w:tcW w:w="671" w:type="pct"/>
            <w:gridSpan w:val="2"/>
            <w:noWrap w:val="0"/>
            <w:vAlign w:val="center"/>
          </w:tcPr>
          <w:p w14:paraId="7E146E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不达标</w:t>
            </w:r>
          </w:p>
        </w:tc>
      </w:tr>
      <w:tr w14:paraId="1BEB3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vMerge w:val="restart"/>
            <w:noWrap w:val="0"/>
            <w:vAlign w:val="center"/>
          </w:tcPr>
          <w:p w14:paraId="1BB70742">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spacing w:val="-5"/>
                <w:sz w:val="21"/>
                <w:szCs w:val="21"/>
                <w:lang w:val="en-US" w:eastAsia="zh-CN"/>
              </w:rPr>
              <w:t>PM</w:t>
            </w:r>
            <w:r>
              <w:rPr>
                <w:rFonts w:hint="eastAsia" w:ascii="Times New Roman" w:hAnsi="Times New Roman" w:eastAsia="宋体"/>
                <w:spacing w:val="-5"/>
                <w:sz w:val="21"/>
                <w:szCs w:val="21"/>
                <w:vertAlign w:val="subscript"/>
                <w:lang w:val="en-US" w:eastAsia="zh-CN"/>
              </w:rPr>
              <w:t>2.5</w:t>
            </w:r>
          </w:p>
        </w:tc>
        <w:tc>
          <w:tcPr>
            <w:tcW w:w="1351" w:type="pct"/>
            <w:gridSpan w:val="9"/>
            <w:noWrap w:val="0"/>
            <w:vAlign w:val="center"/>
          </w:tcPr>
          <w:p w14:paraId="7913AA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年平均</w:t>
            </w:r>
          </w:p>
        </w:tc>
        <w:tc>
          <w:tcPr>
            <w:tcW w:w="699" w:type="pct"/>
            <w:gridSpan w:val="4"/>
            <w:noWrap w:val="0"/>
            <w:vAlign w:val="center"/>
          </w:tcPr>
          <w:p w14:paraId="132F7B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39</w:t>
            </w:r>
          </w:p>
        </w:tc>
        <w:tc>
          <w:tcPr>
            <w:tcW w:w="855" w:type="pct"/>
            <w:gridSpan w:val="6"/>
            <w:noWrap w:val="0"/>
            <w:vAlign w:val="center"/>
          </w:tcPr>
          <w:p w14:paraId="206D6E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35</w:t>
            </w:r>
          </w:p>
        </w:tc>
        <w:tc>
          <w:tcPr>
            <w:tcW w:w="796" w:type="pct"/>
            <w:gridSpan w:val="6"/>
            <w:noWrap w:val="0"/>
            <w:vAlign w:val="center"/>
          </w:tcPr>
          <w:p w14:paraId="517890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111.4</w:t>
            </w:r>
          </w:p>
        </w:tc>
        <w:tc>
          <w:tcPr>
            <w:tcW w:w="671" w:type="pct"/>
            <w:gridSpan w:val="2"/>
            <w:noWrap w:val="0"/>
            <w:vAlign w:val="center"/>
          </w:tcPr>
          <w:p w14:paraId="457DAC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不达标</w:t>
            </w:r>
          </w:p>
        </w:tc>
      </w:tr>
      <w:tr w14:paraId="246EB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624" w:type="pct"/>
            <w:gridSpan w:val="4"/>
            <w:vMerge w:val="continue"/>
            <w:noWrap w:val="0"/>
            <w:vAlign w:val="center"/>
          </w:tcPr>
          <w:p w14:paraId="0BAD0F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p>
        </w:tc>
        <w:tc>
          <w:tcPr>
            <w:tcW w:w="1351" w:type="pct"/>
            <w:gridSpan w:val="9"/>
            <w:noWrap w:val="0"/>
            <w:vAlign w:val="center"/>
          </w:tcPr>
          <w:p w14:paraId="508205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default" w:ascii="Times New Roman" w:hAnsi="Times New Roman" w:eastAsia="宋体" w:cs="微软雅黑"/>
                <w:i w:val="0"/>
                <w:iCs w:val="0"/>
                <w:caps w:val="0"/>
                <w:color w:val="000000"/>
                <w:spacing w:val="0"/>
                <w:sz w:val="21"/>
                <w:szCs w:val="21"/>
              </w:rPr>
              <w:t>24h平均第9</w:t>
            </w:r>
            <w:r>
              <w:rPr>
                <w:rFonts w:hint="eastAsia" w:ascii="Times New Roman" w:hAnsi="Times New Roman" w:eastAsia="宋体" w:cs="微软雅黑"/>
                <w:i w:val="0"/>
                <w:iCs w:val="0"/>
                <w:caps w:val="0"/>
                <w:color w:val="000000"/>
                <w:spacing w:val="0"/>
                <w:sz w:val="21"/>
                <w:szCs w:val="21"/>
                <w:lang w:val="en-US" w:eastAsia="zh-CN"/>
              </w:rPr>
              <w:t>5</w:t>
            </w:r>
            <w:r>
              <w:rPr>
                <w:rFonts w:hint="default" w:ascii="Times New Roman" w:hAnsi="Times New Roman" w:eastAsia="宋体" w:cs="微软雅黑"/>
                <w:i w:val="0"/>
                <w:iCs w:val="0"/>
                <w:caps w:val="0"/>
                <w:color w:val="000000"/>
                <w:spacing w:val="0"/>
                <w:sz w:val="21"/>
                <w:szCs w:val="21"/>
              </w:rPr>
              <w:t>百分位数</w:t>
            </w:r>
          </w:p>
        </w:tc>
        <w:tc>
          <w:tcPr>
            <w:tcW w:w="699" w:type="pct"/>
            <w:gridSpan w:val="4"/>
            <w:noWrap w:val="0"/>
            <w:vAlign w:val="center"/>
          </w:tcPr>
          <w:p w14:paraId="7BBAA6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95</w:t>
            </w:r>
          </w:p>
        </w:tc>
        <w:tc>
          <w:tcPr>
            <w:tcW w:w="855" w:type="pct"/>
            <w:gridSpan w:val="6"/>
            <w:noWrap w:val="0"/>
            <w:vAlign w:val="center"/>
          </w:tcPr>
          <w:p w14:paraId="58069E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75</w:t>
            </w:r>
          </w:p>
        </w:tc>
        <w:tc>
          <w:tcPr>
            <w:tcW w:w="796" w:type="pct"/>
            <w:gridSpan w:val="6"/>
            <w:noWrap w:val="0"/>
            <w:vAlign w:val="center"/>
          </w:tcPr>
          <w:p w14:paraId="1068E2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126.7</w:t>
            </w:r>
          </w:p>
        </w:tc>
        <w:tc>
          <w:tcPr>
            <w:tcW w:w="671" w:type="pct"/>
            <w:gridSpan w:val="2"/>
            <w:noWrap w:val="0"/>
            <w:vAlign w:val="center"/>
          </w:tcPr>
          <w:p w14:paraId="7C22AF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不达标</w:t>
            </w:r>
          </w:p>
        </w:tc>
      </w:tr>
      <w:tr w14:paraId="5B32E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8" w:hRule="atLeast"/>
          <w:jc w:val="center"/>
        </w:trPr>
        <w:tc>
          <w:tcPr>
            <w:tcW w:w="4997" w:type="pct"/>
            <w:gridSpan w:val="31"/>
            <w:noWrap w:val="0"/>
            <w:vAlign w:val="center"/>
          </w:tcPr>
          <w:p w14:paraId="2C6853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firstLine="0" w:firstLineChars="0"/>
              <w:jc w:val="both"/>
              <w:textAlignment w:val="auto"/>
              <w:rPr>
                <w:rFonts w:hint="default" w:ascii="Times New Roman" w:hAnsi="Times New Roman" w:eastAsia="宋体" w:cs="Times New Roman"/>
                <w:color w:val="000000" w:themeColor="text1"/>
                <w:spacing w:val="-4"/>
                <w:shd w:val="clear" w:color="auto" w:fill="auto"/>
                <w14:textFill>
                  <w14:solidFill>
                    <w14:schemeClr w14:val="tx1"/>
                  </w14:solidFill>
                </w14:textFill>
              </w:rPr>
            </w:pPr>
          </w:p>
          <w:p w14:paraId="5C17DC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64" w:firstLineChars="200"/>
              <w:jc w:val="both"/>
              <w:textAlignment w:val="auto"/>
              <w:rPr>
                <w:rFonts w:hint="default" w:ascii="Times New Roman" w:hAnsi="Times New Roman" w:eastAsia="宋体" w:cs="Times New Roman"/>
                <w:color w:val="000000" w:themeColor="text1"/>
                <w:spacing w:val="-4"/>
                <w:shd w:val="clear" w:color="auto" w:fill="auto"/>
                <w14:textFill>
                  <w14:solidFill>
                    <w14:schemeClr w14:val="tx1"/>
                  </w14:solidFill>
                </w14:textFill>
              </w:rPr>
            </w:pPr>
            <w:r>
              <w:rPr>
                <w:rFonts w:hint="default" w:ascii="Times New Roman" w:hAnsi="Times New Roman" w:eastAsia="宋体" w:cs="Times New Roman"/>
                <w:color w:val="000000" w:themeColor="text1"/>
                <w:spacing w:val="-4"/>
                <w:shd w:val="clear" w:color="auto" w:fill="auto"/>
                <w14:textFill>
                  <w14:solidFill>
                    <w14:schemeClr w14:val="tx1"/>
                  </w14:solidFill>
                </w14:textFill>
              </w:rPr>
              <w:t>根据上表基本污染物的年评价值的分析结果，项目所在区域SO</w:t>
            </w:r>
            <w:r>
              <w:rPr>
                <w:rFonts w:hint="default" w:ascii="Times New Roman" w:hAnsi="Times New Roman" w:eastAsia="宋体" w:cs="Times New Roman"/>
                <w:color w:val="000000" w:themeColor="text1"/>
                <w:spacing w:val="-4"/>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、NO</w:t>
            </w:r>
            <w:r>
              <w:rPr>
                <w:rFonts w:hint="default" w:ascii="Times New Roman" w:hAnsi="Times New Roman" w:eastAsia="宋体" w:cs="Times New Roman"/>
                <w:color w:val="000000" w:themeColor="text1"/>
                <w:spacing w:val="-4"/>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的年均浓度和日均浓度，CO日均浓度、O</w:t>
            </w:r>
            <w:r>
              <w:rPr>
                <w:rFonts w:hint="default" w:ascii="Times New Roman" w:hAnsi="Times New Roman" w:eastAsia="宋体" w:cs="Times New Roman"/>
                <w:color w:val="000000" w:themeColor="text1"/>
                <w:spacing w:val="-4"/>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最大8小时浓度均满足《环境空气质量标准》（GB</w:t>
            </w:r>
            <w:r>
              <w:rPr>
                <w:rFonts w:hint="eastAsia" w:cs="Times New Roman"/>
                <w:color w:val="000000" w:themeColor="text1"/>
                <w:spacing w:val="-4"/>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3095-2012）的二级标准要求；PM</w:t>
            </w:r>
            <w:r>
              <w:rPr>
                <w:rFonts w:hint="default" w:ascii="Times New Roman" w:hAnsi="Times New Roman" w:eastAsia="宋体" w:cs="Times New Roman"/>
                <w:color w:val="000000" w:themeColor="text1"/>
                <w:spacing w:val="-4"/>
                <w:shd w:val="clear" w:color="auto" w:fill="auto"/>
                <w:vertAlign w:val="subscript"/>
                <w14:textFill>
                  <w14:solidFill>
                    <w14:schemeClr w14:val="tx1"/>
                  </w14:solidFill>
                </w14:textFill>
              </w:rPr>
              <w:t>10</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、PM</w:t>
            </w:r>
            <w:r>
              <w:rPr>
                <w:rFonts w:hint="default" w:ascii="Times New Roman" w:hAnsi="Times New Roman" w:eastAsia="宋体" w:cs="Times New Roman"/>
                <w:color w:val="000000" w:themeColor="text1"/>
                <w:spacing w:val="-4"/>
                <w:shd w:val="clear" w:color="auto" w:fill="auto"/>
                <w:vertAlign w:val="subscript"/>
                <w14:textFill>
                  <w14:solidFill>
                    <w14:schemeClr w14:val="tx1"/>
                  </w14:solidFill>
                </w14:textFill>
              </w:rPr>
              <w:t>2.5</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年均浓度和日均浓度均超过《环境空气质量标准》（GB</w:t>
            </w:r>
            <w:r>
              <w:rPr>
                <w:rFonts w:hint="eastAsia" w:cs="Times New Roman"/>
                <w:color w:val="000000" w:themeColor="text1"/>
                <w:spacing w:val="-4"/>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3095-2012）的二级标准要求</w:t>
            </w:r>
            <w:r>
              <w:rPr>
                <w:rFonts w:hint="eastAsia" w:ascii="Times New Roman" w:hAnsi="Times New Roman" w:eastAsia="宋体" w:cs="Times New Roman"/>
                <w:color w:val="000000" w:themeColor="text1"/>
                <w:spacing w:val="-4"/>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因此，项目所在区域为不达标区。</w:t>
            </w:r>
          </w:p>
          <w:p w14:paraId="28EB3C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64" w:firstLineChars="200"/>
              <w:jc w:val="both"/>
              <w:textAlignment w:val="auto"/>
              <w:rPr>
                <w:rFonts w:hint="default" w:ascii="Times New Roman" w:hAnsi="Times New Roman" w:eastAsia="宋体" w:cs="Times New Roman"/>
                <w:color w:val="000000" w:themeColor="text1"/>
                <w:spacing w:val="-4"/>
                <w:shd w:val="clear" w:color="auto" w:fill="auto"/>
                <w14:textFill>
                  <w14:solidFill>
                    <w14:schemeClr w14:val="tx1"/>
                  </w14:solidFill>
                </w14:textFill>
              </w:rPr>
            </w:pPr>
            <w:r>
              <w:rPr>
                <w:rFonts w:hint="default" w:ascii="Times New Roman" w:hAnsi="Times New Roman" w:eastAsia="宋体" w:cs="Times New Roman"/>
                <w:color w:val="000000" w:themeColor="text1"/>
                <w:spacing w:val="-4"/>
                <w:shd w:val="clear" w:color="auto" w:fill="auto"/>
                <w14:textFill>
                  <w14:solidFill>
                    <w14:schemeClr w14:val="tx1"/>
                  </w14:solidFill>
                </w14:textFill>
              </w:rPr>
              <w:t>造成区域环境空气不达标的主要原因为新疆地区干燥，在风力作用下易造成风力起尘，造成区域颗粒物超出标准。</w:t>
            </w:r>
          </w:p>
          <w:p w14:paraId="11304D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ascii="Times New Roman" w:hAnsi="Times New Roman" w:eastAsia="宋体" w:cs="Times New Roman"/>
                <w:b/>
                <w:bCs/>
                <w:color w:val="000000" w:themeColor="text1"/>
                <w:spacing w:val="-6"/>
                <w:shd w:val="clear" w:color="auto" w:fill="auto"/>
                <w14:textFill>
                  <w14:solidFill>
                    <w14:schemeClr w14:val="tx1"/>
                  </w14:solidFill>
                </w14:textFill>
              </w:rPr>
            </w:pPr>
            <w:r>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t>3.1.5</w:t>
            </w:r>
            <w:r>
              <w:rPr>
                <w:rFonts w:hint="default" w:ascii="Times New Roman" w:hAnsi="Times New Roman" w:eastAsia="宋体" w:cs="Times New Roman"/>
                <w:b/>
                <w:bCs/>
                <w:color w:val="000000" w:themeColor="text1"/>
                <w:spacing w:val="-2"/>
                <w:shd w:val="clear" w:color="auto" w:fill="auto"/>
                <w14:textFill>
                  <w14:solidFill>
                    <w14:schemeClr w14:val="tx1"/>
                  </w14:solidFill>
                </w14:textFill>
              </w:rPr>
              <w:t>地表水</w:t>
            </w:r>
            <w:r>
              <w:rPr>
                <w:rFonts w:hint="default" w:ascii="Times New Roman" w:hAnsi="Times New Roman" w:eastAsia="宋体" w:cs="Times New Roman"/>
                <w:b/>
                <w:bCs/>
                <w:color w:val="000000" w:themeColor="text1"/>
                <w:spacing w:val="-6"/>
                <w:shd w:val="clear" w:color="auto" w:fill="auto"/>
                <w14:textFill>
                  <w14:solidFill>
                    <w14:schemeClr w14:val="tx1"/>
                  </w14:solidFill>
                </w14:textFill>
              </w:rPr>
              <w:t>环境质量现状</w:t>
            </w:r>
          </w:p>
          <w:p w14:paraId="11C00E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76" w:firstLineChars="200"/>
              <w:jc w:val="both"/>
              <w:textAlignment w:val="auto"/>
              <w:rPr>
                <w:rFonts w:hint="default" w:ascii="Times New Roman" w:hAnsi="Times New Roman" w:eastAsia="宋体" w:cs="Times New Roman"/>
                <w:color w:val="000000" w:themeColor="text1"/>
                <w:spacing w:val="-2"/>
                <w:shd w:val="clear" w:color="auto" w:fill="auto"/>
                <w14:textFill>
                  <w14:solidFill>
                    <w14:schemeClr w14:val="tx1"/>
                  </w14:solidFill>
                </w14:textFill>
              </w:rPr>
            </w:pPr>
            <w:r>
              <w:rPr>
                <w:rFonts w:hint="default" w:ascii="Times New Roman" w:hAnsi="Times New Roman" w:eastAsia="宋体" w:cs="Times New Roman"/>
                <w:color w:val="000000" w:themeColor="text1"/>
                <w:spacing w:val="-1"/>
                <w:shd w:val="clear" w:color="auto" w:fill="auto"/>
                <w14:textFill>
                  <w14:solidFill>
                    <w14:schemeClr w14:val="tx1"/>
                  </w14:solidFill>
                </w14:textFill>
              </w:rPr>
              <w:t>本项目区域不涉及天然地表水体，无任何水力关系，项目的施工及运营对</w:t>
            </w:r>
            <w:r>
              <w:rPr>
                <w:rFonts w:hint="default" w:ascii="Times New Roman" w:hAnsi="Times New Roman" w:eastAsia="宋体" w:cs="Times New Roman"/>
                <w:color w:val="000000" w:themeColor="text1"/>
                <w:spacing w:val="-2"/>
                <w:shd w:val="clear" w:color="auto" w:fill="auto"/>
                <w14:textFill>
                  <w14:solidFill>
                    <w14:schemeClr w14:val="tx1"/>
                  </w14:solidFill>
                </w14:textFill>
              </w:rPr>
              <w:t>地表水体无影响。故本次环评</w:t>
            </w:r>
            <w:r>
              <w:rPr>
                <w:rFonts w:hint="eastAsia" w:cs="Times New Roman"/>
                <w:color w:val="000000" w:themeColor="text1"/>
                <w:spacing w:val="-2"/>
                <w:shd w:val="clear" w:color="auto" w:fill="auto"/>
                <w:lang w:val="en-US" w:eastAsia="zh-CN"/>
                <w14:textFill>
                  <w14:solidFill>
                    <w14:schemeClr w14:val="tx1"/>
                  </w14:solidFill>
                </w14:textFill>
              </w:rPr>
              <w:t>无需</w:t>
            </w:r>
            <w:r>
              <w:rPr>
                <w:rFonts w:hint="default" w:ascii="Times New Roman" w:hAnsi="Times New Roman" w:eastAsia="宋体" w:cs="Times New Roman"/>
                <w:color w:val="000000" w:themeColor="text1"/>
                <w:spacing w:val="-2"/>
                <w:shd w:val="clear" w:color="auto" w:fill="auto"/>
                <w14:textFill>
                  <w14:solidFill>
                    <w14:schemeClr w14:val="tx1"/>
                  </w14:solidFill>
                </w14:textFill>
              </w:rPr>
              <w:t>开展地表水</w:t>
            </w:r>
            <w:r>
              <w:rPr>
                <w:rFonts w:hint="eastAsia" w:cs="Times New Roman"/>
                <w:color w:val="000000" w:themeColor="text1"/>
                <w:spacing w:val="-2"/>
                <w:shd w:val="clear" w:color="auto" w:fill="auto"/>
                <w:lang w:val="en-US" w:eastAsia="zh-CN"/>
                <w14:textFill>
                  <w14:solidFill>
                    <w14:schemeClr w14:val="tx1"/>
                  </w14:solidFill>
                </w14:textFill>
              </w:rPr>
              <w:t>环境质量</w:t>
            </w:r>
            <w:r>
              <w:rPr>
                <w:rFonts w:hint="default" w:ascii="Times New Roman" w:hAnsi="Times New Roman" w:eastAsia="宋体" w:cs="Times New Roman"/>
                <w:color w:val="000000" w:themeColor="text1"/>
                <w:spacing w:val="-2"/>
                <w:shd w:val="clear" w:color="auto" w:fill="auto"/>
                <w14:textFill>
                  <w14:solidFill>
                    <w14:schemeClr w14:val="tx1"/>
                  </w14:solidFill>
                </w14:textFill>
              </w:rPr>
              <w:t>现状</w:t>
            </w:r>
            <w:r>
              <w:rPr>
                <w:rFonts w:hint="eastAsia" w:cs="Times New Roman"/>
                <w:color w:val="000000" w:themeColor="text1"/>
                <w:spacing w:val="-2"/>
                <w:shd w:val="clear" w:color="auto" w:fill="auto"/>
                <w:lang w:val="en-US" w:eastAsia="zh-CN"/>
                <w14:textFill>
                  <w14:solidFill>
                    <w14:schemeClr w14:val="tx1"/>
                  </w14:solidFill>
                </w14:textFill>
              </w:rPr>
              <w:t>调查</w:t>
            </w:r>
            <w:r>
              <w:rPr>
                <w:rFonts w:hint="default" w:ascii="Times New Roman" w:hAnsi="Times New Roman" w:eastAsia="宋体" w:cs="Times New Roman"/>
                <w:color w:val="000000" w:themeColor="text1"/>
                <w:spacing w:val="-2"/>
                <w:shd w:val="clear" w:color="auto" w:fill="auto"/>
                <w14:textFill>
                  <w14:solidFill>
                    <w14:schemeClr w14:val="tx1"/>
                  </w14:solidFill>
                </w14:textFill>
              </w:rPr>
              <w:t>。</w:t>
            </w:r>
          </w:p>
          <w:p w14:paraId="32B55E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ascii="Times New Roman" w:hAnsi="Times New Roman" w:eastAsia="宋体" w:cs="Times New Roman"/>
                <w:b/>
                <w:bCs/>
                <w:color w:val="000000" w:themeColor="text1"/>
                <w:spacing w:val="-6"/>
                <w:shd w:val="clear" w:color="auto" w:fill="auto"/>
                <w14:textFill>
                  <w14:solidFill>
                    <w14:schemeClr w14:val="tx1"/>
                  </w14:solidFill>
                </w14:textFill>
              </w:rPr>
            </w:pPr>
            <w:r>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t>3.1.6地下水</w:t>
            </w:r>
            <w:r>
              <w:rPr>
                <w:rFonts w:hint="default" w:ascii="Times New Roman" w:hAnsi="Times New Roman" w:eastAsia="宋体" w:cs="Times New Roman"/>
                <w:b/>
                <w:bCs/>
                <w:color w:val="000000" w:themeColor="text1"/>
                <w:spacing w:val="-6"/>
                <w:shd w:val="clear" w:color="auto" w:fill="auto"/>
                <w14:textFill>
                  <w14:solidFill>
                    <w14:schemeClr w14:val="tx1"/>
                  </w14:solidFill>
                </w14:textFill>
              </w:rPr>
              <w:t>环境质量现状</w:t>
            </w:r>
          </w:p>
          <w:p w14:paraId="6DF9617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right="0" w:firstLine="479"/>
              <w:jc w:val="both"/>
              <w:textAlignment w:val="auto"/>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t>根据《环境影响评价技术导则</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t>地下水环境》(HJ</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t>610-2016)，本项目属于</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t>E电力，35、送(输)变电工程-其他(不含100kV以下)</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t>，本项目地下水环境影响评价项目类别为IV类，无需进行地下水评价</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，因此不开展地下水环境质量现状调查。</w:t>
            </w:r>
          </w:p>
          <w:p w14:paraId="444C923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t>3.1.7土壤环境质量现状</w:t>
            </w:r>
          </w:p>
          <w:p w14:paraId="70BB80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4" w:firstLineChars="200"/>
              <w:jc w:val="both"/>
              <w:textAlignment w:val="auto"/>
              <w:rPr>
                <w:rFonts w:hint="default" w:ascii="Times New Roman" w:hAnsi="Times New Roman" w:eastAsia="宋体" w:cs="Times New Roman"/>
                <w:color w:val="000000" w:themeColor="text1"/>
                <w:spacing w:val="-2"/>
                <w:shd w:val="clear" w:color="auto" w:fill="auto"/>
                <w14:textFill>
                  <w14:solidFill>
                    <w14:schemeClr w14:val="tx1"/>
                  </w14:solidFill>
                </w14:textFill>
              </w:rPr>
            </w:pPr>
            <w:r>
              <w:rPr>
                <w:rFonts w:hint="default" w:ascii="Times New Roman" w:hAnsi="Times New Roman" w:eastAsia="宋体" w:cs="Times New Roman"/>
                <w:color w:val="000000" w:themeColor="text1"/>
                <w:spacing w:val="1"/>
                <w:shd w:val="clear" w:color="auto" w:fill="auto"/>
                <w14:textFill>
                  <w14:solidFill>
                    <w14:schemeClr w14:val="tx1"/>
                  </w14:solidFill>
                </w14:textFill>
              </w:rPr>
              <w:t>根据《环境影响评价技术导则</w:t>
            </w:r>
            <w:r>
              <w:rPr>
                <w:rFonts w:hint="eastAsia" w:cs="Times New Roman"/>
                <w:color w:val="000000" w:themeColor="text1"/>
                <w:spacing w:val="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1"/>
                <w:shd w:val="clear" w:color="auto" w:fill="auto"/>
                <w14:textFill>
                  <w14:solidFill>
                    <w14:schemeClr w14:val="tx1"/>
                  </w14:solidFill>
                </w14:textFill>
              </w:rPr>
              <w:t>土壤环境(试行)》(</w:t>
            </w:r>
            <w:r>
              <w:rPr>
                <w:rFonts w:hint="default" w:ascii="Times New Roman" w:hAnsi="Times New Roman" w:eastAsia="宋体" w:cs="Times New Roman"/>
                <w:color w:val="000000" w:themeColor="text1"/>
                <w:shd w:val="clear" w:color="auto" w:fill="auto"/>
                <w14:textFill>
                  <w14:solidFill>
                    <w14:schemeClr w14:val="tx1"/>
                  </w14:solidFill>
                </w14:textFill>
              </w:rPr>
              <w:t>HJ</w:t>
            </w:r>
            <w:r>
              <w:rPr>
                <w:rFonts w:hint="eastAsia" w:cs="Times New Roman"/>
                <w:color w:val="000000" w:themeColor="text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1"/>
                <w:shd w:val="clear" w:color="auto" w:fill="auto"/>
                <w14:textFill>
                  <w14:solidFill>
                    <w14:schemeClr w14:val="tx1"/>
                  </w14:solidFill>
                </w14:textFill>
              </w:rPr>
              <w:t>964-2018)，结合《建</w:t>
            </w:r>
            <w:r>
              <w:rPr>
                <w:rFonts w:hint="default" w:ascii="Times New Roman" w:hAnsi="Times New Roman" w:eastAsia="宋体" w:cs="Times New Roman"/>
                <w:color w:val="000000" w:themeColor="text1"/>
                <w:spacing w:val="-1"/>
                <w:shd w:val="clear" w:color="auto" w:fill="auto"/>
                <w14:textFill>
                  <w14:solidFill>
                    <w14:schemeClr w14:val="tx1"/>
                  </w14:solidFill>
                </w14:textFill>
              </w:rPr>
              <w:t>设项目环境影响评价分类管理名录》(2021年版)，属于第</w:t>
            </w:r>
            <w:r>
              <w:rPr>
                <w:rFonts w:hint="eastAsia" w:ascii="Times New Roman" w:hAnsi="Times New Roman" w:eastAsia="宋体" w:cs="Times New Roman"/>
                <w:color w:val="000000" w:themeColor="text1"/>
                <w:spacing w:val="-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1"/>
                <w:shd w:val="clear" w:color="auto" w:fill="auto"/>
                <w14:textFill>
                  <w14:solidFill>
                    <w14:schemeClr w14:val="tx1"/>
                  </w14:solidFill>
                </w14:textFill>
              </w:rPr>
              <w:t>电力热力燃气及水生</w:t>
            </w:r>
            <w:r>
              <w:rPr>
                <w:rFonts w:hint="default" w:ascii="Times New Roman" w:hAnsi="Times New Roman" w:eastAsia="宋体" w:cs="Times New Roman"/>
                <w:color w:val="000000" w:themeColor="text1"/>
                <w:spacing w:val="-3"/>
                <w:shd w:val="clear" w:color="auto" w:fill="auto"/>
                <w14:textFill>
                  <w14:solidFill>
                    <w14:schemeClr w14:val="tx1"/>
                  </w14:solidFill>
                </w14:textFill>
              </w:rPr>
              <w:t>产和供应业中其他</w:t>
            </w:r>
            <w:r>
              <w:rPr>
                <w:rFonts w:hint="eastAsia" w:ascii="Times New Roman" w:hAnsi="Times New Roman" w:eastAsia="宋体" w:cs="Times New Roman"/>
                <w:color w:val="000000" w:themeColor="text1"/>
                <w:spacing w:val="-3"/>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3"/>
                <w:shd w:val="clear" w:color="auto" w:fill="auto"/>
                <w14:textFill>
                  <w14:solidFill>
                    <w14:schemeClr w14:val="tx1"/>
                  </w14:solidFill>
                </w14:textFill>
              </w:rPr>
              <w:t>，土壤环境影响评价项目类别为IV</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类，</w:t>
            </w:r>
            <w:r>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t>无需进行</w:t>
            </w:r>
            <w:r>
              <w:rPr>
                <w:rFonts w:hint="default" w:ascii="Times New Roman" w:hAnsi="Times New Roman" w:eastAsia="宋体" w:cs="Times New Roman"/>
                <w:color w:val="000000" w:themeColor="text1"/>
                <w:spacing w:val="-4"/>
                <w:shd w:val="clear" w:color="auto" w:fill="auto"/>
                <w14:textFill>
                  <w14:solidFill>
                    <w14:schemeClr w14:val="tx1"/>
                  </w14:solidFill>
                </w14:textFill>
              </w:rPr>
              <w:t>土壤环境</w:t>
            </w:r>
            <w:r>
              <w:rPr>
                <w:rFonts w:hint="default" w:ascii="Times New Roman" w:hAnsi="Times New Roman" w:eastAsia="宋体" w:cs="Times New Roman"/>
                <w:color w:val="000000" w:themeColor="text1"/>
                <w:spacing w:val="-2"/>
                <w:shd w:val="clear" w:color="auto" w:fill="auto"/>
                <w14:textFill>
                  <w14:solidFill>
                    <w14:schemeClr w14:val="tx1"/>
                  </w14:solidFill>
                </w14:textFill>
              </w:rPr>
              <w:t>影响评价</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，因此不开展</w:t>
            </w:r>
            <w:r>
              <w:rPr>
                <w:rFonts w:hint="eastAsia" w:cs="Times New Roman"/>
                <w:color w:val="000000" w:themeColor="text1"/>
                <w:spacing w:val="-1"/>
                <w:kern w:val="2"/>
                <w:sz w:val="24"/>
                <w:szCs w:val="24"/>
                <w:shd w:val="clear" w:color="auto" w:fill="auto"/>
                <w:lang w:val="en-US" w:eastAsia="zh-CN" w:bidi="ar-SA"/>
                <w14:textFill>
                  <w14:solidFill>
                    <w14:schemeClr w14:val="tx1"/>
                  </w14:solidFill>
                </w14:textFill>
              </w:rPr>
              <w:t>土壤</w:t>
            </w:r>
            <w:r>
              <w:rPr>
                <w:rFonts w:hint="eastAsia" w:ascii="Times New Roman" w:hAnsi="Times New Roman" w:cs="Times New Roman"/>
                <w:color w:val="000000" w:themeColor="text1"/>
                <w:spacing w:val="-1"/>
                <w:kern w:val="2"/>
                <w:sz w:val="24"/>
                <w:szCs w:val="24"/>
                <w:shd w:val="clear" w:color="auto" w:fill="auto"/>
                <w:lang w:val="en-US" w:eastAsia="zh-CN" w:bidi="ar-SA"/>
                <w14:textFill>
                  <w14:solidFill>
                    <w14:schemeClr w14:val="tx1"/>
                  </w14:solidFill>
                </w14:textFill>
              </w:rPr>
              <w:t>环境质量现状调查。</w:t>
            </w:r>
          </w:p>
          <w:p w14:paraId="2AAE2E0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t>3.1.8声环境质量现状</w:t>
            </w:r>
          </w:p>
          <w:p w14:paraId="528D5359">
            <w:pPr>
              <w:keepNext w:val="0"/>
              <w:keepLines w:val="0"/>
              <w:suppressLineNumbers w:val="0"/>
              <w:spacing w:before="0" w:beforeAutospacing="0" w:after="0" w:afterAutospacing="0" w:line="360" w:lineRule="auto"/>
              <w:ind w:left="0" w:right="0" w:firstLine="480" w:firstLineChars="200"/>
              <w:rPr>
                <w:rFonts w:hint="eastAsia"/>
                <w:color w:val="FF0000"/>
                <w:lang w:eastAsia="zh-CN"/>
              </w:rPr>
            </w:pPr>
            <w:r>
              <w:rPr>
                <w:rFonts w:hint="eastAsia"/>
                <w:color w:val="000000" w:themeColor="text1"/>
                <w14:textFill>
                  <w14:solidFill>
                    <w14:schemeClr w14:val="tx1"/>
                  </w14:solidFill>
                </w14:textFill>
              </w:rPr>
              <w:t>因本工程已建成，无需类比其他项目，直接对本工程噪声</w:t>
            </w:r>
            <w:r>
              <w:rPr>
                <w:rFonts w:hint="eastAsia"/>
                <w:color w:val="000000" w:themeColor="text1"/>
                <w:lang w:val="en-US" w:eastAsia="zh-CN"/>
                <w14:textFill>
                  <w14:solidFill>
                    <w14:schemeClr w14:val="tx1"/>
                  </w14:solidFill>
                </w14:textFill>
              </w:rPr>
              <w:t>现状值</w:t>
            </w:r>
            <w:r>
              <w:rPr>
                <w:rFonts w:hint="eastAsia"/>
                <w:color w:val="000000" w:themeColor="text1"/>
                <w14:textFill>
                  <w14:solidFill>
                    <w14:schemeClr w14:val="tx1"/>
                  </w14:solidFill>
                </w14:textFill>
              </w:rPr>
              <w:t>进行监测</w:t>
            </w:r>
            <w:r>
              <w:rPr>
                <w:rFonts w:hint="eastAsia"/>
                <w:color w:val="000000" w:themeColor="text1"/>
                <w:lang w:eastAsia="zh-CN"/>
                <w14:textFill>
                  <w14:solidFill>
                    <w14:schemeClr w14:val="tx1"/>
                  </w14:solidFill>
                </w14:textFill>
              </w:rPr>
              <w:t>。</w:t>
            </w:r>
          </w:p>
          <w:p w14:paraId="331515F8">
            <w:pPr>
              <w:keepNext w:val="0"/>
              <w:keepLines w:val="0"/>
              <w:suppressLineNumbers w:val="0"/>
              <w:spacing w:before="0" w:beforeAutospacing="0" w:after="0" w:afterAutospacing="0" w:line="360" w:lineRule="auto"/>
              <w:ind w:left="0" w:leftChars="0" w:right="0" w:firstLine="480" w:firstLineChars="200"/>
              <w:rPr>
                <w:rFonts w:hint="eastAsia" w:eastAsia="宋体"/>
                <w:color w:val="FF0000"/>
                <w:lang w:eastAsia="zh-CN"/>
              </w:rPr>
            </w:pPr>
            <w:r>
              <w:rPr>
                <w:rFonts w:hint="default" w:ascii="Times New Roman" w:hAnsi="Times New Roman" w:eastAsia="宋体" w:cs="Times New Roman"/>
                <w:b w:val="0"/>
                <w:bCs/>
                <w:color w:val="000000" w:themeColor="text1"/>
                <w:sz w:val="24"/>
                <w:highlight w:val="none"/>
                <w14:textFill>
                  <w14:solidFill>
                    <w14:schemeClr w14:val="tx1"/>
                  </w14:solidFill>
                </w14:textFill>
              </w:rPr>
              <w:t>监测方法</w:t>
            </w:r>
            <w:r>
              <w:rPr>
                <w:rFonts w:hint="eastAsia" w:cs="Times New Roman"/>
                <w:b w:val="0"/>
                <w:bCs/>
                <w:color w:val="000000" w:themeColor="text1"/>
                <w:sz w:val="24"/>
                <w:highlight w:val="none"/>
                <w:lang w:eastAsia="zh-CN"/>
                <w14:textFill>
                  <w14:solidFill>
                    <w14:schemeClr w14:val="tx1"/>
                  </w14:solidFill>
                </w14:textFill>
              </w:rPr>
              <w:t>：</w:t>
            </w:r>
            <w:r>
              <w:rPr>
                <w:rFonts w:hint="default"/>
                <w:spacing w:val="-2"/>
              </w:rPr>
              <w:t>《声环境质量标准》（</w:t>
            </w:r>
            <w:r>
              <w:rPr>
                <w:rFonts w:hint="default" w:ascii="Times New Roman" w:hAnsi="Times New Roman" w:eastAsia="Times New Roman" w:cs="Times New Roman"/>
                <w:spacing w:val="-2"/>
              </w:rPr>
              <w:t>GB 3096-2008</w:t>
            </w:r>
            <w:r>
              <w:rPr>
                <w:rFonts w:hint="default"/>
                <w:spacing w:val="-2"/>
              </w:rPr>
              <w:t>）、《工业企业厂界</w:t>
            </w:r>
            <w:r>
              <w:rPr>
                <w:rFonts w:hint="default"/>
              </w:rPr>
              <w:t>环境噪声排放标准》（</w:t>
            </w:r>
            <w:r>
              <w:rPr>
                <w:rFonts w:hint="default" w:ascii="Times New Roman" w:hAnsi="Times New Roman" w:eastAsia="Times New Roman" w:cs="Times New Roman"/>
              </w:rPr>
              <w:t>GB</w:t>
            </w:r>
            <w:r>
              <w:rPr>
                <w:rFonts w:hint="eastAsia" w:eastAsia="宋体" w:cs="Times New Roman"/>
                <w:lang w:val="en-US" w:eastAsia="zh-CN"/>
              </w:rPr>
              <w:t xml:space="preserve"> </w:t>
            </w:r>
            <w:r>
              <w:rPr>
                <w:rFonts w:hint="default" w:ascii="Times New Roman" w:hAnsi="Times New Roman" w:eastAsia="Times New Roman" w:cs="Times New Roman"/>
              </w:rPr>
              <w:t>12348-2008</w:t>
            </w:r>
            <w:r>
              <w:rPr>
                <w:rFonts w:hint="default"/>
                <w:spacing w:val="-1"/>
              </w:rPr>
              <w:t>）</w:t>
            </w:r>
          </w:p>
          <w:p w14:paraId="070B23E7">
            <w:pPr>
              <w:keepNext w:val="0"/>
              <w:keepLines w:val="0"/>
              <w:suppressLineNumbers w:val="0"/>
              <w:spacing w:before="0" w:beforeAutospacing="0" w:after="0" w:afterAutospacing="0" w:line="360" w:lineRule="auto"/>
              <w:ind w:left="0" w:leftChars="0" w:right="0" w:firstLine="480" w:firstLineChars="200"/>
              <w:rPr>
                <w:rFonts w:hint="eastAsia" w:hAnsi="宋体"/>
                <w:color w:val="auto"/>
                <w:sz w:val="24"/>
                <w:szCs w:val="24"/>
                <w:lang w:val="en-US" w:eastAsia="zh-CN"/>
              </w:rPr>
            </w:pPr>
            <w:r>
              <w:rPr>
                <w:rFonts w:hint="default" w:ascii="Times New Roman" w:hAnsi="Times New Roman" w:eastAsia="宋体" w:cs="Times New Roman"/>
                <w:color w:val="000000" w:themeColor="text1"/>
                <w:sz w:val="24"/>
                <w:highlight w:val="none"/>
                <w14:textFill>
                  <w14:solidFill>
                    <w14:schemeClr w14:val="tx1"/>
                  </w14:solidFill>
                </w14:textFill>
              </w:rPr>
              <w:t>布点原则：</w:t>
            </w:r>
            <w:r>
              <w:rPr>
                <w:rFonts w:hint="eastAsia" w:cs="Times New Roman"/>
                <w:color w:val="000000" w:themeColor="text1"/>
                <w:sz w:val="24"/>
                <w:highlight w:val="none"/>
                <w:lang w:val="en-US" w:eastAsia="zh-CN"/>
                <w14:textFill>
                  <w14:solidFill>
                    <w14:schemeClr w14:val="tx1"/>
                  </w14:solidFill>
                </w14:textFill>
              </w:rPr>
              <w:t>输电线路噪声断面监测，</w:t>
            </w:r>
            <w:r>
              <w:rPr>
                <w:rFonts w:hint="eastAsia"/>
                <w:color w:val="auto"/>
              </w:rPr>
              <w:t>以</w:t>
            </w:r>
            <w:r>
              <w:rPr>
                <w:rFonts w:hint="default"/>
                <w:color w:val="auto"/>
                <w:lang w:val="en-US" w:eastAsia="zh-CN"/>
              </w:rPr>
              <w:t>中</w:t>
            </w:r>
            <w:r>
              <w:rPr>
                <w:rFonts w:hint="eastAsia"/>
                <w:color w:val="auto"/>
                <w:lang w:val="en-US" w:eastAsia="zh-CN"/>
              </w:rPr>
              <w:t>导线对地</w:t>
            </w:r>
            <w:r>
              <w:rPr>
                <w:rFonts w:hint="eastAsia"/>
                <w:color w:val="auto"/>
              </w:rPr>
              <w:t>投影点为监测原点，沿垂直于线路方向进行，测点间距不大于5m，依次监测至30m</w:t>
            </w:r>
            <w:r>
              <w:rPr>
                <w:rFonts w:hint="eastAsia"/>
                <w:color w:val="auto"/>
                <w:lang w:val="en-US" w:eastAsia="zh-CN"/>
              </w:rPr>
              <w:t>处；</w:t>
            </w:r>
            <w:r>
              <w:rPr>
                <w:rFonts w:hint="eastAsia" w:cs="Times New Roman"/>
                <w:b w:val="0"/>
                <w:bCs w:val="0"/>
                <w:color w:val="auto"/>
                <w:kern w:val="2"/>
                <w:sz w:val="24"/>
                <w:szCs w:val="24"/>
                <w:highlight w:val="none"/>
                <w:lang w:val="en-US" w:eastAsia="zh-CN" w:bidi="ar-SA"/>
              </w:rPr>
              <w:t>升压</w:t>
            </w:r>
            <w:r>
              <w:rPr>
                <w:rFonts w:hint="eastAsia" w:cs="Times New Roman"/>
                <w:color w:val="000000" w:themeColor="text1"/>
                <w:sz w:val="24"/>
                <w:highlight w:val="none"/>
                <w:lang w:val="en-US" w:eastAsia="zh-CN"/>
                <w14:textFill>
                  <w14:solidFill>
                    <w14:schemeClr w14:val="tx1"/>
                  </w14:solidFill>
                </w14:textFill>
              </w:rPr>
              <w:t>站四周设置</w:t>
            </w:r>
            <w:r>
              <w:rPr>
                <w:rFonts w:hint="eastAsia"/>
                <w:highlight w:val="none"/>
                <w:lang w:val="en-US" w:eastAsia="zh-CN"/>
              </w:rPr>
              <w:t>4</w:t>
            </w:r>
            <w:r>
              <w:rPr>
                <w:rFonts w:hint="default"/>
                <w:highlight w:val="none"/>
              </w:rPr>
              <w:t>个现状监测点</w:t>
            </w:r>
            <w:r>
              <w:rPr>
                <w:rFonts w:hint="eastAsia"/>
                <w:highlight w:val="none"/>
                <w:lang w:eastAsia="zh-CN"/>
              </w:rPr>
              <w:t>；</w:t>
            </w:r>
            <w:r>
              <w:rPr>
                <w:rFonts w:hint="eastAsia"/>
                <w:highlight w:val="none"/>
                <w:lang w:val="en-US" w:eastAsia="zh-CN"/>
              </w:rPr>
              <w:t>声环境保护目标设置2</w:t>
            </w:r>
            <w:r>
              <w:rPr>
                <w:rFonts w:hint="default"/>
                <w:highlight w:val="none"/>
              </w:rPr>
              <w:t>个监测点</w:t>
            </w:r>
            <w:r>
              <w:rPr>
                <w:rFonts w:hint="eastAsia"/>
                <w:highlight w:val="none"/>
                <w:lang w:eastAsia="zh-CN"/>
              </w:rPr>
              <w:t>。</w:t>
            </w:r>
            <w:r>
              <w:rPr>
                <w:rFonts w:hint="default" w:ascii="Times New Roman" w:hAnsi="Times New Roman" w:eastAsia="宋体" w:cs="Times New Roman"/>
                <w:color w:val="auto"/>
                <w:sz w:val="24"/>
                <w:highlight w:val="none"/>
              </w:rPr>
              <w:t>在</w:t>
            </w:r>
            <w:r>
              <w:rPr>
                <w:rFonts w:hint="eastAsia" w:ascii="Times New Roman" w:hAnsi="Times New Roman" w:eastAsia="宋体" w:cs="Times New Roman"/>
                <w:color w:val="auto"/>
                <w:sz w:val="24"/>
                <w:highlight w:val="none"/>
                <w:lang w:val="en-US" w:eastAsia="zh-CN"/>
              </w:rPr>
              <w:t>升压站周边及线路</w:t>
            </w:r>
            <w:r>
              <w:rPr>
                <w:rFonts w:hint="eastAsia" w:cs="Times New Roman"/>
                <w:color w:val="auto"/>
                <w:sz w:val="24"/>
                <w:highlight w:val="none"/>
                <w:lang w:val="en-US" w:eastAsia="zh-CN"/>
              </w:rPr>
              <w:t>沿线</w:t>
            </w:r>
            <w:r>
              <w:rPr>
                <w:rFonts w:hint="default" w:ascii="Times New Roman" w:hAnsi="Times New Roman" w:eastAsia="宋体" w:cs="Times New Roman"/>
                <w:color w:val="auto"/>
                <w:sz w:val="24"/>
                <w:highlight w:val="none"/>
              </w:rPr>
              <w:t>共设置</w:t>
            </w:r>
            <w:r>
              <w:rPr>
                <w:rFonts w:hint="eastAsia"/>
                <w:color w:val="auto"/>
                <w:sz w:val="24"/>
                <w:szCs w:val="24"/>
                <w:lang w:val="en-US" w:eastAsia="zh-CN"/>
              </w:rPr>
              <w:t>7</w:t>
            </w:r>
            <w:r>
              <w:rPr>
                <w:rFonts w:hint="default" w:ascii="Times New Roman" w:hAnsi="宋体"/>
                <w:color w:val="auto"/>
                <w:sz w:val="24"/>
                <w:szCs w:val="24"/>
              </w:rPr>
              <w:t>个</w:t>
            </w:r>
            <w:r>
              <w:rPr>
                <w:rFonts w:hint="eastAsia" w:ascii="Times New Roman" w:hAnsi="宋体"/>
                <w:color w:val="auto"/>
                <w:sz w:val="24"/>
                <w:szCs w:val="24"/>
              </w:rPr>
              <w:t>监测点</w:t>
            </w:r>
            <w:r>
              <w:rPr>
                <w:rFonts w:hint="eastAsia" w:hAnsi="宋体"/>
                <w:color w:val="auto"/>
                <w:sz w:val="24"/>
                <w:szCs w:val="24"/>
                <w:lang w:val="en-US" w:eastAsia="zh-CN"/>
              </w:rPr>
              <w:t>以及</w:t>
            </w:r>
            <w:r>
              <w:rPr>
                <w:rFonts w:hint="eastAsia" w:ascii="Times New Roman" w:hAnsi="宋体"/>
                <w:color w:val="auto"/>
                <w:sz w:val="24"/>
                <w:szCs w:val="24"/>
                <w:lang w:val="en-US" w:eastAsia="zh-CN"/>
              </w:rPr>
              <w:t>1组监测断面</w:t>
            </w:r>
            <w:r>
              <w:rPr>
                <w:rFonts w:hint="eastAsia" w:hAnsi="宋体"/>
                <w:color w:val="auto"/>
                <w:sz w:val="24"/>
                <w:szCs w:val="24"/>
                <w:lang w:val="en-US" w:eastAsia="zh-CN"/>
              </w:rPr>
              <w:t>。</w:t>
            </w:r>
          </w:p>
          <w:p w14:paraId="714CFD37">
            <w:pPr>
              <w:keepNext w:val="0"/>
              <w:keepLines w:val="0"/>
              <w:suppressLineNumbers w:val="0"/>
              <w:spacing w:before="0" w:beforeAutospacing="0" w:after="0" w:afterAutospacing="0" w:line="360" w:lineRule="auto"/>
              <w:ind w:left="0" w:leftChars="0" w:right="0" w:firstLine="480" w:firstLineChars="200"/>
              <w:rPr>
                <w:rFonts w:hint="default"/>
                <w:color w:val="auto"/>
                <w:spacing w:val="-2"/>
                <w:lang w:val="en-US" w:eastAsia="zh-CN"/>
              </w:rPr>
            </w:pPr>
            <w:r>
              <w:rPr>
                <w:rFonts w:hint="eastAsia"/>
                <w:color w:val="auto"/>
                <w:lang w:val="en-US" w:eastAsia="zh-CN"/>
              </w:rPr>
              <w:t>本次噪声监测布点情况见表3-3；噪声测量设备特性及监测条件见表3-4；噪声监测及评价结果见表3-5</w:t>
            </w:r>
            <w:r>
              <w:rPr>
                <w:rFonts w:hint="eastAsia" w:ascii="Times New Roman" w:hAnsi="宋体" w:eastAsia="宋体" w:cs="Times New Roman"/>
                <w:color w:val="auto"/>
                <w:sz w:val="24"/>
                <w:szCs w:val="24"/>
                <w:highlight w:val="none"/>
              </w:rPr>
              <w:t>。</w:t>
            </w:r>
            <w:r>
              <w:rPr>
                <w:rFonts w:hint="eastAsia" w:hAnsi="宋体" w:cs="Times New Roman"/>
                <w:color w:val="auto"/>
                <w:sz w:val="24"/>
                <w:szCs w:val="24"/>
                <w:highlight w:val="none"/>
                <w:lang w:val="en-US" w:eastAsia="zh-CN"/>
              </w:rPr>
              <w:t>经调查</w:t>
            </w:r>
            <w:r>
              <w:rPr>
                <w:rFonts w:hint="eastAsia" w:ascii="Times New Roman" w:hAnsi="Times New Roman" w:eastAsia="宋体" w:cs="Times New Roman"/>
                <w:color w:val="auto"/>
                <w:lang w:val="en-US" w:eastAsia="zh-CN"/>
              </w:rPr>
              <w:t>，监</w:t>
            </w:r>
            <w:r>
              <w:rPr>
                <w:rFonts w:hint="eastAsia" w:hAnsi="宋体" w:cs="Times New Roman"/>
                <w:color w:val="auto"/>
                <w:sz w:val="24"/>
                <w:szCs w:val="24"/>
                <w:highlight w:val="none"/>
                <w:lang w:val="en-US" w:eastAsia="zh-CN"/>
              </w:rPr>
              <w:t>测期间，本工程正常运行，无异常；电压范围约118.6-120.4kV；电流范围约53-56A。</w:t>
            </w:r>
          </w:p>
          <w:p w14:paraId="5DB337B9">
            <w:pPr>
              <w:pStyle w:val="163"/>
              <w:keepNext w:val="0"/>
              <w:keepLines w:val="0"/>
              <w:suppressLineNumbers w:val="0"/>
              <w:bidi w:val="0"/>
              <w:spacing w:before="0" w:beforeAutospacing="0" w:after="0" w:afterAutospacing="0"/>
              <w:ind w:left="0" w:leftChars="0" w:right="0" w:firstLine="0" w:firstLineChars="0"/>
              <w:rPr>
                <w:rFonts w:hint="eastAsia"/>
                <w:color w:val="000000" w:themeColor="text1"/>
                <w:lang w:val="en-US" w:eastAsia="zh-CN"/>
                <w14:textFill>
                  <w14:solidFill>
                    <w14:schemeClr w14:val="tx1"/>
                  </w14:solidFill>
                </w14:textFill>
              </w:rPr>
            </w:pPr>
          </w:p>
          <w:p w14:paraId="68BEDBA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图3-</w:t>
            </w:r>
            <w:r>
              <w:rPr>
                <w:rFonts w:hint="eastAsia" w:ascii="Times New Roman" w:hAnsi="Times New Roman" w:cs="Times New Roman"/>
                <w:b/>
                <w:bCs/>
                <w:color w:val="000000" w:themeColor="text1"/>
                <w:spacing w:val="-4"/>
                <w:kern w:val="2"/>
                <w:sz w:val="24"/>
                <w:szCs w:val="24"/>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spacing w:val="-4"/>
                <w:kern w:val="2"/>
                <w:sz w:val="24"/>
                <w:szCs w:val="24"/>
                <w:lang w:val="en-US" w:eastAsia="zh-CN" w:bidi="ar-SA"/>
                <w14:textFill>
                  <w14:solidFill>
                    <w14:schemeClr w14:val="tx1"/>
                  </w14:solidFill>
                </w14:textFill>
              </w:rPr>
              <w:t>输电线路</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电磁、噪声环境现状监测布点图</w:t>
            </w:r>
          </w:p>
          <w:p w14:paraId="1C321D3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pPr>
          </w:p>
          <w:p w14:paraId="4CC808B7">
            <w:pPr>
              <w:pStyle w:val="163"/>
              <w:keepNext w:val="0"/>
              <w:keepLines w:val="0"/>
              <w:suppressLineNumbers w:val="0"/>
              <w:bidi w:val="0"/>
              <w:spacing w:before="0" w:beforeAutospacing="0" w:after="0" w:afterAutospacing="0"/>
              <w:ind w:left="0" w:leftChars="0" w:right="0" w:firstLine="0" w:firstLineChars="0"/>
              <w:jc w:val="center"/>
              <w:rPr>
                <w:rFonts w:hint="default" w:hAnsi="宋体" w:cs="Times New Roman"/>
                <w:color w:val="FF0000"/>
                <w:sz w:val="24"/>
                <w:szCs w:val="24"/>
                <w:highlight w:val="none"/>
                <w:lang w:val="en-US" w:eastAsia="zh-CN"/>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图3-</w:t>
            </w:r>
            <w:r>
              <w:rPr>
                <w:rFonts w:hint="eastAsia" w:ascii="Times New Roman" w:hAnsi="Times New Roman" w:cs="Times New Roman"/>
                <w:b/>
                <w:bCs/>
                <w:color w:val="000000" w:themeColor="text1"/>
                <w:spacing w:val="-4"/>
                <w:kern w:val="2"/>
                <w:sz w:val="24"/>
                <w:szCs w:val="24"/>
                <w:lang w:val="en-US" w:eastAsia="zh-CN" w:bidi="ar-SA"/>
                <w14:textFill>
                  <w14:solidFill>
                    <w14:schemeClr w14:val="tx1"/>
                  </w14:solidFill>
                </w14:textFill>
              </w:rPr>
              <w:t>8</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spacing w:val="-4"/>
                <w:kern w:val="2"/>
                <w:sz w:val="24"/>
                <w:szCs w:val="24"/>
                <w:lang w:val="en-US" w:eastAsia="zh-CN" w:bidi="ar-SA"/>
                <w14:textFill>
                  <w14:solidFill>
                    <w14:schemeClr w14:val="tx1"/>
                  </w14:solidFill>
                </w14:textFill>
              </w:rPr>
              <w:t>升压站</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电磁、噪声环境现状监测布点图</w:t>
            </w:r>
          </w:p>
          <w:p w14:paraId="00CB98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both"/>
              <w:textAlignment w:val="auto"/>
              <w:rPr>
                <w:rFonts w:hint="default"/>
                <w:b/>
                <w:bCs/>
                <w:color w:val="000000" w:themeColor="text1"/>
                <w:spacing w:val="-4"/>
                <w:sz w:val="24"/>
                <w:szCs w:val="24"/>
                <w14:textFill>
                  <w14:solidFill>
                    <w14:schemeClr w14:val="tx1"/>
                  </w14:solidFill>
                </w14:textFill>
              </w:rPr>
            </w:pPr>
          </w:p>
          <w:p w14:paraId="0DB76CB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both"/>
              <w:textAlignment w:val="auto"/>
              <w:rPr>
                <w:rFonts w:hint="default"/>
                <w:b/>
                <w:bCs/>
                <w:color w:val="000000" w:themeColor="text1"/>
                <w:spacing w:val="-4"/>
                <w:sz w:val="24"/>
                <w:szCs w:val="24"/>
                <w14:textFill>
                  <w14:solidFill>
                    <w14:schemeClr w14:val="tx1"/>
                  </w14:solidFill>
                </w14:textFill>
              </w:rPr>
            </w:pPr>
          </w:p>
          <w:p w14:paraId="4484E00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both"/>
              <w:textAlignment w:val="auto"/>
              <w:rPr>
                <w:rFonts w:hint="default"/>
                <w:b/>
                <w:bCs/>
                <w:color w:val="000000" w:themeColor="text1"/>
                <w:spacing w:val="-4"/>
                <w:sz w:val="24"/>
                <w:szCs w:val="24"/>
                <w14:textFill>
                  <w14:solidFill>
                    <w14:schemeClr w14:val="tx1"/>
                  </w14:solidFill>
                </w14:textFill>
              </w:rPr>
            </w:pPr>
          </w:p>
          <w:p w14:paraId="1C3BD6A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both"/>
              <w:textAlignment w:val="auto"/>
              <w:rPr>
                <w:rFonts w:hint="default"/>
                <w:b/>
                <w:bCs/>
                <w:color w:val="000000" w:themeColor="text1"/>
                <w:spacing w:val="-4"/>
                <w:sz w:val="24"/>
                <w:szCs w:val="24"/>
                <w14:textFill>
                  <w14:solidFill>
                    <w14:schemeClr w14:val="tx1"/>
                  </w14:solidFill>
                </w14:textFill>
              </w:rPr>
            </w:pPr>
          </w:p>
          <w:p w14:paraId="4B068E6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color w:val="000000" w:themeColor="text1"/>
                <w:spacing w:val="-2"/>
                <w:shd w:val="clear" w:color="auto" w:fill="auto"/>
                <w:lang w:val="en-US" w:eastAsia="zh-CN"/>
                <w14:textFill>
                  <w14:solidFill>
                    <w14:schemeClr w14:val="tx1"/>
                  </w14:solidFill>
                </w14:textFill>
              </w:rPr>
            </w:pPr>
            <w:r>
              <w:rPr>
                <w:rFonts w:hint="default"/>
                <w:b/>
                <w:bCs/>
                <w:color w:val="000000" w:themeColor="text1"/>
                <w:spacing w:val="-4"/>
                <w:sz w:val="24"/>
                <w:szCs w:val="24"/>
                <w14:textFill>
                  <w14:solidFill>
                    <w14:schemeClr w14:val="tx1"/>
                  </w14:solidFill>
                </w14:textFill>
              </w:rPr>
              <w:t>表</w:t>
            </w:r>
            <w:r>
              <w:rPr>
                <w:rFonts w:hint="eastAsia"/>
                <w:b/>
                <w:bCs/>
                <w:color w:val="000000" w:themeColor="text1"/>
                <w:spacing w:val="-4"/>
                <w:sz w:val="24"/>
                <w:szCs w:val="24"/>
                <w:lang w:val="en-US" w:eastAsia="zh-CN"/>
                <w14:textFill>
                  <w14:solidFill>
                    <w14:schemeClr w14:val="tx1"/>
                  </w14:solidFill>
                </w14:textFill>
              </w:rPr>
              <w:t>3-3 噪声监测布点一览表</w:t>
            </w:r>
          </w:p>
        </w:tc>
      </w:tr>
      <w:tr w14:paraId="58627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4" w:hRule="atLeast"/>
          <w:jc w:val="center"/>
        </w:trPr>
        <w:tc>
          <w:tcPr>
            <w:tcW w:w="620" w:type="pct"/>
            <w:gridSpan w:val="3"/>
            <w:noWrap w:val="0"/>
            <w:vAlign w:val="center"/>
          </w:tcPr>
          <w:p w14:paraId="231DC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项目</w:t>
            </w:r>
          </w:p>
        </w:tc>
        <w:tc>
          <w:tcPr>
            <w:tcW w:w="1184" w:type="pct"/>
            <w:gridSpan w:val="8"/>
            <w:noWrap w:val="0"/>
            <w:vAlign w:val="center"/>
          </w:tcPr>
          <w:p w14:paraId="2F4AA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1296" w:type="pct"/>
            <w:gridSpan w:val="9"/>
            <w:noWrap w:val="0"/>
            <w:vAlign w:val="center"/>
          </w:tcPr>
          <w:p w14:paraId="3A2EEB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监测时间</w:t>
            </w:r>
          </w:p>
        </w:tc>
        <w:tc>
          <w:tcPr>
            <w:tcW w:w="1152" w:type="pct"/>
            <w:gridSpan w:val="8"/>
            <w:noWrap w:val="0"/>
            <w:vAlign w:val="center"/>
          </w:tcPr>
          <w:p w14:paraId="78B90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监测单位</w:t>
            </w:r>
          </w:p>
        </w:tc>
        <w:tc>
          <w:tcPr>
            <w:tcW w:w="744" w:type="pct"/>
            <w:gridSpan w:val="3"/>
            <w:noWrap w:val="0"/>
            <w:vAlign w:val="center"/>
          </w:tcPr>
          <w:p w14:paraId="17107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监测因子</w:t>
            </w:r>
          </w:p>
        </w:tc>
      </w:tr>
      <w:tr w14:paraId="5DDE1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4" w:hRule="atLeast"/>
          <w:jc w:val="center"/>
        </w:trPr>
        <w:tc>
          <w:tcPr>
            <w:tcW w:w="620" w:type="pct"/>
            <w:gridSpan w:val="3"/>
            <w:vMerge w:val="restart"/>
            <w:noWrap w:val="0"/>
            <w:vAlign w:val="center"/>
          </w:tcPr>
          <w:p w14:paraId="2F6E0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2"/>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输电线路</w:t>
            </w:r>
          </w:p>
        </w:tc>
        <w:tc>
          <w:tcPr>
            <w:tcW w:w="1184" w:type="pct"/>
            <w:gridSpan w:val="8"/>
            <w:noWrap w:val="0"/>
            <w:vAlign w:val="center"/>
          </w:tcPr>
          <w:p w14:paraId="57A00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1#噪声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监测断面</w:t>
            </w:r>
          </w:p>
        </w:tc>
        <w:tc>
          <w:tcPr>
            <w:tcW w:w="1296" w:type="pct"/>
            <w:gridSpan w:val="9"/>
            <w:vMerge w:val="restart"/>
            <w:noWrap w:val="0"/>
            <w:vAlign w:val="center"/>
          </w:tcPr>
          <w:p w14:paraId="6D7C4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2025年3月24</w:t>
            </w:r>
            <w:r>
              <w:rPr>
                <w:rFonts w:hint="eastAsia" w:cs="Times New Roman"/>
                <w:color w:val="000000" w:themeColor="text1"/>
                <w:sz w:val="21"/>
                <w:szCs w:val="21"/>
                <w:lang w:val="en-US" w:eastAsia="zh-CN"/>
                <w14:textFill>
                  <w14:solidFill>
                    <w14:schemeClr w14:val="tx1"/>
                  </w14:solidFill>
                </w14:textFill>
              </w:rPr>
              <w:t>日</w:t>
            </w:r>
          </w:p>
        </w:tc>
        <w:tc>
          <w:tcPr>
            <w:tcW w:w="1152" w:type="pct"/>
            <w:gridSpan w:val="8"/>
            <w:vMerge w:val="restart"/>
            <w:noWrap w:val="0"/>
            <w:vAlign w:val="center"/>
          </w:tcPr>
          <w:p w14:paraId="76214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新疆锡水金山环境科技有限公司</w:t>
            </w:r>
          </w:p>
        </w:tc>
        <w:tc>
          <w:tcPr>
            <w:tcW w:w="744" w:type="pct"/>
            <w:gridSpan w:val="3"/>
            <w:vMerge w:val="restart"/>
            <w:noWrap w:val="0"/>
            <w:vAlign w:val="center"/>
          </w:tcPr>
          <w:p w14:paraId="25BAA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LAeq</w:t>
            </w:r>
          </w:p>
        </w:tc>
      </w:tr>
      <w:tr w14:paraId="4952A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4" w:hRule="atLeast"/>
          <w:jc w:val="center"/>
        </w:trPr>
        <w:tc>
          <w:tcPr>
            <w:tcW w:w="620" w:type="pct"/>
            <w:gridSpan w:val="3"/>
            <w:vMerge w:val="continue"/>
            <w:noWrap w:val="0"/>
            <w:vAlign w:val="center"/>
          </w:tcPr>
          <w:p w14:paraId="63AA0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2"/>
                <w:sz w:val="21"/>
                <w:szCs w:val="21"/>
                <w:shd w:val="clear" w:color="auto" w:fill="auto"/>
                <w:lang w:val="en-US" w:eastAsia="zh-CN"/>
                <w14:textFill>
                  <w14:solidFill>
                    <w14:schemeClr w14:val="tx1"/>
                  </w14:solidFill>
                </w14:textFill>
              </w:rPr>
            </w:pPr>
          </w:p>
        </w:tc>
        <w:tc>
          <w:tcPr>
            <w:tcW w:w="1184" w:type="pct"/>
            <w:gridSpan w:val="8"/>
            <w:noWrap w:val="0"/>
            <w:vAlign w:val="center"/>
          </w:tcPr>
          <w:p w14:paraId="4A498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2#噪声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点</w:t>
            </w:r>
          </w:p>
        </w:tc>
        <w:tc>
          <w:tcPr>
            <w:tcW w:w="1296" w:type="pct"/>
            <w:gridSpan w:val="9"/>
            <w:vMerge w:val="continue"/>
            <w:noWrap w:val="0"/>
            <w:vAlign w:val="center"/>
          </w:tcPr>
          <w:p w14:paraId="42B16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1152" w:type="pct"/>
            <w:gridSpan w:val="8"/>
            <w:vMerge w:val="continue"/>
            <w:noWrap w:val="0"/>
            <w:vAlign w:val="center"/>
          </w:tcPr>
          <w:p w14:paraId="6ED48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744" w:type="pct"/>
            <w:gridSpan w:val="3"/>
            <w:vMerge w:val="continue"/>
            <w:noWrap w:val="0"/>
            <w:vAlign w:val="center"/>
          </w:tcPr>
          <w:p w14:paraId="38B0B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r>
      <w:tr w14:paraId="75E28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4" w:hRule="atLeast"/>
          <w:jc w:val="center"/>
        </w:trPr>
        <w:tc>
          <w:tcPr>
            <w:tcW w:w="620" w:type="pct"/>
            <w:gridSpan w:val="3"/>
            <w:noWrap w:val="0"/>
            <w:vAlign w:val="center"/>
          </w:tcPr>
          <w:p w14:paraId="5D171D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2"/>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升压站</w:t>
            </w:r>
          </w:p>
        </w:tc>
        <w:tc>
          <w:tcPr>
            <w:tcW w:w="1184" w:type="pct"/>
            <w:gridSpan w:val="8"/>
            <w:noWrap w:val="0"/>
            <w:vAlign w:val="center"/>
          </w:tcPr>
          <w:p w14:paraId="50141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升压站东</w:t>
            </w:r>
            <w:r>
              <w:rPr>
                <w:rFonts w:hint="default" w:ascii="Times New Roman" w:hAnsi="Times New Roman" w:cs="Times New Roman"/>
                <w:sz w:val="21"/>
                <w:szCs w:val="21"/>
                <w:lang w:val="en-US" w:eastAsia="zh-CN"/>
              </w:rPr>
              <w:t>侧</w:t>
            </w:r>
            <w:r>
              <w:rPr>
                <w:rFonts w:hint="eastAsia" w:cs="Times New Roman"/>
                <w:sz w:val="21"/>
                <w:szCs w:val="21"/>
                <w:lang w:val="en-US" w:eastAsia="zh-CN"/>
              </w:rPr>
              <w:t>、南</w:t>
            </w:r>
            <w:r>
              <w:rPr>
                <w:rFonts w:hint="default" w:ascii="Times New Roman" w:hAnsi="Times New Roman" w:cs="Times New Roman"/>
                <w:sz w:val="21"/>
                <w:szCs w:val="21"/>
                <w:lang w:val="en-US" w:eastAsia="zh-CN"/>
              </w:rPr>
              <w:t>侧</w:t>
            </w:r>
            <w:r>
              <w:rPr>
                <w:rFonts w:hint="eastAsia" w:cs="Times New Roman"/>
                <w:sz w:val="21"/>
                <w:szCs w:val="21"/>
                <w:lang w:val="en-US" w:eastAsia="zh-CN"/>
              </w:rPr>
              <w:t>、西侧、北侧</w:t>
            </w:r>
          </w:p>
        </w:tc>
        <w:tc>
          <w:tcPr>
            <w:tcW w:w="1296" w:type="pct"/>
            <w:gridSpan w:val="9"/>
            <w:vMerge w:val="restart"/>
            <w:noWrap w:val="0"/>
            <w:vAlign w:val="center"/>
          </w:tcPr>
          <w:p w14:paraId="152CE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2025年</w:t>
            </w: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月</w:t>
            </w:r>
            <w:r>
              <w:rPr>
                <w:rFonts w:hint="eastAsia" w:cs="Times New Roman"/>
                <w:color w:val="000000" w:themeColor="text1"/>
                <w:sz w:val="21"/>
                <w:szCs w:val="21"/>
                <w:lang w:val="en-US" w:eastAsia="zh-CN"/>
                <w14:textFill>
                  <w14:solidFill>
                    <w14:schemeClr w14:val="tx1"/>
                  </w14:solidFill>
                </w14:textFill>
              </w:rPr>
              <w:t>29日</w:t>
            </w:r>
          </w:p>
        </w:tc>
        <w:tc>
          <w:tcPr>
            <w:tcW w:w="1152" w:type="pct"/>
            <w:gridSpan w:val="8"/>
            <w:vMerge w:val="continue"/>
            <w:noWrap w:val="0"/>
            <w:vAlign w:val="center"/>
          </w:tcPr>
          <w:p w14:paraId="1701A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744" w:type="pct"/>
            <w:gridSpan w:val="3"/>
            <w:vMerge w:val="continue"/>
            <w:noWrap w:val="0"/>
            <w:vAlign w:val="center"/>
          </w:tcPr>
          <w:p w14:paraId="4392E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r>
      <w:tr w14:paraId="55FF2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4" w:hRule="atLeast"/>
          <w:jc w:val="center"/>
        </w:trPr>
        <w:tc>
          <w:tcPr>
            <w:tcW w:w="620" w:type="pct"/>
            <w:gridSpan w:val="3"/>
            <w:noWrap w:val="0"/>
            <w:vAlign w:val="center"/>
          </w:tcPr>
          <w:p w14:paraId="5E07EC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pPr>
            <w:r>
              <w:rPr>
                <w:rFonts w:hint="eastAsia" w:cs="Times New Roman"/>
                <w:b w:val="0"/>
                <w:bCs/>
                <w:strike w:val="0"/>
                <w:color w:val="000000" w:themeColor="text1"/>
                <w:sz w:val="21"/>
                <w:szCs w:val="21"/>
                <w:highlight w:val="none"/>
                <w:lang w:val="en-US" w:eastAsia="zh-CN" w:bidi="ar"/>
                <w14:textFill>
                  <w14:solidFill>
                    <w14:schemeClr w14:val="tx1"/>
                  </w14:solidFill>
                </w14:textFill>
              </w:rPr>
              <w:t>保护目标</w:t>
            </w:r>
          </w:p>
        </w:tc>
        <w:tc>
          <w:tcPr>
            <w:tcW w:w="1184" w:type="pct"/>
            <w:gridSpan w:val="8"/>
            <w:noWrap w:val="0"/>
            <w:vAlign w:val="center"/>
          </w:tcPr>
          <w:p w14:paraId="48CEB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保安室、</w:t>
            </w:r>
            <w:r>
              <w:rPr>
                <w:rFonts w:hint="eastAsia" w:cs="Times New Roman"/>
                <w:color w:val="000000" w:themeColor="text1"/>
                <w:sz w:val="21"/>
                <w:szCs w:val="21"/>
                <w:highlight w:val="none"/>
                <w:lang w:val="en-US" w:eastAsia="zh-CN"/>
                <w14:textFill>
                  <w14:solidFill>
                    <w14:schemeClr w14:val="tx1"/>
                  </w14:solidFill>
                </w14:textFill>
              </w:rPr>
              <w:t>综合楼</w:t>
            </w:r>
          </w:p>
        </w:tc>
        <w:tc>
          <w:tcPr>
            <w:tcW w:w="1296" w:type="pct"/>
            <w:gridSpan w:val="9"/>
            <w:vMerge w:val="continue"/>
            <w:noWrap w:val="0"/>
            <w:vAlign w:val="center"/>
          </w:tcPr>
          <w:p w14:paraId="0C05F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1152" w:type="pct"/>
            <w:gridSpan w:val="8"/>
            <w:vMerge w:val="continue"/>
            <w:noWrap w:val="0"/>
            <w:vAlign w:val="center"/>
          </w:tcPr>
          <w:p w14:paraId="5D0AD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744" w:type="pct"/>
            <w:gridSpan w:val="3"/>
            <w:vMerge w:val="continue"/>
            <w:noWrap w:val="0"/>
            <w:vAlign w:val="center"/>
          </w:tcPr>
          <w:p w14:paraId="55D48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r>
      <w:tr w14:paraId="4ECED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34" w:hRule="atLeast"/>
          <w:jc w:val="center"/>
        </w:trPr>
        <w:tc>
          <w:tcPr>
            <w:tcW w:w="4997" w:type="pct"/>
            <w:gridSpan w:val="31"/>
            <w:noWrap w:val="0"/>
            <w:vAlign w:val="center"/>
          </w:tcPr>
          <w:p w14:paraId="662A37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jc w:val="both"/>
              <w:textAlignment w:val="auto"/>
              <w:rPr>
                <w:rFonts w:hint="eastAsia" w:ascii="Times New Roman" w:hAnsi="Times New Roman" w:eastAsia="宋体" w:cs="Times New Roman"/>
                <w:color w:val="000000" w:themeColor="text1"/>
                <w:sz w:val="24"/>
                <w:highlight w:val="yellow"/>
                <w:shd w:val="clear" w:color="auto" w:fill="auto"/>
                <w14:textFill>
                  <w14:solidFill>
                    <w14:schemeClr w14:val="tx1"/>
                  </w14:solidFill>
                </w14:textFill>
              </w:rPr>
            </w:pPr>
          </w:p>
          <w:p w14:paraId="0FCA002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pacing w:val="-4"/>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表3-4 噪声测量设备特性及监测条件一览表</w:t>
            </w:r>
          </w:p>
        </w:tc>
      </w:tr>
      <w:tr w14:paraId="70030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0" w:hRule="atLeast"/>
          <w:jc w:val="center"/>
        </w:trPr>
        <w:tc>
          <w:tcPr>
            <w:tcW w:w="620" w:type="pct"/>
            <w:gridSpan w:val="3"/>
            <w:noWrap w:val="0"/>
            <w:vAlign w:val="center"/>
          </w:tcPr>
          <w:p w14:paraId="4E6E5FA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cs="Times New Roman"/>
                <w:color w:val="000000" w:themeColor="text1"/>
                <w:spacing w:val="-4"/>
                <w:sz w:val="21"/>
                <w:szCs w:val="21"/>
                <w:shd w:val="clear" w:color="auto" w:fill="auto"/>
                <w:lang w:val="en-US" w:eastAsia="zh-CN"/>
                <w14:textFill>
                  <w14:solidFill>
                    <w14:schemeClr w14:val="tx1"/>
                  </w14:solidFill>
                </w14:textFill>
              </w:rPr>
              <w:t>类别</w:t>
            </w:r>
          </w:p>
        </w:tc>
        <w:tc>
          <w:tcPr>
            <w:tcW w:w="1039" w:type="pct"/>
            <w:gridSpan w:val="7"/>
            <w:noWrap w:val="0"/>
            <w:vAlign w:val="center"/>
          </w:tcPr>
          <w:p w14:paraId="237FCCD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监测设备</w:t>
            </w:r>
          </w:p>
        </w:tc>
        <w:tc>
          <w:tcPr>
            <w:tcW w:w="944" w:type="pct"/>
            <w:gridSpan w:val="6"/>
            <w:noWrap w:val="0"/>
            <w:vAlign w:val="center"/>
          </w:tcPr>
          <w:p w14:paraId="7BAB6E2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设备编号</w:t>
            </w:r>
          </w:p>
        </w:tc>
        <w:tc>
          <w:tcPr>
            <w:tcW w:w="836" w:type="pct"/>
            <w:gridSpan w:val="6"/>
            <w:noWrap w:val="0"/>
            <w:vAlign w:val="center"/>
          </w:tcPr>
          <w:p w14:paraId="7F20DB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trike w:val="0"/>
                <w:color w:val="000000" w:themeColor="text1"/>
                <w:spacing w:val="-1"/>
                <w:sz w:val="21"/>
                <w:szCs w:val="21"/>
                <w:highlight w:val="none"/>
                <w14:textFill>
                  <w14:solidFill>
                    <w14:schemeClr w14:val="tx1"/>
                  </w14:solidFill>
                </w14:textFill>
              </w:rPr>
              <w:t>检定日期</w:t>
            </w:r>
          </w:p>
        </w:tc>
        <w:tc>
          <w:tcPr>
            <w:tcW w:w="714" w:type="pct"/>
            <w:gridSpan w:val="4"/>
            <w:noWrap w:val="0"/>
            <w:vAlign w:val="center"/>
          </w:tcPr>
          <w:p w14:paraId="1DF959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strike w:val="0"/>
                <w:color w:val="000000" w:themeColor="text1"/>
                <w:spacing w:val="-1"/>
                <w:sz w:val="21"/>
                <w:szCs w:val="21"/>
                <w:highlight w:val="none"/>
                <w:lang w:val="en-US" w:eastAsia="zh-CN"/>
                <w14:textFill>
                  <w14:solidFill>
                    <w14:schemeClr w14:val="tx1"/>
                  </w14:solidFill>
                </w14:textFill>
              </w:rPr>
              <w:t>有效期</w:t>
            </w:r>
          </w:p>
        </w:tc>
        <w:tc>
          <w:tcPr>
            <w:tcW w:w="844" w:type="pct"/>
            <w:gridSpan w:val="5"/>
            <w:noWrap w:val="0"/>
            <w:vAlign w:val="center"/>
          </w:tcPr>
          <w:p w14:paraId="111A650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监测条件</w:t>
            </w:r>
          </w:p>
        </w:tc>
      </w:tr>
      <w:tr w14:paraId="5DCC1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0" w:hRule="atLeast"/>
          <w:jc w:val="center"/>
        </w:trPr>
        <w:tc>
          <w:tcPr>
            <w:tcW w:w="620" w:type="pct"/>
            <w:gridSpan w:val="3"/>
            <w:vMerge w:val="restart"/>
            <w:noWrap w:val="0"/>
            <w:vAlign w:val="center"/>
          </w:tcPr>
          <w:p w14:paraId="7385D8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cs="Times New Roman"/>
                <w:color w:val="000000" w:themeColor="text1"/>
                <w:spacing w:val="-4"/>
                <w:sz w:val="21"/>
                <w:szCs w:val="21"/>
                <w:shd w:val="clear" w:color="auto" w:fill="auto"/>
                <w:lang w:val="en-US" w:eastAsia="zh-CN"/>
                <w14:textFill>
                  <w14:solidFill>
                    <w14:schemeClr w14:val="tx1"/>
                  </w14:solidFill>
                </w14:textFill>
              </w:rPr>
              <w:t>输电线路</w:t>
            </w:r>
          </w:p>
        </w:tc>
        <w:tc>
          <w:tcPr>
            <w:tcW w:w="1039" w:type="pct"/>
            <w:gridSpan w:val="7"/>
            <w:noWrap w:val="0"/>
            <w:vAlign w:val="center"/>
          </w:tcPr>
          <w:p w14:paraId="2EBCB0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AS8336型风速仪</w:t>
            </w:r>
          </w:p>
        </w:tc>
        <w:tc>
          <w:tcPr>
            <w:tcW w:w="944" w:type="pct"/>
            <w:gridSpan w:val="6"/>
            <w:noWrap w:val="0"/>
            <w:vAlign w:val="center"/>
          </w:tcPr>
          <w:p w14:paraId="4D195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rPr>
              <w:t>XSJS/YQ-36-41</w:t>
            </w:r>
          </w:p>
        </w:tc>
        <w:tc>
          <w:tcPr>
            <w:tcW w:w="836" w:type="pct"/>
            <w:gridSpan w:val="6"/>
            <w:noWrap w:val="0"/>
            <w:vAlign w:val="center"/>
          </w:tcPr>
          <w:p w14:paraId="7F305F8C">
            <w:pPr>
              <w:keepNext w:val="0"/>
              <w:keepLines w:val="0"/>
              <w:pageBreakBefore w:val="0"/>
              <w:suppressLineNumbers w:val="0"/>
              <w:wordWrap/>
              <w:overflowPunct/>
              <w:topLinePunct w:val="0"/>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2024.12.8</w:t>
            </w:r>
          </w:p>
        </w:tc>
        <w:tc>
          <w:tcPr>
            <w:tcW w:w="714" w:type="pct"/>
            <w:gridSpan w:val="4"/>
            <w:noWrap w:val="0"/>
            <w:vAlign w:val="center"/>
          </w:tcPr>
          <w:p w14:paraId="0BF48DCC">
            <w:pPr>
              <w:keepNext w:val="0"/>
              <w:keepLines w:val="0"/>
              <w:pageBreakBefore w:val="0"/>
              <w:suppressLineNumbers w:val="0"/>
              <w:wordWrap/>
              <w:overflowPunct/>
              <w:topLinePunct w:val="0"/>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2025.12.</w:t>
            </w:r>
            <w:r>
              <w:rPr>
                <w:rFonts w:hint="eastAsia" w:cs="Times New Roman"/>
                <w:b w:val="0"/>
                <w:bCs/>
                <w:strike w:val="0"/>
                <w:color w:val="000000" w:themeColor="text1"/>
                <w:kern w:val="2"/>
                <w:sz w:val="21"/>
                <w:szCs w:val="21"/>
                <w:highlight w:val="none"/>
                <w:lang w:val="en-US" w:eastAsia="zh-CN" w:bidi="ar"/>
                <w14:textFill>
                  <w14:solidFill>
                    <w14:schemeClr w14:val="tx1"/>
                  </w14:solidFill>
                </w14:textFill>
              </w:rPr>
              <w:t>0</w:t>
            </w: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7</w:t>
            </w:r>
          </w:p>
        </w:tc>
        <w:tc>
          <w:tcPr>
            <w:tcW w:w="844" w:type="pct"/>
            <w:gridSpan w:val="5"/>
            <w:vMerge w:val="restart"/>
            <w:noWrap w:val="0"/>
            <w:vAlign w:val="center"/>
          </w:tcPr>
          <w:p w14:paraId="680DB4BC">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w:t>
            </w:r>
            <w:r>
              <w:rPr>
                <w:rFonts w:hint="eastAsia" w:ascii="Times New Roman" w:hAnsi="Times New Roman" w:eastAsia="宋体" w:cs="Times New Roman"/>
                <w:color w:val="auto"/>
                <w:sz w:val="21"/>
                <w:szCs w:val="21"/>
                <w:highlight w:val="none"/>
                <w:lang w:val="en-US" w:eastAsia="zh-CN"/>
              </w:rPr>
              <w:t>晴</w:t>
            </w:r>
          </w:p>
          <w:p w14:paraId="7589C635">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温度：</w:t>
            </w:r>
            <w:r>
              <w:rPr>
                <w:rFonts w:hint="eastAsia" w:ascii="Times New Roman" w:hAnsi="Times New Roman" w:eastAsia="宋体" w:cs="Times New Roman"/>
                <w:b w:val="0"/>
                <w:bCs/>
                <w:color w:val="auto"/>
                <w:kern w:val="2"/>
                <w:sz w:val="21"/>
                <w:szCs w:val="21"/>
                <w:highlight w:val="none"/>
                <w:lang w:val="en-US" w:eastAsia="zh-CN" w:bidi="ar-SA"/>
              </w:rPr>
              <w:t>18.4</w:t>
            </w:r>
            <w:r>
              <w:rPr>
                <w:rFonts w:hint="default" w:ascii="Times New Roman" w:hAnsi="Times New Roman" w:eastAsia="宋体" w:cs="Times New Roman"/>
                <w:b w:val="0"/>
                <w:bCs/>
                <w:color w:val="auto"/>
                <w:kern w:val="2"/>
                <w:sz w:val="21"/>
                <w:szCs w:val="21"/>
                <w:highlight w:val="none"/>
                <w:lang w:val="en-US" w:eastAsia="zh-CN" w:bidi="ar-SA"/>
              </w:rPr>
              <w:t>℃</w:t>
            </w:r>
          </w:p>
          <w:p w14:paraId="67086E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auto"/>
                <w:kern w:val="2"/>
                <w:sz w:val="21"/>
                <w:szCs w:val="21"/>
                <w:highlight w:val="none"/>
                <w:lang w:val="en-US" w:eastAsia="zh-CN" w:bidi="ar-SA"/>
              </w:rPr>
              <w:t>湿度</w:t>
            </w:r>
            <w:r>
              <w:rPr>
                <w:rFonts w:hint="eastAsia" w:ascii="Times New Roman" w:hAnsi="Times New Roman" w:eastAsia="宋体" w:cs="Times New Roman"/>
                <w:b w:val="0"/>
                <w:bCs/>
                <w:color w:val="auto"/>
                <w:kern w:val="2"/>
                <w:sz w:val="21"/>
                <w:szCs w:val="21"/>
                <w:highlight w:val="none"/>
                <w:lang w:val="en-US" w:eastAsia="zh-CN" w:bidi="ar-SA"/>
              </w:rPr>
              <w:t>：28</w:t>
            </w:r>
            <w:r>
              <w:rPr>
                <w:rFonts w:hint="default" w:ascii="Times New Roman" w:hAnsi="Times New Roman" w:eastAsia="宋体" w:cs="Times New Roman"/>
                <w:b w:val="0"/>
                <w:bCs/>
                <w:color w:val="auto"/>
                <w:kern w:val="2"/>
                <w:sz w:val="21"/>
                <w:szCs w:val="21"/>
                <w:highlight w:val="none"/>
                <w:lang w:val="en-US" w:eastAsia="zh-CN" w:bidi="ar-SA"/>
              </w:rPr>
              <w:t>%RH</w:t>
            </w:r>
          </w:p>
        </w:tc>
      </w:tr>
      <w:tr w14:paraId="06493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0" w:hRule="atLeast"/>
          <w:jc w:val="center"/>
        </w:trPr>
        <w:tc>
          <w:tcPr>
            <w:tcW w:w="620" w:type="pct"/>
            <w:gridSpan w:val="3"/>
            <w:vMerge w:val="continue"/>
            <w:noWrap w:val="0"/>
            <w:vAlign w:val="center"/>
          </w:tcPr>
          <w:p w14:paraId="13418E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1039" w:type="pct"/>
            <w:gridSpan w:val="7"/>
            <w:noWrap w:val="0"/>
            <w:vAlign w:val="center"/>
          </w:tcPr>
          <w:p w14:paraId="3F4A2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sz w:val="21"/>
                <w:szCs w:val="21"/>
                <w:highlight w:val="none"/>
                <w:lang w:bidi="ar"/>
              </w:rPr>
              <w:t>AWA</w:t>
            </w:r>
            <w:r>
              <w:rPr>
                <w:rFonts w:hint="eastAsia" w:ascii="Times New Roman" w:hAnsi="Times New Roman" w:eastAsia="宋体" w:cs="Times New Roman"/>
                <w:bCs/>
                <w:color w:val="000000"/>
                <w:sz w:val="21"/>
                <w:szCs w:val="21"/>
                <w:highlight w:val="none"/>
                <w:lang w:val="en-US" w:eastAsia="zh-CN" w:bidi="ar"/>
              </w:rPr>
              <w:t>5688</w:t>
            </w:r>
            <w:r>
              <w:rPr>
                <w:rFonts w:hint="default" w:ascii="Times New Roman" w:hAnsi="Times New Roman" w:eastAsia="宋体" w:cs="Times New Roman"/>
                <w:bCs/>
                <w:color w:val="000000"/>
                <w:sz w:val="21"/>
                <w:szCs w:val="21"/>
                <w:highlight w:val="none"/>
                <w:lang w:bidi="ar"/>
              </w:rPr>
              <w:t>多功能声级计</w:t>
            </w:r>
          </w:p>
        </w:tc>
        <w:tc>
          <w:tcPr>
            <w:tcW w:w="944" w:type="pct"/>
            <w:gridSpan w:val="6"/>
            <w:noWrap w:val="0"/>
            <w:vAlign w:val="center"/>
          </w:tcPr>
          <w:p w14:paraId="77EC0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rPr>
              <w:t>XSJS/YQ-24</w:t>
            </w:r>
            <w:r>
              <w:rPr>
                <w:rFonts w:hint="eastAsia" w:ascii="Times New Roman" w:hAnsi="Times New Roman" w:eastAsia="宋体" w:cs="Times New Roman"/>
                <w:color w:val="auto"/>
                <w:sz w:val="21"/>
                <w:szCs w:val="21"/>
                <w:highlight w:val="none"/>
                <w:lang w:val="en-US" w:eastAsia="zh-CN"/>
              </w:rPr>
              <w:t>-9</w:t>
            </w:r>
          </w:p>
        </w:tc>
        <w:tc>
          <w:tcPr>
            <w:tcW w:w="836" w:type="pct"/>
            <w:gridSpan w:val="6"/>
            <w:noWrap w:val="0"/>
            <w:vAlign w:val="center"/>
          </w:tcPr>
          <w:p w14:paraId="5AFE89DB">
            <w:pPr>
              <w:keepNext w:val="0"/>
              <w:keepLines w:val="0"/>
              <w:pageBreakBefore w:val="0"/>
              <w:suppressLineNumbers w:val="0"/>
              <w:wordWrap/>
              <w:overflowPunct/>
              <w:topLinePunct w:val="0"/>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2024.5.13</w:t>
            </w:r>
          </w:p>
        </w:tc>
        <w:tc>
          <w:tcPr>
            <w:tcW w:w="714" w:type="pct"/>
            <w:gridSpan w:val="4"/>
            <w:noWrap w:val="0"/>
            <w:vAlign w:val="center"/>
          </w:tcPr>
          <w:p w14:paraId="39146DE3">
            <w:pPr>
              <w:keepNext w:val="0"/>
              <w:keepLines w:val="0"/>
              <w:pageBreakBefore w:val="0"/>
              <w:suppressLineNumbers w:val="0"/>
              <w:wordWrap/>
              <w:overflowPunct/>
              <w:topLinePunct w:val="0"/>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2025.5.12</w:t>
            </w:r>
          </w:p>
        </w:tc>
        <w:tc>
          <w:tcPr>
            <w:tcW w:w="844" w:type="pct"/>
            <w:gridSpan w:val="5"/>
            <w:vMerge w:val="continue"/>
            <w:noWrap w:val="0"/>
            <w:vAlign w:val="center"/>
          </w:tcPr>
          <w:p w14:paraId="5CFD15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r>
      <w:tr w14:paraId="77600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90" w:hRule="atLeast"/>
          <w:jc w:val="center"/>
        </w:trPr>
        <w:tc>
          <w:tcPr>
            <w:tcW w:w="620" w:type="pct"/>
            <w:gridSpan w:val="3"/>
            <w:vMerge w:val="continue"/>
            <w:noWrap w:val="0"/>
            <w:vAlign w:val="center"/>
          </w:tcPr>
          <w:p w14:paraId="77910A2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c>
          <w:tcPr>
            <w:tcW w:w="1039" w:type="pct"/>
            <w:gridSpan w:val="7"/>
            <w:noWrap w:val="0"/>
            <w:vAlign w:val="center"/>
          </w:tcPr>
          <w:p w14:paraId="2DB19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kern w:val="2"/>
                <w:sz w:val="21"/>
                <w:szCs w:val="21"/>
                <w:highlight w:val="none"/>
                <w:lang w:val="en-US" w:eastAsia="zh-CN" w:bidi="ar-SA"/>
              </w:rPr>
              <w:t>AWA6022A型声校准器</w:t>
            </w:r>
          </w:p>
        </w:tc>
        <w:tc>
          <w:tcPr>
            <w:tcW w:w="944" w:type="pct"/>
            <w:gridSpan w:val="6"/>
            <w:noWrap w:val="0"/>
            <w:vAlign w:val="center"/>
          </w:tcPr>
          <w:p w14:paraId="5A928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kern w:val="2"/>
                <w:sz w:val="21"/>
                <w:szCs w:val="21"/>
                <w:highlight w:val="none"/>
                <w:lang w:val="en-US" w:eastAsia="zh-CN" w:bidi="ar-SA"/>
              </w:rPr>
              <w:t>XSJS/YQ-34-31</w:t>
            </w:r>
          </w:p>
        </w:tc>
        <w:tc>
          <w:tcPr>
            <w:tcW w:w="836" w:type="pct"/>
            <w:gridSpan w:val="6"/>
            <w:noWrap w:val="0"/>
            <w:vAlign w:val="center"/>
          </w:tcPr>
          <w:p w14:paraId="27987C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2024.10.26</w:t>
            </w:r>
          </w:p>
        </w:tc>
        <w:tc>
          <w:tcPr>
            <w:tcW w:w="714" w:type="pct"/>
            <w:gridSpan w:val="4"/>
            <w:noWrap w:val="0"/>
            <w:vAlign w:val="center"/>
          </w:tcPr>
          <w:p w14:paraId="1BA4B0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t>2025.10.25</w:t>
            </w:r>
          </w:p>
        </w:tc>
        <w:tc>
          <w:tcPr>
            <w:tcW w:w="844" w:type="pct"/>
            <w:gridSpan w:val="5"/>
            <w:vMerge w:val="continue"/>
            <w:noWrap w:val="0"/>
            <w:vAlign w:val="center"/>
          </w:tcPr>
          <w:p w14:paraId="671600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p>
        </w:tc>
      </w:tr>
      <w:tr w14:paraId="7BB2E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35" w:hRule="atLeast"/>
          <w:jc w:val="center"/>
        </w:trPr>
        <w:tc>
          <w:tcPr>
            <w:tcW w:w="620" w:type="pct"/>
            <w:gridSpan w:val="3"/>
            <w:vMerge w:val="restart"/>
            <w:noWrap w:val="0"/>
            <w:vAlign w:val="center"/>
          </w:tcPr>
          <w:p w14:paraId="707251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eastAsia" w:cs="Times New Roman"/>
                <w:color w:val="000000" w:themeColor="text1"/>
                <w:spacing w:val="-4"/>
                <w:sz w:val="21"/>
                <w:szCs w:val="21"/>
                <w:shd w:val="clear" w:color="auto" w:fill="auto"/>
                <w:lang w:val="en-US" w:eastAsia="zh-CN"/>
                <w14:textFill>
                  <w14:solidFill>
                    <w14:schemeClr w14:val="tx1"/>
                  </w14:solidFill>
                </w14:textFill>
              </w:rPr>
              <w:t>升压站及保护目标</w:t>
            </w:r>
          </w:p>
        </w:tc>
        <w:tc>
          <w:tcPr>
            <w:tcW w:w="1883" w:type="dxa"/>
            <w:gridSpan w:val="7"/>
            <w:noWrap w:val="0"/>
            <w:vAlign w:val="center"/>
          </w:tcPr>
          <w:p w14:paraId="17A7D5D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auto"/>
                <w:sz w:val="21"/>
                <w:szCs w:val="21"/>
                <w:highlight w:val="none"/>
                <w:lang w:val="en-US" w:eastAsia="zh-CN"/>
              </w:rPr>
              <w:t>AS8336</w:t>
            </w:r>
            <w:r>
              <w:rPr>
                <w:rFonts w:hint="eastAsia" w:eastAsia="宋体"/>
                <w:color w:val="auto"/>
                <w:sz w:val="21"/>
                <w:szCs w:val="21"/>
                <w:highlight w:val="none"/>
                <w:lang w:val="en-US" w:eastAsia="zh-CN"/>
              </w:rPr>
              <w:t xml:space="preserve">型风速仪 </w:t>
            </w:r>
          </w:p>
        </w:tc>
        <w:tc>
          <w:tcPr>
            <w:tcW w:w="1711" w:type="dxa"/>
            <w:gridSpan w:val="6"/>
            <w:noWrap w:val="0"/>
            <w:vAlign w:val="center"/>
          </w:tcPr>
          <w:p w14:paraId="75B23D5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eastAsia="宋体"/>
                <w:color w:val="auto"/>
                <w:sz w:val="21"/>
                <w:szCs w:val="21"/>
                <w:highlight w:val="none"/>
                <w:lang w:val="en-US" w:eastAsia="zh-CN"/>
              </w:rPr>
              <w:t>XSJS/YQ-36</w:t>
            </w:r>
            <w:r>
              <w:rPr>
                <w:rFonts w:hint="eastAsia"/>
                <w:color w:val="auto"/>
                <w:sz w:val="21"/>
                <w:szCs w:val="21"/>
                <w:highlight w:val="none"/>
                <w:lang w:val="en-US" w:eastAsia="zh-CN"/>
              </w:rPr>
              <w:t>-41</w:t>
            </w:r>
          </w:p>
        </w:tc>
        <w:tc>
          <w:tcPr>
            <w:tcW w:w="836" w:type="pct"/>
            <w:gridSpan w:val="6"/>
            <w:noWrap w:val="0"/>
            <w:vAlign w:val="center"/>
          </w:tcPr>
          <w:p w14:paraId="1D7D01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pPr>
            <w:r>
              <w:rPr>
                <w:rFonts w:hint="eastAsia" w:cs="Times New Roman"/>
                <w:b w:val="0"/>
                <w:bCs/>
                <w:strike w:val="0"/>
                <w:color w:val="000000" w:themeColor="text1"/>
                <w:kern w:val="2"/>
                <w:sz w:val="21"/>
                <w:szCs w:val="21"/>
                <w:highlight w:val="none"/>
                <w:lang w:val="en-US" w:eastAsia="zh-CN" w:bidi="ar"/>
                <w14:textFill>
                  <w14:solidFill>
                    <w14:schemeClr w14:val="tx1"/>
                  </w14:solidFill>
                </w14:textFill>
              </w:rPr>
              <w:t>2024.12.08</w:t>
            </w:r>
          </w:p>
        </w:tc>
        <w:tc>
          <w:tcPr>
            <w:tcW w:w="714" w:type="pct"/>
            <w:gridSpan w:val="4"/>
            <w:noWrap w:val="0"/>
            <w:vAlign w:val="center"/>
          </w:tcPr>
          <w:p w14:paraId="391C76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trike w:val="0"/>
                <w:color w:val="000000" w:themeColor="text1"/>
                <w:kern w:val="2"/>
                <w:sz w:val="21"/>
                <w:szCs w:val="21"/>
                <w:highlight w:val="none"/>
                <w:lang w:val="en-US" w:eastAsia="zh-CN" w:bidi="ar"/>
                <w14:textFill>
                  <w14:solidFill>
                    <w14:schemeClr w14:val="tx1"/>
                  </w14:solidFill>
                </w14:textFill>
              </w:rPr>
            </w:pPr>
            <w:r>
              <w:rPr>
                <w:rFonts w:hint="eastAsia" w:cs="Times New Roman"/>
                <w:b w:val="0"/>
                <w:bCs/>
                <w:strike w:val="0"/>
                <w:color w:val="000000" w:themeColor="text1"/>
                <w:kern w:val="2"/>
                <w:sz w:val="21"/>
                <w:szCs w:val="21"/>
                <w:highlight w:val="none"/>
                <w:lang w:val="en-US" w:eastAsia="zh-CN" w:bidi="ar"/>
                <w14:textFill>
                  <w14:solidFill>
                    <w14:schemeClr w14:val="tx1"/>
                  </w14:solidFill>
                </w14:textFill>
              </w:rPr>
              <w:t>2025.12.07</w:t>
            </w:r>
          </w:p>
        </w:tc>
        <w:tc>
          <w:tcPr>
            <w:tcW w:w="844" w:type="pct"/>
            <w:gridSpan w:val="5"/>
            <w:vMerge w:val="restart"/>
            <w:noWrap w:val="0"/>
            <w:vAlign w:val="center"/>
          </w:tcPr>
          <w:p w14:paraId="6A1CE834">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w:t>
            </w:r>
            <w:r>
              <w:rPr>
                <w:rFonts w:hint="eastAsia" w:ascii="Times New Roman" w:hAnsi="Times New Roman" w:eastAsia="宋体" w:cs="Times New Roman"/>
                <w:color w:val="auto"/>
                <w:sz w:val="21"/>
                <w:szCs w:val="21"/>
                <w:highlight w:val="none"/>
                <w:lang w:val="en-US" w:eastAsia="zh-CN"/>
              </w:rPr>
              <w:t>晴</w:t>
            </w:r>
          </w:p>
          <w:p w14:paraId="0F745E49">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温度：</w:t>
            </w:r>
            <w:r>
              <w:rPr>
                <w:rFonts w:hint="eastAsia" w:cs="Times New Roman"/>
                <w:b w:val="0"/>
                <w:bCs/>
                <w:color w:val="auto"/>
                <w:kern w:val="2"/>
                <w:sz w:val="21"/>
                <w:szCs w:val="21"/>
                <w:highlight w:val="none"/>
                <w:lang w:val="en-US" w:eastAsia="zh-CN" w:bidi="ar-SA"/>
              </w:rPr>
              <w:t>26.1</w:t>
            </w:r>
            <w:r>
              <w:rPr>
                <w:rFonts w:hint="default" w:ascii="Times New Roman" w:hAnsi="Times New Roman" w:eastAsia="宋体" w:cs="Times New Roman"/>
                <w:b w:val="0"/>
                <w:bCs/>
                <w:color w:val="auto"/>
                <w:kern w:val="2"/>
                <w:sz w:val="21"/>
                <w:szCs w:val="21"/>
                <w:highlight w:val="none"/>
                <w:lang w:val="en-US" w:eastAsia="zh-CN" w:bidi="ar-SA"/>
              </w:rPr>
              <w:t>℃</w:t>
            </w:r>
          </w:p>
          <w:p w14:paraId="49A2363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themeColor="text1"/>
                <w:spacing w:val="-4"/>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auto"/>
                <w:kern w:val="2"/>
                <w:sz w:val="21"/>
                <w:szCs w:val="21"/>
                <w:highlight w:val="none"/>
                <w:lang w:val="en-US" w:eastAsia="zh-CN" w:bidi="ar-SA"/>
              </w:rPr>
              <w:t>湿度</w:t>
            </w:r>
            <w:r>
              <w:rPr>
                <w:rFonts w:hint="eastAsia" w:ascii="Times New Roman" w:hAnsi="Times New Roman" w:eastAsia="宋体" w:cs="Times New Roman"/>
                <w:b w:val="0"/>
                <w:bCs/>
                <w:color w:val="auto"/>
                <w:kern w:val="2"/>
                <w:sz w:val="21"/>
                <w:szCs w:val="21"/>
                <w:highlight w:val="none"/>
                <w:lang w:val="en-US" w:eastAsia="zh-CN" w:bidi="ar-SA"/>
              </w:rPr>
              <w:t>：</w:t>
            </w:r>
            <w:r>
              <w:rPr>
                <w:rFonts w:hint="eastAsia" w:cs="Times New Roman"/>
                <w:b w:val="0"/>
                <w:bCs/>
                <w:color w:val="auto"/>
                <w:kern w:val="2"/>
                <w:sz w:val="21"/>
                <w:szCs w:val="21"/>
                <w:highlight w:val="none"/>
                <w:lang w:val="en-US" w:eastAsia="zh-CN" w:bidi="ar-SA"/>
              </w:rPr>
              <w:t>18</w:t>
            </w:r>
            <w:r>
              <w:rPr>
                <w:rFonts w:hint="default" w:ascii="Times New Roman" w:hAnsi="Times New Roman" w:eastAsia="宋体" w:cs="Times New Roman"/>
                <w:b w:val="0"/>
                <w:bCs/>
                <w:color w:val="auto"/>
                <w:kern w:val="2"/>
                <w:sz w:val="21"/>
                <w:szCs w:val="21"/>
                <w:highlight w:val="none"/>
                <w:lang w:val="en-US" w:eastAsia="zh-CN" w:bidi="ar-SA"/>
              </w:rPr>
              <w:t>%RH</w:t>
            </w:r>
          </w:p>
        </w:tc>
      </w:tr>
      <w:tr w14:paraId="38C73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16" w:hRule="atLeast"/>
          <w:jc w:val="center"/>
        </w:trPr>
        <w:tc>
          <w:tcPr>
            <w:tcW w:w="620" w:type="pct"/>
            <w:gridSpan w:val="3"/>
            <w:vMerge w:val="continue"/>
            <w:noWrap w:val="0"/>
            <w:vAlign w:val="center"/>
          </w:tcPr>
          <w:p w14:paraId="02E260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rPr>
            </w:pPr>
          </w:p>
        </w:tc>
        <w:tc>
          <w:tcPr>
            <w:tcW w:w="1883" w:type="dxa"/>
            <w:gridSpan w:val="7"/>
            <w:noWrap w:val="0"/>
            <w:vAlign w:val="center"/>
          </w:tcPr>
          <w:p w14:paraId="2B1AA26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Cs/>
                <w:color w:val="000000"/>
                <w:sz w:val="21"/>
                <w:szCs w:val="21"/>
                <w:highlight w:val="none"/>
                <w:lang w:bidi="ar"/>
              </w:rPr>
              <w:t>AWA</w:t>
            </w:r>
            <w:r>
              <w:rPr>
                <w:rFonts w:hint="eastAsia" w:cs="Times New Roman"/>
                <w:bCs/>
                <w:color w:val="000000"/>
                <w:sz w:val="21"/>
                <w:szCs w:val="21"/>
                <w:highlight w:val="none"/>
                <w:lang w:val="en-US" w:eastAsia="zh-CN" w:bidi="ar"/>
              </w:rPr>
              <w:t>5688</w:t>
            </w:r>
            <w:r>
              <w:rPr>
                <w:rFonts w:hint="default" w:ascii="Times New Roman" w:hAnsi="Times New Roman" w:eastAsia="宋体" w:cs="Times New Roman"/>
                <w:bCs/>
                <w:color w:val="000000"/>
                <w:sz w:val="21"/>
                <w:szCs w:val="21"/>
                <w:highlight w:val="none"/>
                <w:lang w:bidi="ar"/>
              </w:rPr>
              <w:t>多功能声级计</w:t>
            </w:r>
          </w:p>
        </w:tc>
        <w:tc>
          <w:tcPr>
            <w:tcW w:w="1711" w:type="dxa"/>
            <w:gridSpan w:val="6"/>
            <w:noWrap w:val="0"/>
            <w:vAlign w:val="center"/>
          </w:tcPr>
          <w:p w14:paraId="2BD0439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auto"/>
                <w:sz w:val="21"/>
                <w:szCs w:val="21"/>
                <w:highlight w:val="none"/>
              </w:rPr>
              <w:t>XSJS/YQ-24</w:t>
            </w:r>
            <w:r>
              <w:rPr>
                <w:rFonts w:hint="eastAsia"/>
                <w:color w:val="auto"/>
                <w:sz w:val="21"/>
                <w:szCs w:val="21"/>
                <w:highlight w:val="none"/>
                <w:lang w:val="en-US" w:eastAsia="zh-CN"/>
              </w:rPr>
              <w:t>-34</w:t>
            </w:r>
          </w:p>
        </w:tc>
        <w:tc>
          <w:tcPr>
            <w:tcW w:w="836" w:type="pct"/>
            <w:gridSpan w:val="6"/>
            <w:noWrap w:val="0"/>
            <w:vAlign w:val="center"/>
          </w:tcPr>
          <w:p w14:paraId="2B5C3A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2024.12.26</w:t>
            </w:r>
          </w:p>
        </w:tc>
        <w:tc>
          <w:tcPr>
            <w:tcW w:w="714" w:type="pct"/>
            <w:gridSpan w:val="4"/>
            <w:noWrap w:val="0"/>
            <w:vAlign w:val="center"/>
          </w:tcPr>
          <w:p w14:paraId="138EB7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2025.12.25</w:t>
            </w:r>
          </w:p>
        </w:tc>
        <w:tc>
          <w:tcPr>
            <w:tcW w:w="844" w:type="pct"/>
            <w:gridSpan w:val="5"/>
            <w:vMerge w:val="continue"/>
            <w:noWrap w:val="0"/>
            <w:vAlign w:val="center"/>
          </w:tcPr>
          <w:p w14:paraId="7708F2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r>
      <w:tr w14:paraId="40B45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16" w:hRule="atLeast"/>
          <w:jc w:val="center"/>
        </w:trPr>
        <w:tc>
          <w:tcPr>
            <w:tcW w:w="620" w:type="pct"/>
            <w:gridSpan w:val="3"/>
            <w:vMerge w:val="continue"/>
            <w:noWrap w:val="0"/>
            <w:vAlign w:val="center"/>
          </w:tcPr>
          <w:p w14:paraId="5A4B44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c>
          <w:tcPr>
            <w:tcW w:w="1883" w:type="dxa"/>
            <w:gridSpan w:val="7"/>
            <w:noWrap w:val="0"/>
            <w:vAlign w:val="center"/>
          </w:tcPr>
          <w:p w14:paraId="1438418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AWA60</w:t>
            </w:r>
            <w:r>
              <w:rPr>
                <w:rFonts w:hint="eastAsia" w:cs="Times New Roman"/>
                <w:color w:val="000000"/>
                <w:kern w:val="2"/>
                <w:sz w:val="21"/>
                <w:szCs w:val="21"/>
                <w:highlight w:val="none"/>
                <w:lang w:val="en-US" w:eastAsia="zh-CN" w:bidi="ar-SA"/>
              </w:rPr>
              <w:t>21</w:t>
            </w:r>
            <w:r>
              <w:rPr>
                <w:rFonts w:hint="eastAsia" w:ascii="Times New Roman" w:hAnsi="Times New Roman" w:eastAsia="宋体" w:cs="Times New Roman"/>
                <w:color w:val="000000"/>
                <w:kern w:val="2"/>
                <w:sz w:val="21"/>
                <w:szCs w:val="21"/>
                <w:highlight w:val="none"/>
                <w:lang w:val="en-US" w:eastAsia="zh-CN" w:bidi="ar-SA"/>
              </w:rPr>
              <w:t xml:space="preserve">A型声校准器 </w:t>
            </w:r>
          </w:p>
        </w:tc>
        <w:tc>
          <w:tcPr>
            <w:tcW w:w="1711" w:type="dxa"/>
            <w:gridSpan w:val="6"/>
            <w:noWrap w:val="0"/>
            <w:vAlign w:val="center"/>
          </w:tcPr>
          <w:p w14:paraId="12ABD3F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XSJS/YQ-34</w:t>
            </w:r>
            <w:r>
              <w:rPr>
                <w:rFonts w:hint="eastAsia" w:cs="Times New Roman"/>
                <w:color w:val="000000"/>
                <w:kern w:val="2"/>
                <w:sz w:val="21"/>
                <w:szCs w:val="21"/>
                <w:highlight w:val="none"/>
                <w:lang w:val="en-US" w:eastAsia="zh-CN" w:bidi="ar-SA"/>
              </w:rPr>
              <w:t>-3</w:t>
            </w:r>
          </w:p>
        </w:tc>
        <w:tc>
          <w:tcPr>
            <w:tcW w:w="836" w:type="pct"/>
            <w:gridSpan w:val="6"/>
            <w:noWrap w:val="0"/>
            <w:vAlign w:val="center"/>
          </w:tcPr>
          <w:p w14:paraId="7DE663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2024.08.09</w:t>
            </w:r>
          </w:p>
        </w:tc>
        <w:tc>
          <w:tcPr>
            <w:tcW w:w="714" w:type="pct"/>
            <w:gridSpan w:val="4"/>
            <w:noWrap w:val="0"/>
            <w:vAlign w:val="center"/>
          </w:tcPr>
          <w:p w14:paraId="08C131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2025.08.08</w:t>
            </w:r>
          </w:p>
        </w:tc>
        <w:tc>
          <w:tcPr>
            <w:tcW w:w="844" w:type="pct"/>
            <w:gridSpan w:val="5"/>
            <w:vMerge w:val="continue"/>
            <w:noWrap w:val="0"/>
            <w:vAlign w:val="center"/>
          </w:tcPr>
          <w:p w14:paraId="788335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r>
      <w:tr w14:paraId="5F822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000" w:type="pct"/>
            <w:gridSpan w:val="32"/>
            <w:noWrap w:val="0"/>
            <w:vAlign w:val="center"/>
          </w:tcPr>
          <w:p w14:paraId="1AB726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firstLine="0" w:firstLineChars="0"/>
              <w:jc w:val="both"/>
              <w:textAlignment w:val="auto"/>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pPr>
          </w:p>
          <w:p w14:paraId="273691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pacing w:val="-4"/>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表3-</w:t>
            </w:r>
            <w:r>
              <w:rPr>
                <w:rFonts w:hint="eastAsia" w:cs="Times New Roman"/>
                <w:b/>
                <w:bCs/>
                <w:color w:val="000000" w:themeColor="text1"/>
                <w:spacing w:val="-4"/>
                <w:kern w:val="2"/>
                <w:sz w:val="24"/>
                <w:szCs w:val="24"/>
                <w:lang w:val="en-US" w:eastAsia="zh-CN" w:bidi="ar-SA"/>
                <w14:textFill>
                  <w14:solidFill>
                    <w14:schemeClr w14:val="tx1"/>
                  </w14:solidFill>
                </w14:textFill>
              </w:rPr>
              <w:t xml:space="preserve">5 </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噪声监测结果一览表  单位（dB</w:t>
            </w:r>
            <w:r>
              <w:rPr>
                <w:rFonts w:hint="eastAsia" w:cs="Times New Roman"/>
                <w:b/>
                <w:bCs/>
                <w:color w:val="000000" w:themeColor="text1"/>
                <w:spacing w:val="-4"/>
                <w:kern w:val="2"/>
                <w:sz w:val="24"/>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A</w:t>
            </w:r>
            <w:r>
              <w:rPr>
                <w:rFonts w:hint="eastAsia" w:cs="Times New Roman"/>
                <w:b/>
                <w:bCs/>
                <w:color w:val="000000" w:themeColor="text1"/>
                <w:spacing w:val="-4"/>
                <w:kern w:val="2"/>
                <w:sz w:val="24"/>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w:t>
            </w:r>
          </w:p>
        </w:tc>
      </w:tr>
      <w:tr w14:paraId="3B586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restart"/>
            <w:noWrap w:val="0"/>
            <w:vAlign w:val="center"/>
          </w:tcPr>
          <w:p w14:paraId="7D255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项目</w:t>
            </w:r>
          </w:p>
        </w:tc>
        <w:tc>
          <w:tcPr>
            <w:tcW w:w="715" w:type="pct"/>
            <w:gridSpan w:val="5"/>
            <w:vMerge w:val="restart"/>
            <w:noWrap w:val="0"/>
            <w:vAlign w:val="center"/>
          </w:tcPr>
          <w:p w14:paraId="79386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名称</w:t>
            </w:r>
          </w:p>
        </w:tc>
        <w:tc>
          <w:tcPr>
            <w:tcW w:w="1450" w:type="pct"/>
            <w:gridSpan w:val="9"/>
            <w:vMerge w:val="restart"/>
            <w:noWrap w:val="0"/>
            <w:vAlign w:val="center"/>
          </w:tcPr>
          <w:p w14:paraId="0343D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监测点描述</w:t>
            </w:r>
          </w:p>
        </w:tc>
        <w:tc>
          <w:tcPr>
            <w:tcW w:w="832" w:type="pct"/>
            <w:gridSpan w:val="6"/>
            <w:noWrap w:val="0"/>
            <w:vAlign w:val="center"/>
          </w:tcPr>
          <w:p w14:paraId="17FDCE4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监测结果</w:t>
            </w:r>
          </w:p>
        </w:tc>
        <w:tc>
          <w:tcPr>
            <w:tcW w:w="789" w:type="pct"/>
            <w:gridSpan w:val="6"/>
            <w:noWrap w:val="0"/>
            <w:vAlign w:val="center"/>
          </w:tcPr>
          <w:p w14:paraId="12C9C66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标准限值</w:t>
            </w:r>
          </w:p>
        </w:tc>
        <w:tc>
          <w:tcPr>
            <w:tcW w:w="833" w:type="pct"/>
            <w:gridSpan w:val="5"/>
            <w:noWrap w:val="0"/>
            <w:vAlign w:val="center"/>
          </w:tcPr>
          <w:p w14:paraId="12DAA6D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评价结果</w:t>
            </w:r>
          </w:p>
        </w:tc>
      </w:tr>
      <w:tr w14:paraId="0E05B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4A2A2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1652C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vMerge w:val="continue"/>
            <w:noWrap w:val="0"/>
            <w:vAlign w:val="center"/>
          </w:tcPr>
          <w:p w14:paraId="12E83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9" w:type="pct"/>
            <w:gridSpan w:val="4"/>
            <w:noWrap w:val="0"/>
            <w:vAlign w:val="center"/>
          </w:tcPr>
          <w:p w14:paraId="072298C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昼间</w:t>
            </w:r>
          </w:p>
        </w:tc>
        <w:tc>
          <w:tcPr>
            <w:tcW w:w="402" w:type="pct"/>
            <w:gridSpan w:val="2"/>
            <w:noWrap w:val="0"/>
            <w:vAlign w:val="center"/>
          </w:tcPr>
          <w:p w14:paraId="1C7E91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夜间</w:t>
            </w:r>
          </w:p>
        </w:tc>
        <w:tc>
          <w:tcPr>
            <w:tcW w:w="408" w:type="pct"/>
            <w:gridSpan w:val="4"/>
            <w:noWrap w:val="0"/>
            <w:vAlign w:val="center"/>
          </w:tcPr>
          <w:p w14:paraId="21B9852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昼间</w:t>
            </w:r>
          </w:p>
        </w:tc>
        <w:tc>
          <w:tcPr>
            <w:tcW w:w="380" w:type="pct"/>
            <w:gridSpan w:val="2"/>
            <w:noWrap w:val="0"/>
            <w:vAlign w:val="center"/>
          </w:tcPr>
          <w:p w14:paraId="0F5D11C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夜间</w:t>
            </w:r>
          </w:p>
        </w:tc>
        <w:tc>
          <w:tcPr>
            <w:tcW w:w="426" w:type="pct"/>
            <w:gridSpan w:val="3"/>
            <w:noWrap w:val="0"/>
            <w:vAlign w:val="center"/>
          </w:tcPr>
          <w:p w14:paraId="3E14E9C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昼间</w:t>
            </w:r>
          </w:p>
        </w:tc>
        <w:tc>
          <w:tcPr>
            <w:tcW w:w="407" w:type="pct"/>
            <w:gridSpan w:val="2"/>
            <w:noWrap w:val="0"/>
            <w:vAlign w:val="center"/>
          </w:tcPr>
          <w:p w14:paraId="78D7633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夜间</w:t>
            </w:r>
          </w:p>
        </w:tc>
      </w:tr>
      <w:tr w14:paraId="2671F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79" w:type="pct"/>
            <w:vMerge w:val="restart"/>
            <w:noWrap w:val="0"/>
            <w:vAlign w:val="center"/>
          </w:tcPr>
          <w:p w14:paraId="7E2EF8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输电线路</w:t>
            </w:r>
          </w:p>
        </w:tc>
        <w:tc>
          <w:tcPr>
            <w:tcW w:w="715" w:type="pct"/>
            <w:gridSpan w:val="5"/>
            <w:vMerge w:val="restart"/>
            <w:noWrap w:val="0"/>
            <w:vAlign w:val="center"/>
          </w:tcPr>
          <w:p w14:paraId="0F666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1#噪声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监测断面</w:t>
            </w:r>
          </w:p>
        </w:tc>
        <w:tc>
          <w:tcPr>
            <w:tcW w:w="1450" w:type="pct"/>
            <w:gridSpan w:val="9"/>
            <w:noWrap w:val="0"/>
            <w:vAlign w:val="center"/>
          </w:tcPr>
          <w:p w14:paraId="19F4C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0m处</w:t>
            </w:r>
          </w:p>
        </w:tc>
        <w:tc>
          <w:tcPr>
            <w:tcW w:w="778" w:type="dxa"/>
            <w:gridSpan w:val="4"/>
            <w:noWrap w:val="0"/>
            <w:vAlign w:val="center"/>
          </w:tcPr>
          <w:p w14:paraId="10AC09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78C8A6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restart"/>
            <w:noWrap w:val="0"/>
            <w:vAlign w:val="center"/>
          </w:tcPr>
          <w:p w14:paraId="2A82AAF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60</w:t>
            </w:r>
          </w:p>
        </w:tc>
        <w:tc>
          <w:tcPr>
            <w:tcW w:w="380" w:type="pct"/>
            <w:gridSpan w:val="2"/>
            <w:vMerge w:val="restart"/>
            <w:noWrap w:val="0"/>
            <w:vAlign w:val="center"/>
          </w:tcPr>
          <w:p w14:paraId="5CACBD9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50</w:t>
            </w:r>
          </w:p>
        </w:tc>
        <w:tc>
          <w:tcPr>
            <w:tcW w:w="426" w:type="pct"/>
            <w:gridSpan w:val="3"/>
            <w:noWrap w:val="0"/>
            <w:vAlign w:val="center"/>
          </w:tcPr>
          <w:p w14:paraId="4BF22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352F4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0D1FF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1E039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64519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noWrap w:val="0"/>
            <w:vAlign w:val="center"/>
          </w:tcPr>
          <w:p w14:paraId="6D88A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5m处</w:t>
            </w:r>
          </w:p>
        </w:tc>
        <w:tc>
          <w:tcPr>
            <w:tcW w:w="778" w:type="dxa"/>
            <w:gridSpan w:val="4"/>
            <w:noWrap w:val="0"/>
            <w:vAlign w:val="center"/>
          </w:tcPr>
          <w:p w14:paraId="7D46D5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04FD2E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4FD686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4EFBF1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0AAE4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03618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0EE8C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0EEAA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71AAC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noWrap w:val="0"/>
            <w:vAlign w:val="center"/>
          </w:tcPr>
          <w:p w14:paraId="5E2DA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10m处</w:t>
            </w:r>
          </w:p>
        </w:tc>
        <w:tc>
          <w:tcPr>
            <w:tcW w:w="778" w:type="dxa"/>
            <w:gridSpan w:val="4"/>
            <w:noWrap w:val="0"/>
            <w:vAlign w:val="center"/>
          </w:tcPr>
          <w:p w14:paraId="3A0EA1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459EB2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136D2D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5E0216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24343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12966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6342A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3E44C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76D4E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noWrap w:val="0"/>
            <w:vAlign w:val="center"/>
          </w:tcPr>
          <w:p w14:paraId="3F9D2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15m处</w:t>
            </w:r>
          </w:p>
        </w:tc>
        <w:tc>
          <w:tcPr>
            <w:tcW w:w="778" w:type="dxa"/>
            <w:gridSpan w:val="4"/>
            <w:noWrap w:val="0"/>
            <w:vAlign w:val="center"/>
          </w:tcPr>
          <w:p w14:paraId="070142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30EAB7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54C396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5A189A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1E645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5D948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005C9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21E93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11A12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noWrap w:val="0"/>
            <w:vAlign w:val="center"/>
          </w:tcPr>
          <w:p w14:paraId="3100A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20m处</w:t>
            </w:r>
          </w:p>
        </w:tc>
        <w:tc>
          <w:tcPr>
            <w:tcW w:w="778" w:type="dxa"/>
            <w:gridSpan w:val="4"/>
            <w:noWrap w:val="0"/>
            <w:vAlign w:val="center"/>
          </w:tcPr>
          <w:p w14:paraId="21AA67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0B7BF4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21AF0C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5327E8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0D513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2B209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6CC9B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10CAF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103F7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noWrap w:val="0"/>
            <w:vAlign w:val="center"/>
          </w:tcPr>
          <w:p w14:paraId="7148B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25m处</w:t>
            </w:r>
          </w:p>
        </w:tc>
        <w:tc>
          <w:tcPr>
            <w:tcW w:w="778" w:type="dxa"/>
            <w:gridSpan w:val="4"/>
            <w:noWrap w:val="0"/>
            <w:vAlign w:val="center"/>
          </w:tcPr>
          <w:p w14:paraId="7401BB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120E79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418FA8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0232DE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2C9EA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36699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446FC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02EA4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vMerge w:val="continue"/>
            <w:noWrap w:val="0"/>
            <w:vAlign w:val="center"/>
          </w:tcPr>
          <w:p w14:paraId="14FAE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1450" w:type="pct"/>
            <w:gridSpan w:val="9"/>
            <w:noWrap w:val="0"/>
            <w:vAlign w:val="center"/>
          </w:tcPr>
          <w:p w14:paraId="1BA77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中</w:t>
            </w:r>
            <w:r>
              <w:rPr>
                <w:rFonts w:hint="eastAsia"/>
                <w:color w:val="000000" w:themeColor="text1"/>
                <w:sz w:val="21"/>
                <w:szCs w:val="21"/>
                <w:lang w:val="en-US" w:eastAsia="zh-CN"/>
                <w14:textFill>
                  <w14:solidFill>
                    <w14:schemeClr w14:val="tx1"/>
                  </w14:solidFill>
                </w14:textFill>
              </w:rPr>
              <w:t>导线对地投影点</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30m处</w:t>
            </w:r>
          </w:p>
        </w:tc>
        <w:tc>
          <w:tcPr>
            <w:tcW w:w="778" w:type="dxa"/>
            <w:gridSpan w:val="4"/>
            <w:noWrap w:val="0"/>
            <w:vAlign w:val="center"/>
          </w:tcPr>
          <w:p w14:paraId="41F9EA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65FF01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69DC27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44E222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7B7E5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12AE0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7E4DE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79" w:type="pct"/>
            <w:vMerge w:val="continue"/>
            <w:noWrap w:val="0"/>
            <w:vAlign w:val="center"/>
          </w:tcPr>
          <w:p w14:paraId="07B8D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715" w:type="pct"/>
            <w:gridSpan w:val="5"/>
            <w:noWrap w:val="0"/>
            <w:vAlign w:val="center"/>
          </w:tcPr>
          <w:p w14:paraId="66043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2#噪声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点</w:t>
            </w:r>
          </w:p>
        </w:tc>
        <w:tc>
          <w:tcPr>
            <w:tcW w:w="1450" w:type="pct"/>
            <w:gridSpan w:val="9"/>
            <w:noWrap w:val="0"/>
            <w:vAlign w:val="center"/>
          </w:tcPr>
          <w:p w14:paraId="52966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中导线对地投影点</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m处</w:t>
            </w:r>
          </w:p>
        </w:tc>
        <w:tc>
          <w:tcPr>
            <w:tcW w:w="778" w:type="dxa"/>
            <w:gridSpan w:val="4"/>
            <w:noWrap w:val="0"/>
            <w:vAlign w:val="center"/>
          </w:tcPr>
          <w:p w14:paraId="607AE2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142A35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continue"/>
            <w:noWrap w:val="0"/>
            <w:vAlign w:val="center"/>
          </w:tcPr>
          <w:p w14:paraId="423538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380" w:type="pct"/>
            <w:gridSpan w:val="2"/>
            <w:vMerge w:val="continue"/>
            <w:noWrap w:val="0"/>
            <w:vAlign w:val="center"/>
          </w:tcPr>
          <w:p w14:paraId="18B3BC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p>
        </w:tc>
        <w:tc>
          <w:tcPr>
            <w:tcW w:w="426" w:type="pct"/>
            <w:gridSpan w:val="3"/>
            <w:noWrap w:val="0"/>
            <w:vAlign w:val="center"/>
          </w:tcPr>
          <w:p w14:paraId="7D029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1E2C9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7DA42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79" w:type="pct"/>
            <w:vMerge w:val="restart"/>
            <w:noWrap w:val="0"/>
            <w:vAlign w:val="center"/>
          </w:tcPr>
          <w:p w14:paraId="4F5B79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升压站</w:t>
            </w:r>
          </w:p>
        </w:tc>
        <w:tc>
          <w:tcPr>
            <w:tcW w:w="715" w:type="pct"/>
            <w:gridSpan w:val="5"/>
            <w:noWrap w:val="0"/>
            <w:vAlign w:val="center"/>
          </w:tcPr>
          <w:p w14:paraId="73D65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升压站东</w:t>
            </w:r>
            <w:r>
              <w:rPr>
                <w:rFonts w:hint="default" w:ascii="Times New Roman" w:hAnsi="Times New Roman" w:cs="Times New Roman"/>
                <w:sz w:val="21"/>
                <w:szCs w:val="21"/>
                <w:lang w:val="en-US" w:eastAsia="zh-CN"/>
              </w:rPr>
              <w:t>侧</w:t>
            </w:r>
          </w:p>
        </w:tc>
        <w:tc>
          <w:tcPr>
            <w:tcW w:w="1450" w:type="pct"/>
            <w:gridSpan w:val="9"/>
            <w:noWrap w:val="0"/>
            <w:vAlign w:val="center"/>
          </w:tcPr>
          <w:p w14:paraId="597C8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s="Times New Roman"/>
                <w:sz w:val="21"/>
                <w:szCs w:val="21"/>
                <w:lang w:val="en-US" w:eastAsia="zh-CN"/>
              </w:rPr>
              <w:t>升压站东</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围墙外1m处</w:t>
            </w:r>
          </w:p>
        </w:tc>
        <w:tc>
          <w:tcPr>
            <w:tcW w:w="778" w:type="dxa"/>
            <w:gridSpan w:val="4"/>
            <w:noWrap w:val="0"/>
            <w:vAlign w:val="center"/>
          </w:tcPr>
          <w:p w14:paraId="6E1DC3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cs="Times New Roman"/>
                <w:b w:val="0"/>
                <w:bCs w:val="0"/>
                <w:color w:val="000000" w:themeColor="text1"/>
                <w:spacing w:val="-4"/>
                <w:kern w:val="2"/>
                <w:sz w:val="21"/>
                <w:szCs w:val="21"/>
                <w:lang w:val="en-US" w:eastAsia="zh-CN" w:bidi="ar-SA"/>
                <w14:textFill>
                  <w14:solidFill>
                    <w14:schemeClr w14:val="tx1"/>
                  </w14:solidFill>
                </w14:textFill>
              </w:rPr>
            </w:pPr>
          </w:p>
        </w:tc>
        <w:tc>
          <w:tcPr>
            <w:tcW w:w="730" w:type="dxa"/>
            <w:gridSpan w:val="2"/>
            <w:noWrap w:val="0"/>
            <w:vAlign w:val="center"/>
          </w:tcPr>
          <w:p w14:paraId="4B7BF5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cs="Times New Roman"/>
                <w:b w:val="0"/>
                <w:bCs w:val="0"/>
                <w:color w:val="000000" w:themeColor="text1"/>
                <w:spacing w:val="-4"/>
                <w:kern w:val="2"/>
                <w:sz w:val="21"/>
                <w:szCs w:val="21"/>
                <w:lang w:val="en-US" w:eastAsia="zh-CN" w:bidi="ar-SA"/>
                <w14:textFill>
                  <w14:solidFill>
                    <w14:schemeClr w14:val="tx1"/>
                  </w14:solidFill>
                </w14:textFill>
              </w:rPr>
            </w:pPr>
          </w:p>
        </w:tc>
        <w:tc>
          <w:tcPr>
            <w:tcW w:w="408" w:type="pct"/>
            <w:gridSpan w:val="4"/>
            <w:vMerge w:val="restart"/>
            <w:noWrap w:val="0"/>
            <w:vAlign w:val="center"/>
          </w:tcPr>
          <w:p w14:paraId="45A21A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60</w:t>
            </w:r>
          </w:p>
        </w:tc>
        <w:tc>
          <w:tcPr>
            <w:tcW w:w="380" w:type="pct"/>
            <w:gridSpan w:val="2"/>
            <w:vMerge w:val="restart"/>
            <w:noWrap w:val="0"/>
            <w:vAlign w:val="center"/>
          </w:tcPr>
          <w:p w14:paraId="73A720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pacing w:val="-4"/>
                <w:kern w:val="2"/>
                <w:sz w:val="21"/>
                <w:szCs w:val="21"/>
                <w:lang w:val="en-US" w:eastAsia="zh-CN" w:bidi="ar-SA"/>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50</w:t>
            </w:r>
          </w:p>
        </w:tc>
        <w:tc>
          <w:tcPr>
            <w:tcW w:w="426" w:type="pct"/>
            <w:gridSpan w:val="3"/>
            <w:noWrap w:val="0"/>
            <w:vAlign w:val="center"/>
          </w:tcPr>
          <w:p w14:paraId="14252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10557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6730D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79" w:type="pct"/>
            <w:vMerge w:val="continue"/>
            <w:noWrap w:val="0"/>
            <w:vAlign w:val="center"/>
          </w:tcPr>
          <w:p w14:paraId="4EDF8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rPr>
            </w:pPr>
          </w:p>
        </w:tc>
        <w:tc>
          <w:tcPr>
            <w:tcW w:w="715" w:type="pct"/>
            <w:gridSpan w:val="5"/>
            <w:noWrap w:val="0"/>
            <w:vAlign w:val="center"/>
          </w:tcPr>
          <w:p w14:paraId="3828F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升压站南</w:t>
            </w:r>
            <w:r>
              <w:rPr>
                <w:rFonts w:hint="default" w:ascii="Times New Roman" w:hAnsi="Times New Roman" w:cs="Times New Roman"/>
                <w:sz w:val="21"/>
                <w:szCs w:val="21"/>
                <w:lang w:val="en-US" w:eastAsia="zh-CN"/>
              </w:rPr>
              <w:t>侧</w:t>
            </w:r>
          </w:p>
        </w:tc>
        <w:tc>
          <w:tcPr>
            <w:tcW w:w="1450" w:type="pct"/>
            <w:gridSpan w:val="9"/>
            <w:noWrap w:val="0"/>
            <w:vAlign w:val="center"/>
          </w:tcPr>
          <w:p w14:paraId="58175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围墙外1m处</w:t>
            </w:r>
          </w:p>
        </w:tc>
        <w:tc>
          <w:tcPr>
            <w:tcW w:w="778" w:type="dxa"/>
            <w:gridSpan w:val="4"/>
            <w:noWrap w:val="0"/>
            <w:vAlign w:val="center"/>
          </w:tcPr>
          <w:p w14:paraId="3FFAB5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0" w:type="dxa"/>
            <w:gridSpan w:val="2"/>
            <w:noWrap w:val="0"/>
            <w:vAlign w:val="center"/>
          </w:tcPr>
          <w:p w14:paraId="55E509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8" w:type="pct"/>
            <w:gridSpan w:val="4"/>
            <w:vMerge w:val="continue"/>
            <w:noWrap w:val="0"/>
            <w:vAlign w:val="center"/>
          </w:tcPr>
          <w:p w14:paraId="153A7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0" w:type="pct"/>
            <w:gridSpan w:val="2"/>
            <w:vMerge w:val="continue"/>
            <w:noWrap w:val="0"/>
            <w:vAlign w:val="center"/>
          </w:tcPr>
          <w:p w14:paraId="5E1F8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6" w:type="pct"/>
            <w:gridSpan w:val="3"/>
            <w:noWrap w:val="0"/>
            <w:vAlign w:val="center"/>
          </w:tcPr>
          <w:p w14:paraId="35089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3BB58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4F30E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79" w:type="pct"/>
            <w:vMerge w:val="continue"/>
            <w:noWrap w:val="0"/>
            <w:vAlign w:val="center"/>
          </w:tcPr>
          <w:p w14:paraId="60F60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15" w:type="pct"/>
            <w:gridSpan w:val="5"/>
            <w:noWrap w:val="0"/>
            <w:vAlign w:val="center"/>
          </w:tcPr>
          <w:p w14:paraId="50ACA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升压站西</w:t>
            </w:r>
            <w:r>
              <w:rPr>
                <w:rFonts w:hint="default" w:ascii="Times New Roman" w:hAnsi="Times New Roman" w:cs="Times New Roman"/>
                <w:sz w:val="21"/>
                <w:szCs w:val="21"/>
                <w:lang w:val="en-US" w:eastAsia="zh-CN"/>
              </w:rPr>
              <w:t>侧</w:t>
            </w:r>
          </w:p>
        </w:tc>
        <w:tc>
          <w:tcPr>
            <w:tcW w:w="1450" w:type="pct"/>
            <w:gridSpan w:val="9"/>
            <w:noWrap w:val="0"/>
            <w:vAlign w:val="center"/>
          </w:tcPr>
          <w:p w14:paraId="237B7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升压站西</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围墙外1m处</w:t>
            </w:r>
          </w:p>
        </w:tc>
        <w:tc>
          <w:tcPr>
            <w:tcW w:w="778" w:type="dxa"/>
            <w:gridSpan w:val="4"/>
            <w:noWrap w:val="0"/>
            <w:vAlign w:val="center"/>
          </w:tcPr>
          <w:p w14:paraId="4090BB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0" w:type="dxa"/>
            <w:gridSpan w:val="2"/>
            <w:noWrap w:val="0"/>
            <w:vAlign w:val="center"/>
          </w:tcPr>
          <w:p w14:paraId="2511A6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8" w:type="pct"/>
            <w:gridSpan w:val="4"/>
            <w:vMerge w:val="continue"/>
            <w:noWrap w:val="0"/>
            <w:vAlign w:val="center"/>
          </w:tcPr>
          <w:p w14:paraId="6D760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0" w:type="pct"/>
            <w:gridSpan w:val="2"/>
            <w:vMerge w:val="continue"/>
            <w:noWrap w:val="0"/>
            <w:vAlign w:val="center"/>
          </w:tcPr>
          <w:p w14:paraId="18CCA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6" w:type="pct"/>
            <w:gridSpan w:val="3"/>
            <w:noWrap w:val="0"/>
            <w:vAlign w:val="center"/>
          </w:tcPr>
          <w:p w14:paraId="36B41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172B6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68740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79" w:type="pct"/>
            <w:vMerge w:val="continue"/>
            <w:noWrap w:val="0"/>
            <w:vAlign w:val="center"/>
          </w:tcPr>
          <w:p w14:paraId="15974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15" w:type="pct"/>
            <w:gridSpan w:val="5"/>
            <w:noWrap w:val="0"/>
            <w:vAlign w:val="center"/>
          </w:tcPr>
          <w:p w14:paraId="250F4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w:t>
            </w:r>
            <w:r>
              <w:rPr>
                <w:rFonts w:hint="default" w:ascii="Times New Roman" w:hAnsi="Times New Roman" w:cs="Times New Roman"/>
                <w:sz w:val="21"/>
                <w:szCs w:val="21"/>
                <w:lang w:val="en-US" w:eastAsia="zh-CN"/>
              </w:rPr>
              <w:t>北侧</w:t>
            </w:r>
          </w:p>
        </w:tc>
        <w:tc>
          <w:tcPr>
            <w:tcW w:w="1450" w:type="pct"/>
            <w:gridSpan w:val="9"/>
            <w:noWrap w:val="0"/>
            <w:vAlign w:val="center"/>
          </w:tcPr>
          <w:p w14:paraId="543AC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lang w:val="en-US" w:eastAsia="zh-CN"/>
              </w:rPr>
              <w:t>升压站</w:t>
            </w:r>
            <w:r>
              <w:rPr>
                <w:rFonts w:hint="default" w:ascii="Times New Roman" w:hAnsi="Times New Roman" w:cs="Times New Roman"/>
                <w:sz w:val="21"/>
                <w:szCs w:val="21"/>
                <w:lang w:val="en-US" w:eastAsia="zh-CN"/>
              </w:rPr>
              <w:t>北侧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围墙外1m处</w:t>
            </w:r>
          </w:p>
        </w:tc>
        <w:tc>
          <w:tcPr>
            <w:tcW w:w="778" w:type="dxa"/>
            <w:gridSpan w:val="4"/>
            <w:noWrap w:val="0"/>
            <w:vAlign w:val="center"/>
          </w:tcPr>
          <w:p w14:paraId="2A0F00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0" w:type="dxa"/>
            <w:gridSpan w:val="2"/>
            <w:noWrap w:val="0"/>
            <w:vAlign w:val="center"/>
          </w:tcPr>
          <w:p w14:paraId="0F6897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8" w:type="pct"/>
            <w:gridSpan w:val="4"/>
            <w:vMerge w:val="continue"/>
            <w:noWrap w:val="0"/>
            <w:vAlign w:val="center"/>
          </w:tcPr>
          <w:p w14:paraId="624DE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0" w:type="pct"/>
            <w:gridSpan w:val="2"/>
            <w:vMerge w:val="continue"/>
            <w:noWrap w:val="0"/>
            <w:vAlign w:val="center"/>
          </w:tcPr>
          <w:p w14:paraId="34774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6" w:type="pct"/>
            <w:gridSpan w:val="3"/>
            <w:noWrap w:val="0"/>
            <w:vAlign w:val="center"/>
          </w:tcPr>
          <w:p w14:paraId="3FDD6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2DDB1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3B4B0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79" w:type="pct"/>
            <w:vMerge w:val="restart"/>
            <w:noWrap w:val="0"/>
            <w:vAlign w:val="center"/>
          </w:tcPr>
          <w:p w14:paraId="4E210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其他</w:t>
            </w:r>
          </w:p>
        </w:tc>
        <w:tc>
          <w:tcPr>
            <w:tcW w:w="715" w:type="pct"/>
            <w:gridSpan w:val="5"/>
            <w:noWrap w:val="0"/>
            <w:vAlign w:val="center"/>
          </w:tcPr>
          <w:p w14:paraId="0DEF9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保安室</w:t>
            </w:r>
          </w:p>
        </w:tc>
        <w:tc>
          <w:tcPr>
            <w:tcW w:w="1450" w:type="pct"/>
            <w:gridSpan w:val="9"/>
            <w:noWrap w:val="0"/>
            <w:vAlign w:val="center"/>
          </w:tcPr>
          <w:p w14:paraId="5AE3A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z w:val="21"/>
                <w:szCs w:val="21"/>
                <w:lang w:val="en-US" w:eastAsia="zh-CN"/>
              </w:rPr>
              <w:t>E86° 53' 16.65", N41° 43' 52.95"</w:t>
            </w:r>
          </w:p>
        </w:tc>
        <w:tc>
          <w:tcPr>
            <w:tcW w:w="778" w:type="dxa"/>
            <w:gridSpan w:val="4"/>
            <w:noWrap w:val="0"/>
            <w:vAlign w:val="center"/>
          </w:tcPr>
          <w:p w14:paraId="6EFE41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0" w:type="dxa"/>
            <w:gridSpan w:val="2"/>
            <w:noWrap w:val="0"/>
            <w:vAlign w:val="center"/>
          </w:tcPr>
          <w:p w14:paraId="3D0EF9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8" w:type="pct"/>
            <w:gridSpan w:val="4"/>
            <w:vMerge w:val="restart"/>
            <w:noWrap w:val="0"/>
            <w:vAlign w:val="center"/>
          </w:tcPr>
          <w:p w14:paraId="46F69D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60</w:t>
            </w:r>
          </w:p>
        </w:tc>
        <w:tc>
          <w:tcPr>
            <w:tcW w:w="380" w:type="pct"/>
            <w:gridSpan w:val="2"/>
            <w:vMerge w:val="restart"/>
            <w:noWrap w:val="0"/>
            <w:vAlign w:val="center"/>
          </w:tcPr>
          <w:p w14:paraId="712B0B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pacing w:val="-4"/>
                <w:kern w:val="2"/>
                <w:sz w:val="21"/>
                <w:szCs w:val="21"/>
                <w:lang w:val="en-US" w:eastAsia="zh-CN" w:bidi="ar-SA"/>
                <w14:textFill>
                  <w14:solidFill>
                    <w14:schemeClr w14:val="tx1"/>
                  </w14:solidFill>
                </w14:textFill>
              </w:rPr>
              <w:t>50</w:t>
            </w:r>
          </w:p>
        </w:tc>
        <w:tc>
          <w:tcPr>
            <w:tcW w:w="426" w:type="pct"/>
            <w:gridSpan w:val="3"/>
            <w:noWrap w:val="0"/>
            <w:vAlign w:val="center"/>
          </w:tcPr>
          <w:p w14:paraId="46127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14BD8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77090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79" w:type="pct"/>
            <w:vMerge w:val="continue"/>
            <w:noWrap w:val="0"/>
            <w:vAlign w:val="center"/>
          </w:tcPr>
          <w:p w14:paraId="309CD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15" w:type="pct"/>
            <w:gridSpan w:val="5"/>
            <w:noWrap w:val="0"/>
            <w:vAlign w:val="center"/>
          </w:tcPr>
          <w:p w14:paraId="7D96A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综合楼</w:t>
            </w:r>
          </w:p>
        </w:tc>
        <w:tc>
          <w:tcPr>
            <w:tcW w:w="1450" w:type="pct"/>
            <w:gridSpan w:val="9"/>
            <w:noWrap w:val="0"/>
            <w:vAlign w:val="center"/>
          </w:tcPr>
          <w:p w14:paraId="7A0E6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sz w:val="21"/>
                <w:szCs w:val="21"/>
                <w:lang w:val="en-US" w:eastAsia="zh-CN"/>
              </w:rPr>
              <w:t>E86° 53' 15.53",N41° 43' 53.58"</w:t>
            </w:r>
          </w:p>
        </w:tc>
        <w:tc>
          <w:tcPr>
            <w:tcW w:w="778" w:type="dxa"/>
            <w:gridSpan w:val="4"/>
            <w:noWrap w:val="0"/>
            <w:vAlign w:val="center"/>
          </w:tcPr>
          <w:p w14:paraId="4A4E94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0" w:type="dxa"/>
            <w:gridSpan w:val="2"/>
            <w:noWrap w:val="0"/>
            <w:vAlign w:val="center"/>
          </w:tcPr>
          <w:p w14:paraId="239A17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8" w:type="pct"/>
            <w:gridSpan w:val="4"/>
            <w:vMerge w:val="continue"/>
            <w:noWrap w:val="0"/>
            <w:vAlign w:val="center"/>
          </w:tcPr>
          <w:p w14:paraId="7240B6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80" w:type="pct"/>
            <w:gridSpan w:val="2"/>
            <w:vMerge w:val="continue"/>
            <w:noWrap w:val="0"/>
            <w:vAlign w:val="center"/>
          </w:tcPr>
          <w:p w14:paraId="56F3C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6" w:type="pct"/>
            <w:gridSpan w:val="3"/>
            <w:noWrap w:val="0"/>
            <w:vAlign w:val="center"/>
          </w:tcPr>
          <w:p w14:paraId="35F2B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407" w:type="pct"/>
            <w:gridSpan w:val="2"/>
            <w:noWrap w:val="0"/>
            <w:vAlign w:val="center"/>
          </w:tcPr>
          <w:p w14:paraId="65265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r w14:paraId="1833D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000" w:type="pct"/>
            <w:gridSpan w:val="32"/>
            <w:noWrap w:val="0"/>
            <w:vAlign w:val="center"/>
          </w:tcPr>
          <w:p w14:paraId="4C50B7DA">
            <w:pPr>
              <w:pStyle w:val="1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480" w:firstLineChars="200"/>
              <w:textAlignment w:val="auto"/>
              <w:rPr>
                <w:rFonts w:hint="eastAsia"/>
                <w:color w:val="000000" w:themeColor="text1"/>
                <w:lang w:val="en-US" w:eastAsia="zh-CN"/>
                <w14:textFill>
                  <w14:solidFill>
                    <w14:schemeClr w14:val="tx1"/>
                  </w14:solidFill>
                </w14:textFill>
              </w:rPr>
            </w:pPr>
          </w:p>
          <w:p w14:paraId="20609F05">
            <w:pPr>
              <w:pStyle w:val="163"/>
              <w:keepNext w:val="0"/>
              <w:keepLines w:val="0"/>
              <w:suppressLineNumbers w:val="0"/>
              <w:bidi w:val="0"/>
              <w:spacing w:before="0" w:beforeAutospacing="0" w:after="0" w:afterAutospacing="0"/>
              <w:ind w:left="0" w:leftChars="0" w:right="0" w:firstLine="480" w:firstLineChars="200"/>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由上述评价结果知，</w:t>
            </w:r>
            <w:r>
              <w:rPr>
                <w:rFonts w:hint="eastAsia"/>
                <w:color w:val="000000" w:themeColor="text1"/>
                <w14:textFill>
                  <w14:solidFill>
                    <w14:schemeClr w14:val="tx1"/>
                  </w14:solidFill>
                </w14:textFill>
              </w:rPr>
              <w:t>本工程</w:t>
            </w:r>
            <w:r>
              <w:rPr>
                <w:rFonts w:hint="eastAsia"/>
                <w:color w:val="000000" w:themeColor="text1"/>
                <w:lang w:val="en-US" w:eastAsia="zh-CN"/>
                <w14:textFill>
                  <w14:solidFill>
                    <w14:schemeClr w14:val="tx1"/>
                  </w14:solidFill>
                </w14:textFill>
              </w:rPr>
              <w:t>线路沿线及噪声敏感点的监测结果均满足《声环境质量标准》（GB 3096-2008）中2类区标准（昼间60dB(A)、夜间50dB(A)）的要求；升压站四周满足</w:t>
            </w:r>
            <w:r>
              <w:rPr>
                <w:rFonts w:hint="default"/>
                <w:highlight w:val="none"/>
              </w:rPr>
              <w:t>《工业企业厂界环境噪声排放标准》（GB</w:t>
            </w:r>
            <w:r>
              <w:rPr>
                <w:rFonts w:hint="eastAsia"/>
                <w:highlight w:val="none"/>
                <w:lang w:val="en-US" w:eastAsia="zh-CN"/>
              </w:rPr>
              <w:t xml:space="preserve"> </w:t>
            </w:r>
            <w:r>
              <w:rPr>
                <w:rFonts w:hint="default"/>
                <w:highlight w:val="none"/>
              </w:rPr>
              <w:t>12348-2008）</w:t>
            </w:r>
            <w:r>
              <w:rPr>
                <w:rFonts w:hint="eastAsia"/>
                <w:highlight w:val="none"/>
                <w:lang w:val="en-US" w:eastAsia="zh-CN"/>
              </w:rPr>
              <w:t>2</w:t>
            </w:r>
            <w:r>
              <w:rPr>
                <w:rFonts w:hint="default"/>
                <w:highlight w:val="none"/>
              </w:rPr>
              <w:t>类标准</w:t>
            </w:r>
            <w:r>
              <w:rPr>
                <w:rFonts w:hint="eastAsia"/>
                <w:highlight w:val="none"/>
                <w:lang w:eastAsia="zh-CN"/>
              </w:rPr>
              <w:t>。</w:t>
            </w:r>
            <w:r>
              <w:rPr>
                <w:rFonts w:hint="default"/>
                <w:spacing w:val="-1"/>
              </w:rPr>
              <w:t>本工程所在区域现状声环境</w:t>
            </w:r>
            <w:r>
              <w:rPr>
                <w:rFonts w:hint="default"/>
                <w:spacing w:val="-2"/>
              </w:rPr>
              <w:t>质量良好。</w:t>
            </w:r>
          </w:p>
          <w:p w14:paraId="45DBA0D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default" w:ascii="Times New Roman" w:hAnsi="Times New Roman" w:eastAsia="宋体" w:cs="Times New Roman"/>
                <w:color w:val="000000" w:themeColor="text1"/>
                <w:spacing w:val="-1"/>
                <w:kern w:val="2"/>
                <w:sz w:val="24"/>
                <w:szCs w:val="24"/>
                <w:shd w:val="clear" w:color="auto" w:fill="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shd w:val="clear" w:color="auto" w:fill="auto"/>
                <w:lang w:val="en-US" w:eastAsia="zh-CN" w:bidi="ar-SA"/>
                <w14:textFill>
                  <w14:solidFill>
                    <w14:schemeClr w14:val="tx1"/>
                  </w14:solidFill>
                </w14:textFill>
              </w:rPr>
              <w:t>3.1.9电磁环境质量现状</w:t>
            </w:r>
          </w:p>
          <w:p w14:paraId="443976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新疆锡水金山环境科技有限公司</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于</w:t>
            </w:r>
            <w:r>
              <w:rPr>
                <w:rFonts w:hint="eastAsia" w:cs="Times New Roman"/>
                <w:color w:val="000000" w:themeColor="text1"/>
                <w:sz w:val="24"/>
                <w:szCs w:val="24"/>
                <w:highlight w:val="none"/>
                <w:shd w:val="clear" w:color="auto" w:fill="auto"/>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年</w:t>
            </w:r>
            <w:r>
              <w:rPr>
                <w:rFonts w:hint="eastAsia" w:cs="Times New Roman"/>
                <w:color w:val="000000" w:themeColor="text1"/>
                <w:sz w:val="24"/>
                <w:szCs w:val="24"/>
                <w:highlight w:val="none"/>
                <w:shd w:val="clear" w:color="auto" w:fill="auto"/>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月</w:t>
            </w:r>
            <w:r>
              <w:rPr>
                <w:rFonts w:hint="eastAsia" w:cs="Times New Roman"/>
                <w:color w:val="000000" w:themeColor="text1"/>
                <w:sz w:val="24"/>
                <w:szCs w:val="24"/>
                <w:highlight w:val="none"/>
                <w:shd w:val="clear" w:color="auto" w:fill="auto"/>
                <w:lang w:val="en-US" w:eastAsia="zh-CN"/>
                <w14:textFill>
                  <w14:solidFill>
                    <w14:schemeClr w14:val="tx1"/>
                  </w14:solidFill>
                </w14:textFill>
              </w:rPr>
              <w:t>24</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日</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对本工程</w:t>
            </w:r>
            <w:r>
              <w:rPr>
                <w:rFonts w:hint="eastAsia" w:cs="Times New Roman"/>
                <w:color w:val="000000" w:themeColor="text1"/>
                <w:sz w:val="24"/>
                <w:szCs w:val="24"/>
                <w:highlight w:val="none"/>
                <w:shd w:val="clear" w:color="auto" w:fill="auto"/>
                <w:lang w:val="en-US" w:eastAsia="zh-CN"/>
                <w14:textFill>
                  <w14:solidFill>
                    <w14:schemeClr w14:val="tx1"/>
                  </w14:solidFill>
                </w14:textFill>
              </w:rPr>
              <w:t>输电线路</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的电磁环境进行了现状监测</w:t>
            </w:r>
            <w:r>
              <w:rPr>
                <w:rFonts w:hint="eastAsia" w:cs="Times New Roman"/>
                <w:color w:val="000000" w:themeColor="text1"/>
                <w:sz w:val="24"/>
                <w:szCs w:val="24"/>
                <w:highlight w:val="none"/>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于</w:t>
            </w:r>
            <w:r>
              <w:rPr>
                <w:rFonts w:hint="eastAsia" w:cs="Times New Roman"/>
                <w:color w:val="000000" w:themeColor="text1"/>
                <w:sz w:val="24"/>
                <w:szCs w:val="24"/>
                <w:highlight w:val="none"/>
                <w:shd w:val="clear" w:color="auto" w:fill="auto"/>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年</w:t>
            </w:r>
            <w:r>
              <w:rPr>
                <w:rFonts w:hint="eastAsia" w:cs="Times New Roman"/>
                <w:color w:val="000000" w:themeColor="text1"/>
                <w:sz w:val="24"/>
                <w:szCs w:val="24"/>
                <w:highlight w:val="none"/>
                <w:shd w:val="clear" w:color="auto" w:fill="auto"/>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月</w:t>
            </w:r>
            <w:r>
              <w:rPr>
                <w:rFonts w:hint="eastAsia" w:cs="Times New Roman"/>
                <w:color w:val="000000" w:themeColor="text1"/>
                <w:sz w:val="24"/>
                <w:szCs w:val="24"/>
                <w:highlight w:val="none"/>
                <w:shd w:val="clear" w:color="auto" w:fill="auto"/>
                <w:lang w:val="en-US" w:eastAsia="zh-CN"/>
                <w14:textFill>
                  <w14:solidFill>
                    <w14:schemeClr w14:val="tx1"/>
                  </w14:solidFill>
                </w14:textFill>
              </w:rPr>
              <w:t>30</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日</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对本工程升压站的电磁环境进行了现状监测。根据现场监测结果，本工程</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工频电场、工频磁场监测结果均满足《电磁环境控制限值》(GB</w:t>
            </w:r>
            <w:r>
              <w:rPr>
                <w:rFonts w:hint="eastAsia" w:cs="Times New Roman"/>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8702-2014)中的</w:t>
            </w:r>
            <w:r>
              <w:rPr>
                <w:rFonts w:hint="eastAsia" w:cs="Times New Roman"/>
                <w:color w:val="000000" w:themeColor="text1"/>
                <w:sz w:val="24"/>
                <w:szCs w:val="24"/>
                <w:highlight w:val="none"/>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电场强度≤4000V/m；磁感应强度≤100</w:t>
            </w:r>
            <w:r>
              <w:rPr>
                <w:rFonts w:hint="default" w:ascii="Times New Roman" w:hAnsi="Times New Roman" w:eastAsia="宋体" w:cs="Times New Roman"/>
                <w:color w:val="000000" w:themeColor="text1"/>
                <w:sz w:val="24"/>
                <w:szCs w:val="24"/>
                <w:highlight w:val="none"/>
                <w14:textFill>
                  <w14:solidFill>
                    <w14:schemeClr w14:val="tx1"/>
                  </w14:solidFill>
                </w14:textFill>
              </w:rPr>
              <w:t>μ</w:t>
            </w:r>
            <w:r>
              <w:rPr>
                <w:rFonts w:hint="eastAsia" w:ascii="Times New Roman" w:hAnsi="Times New Roman" w:eastAsia="宋体" w:cs="Times New Roman"/>
                <w:color w:val="000000" w:themeColor="text1"/>
                <w:sz w:val="24"/>
                <w:szCs w:val="24"/>
                <w:highlight w:val="none"/>
                <w:shd w:val="clear" w:color="auto" w:fill="auto"/>
                <w14:textFill>
                  <w14:solidFill>
                    <w14:schemeClr w14:val="tx1"/>
                  </w14:solidFill>
                </w14:textFill>
              </w:rPr>
              <w:t>T</w:t>
            </w:r>
            <w:r>
              <w:rPr>
                <w:rFonts w:hint="eastAsia" w:cs="Times New Roman"/>
                <w:color w:val="000000" w:themeColor="text1"/>
                <w:sz w:val="24"/>
                <w:szCs w:val="24"/>
                <w:highlight w:val="none"/>
                <w:shd w:val="clear" w:color="auto" w:fill="auto"/>
                <w:lang w:eastAsia="zh-CN"/>
                <w14:textFill>
                  <w14:solidFill>
                    <w14:schemeClr w14:val="tx1"/>
                  </w14:solidFill>
                </w14:textFill>
              </w:rPr>
              <w:t>；</w:t>
            </w:r>
            <w:r>
              <w:rPr>
                <w:rFonts w:hint="eastAsia" w:ascii="Times New Roman" w:hAnsi="Times New Roman" w:cs="Times New Roman"/>
                <w:color w:val="000000"/>
                <w:kern w:val="2"/>
                <w:sz w:val="24"/>
                <w:szCs w:val="24"/>
                <w:highlight w:val="none"/>
                <w:lang w:val="en-US" w:eastAsia="zh-CN" w:bidi="ar"/>
              </w:rPr>
              <w:t>架空输电线路线下的耕地、园地、牧草地、畜禽饲养地、养殖水面、道路等场所，其频率50Hz的电场强度控制限值为10kV/m，且应给出警示和防护指示标志</w:t>
            </w:r>
            <w:r>
              <w:rPr>
                <w:rFonts w:hint="eastAsia" w:cs="Times New Roman"/>
                <w:color w:val="000000" w:themeColor="text1"/>
                <w:sz w:val="24"/>
                <w:szCs w:val="24"/>
                <w:highlight w:val="none"/>
                <w:shd w:val="clear" w:color="auto" w:fill="auto"/>
                <w:lang w:eastAsia="zh-CN"/>
                <w14:textFill>
                  <w14:solidFill>
                    <w14:schemeClr w14:val="tx1"/>
                  </w14:solidFill>
                </w14:textFill>
              </w:rPr>
              <w:t>）</w:t>
            </w:r>
            <w:r>
              <w:rPr>
                <w:rFonts w:hint="eastAsia" w:cs="Times New Roman"/>
                <w:color w:val="000000" w:themeColor="text1"/>
                <w:sz w:val="24"/>
                <w:szCs w:val="24"/>
                <w:highlight w:val="none"/>
                <w:shd w:val="clear" w:color="auto" w:fill="auto"/>
                <w:lang w:val="en-US" w:eastAsia="zh-CN"/>
                <w14:textFill>
                  <w14:solidFill>
                    <w14:schemeClr w14:val="tx1"/>
                  </w14:solidFill>
                </w14:textFill>
              </w:rPr>
              <w:t>规定</w:t>
            </w:r>
            <w:r>
              <w:rPr>
                <w:rFonts w:hint="eastAsia"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具体数据详见电磁专题分析报告。</w:t>
            </w:r>
          </w:p>
        </w:tc>
      </w:tr>
      <w:tr w14:paraId="2A97B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3EBBBCEF">
            <w:pPr>
              <w:pStyle w:val="10"/>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宋体" w:cs="Times New Roman"/>
                <w:color w:val="000000"/>
                <w:kern w:val="0"/>
                <w:sz w:val="24"/>
                <w:shd w:val="clear" w:color="auto" w:fill="auto"/>
              </w:rPr>
            </w:pPr>
            <w:r>
              <w:rPr>
                <w:rFonts w:hint="eastAsia" w:ascii="Times New Roman" w:hAnsi="Times New Roman" w:eastAsia="宋体" w:cs="Times New Roman"/>
                <w:b/>
                <w:bCs/>
                <w:color w:val="000000" w:themeColor="text1"/>
                <w:kern w:val="2"/>
                <w:sz w:val="24"/>
                <w:szCs w:val="32"/>
                <w:highlight w:val="none"/>
                <w:shd w:val="clear" w:color="auto" w:fill="auto"/>
                <w:lang w:val="en-US" w:eastAsia="zh-CN" w:bidi="ar-SA"/>
                <w14:textFill>
                  <w14:solidFill>
                    <w14:schemeClr w14:val="tx1"/>
                  </w14:solidFill>
                </w14:textFill>
              </w:rPr>
              <w:t>与项目有关的原有环境污染和生态破坏问题</w:t>
            </w:r>
          </w:p>
        </w:tc>
      </w:tr>
      <w:tr w14:paraId="3E685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00" w:type="pct"/>
            <w:gridSpan w:val="32"/>
            <w:noWrap w:val="0"/>
            <w:vAlign w:val="center"/>
          </w:tcPr>
          <w:p w14:paraId="0683BD4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themeColor="text1"/>
                <w:kern w:val="2"/>
                <w:sz w:val="24"/>
                <w:szCs w:val="32"/>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bCs/>
                <w:color w:val="000000"/>
                <w:kern w:val="2"/>
                <w:sz w:val="24"/>
                <w:szCs w:val="24"/>
                <w:shd w:val="clear" w:color="auto" w:fill="auto"/>
                <w:lang w:val="en-US" w:eastAsia="zh-CN" w:bidi="ar-SA"/>
              </w:rPr>
              <w:t>3.2</w:t>
            </w:r>
            <w:r>
              <w:rPr>
                <w:rFonts w:hint="eastAsia" w:ascii="Times New Roman" w:hAnsi="Times New Roman" w:eastAsia="宋体" w:cs="Times New Roman"/>
                <w:b/>
                <w:bCs/>
                <w:color w:val="000000" w:themeColor="text1"/>
                <w:kern w:val="2"/>
                <w:sz w:val="24"/>
                <w:szCs w:val="32"/>
                <w:highlight w:val="none"/>
                <w:shd w:val="clear" w:color="auto" w:fill="auto"/>
                <w:lang w:val="en-US" w:eastAsia="zh-CN" w:bidi="ar-SA"/>
                <w14:textFill>
                  <w14:solidFill>
                    <w14:schemeClr w14:val="tx1"/>
                  </w14:solidFill>
                </w14:textFill>
              </w:rPr>
              <w:t>与项目有关的原有环境污染和生态破坏问题</w:t>
            </w:r>
          </w:p>
          <w:p w14:paraId="3CEE45A1">
            <w:pPr>
              <w:keepNext w:val="0"/>
              <w:keepLines w:val="0"/>
              <w:suppressLineNumbers w:val="0"/>
              <w:spacing w:before="0" w:beforeAutospacing="0" w:after="0" w:afterAutospacing="0"/>
              <w:ind w:left="0" w:right="0"/>
              <w:outlineLvl w:val="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kern w:val="2"/>
                <w:sz w:val="24"/>
                <w:szCs w:val="24"/>
                <w:highlight w:val="none"/>
                <w:shd w:val="clear" w:color="auto" w:fill="auto"/>
                <w:lang w:val="en-US" w:eastAsia="zh-CN" w:bidi="ar-SA"/>
              </w:rPr>
              <w:t>2013年1月18日，《博湖县兆瓦能源科技有限公司20MWp并网太阳能光伏电站建设项目环境影响报告表》取得批复</w:t>
            </w:r>
            <w:r>
              <w:rPr>
                <w:rFonts w:hint="eastAsia" w:ascii="Times New Roman" w:hAnsi="Times New Roman" w:eastAsia="宋体" w:cs="Times New Roman"/>
                <w:b w:val="0"/>
                <w:bCs w:val="0"/>
                <w:color w:val="000000"/>
                <w:kern w:val="2"/>
                <w:sz w:val="24"/>
                <w:szCs w:val="24"/>
                <w:highlight w:val="none"/>
                <w:lang w:val="en-US" w:eastAsia="zh-CN" w:bidi="ar-SA"/>
              </w:rPr>
              <w:t>（巴环控函〔2013〕48号）</w:t>
            </w:r>
            <w:r>
              <w:rPr>
                <w:rFonts w:hint="eastAsia" w:ascii="Times New Roman" w:hAnsi="Times New Roman" w:cs="Times New Roman"/>
                <w:b w:val="0"/>
                <w:bCs w:val="0"/>
                <w:color w:val="000000"/>
                <w:kern w:val="2"/>
                <w:sz w:val="24"/>
                <w:szCs w:val="24"/>
                <w:highlight w:val="none"/>
                <w:shd w:val="clear" w:color="auto" w:fill="auto"/>
                <w:lang w:val="en-US" w:eastAsia="zh-CN" w:bidi="ar-SA"/>
              </w:rPr>
              <w:t>。</w:t>
            </w:r>
            <w:r>
              <w:rPr>
                <w:rFonts w:hint="eastAsia" w:ascii="Times New Roman" w:hAnsi="Times New Roman" w:eastAsia="宋体" w:cs="Times New Roman"/>
                <w:b w:val="0"/>
                <w:bCs w:val="0"/>
                <w:color w:val="000000"/>
                <w:kern w:val="2"/>
                <w:sz w:val="24"/>
                <w:szCs w:val="24"/>
                <w:highlight w:val="none"/>
                <w:shd w:val="clear" w:color="auto" w:fill="auto"/>
                <w:lang w:val="en-US" w:eastAsia="zh-CN" w:bidi="ar-SA"/>
              </w:rPr>
              <w:t>2017年6月19日，博湖县兆瓦能源科技有限公司20MWp并网太阳能光伏电站建设项目完成</w:t>
            </w:r>
            <w:r>
              <w:rPr>
                <w:rFonts w:hint="eastAsia" w:ascii="Times New Roman" w:hAnsi="Times New Roman" w:cs="Times New Roman"/>
                <w:b w:val="0"/>
                <w:bCs w:val="0"/>
                <w:color w:val="000000"/>
                <w:kern w:val="2"/>
                <w:sz w:val="24"/>
                <w:szCs w:val="24"/>
                <w:highlight w:val="none"/>
                <w:shd w:val="clear" w:color="auto" w:fill="auto"/>
                <w:lang w:val="en-US" w:eastAsia="zh-CN" w:bidi="ar-SA"/>
              </w:rPr>
              <w:t>了</w:t>
            </w:r>
            <w:r>
              <w:rPr>
                <w:rFonts w:hint="eastAsia" w:ascii="Times New Roman" w:hAnsi="Times New Roman" w:eastAsia="宋体" w:cs="Times New Roman"/>
                <w:b w:val="0"/>
                <w:bCs w:val="0"/>
                <w:color w:val="000000"/>
                <w:kern w:val="2"/>
                <w:sz w:val="24"/>
                <w:szCs w:val="24"/>
                <w:highlight w:val="none"/>
                <w:shd w:val="clear" w:color="auto" w:fill="auto"/>
                <w:lang w:val="en-US" w:eastAsia="zh-CN" w:bidi="ar-SA"/>
              </w:rPr>
              <w:t>竣工环保验收</w:t>
            </w:r>
            <w:r>
              <w:rPr>
                <w:rFonts w:hint="eastAsia" w:ascii="Times New Roman" w:hAnsi="Times New Roman" w:eastAsia="宋体" w:cs="Times New Roman"/>
                <w:b w:val="0"/>
                <w:bCs w:val="0"/>
                <w:color w:val="000000"/>
                <w:kern w:val="2"/>
                <w:sz w:val="24"/>
                <w:szCs w:val="24"/>
                <w:highlight w:val="none"/>
                <w:lang w:val="en-US" w:eastAsia="zh-CN" w:bidi="ar-SA"/>
              </w:rPr>
              <w:t>（巴环评价验〔2017〕32号）</w:t>
            </w:r>
            <w:r>
              <w:rPr>
                <w:rFonts w:hint="eastAsia" w:ascii="Times New Roman" w:hAnsi="Times New Roman" w:eastAsia="宋体" w:cs="Times New Roman"/>
                <w:b w:val="0"/>
                <w:bCs w:val="0"/>
                <w:color w:val="000000"/>
                <w:kern w:val="2"/>
                <w:sz w:val="24"/>
                <w:szCs w:val="24"/>
                <w:highlight w:val="none"/>
                <w:shd w:val="clear" w:color="auto" w:fill="auto"/>
                <w:lang w:val="en-US" w:eastAsia="zh-CN" w:bidi="ar-SA"/>
              </w:rPr>
              <w:t>。</w:t>
            </w:r>
            <w:r>
              <w:rPr>
                <w:rFonts w:hint="default" w:ascii="宋体" w:hAnsi="宋体" w:eastAsia="宋体" w:cs="宋体"/>
                <w:sz w:val="24"/>
                <w:szCs w:val="24"/>
              </w:rPr>
              <w:t>根据现场调查，</w:t>
            </w:r>
            <w:r>
              <w:rPr>
                <w:rFonts w:hint="eastAsia" w:ascii="Times New Roman" w:hAnsi="Times New Roman" w:eastAsia="宋体" w:cs="Times New Roman"/>
                <w:b w:val="0"/>
                <w:bCs w:val="0"/>
                <w:color w:val="000000"/>
                <w:kern w:val="2"/>
                <w:sz w:val="24"/>
                <w:szCs w:val="24"/>
                <w:highlight w:val="none"/>
                <w:shd w:val="clear" w:color="auto" w:fill="auto"/>
                <w:lang w:val="en-US" w:eastAsia="zh-CN" w:bidi="ar-SA"/>
              </w:rPr>
              <w:t>该光伏电站</w:t>
            </w:r>
            <w:r>
              <w:rPr>
                <w:rFonts w:hint="default" w:ascii="宋体" w:hAnsi="宋体" w:eastAsia="宋体" w:cs="宋体"/>
                <w:sz w:val="24"/>
                <w:szCs w:val="24"/>
              </w:rPr>
              <w:t>已建成并投入运行</w:t>
            </w:r>
            <w:r>
              <w:rPr>
                <w:rFonts w:hint="eastAsia" w:cs="宋体"/>
                <w:sz w:val="24"/>
                <w:szCs w:val="24"/>
                <w:lang w:eastAsia="zh-CN"/>
              </w:rPr>
              <w:t>。</w:t>
            </w:r>
            <w:r>
              <w:rPr>
                <w:rFonts w:hint="default" w:ascii="宋体" w:hAnsi="宋体" w:eastAsia="宋体" w:cs="宋体"/>
                <w:sz w:val="24"/>
                <w:szCs w:val="24"/>
              </w:rPr>
              <w:t>通过现场监测</w:t>
            </w:r>
            <w:r>
              <w:rPr>
                <w:rFonts w:hint="eastAsia" w:cs="宋体"/>
                <w:sz w:val="24"/>
                <w:szCs w:val="24"/>
                <w:lang w:val="en-US" w:eastAsia="zh-CN"/>
              </w:rPr>
              <w:t>结果，升压</w:t>
            </w:r>
            <w:r>
              <w:rPr>
                <w:rFonts w:hint="eastAsia" w:ascii="宋体" w:hAnsi="宋体" w:eastAsia="宋体" w:cs="宋体"/>
                <w:sz w:val="24"/>
                <w:szCs w:val="24"/>
                <w:lang w:val="en-US" w:eastAsia="zh-CN"/>
              </w:rPr>
              <w:t>站</w:t>
            </w:r>
            <w:r>
              <w:rPr>
                <w:rFonts w:hint="default" w:ascii="宋体" w:hAnsi="宋体" w:eastAsia="宋体" w:cs="宋体"/>
                <w:sz w:val="24"/>
                <w:szCs w:val="24"/>
              </w:rPr>
              <w:t>四周及线路沿</w:t>
            </w:r>
            <w:r>
              <w:rPr>
                <w:rFonts w:hint="default" w:ascii="宋体" w:hAnsi="宋体" w:eastAsia="宋体" w:cs="宋体"/>
                <w:color w:val="000000" w:themeColor="text1"/>
                <w:sz w:val="24"/>
                <w:szCs w:val="24"/>
                <w14:textFill>
                  <w14:solidFill>
                    <w14:schemeClr w14:val="tx1"/>
                  </w14:solidFill>
                </w14:textFill>
              </w:rPr>
              <w:t>线工频电磁场、噪声均满足国家相应标准要求</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shd w:val="clear" w:color="auto" w:fill="auto"/>
                <w:lang w:val="en-US" w:eastAsia="zh-CN" w:bidi="ar-SA"/>
                <w14:textFill>
                  <w14:solidFill>
                    <w14:schemeClr w14:val="tx1"/>
                  </w14:solidFill>
                </w14:textFill>
              </w:rPr>
              <w:t>无环境污染和生态破坏问题。</w:t>
            </w:r>
            <w:r>
              <w:rPr>
                <w:rFonts w:hint="eastAsia" w:ascii="Times New Roman" w:hAnsi="Times New Roman" w:cs="Times New Roman"/>
                <w:b w:val="0"/>
                <w:bCs w:val="0"/>
                <w:color w:val="000000" w:themeColor="text1"/>
                <w:kern w:val="2"/>
                <w:sz w:val="24"/>
                <w:szCs w:val="24"/>
                <w:highlight w:val="none"/>
                <w:shd w:val="clear" w:color="auto" w:fill="auto"/>
                <w:lang w:val="en-US" w:eastAsia="zh-CN" w:bidi="ar-SA"/>
                <w14:textFill>
                  <w14:solidFill>
                    <w14:schemeClr w14:val="tx1"/>
                  </w14:solidFill>
                </w14:textFill>
              </w:rPr>
              <w:t>经</w:t>
            </w:r>
            <w:r>
              <w:rPr>
                <w:rFonts w:hint="eastAsia" w:ascii="宋体" w:hAnsi="宋体" w:eastAsia="宋体" w:cs="宋体"/>
                <w:sz w:val="24"/>
                <w:szCs w:val="24"/>
                <w:lang w:val="en-US" w:eastAsia="zh-CN"/>
              </w:rPr>
              <w:t>调查，兆瓦能源</w:t>
            </w:r>
            <w:r>
              <w:rPr>
                <w:rFonts w:hint="default" w:ascii="Times New Roman" w:hAnsi="Times New Roman" w:eastAsia="宋体" w:cs="Times New Roman"/>
                <w:sz w:val="24"/>
                <w:szCs w:val="24"/>
                <w:lang w:val="en-US" w:eastAsia="zh-CN"/>
              </w:rPr>
              <w:t>110kV</w:t>
            </w:r>
            <w:r>
              <w:rPr>
                <w:rFonts w:hint="eastAsia" w:ascii="宋体" w:hAnsi="宋体" w:eastAsia="宋体" w:cs="宋体"/>
                <w:sz w:val="24"/>
                <w:szCs w:val="24"/>
                <w:lang w:val="en-US" w:eastAsia="zh-CN"/>
              </w:rPr>
              <w:t>光伏升压站未产生变压器废油，事故油池及主</w:t>
            </w:r>
            <w:r>
              <w:rPr>
                <w:rFonts w:hint="default" w:ascii="宋体" w:hAnsi="宋体" w:eastAsia="宋体" w:cs="宋体"/>
                <w:sz w:val="24"/>
                <w:szCs w:val="24"/>
                <w:lang w:eastAsia="zh-CN"/>
              </w:rPr>
              <w:t>变压器油坑</w:t>
            </w:r>
            <w:r>
              <w:rPr>
                <w:rFonts w:hint="eastAsia" w:ascii="宋体" w:hAnsi="宋体" w:eastAsia="宋体" w:cs="宋体"/>
                <w:sz w:val="24"/>
                <w:szCs w:val="24"/>
                <w:lang w:val="en-US" w:eastAsia="zh-CN"/>
              </w:rPr>
              <w:t>内未储存变压器废</w:t>
            </w:r>
            <w:r>
              <w:rPr>
                <w:rFonts w:hint="eastAsia" w:ascii="宋体" w:hAnsi="宋体" w:eastAsia="宋体" w:cs="宋体"/>
                <w:color w:val="000000" w:themeColor="text1"/>
                <w:sz w:val="24"/>
                <w:szCs w:val="24"/>
                <w:lang w:val="en-US" w:eastAsia="zh-CN"/>
                <w14:textFill>
                  <w14:solidFill>
                    <w14:schemeClr w14:val="tx1"/>
                  </w14:solidFill>
                </w14:textFill>
              </w:rPr>
              <w:t>油。</w:t>
            </w:r>
            <w:r>
              <w:rPr>
                <w:rFonts w:hint="eastAsia" w:ascii="宋体" w:hAnsi="宋体" w:cs="宋体"/>
                <w:color w:val="000000" w:themeColor="text1"/>
                <w:sz w:val="24"/>
                <w:szCs w:val="24"/>
                <w:lang w:val="en-US" w:eastAsia="zh-CN"/>
                <w14:textFill>
                  <w14:solidFill>
                    <w14:schemeClr w14:val="tx1"/>
                  </w14:solidFill>
                </w14:textFill>
              </w:rPr>
              <w:t>产生的</w:t>
            </w:r>
            <w:r>
              <w:rPr>
                <w:rFonts w:hint="eastAsia" w:ascii="宋体" w:hAnsi="宋体" w:eastAsia="宋体" w:cs="宋体"/>
                <w:color w:val="000000" w:themeColor="text1"/>
                <w:sz w:val="24"/>
                <w:szCs w:val="24"/>
                <w:lang w:val="en-US" w:eastAsia="zh-CN"/>
                <w14:textFill>
                  <w14:solidFill>
                    <w14:schemeClr w14:val="tx1"/>
                  </w14:solidFill>
                </w14:textFill>
              </w:rPr>
              <w:t>废旧</w:t>
            </w:r>
            <w:r>
              <w:rPr>
                <w:rFonts w:hint="default" w:ascii="宋体" w:hAnsi="宋体" w:eastAsia="宋体" w:cs="宋体"/>
                <w:color w:val="000000" w:themeColor="text1"/>
                <w:sz w:val="24"/>
                <w:szCs w:val="24"/>
                <w:lang w:eastAsia="zh-CN"/>
                <w14:textFill>
                  <w14:solidFill>
                    <w14:schemeClr w14:val="tx1"/>
                  </w14:solidFill>
                </w14:textFill>
              </w:rPr>
              <w:t>铅蓄电池</w:t>
            </w:r>
            <w:r>
              <w:rPr>
                <w:rFonts w:hint="eastAsia" w:ascii="宋体" w:hAnsi="宋体" w:eastAsia="宋体" w:cs="宋体"/>
                <w:color w:val="000000" w:themeColor="text1"/>
                <w:sz w:val="24"/>
                <w:szCs w:val="24"/>
                <w:lang w:val="en-US" w:eastAsia="zh-CN"/>
                <w14:textFill>
                  <w14:solidFill>
                    <w14:schemeClr w14:val="tx1"/>
                  </w14:solidFill>
                </w14:textFill>
              </w:rPr>
              <w:t>依托主体工程现有</w:t>
            </w:r>
            <w:r>
              <w:rPr>
                <w:rFonts w:hint="eastAsia" w:ascii="宋体" w:hAnsi="宋体" w:cs="宋体"/>
                <w:color w:val="000000" w:themeColor="text1"/>
                <w:sz w:val="24"/>
                <w:szCs w:val="24"/>
                <w:lang w:val="en-US" w:eastAsia="zh-CN"/>
                <w14:textFill>
                  <w14:solidFill>
                    <w14:schemeClr w14:val="tx1"/>
                  </w14:solidFill>
                </w14:textFill>
              </w:rPr>
              <w:t>危废暂存间</w:t>
            </w:r>
            <w:r>
              <w:rPr>
                <w:rFonts w:hint="default" w:ascii="宋体" w:hAnsi="宋体" w:eastAsia="宋体" w:cs="宋体"/>
                <w:color w:val="000000" w:themeColor="text1"/>
                <w:sz w:val="24"/>
                <w:szCs w:val="24"/>
                <w:lang w:val="en-US" w:eastAsia="zh-CN"/>
                <w14:textFill>
                  <w14:solidFill>
                    <w14:schemeClr w14:val="tx1"/>
                  </w14:solidFill>
                </w14:textFill>
              </w:rPr>
              <w:t>暂存，</w:t>
            </w:r>
            <w:r>
              <w:rPr>
                <w:rFonts w:hint="eastAsia" w:ascii="宋体" w:hAnsi="宋体" w:eastAsia="宋体" w:cs="宋体"/>
                <w:color w:val="000000" w:themeColor="text1"/>
                <w:sz w:val="24"/>
                <w:szCs w:val="24"/>
                <w:lang w:val="en-US" w:eastAsia="zh-CN"/>
                <w14:textFill>
                  <w14:solidFill>
                    <w14:schemeClr w14:val="tx1"/>
                  </w14:solidFill>
                </w14:textFill>
              </w:rPr>
              <w:t>并</w:t>
            </w:r>
            <w:r>
              <w:rPr>
                <w:rFonts w:hint="default" w:ascii="宋体" w:hAnsi="宋体" w:eastAsia="宋体" w:cs="宋体"/>
                <w:color w:val="000000" w:themeColor="text1"/>
                <w:sz w:val="24"/>
                <w:szCs w:val="24"/>
                <w:lang w:val="en-US" w:eastAsia="zh-CN"/>
                <w14:textFill>
                  <w14:solidFill>
                    <w14:schemeClr w14:val="tx1"/>
                  </w14:solidFill>
                </w14:textFill>
              </w:rPr>
              <w:t>及时委托有资质单位运走处置</w:t>
            </w:r>
            <w:r>
              <w:rPr>
                <w:rFonts w:hint="eastAsia" w:ascii="宋体" w:hAnsi="宋体" w:eastAsia="宋体" w:cs="宋体"/>
                <w:color w:val="000000" w:themeColor="text1"/>
                <w:sz w:val="24"/>
                <w:szCs w:val="24"/>
                <w:lang w:val="en-US" w:eastAsia="zh-CN"/>
                <w14:textFill>
                  <w14:solidFill>
                    <w14:schemeClr w14:val="tx1"/>
                  </w14:solidFill>
                </w14:textFill>
              </w:rPr>
              <w:t>。</w:t>
            </w:r>
          </w:p>
          <w:p w14:paraId="5A5C65B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kern w:val="2"/>
                <w:sz w:val="24"/>
                <w:szCs w:val="24"/>
                <w:highlight w:val="none"/>
                <w:lang w:val="en-US" w:eastAsia="zh-CN" w:bidi="ar-SA"/>
              </w:rPr>
              <w:t>种植园110</w:t>
            </w:r>
            <w:r>
              <w:rPr>
                <w:rFonts w:hint="eastAsia" w:ascii="Times New Roman" w:hAnsi="Times New Roman" w:cs="宋体"/>
                <w:b w:val="0"/>
                <w:bCs w:val="0"/>
                <w:color w:val="000000"/>
                <w:kern w:val="2"/>
                <w:sz w:val="24"/>
                <w:szCs w:val="24"/>
                <w:highlight w:val="none"/>
                <w:lang w:val="en-US" w:eastAsia="zh-CN" w:bidi="ar-SA"/>
              </w:rPr>
              <w:t>kV</w:t>
            </w:r>
            <w:r>
              <w:rPr>
                <w:rFonts w:hint="eastAsia" w:ascii="Times New Roman" w:hAnsi="Times New Roman" w:eastAsia="宋体" w:cs="Times New Roman"/>
                <w:b w:val="0"/>
                <w:bCs w:val="0"/>
                <w:color w:val="000000"/>
                <w:kern w:val="2"/>
                <w:sz w:val="24"/>
                <w:szCs w:val="24"/>
                <w:highlight w:val="none"/>
                <w:lang w:val="en-US" w:eastAsia="zh-CN" w:bidi="ar-SA"/>
              </w:rPr>
              <w:t>变电站属于</w:t>
            </w:r>
            <w:r>
              <w:rPr>
                <w:rFonts w:hint="default" w:ascii="宋体" w:hAnsi="宋体" w:eastAsia="宋体" w:cs="宋体"/>
                <w:color w:val="000000" w:themeColor="text1"/>
                <w:sz w:val="24"/>
                <w:szCs w:val="24"/>
                <w:lang w:val="en-US" w:eastAsia="zh-CN"/>
                <w14:textFill>
                  <w14:solidFill>
                    <w14:schemeClr w14:val="tx1"/>
                  </w14:solidFill>
                </w14:textFill>
              </w:rPr>
              <w:fldChar w:fldCharType="begin"/>
            </w:r>
            <w:r>
              <w:rPr>
                <w:rFonts w:hint="default" w:ascii="宋体" w:hAnsi="宋体" w:eastAsia="宋体" w:cs="宋体"/>
                <w:color w:val="000000" w:themeColor="text1"/>
                <w:sz w:val="24"/>
                <w:szCs w:val="24"/>
                <w:lang w:val="en-US" w:eastAsia="zh-CN"/>
                <w14:textFill>
                  <w14:solidFill>
                    <w14:schemeClr w14:val="tx1"/>
                  </w14:solidFill>
                </w14:textFill>
              </w:rPr>
              <w:instrText xml:space="preserve"> HYPERLINK "https://aiqicha.baidu.com/company_detail_16149621262101" \t "https://cn.bing.com/_blank" </w:instrText>
            </w:r>
            <w:r>
              <w:rPr>
                <w:rFonts w:hint="default" w:ascii="宋体" w:hAnsi="宋体" w:eastAsia="宋体" w:cs="宋体"/>
                <w:color w:val="000000" w:themeColor="text1"/>
                <w:sz w:val="24"/>
                <w:szCs w:val="24"/>
                <w:lang w:val="en-US" w:eastAsia="zh-CN"/>
                <w14:textFill>
                  <w14:solidFill>
                    <w14:schemeClr w14:val="tx1"/>
                  </w14:solidFill>
                </w14:textFill>
              </w:rPr>
              <w:fldChar w:fldCharType="separate"/>
            </w:r>
            <w:r>
              <w:rPr>
                <w:rFonts w:hint="default" w:ascii="宋体" w:hAnsi="宋体" w:eastAsia="宋体" w:cs="宋体"/>
                <w:color w:val="000000" w:themeColor="text1"/>
                <w:sz w:val="24"/>
                <w:szCs w:val="24"/>
                <w:lang w:val="en-US" w:eastAsia="zh-CN"/>
                <w14:textFill>
                  <w14:solidFill>
                    <w14:schemeClr w14:val="tx1"/>
                  </w14:solidFill>
                </w14:textFill>
              </w:rPr>
              <w:t>国网新疆电力有限公司巴州供电公司</w:t>
            </w:r>
            <w:r>
              <w:rPr>
                <w:rFonts w:hint="default" w:ascii="宋体" w:hAnsi="宋体" w:eastAsia="宋体" w:cs="宋体"/>
                <w:color w:val="000000" w:themeColor="text1"/>
                <w:sz w:val="24"/>
                <w:szCs w:val="24"/>
                <w:lang w:val="en-US" w:eastAsia="zh-CN"/>
                <w14:textFill>
                  <w14:solidFill>
                    <w14:schemeClr w14:val="tx1"/>
                  </w14:solidFill>
                </w14:textFill>
              </w:rPr>
              <w:fldChar w:fldCharType="end"/>
            </w:r>
            <w:r>
              <w:rPr>
                <w:rFonts w:hint="eastAsia" w:ascii="宋体" w:hAnsi="宋体" w:eastAsia="宋体" w:cs="宋体"/>
                <w:color w:val="000000" w:themeColor="text1"/>
                <w:sz w:val="24"/>
                <w:szCs w:val="24"/>
                <w:lang w:val="en-US" w:eastAsia="zh-CN"/>
                <w14:textFill>
                  <w14:solidFill>
                    <w14:schemeClr w14:val="tx1"/>
                  </w14:solidFill>
                </w14:textFill>
              </w:rPr>
              <w:t>管理。经</w:t>
            </w:r>
            <w:r>
              <w:rPr>
                <w:rFonts w:hint="default" w:ascii="宋体" w:hAnsi="宋体" w:eastAsia="宋体" w:cs="宋体"/>
                <w:color w:val="000000" w:themeColor="text1"/>
                <w:sz w:val="24"/>
                <w:szCs w:val="24"/>
                <w14:textFill>
                  <w14:solidFill>
                    <w14:schemeClr w14:val="tx1"/>
                  </w14:solidFill>
                </w14:textFill>
              </w:rPr>
              <w:t>现场勘查</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该变电站</w:t>
            </w:r>
            <w:r>
              <w:rPr>
                <w:rFonts w:hint="default" w:ascii="宋体" w:hAnsi="宋体" w:eastAsia="宋体" w:cs="宋体"/>
                <w:color w:val="000000" w:themeColor="text1"/>
                <w:sz w:val="24"/>
                <w:szCs w:val="24"/>
                <w14:textFill>
                  <w14:solidFill>
                    <w14:schemeClr w14:val="tx1"/>
                  </w14:solidFill>
                </w14:textFill>
              </w:rPr>
              <w:t>正常运行</w:t>
            </w:r>
            <w:r>
              <w:rPr>
                <w:rFonts w:hint="eastAsia" w:ascii="宋体" w:hAnsi="宋体" w:eastAsia="宋体" w:cs="宋体"/>
                <w:color w:val="000000" w:themeColor="text1"/>
                <w:sz w:val="24"/>
                <w:szCs w:val="24"/>
                <w:lang w:eastAsia="zh-CN"/>
                <w14:textFill>
                  <w14:solidFill>
                    <w14:schemeClr w14:val="tx1"/>
                  </w14:solidFill>
                </w14:textFill>
              </w:rPr>
              <w:t>。</w:t>
            </w:r>
          </w:p>
          <w:p w14:paraId="7A6ECF00">
            <w:pPr>
              <w:pStyle w:val="135"/>
              <w:keepNext w:val="0"/>
              <w:keepLines w:val="0"/>
              <w:suppressLineNumbers w:val="0"/>
              <w:spacing w:before="37" w:beforeAutospacing="0" w:after="0" w:afterAutospacing="0" w:line="351" w:lineRule="auto"/>
              <w:ind w:left="41" w:right="32" w:firstLine="475"/>
              <w:jc w:val="both"/>
              <w:rPr>
                <w:rFonts w:hint="default" w:ascii="Times New Roman" w:hAnsi="Times New Roman" w:eastAsia="宋体" w:cs="Times New Roman"/>
                <w:color w:val="000000"/>
                <w:kern w:val="0"/>
                <w:szCs w:val="21"/>
                <w:shd w:val="clear" w:color="auto" w:fill="auto"/>
                <w:lang w:val="en-US"/>
              </w:rPr>
            </w:pPr>
            <w:r>
              <w:rPr>
                <w:rFonts w:hint="eastAsia" w:ascii="Times New Roman" w:hAnsi="Times New Roman" w:cs="Times New Roman"/>
                <w:b w:val="0"/>
                <w:bCs w:val="0"/>
                <w:color w:val="000000" w:themeColor="text1"/>
                <w:kern w:val="2"/>
                <w:sz w:val="24"/>
                <w:szCs w:val="24"/>
                <w:highlight w:val="none"/>
                <w:shd w:val="clear" w:color="auto" w:fill="auto"/>
                <w:lang w:val="en-US" w:eastAsia="zh-CN" w:bidi="ar-SA"/>
                <w14:textFill>
                  <w14:solidFill>
                    <w14:schemeClr w14:val="tx1"/>
                  </w14:solidFill>
                </w14:textFill>
              </w:rPr>
              <w:t>本项目已于</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2016</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年</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月</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建设完成，未办理</w:t>
            </w:r>
            <w:r>
              <w:rPr>
                <w:rStyle w:val="165"/>
                <w:rFonts w:hint="eastAsia"/>
                <w:color w:val="000000" w:themeColor="text1"/>
                <w:lang w:val="en-US" w:eastAsia="zh-CN"/>
                <w14:textFill>
                  <w14:solidFill>
                    <w14:schemeClr w14:val="tx1"/>
                  </w14:solidFill>
                </w14:textFill>
              </w:rPr>
              <w:t>环评手续</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，因此本次</w:t>
            </w:r>
            <w:r>
              <w:rPr>
                <w:rStyle w:val="165"/>
                <w:rFonts w:hint="eastAsia"/>
                <w:color w:val="000000" w:themeColor="text1"/>
                <w:lang w:val="en-US" w:eastAsia="zh-CN"/>
                <w14:textFill>
                  <w14:solidFill>
                    <w14:schemeClr w14:val="tx1"/>
                  </w14:solidFill>
                </w14:textFill>
              </w:rPr>
              <w:t>补办输变电工程环评手续</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w:t>
            </w:r>
          </w:p>
        </w:tc>
      </w:tr>
      <w:tr w14:paraId="62852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37916A12">
            <w:pPr>
              <w:pStyle w:val="74"/>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color w:val="000000"/>
                <w:lang w:val="en-US" w:eastAsia="zh-CN"/>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生态环境保护目标</w:t>
            </w:r>
          </w:p>
        </w:tc>
      </w:tr>
      <w:tr w14:paraId="73E0F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2D3B7A2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b/>
                <w:bCs/>
                <w:color w:val="000000"/>
                <w:kern w:val="2"/>
                <w:sz w:val="24"/>
                <w:szCs w:val="24"/>
                <w:shd w:val="clear" w:color="auto" w:fill="auto"/>
                <w:lang w:val="en-US" w:eastAsia="zh-CN" w:bidi="ar-SA"/>
              </w:rPr>
              <w:t>3.</w:t>
            </w:r>
            <w:r>
              <w:rPr>
                <w:rFonts w:hint="eastAsia" w:ascii="Times New Roman" w:hAnsi="Times New Roman" w:cs="Times New Roman"/>
                <w:b/>
                <w:bCs/>
                <w:color w:val="000000"/>
                <w:kern w:val="2"/>
                <w:sz w:val="24"/>
                <w:szCs w:val="24"/>
                <w:shd w:val="clear" w:color="auto" w:fill="auto"/>
                <w:lang w:val="en-US" w:eastAsia="zh-CN" w:bidi="ar-SA"/>
              </w:rPr>
              <w:t>3</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生态环境保护目标</w:t>
            </w:r>
          </w:p>
          <w:p w14:paraId="7EFA98DA">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both"/>
              <w:textAlignment w:val="auto"/>
              <w:outlineLvl w:val="9"/>
              <w:rPr>
                <w:rFonts w:hint="default"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（1）评</w:t>
            </w:r>
            <w:r>
              <w:rPr>
                <w:rFonts w:hint="eastAsia" w:cs="Times New Roman"/>
                <w:color w:val="000000"/>
                <w:sz w:val="24"/>
                <w:szCs w:val="24"/>
                <w:highlight w:val="none"/>
                <w:lang w:val="en-US" w:eastAsia="zh-CN"/>
              </w:rPr>
              <w:t>价范围</w:t>
            </w:r>
          </w:p>
          <w:p w14:paraId="533F7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cs="Times New Roman"/>
                <w:color w:val="000000"/>
                <w:sz w:val="24"/>
                <w:szCs w:val="24"/>
                <w:highlight w:val="none"/>
                <w:lang w:val="en-US" w:eastAsia="zh-CN"/>
              </w:rPr>
              <w:t>依据</w:t>
            </w:r>
            <w:r>
              <w:rPr>
                <w:rFonts w:hint="eastAsia" w:ascii="Times New Roman" w:hAnsi="Times New Roman" w:eastAsia="宋体" w:cs="Times New Roman"/>
                <w:color w:val="000000"/>
                <w:kern w:val="2"/>
                <w:sz w:val="24"/>
                <w:szCs w:val="24"/>
                <w:highlight w:val="none"/>
                <w:lang w:val="en-US" w:eastAsia="zh-CN" w:bidi="ar-SA"/>
              </w:rPr>
              <w:t>《环境影响评价技术导则</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生态影响》(HJ</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19-2022)</w:t>
            </w:r>
            <w:r>
              <w:rPr>
                <w:rFonts w:hint="eastAsia"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
              </w:rPr>
              <w:t>《环境影响评价技术导则</w:t>
            </w:r>
            <w:r>
              <w:rPr>
                <w:rFonts w:hint="eastAsia"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输变电》(HJ</w:t>
            </w:r>
            <w:r>
              <w:rPr>
                <w:rFonts w:hint="eastAsia"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24-2020)</w:t>
            </w:r>
            <w:r>
              <w:rPr>
                <w:rFonts w:hint="eastAsia"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
              </w:rPr>
              <w:t>《环境影响评价技术导则</w:t>
            </w:r>
            <w:r>
              <w:rPr>
                <w:rFonts w:hint="eastAsia"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声环境》(HJ</w:t>
            </w:r>
            <w:r>
              <w:rPr>
                <w:rFonts w:hint="eastAsia"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2.4-2021)</w:t>
            </w:r>
            <w:r>
              <w:rPr>
                <w:rFonts w:hint="eastAsia" w:cs="Times New Roman"/>
                <w:color w:val="000000"/>
                <w:kern w:val="2"/>
                <w:sz w:val="24"/>
                <w:szCs w:val="24"/>
                <w:highlight w:val="none"/>
                <w:lang w:val="en-US" w:eastAsia="zh-CN" w:bidi="ar"/>
              </w:rPr>
              <w:t>，</w:t>
            </w:r>
            <w:r>
              <w:rPr>
                <w:rFonts w:hint="default"/>
                <w:spacing w:val="-2"/>
              </w:rPr>
              <w:t>本工程评价范围见</w:t>
            </w:r>
            <w:r>
              <w:rPr>
                <w:rFonts w:hint="eastAsia"/>
                <w:spacing w:val="-2"/>
                <w:lang w:val="en-US" w:eastAsia="zh-CN"/>
              </w:rPr>
              <w:t>下</w:t>
            </w:r>
            <w:r>
              <w:rPr>
                <w:rFonts w:hint="default"/>
                <w:spacing w:val="-2"/>
              </w:rPr>
              <w:t>表</w:t>
            </w:r>
            <w:r>
              <w:rPr>
                <w:rFonts w:hint="eastAsia"/>
                <w:spacing w:val="-2"/>
                <w:lang w:eastAsia="zh-CN"/>
              </w:rPr>
              <w:t>。</w:t>
            </w:r>
          </w:p>
          <w:p w14:paraId="5AECFC54">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表3-</w:t>
            </w:r>
            <w:r>
              <w:rPr>
                <w:rFonts w:hint="eastAsia" w:cs="Times New Roman"/>
                <w:b/>
                <w:bCs/>
                <w:color w:val="000000" w:themeColor="text1"/>
                <w:spacing w:val="-4"/>
                <w:kern w:val="2"/>
                <w:sz w:val="24"/>
                <w:szCs w:val="24"/>
                <w:lang w:val="en-US" w:eastAsia="zh-CN" w:bidi="ar-SA"/>
                <w14:textFill>
                  <w14:solidFill>
                    <w14:schemeClr w14:val="tx1"/>
                  </w14:solidFill>
                </w14:textFill>
              </w:rPr>
              <w:t>6 评价范围表</w:t>
            </w:r>
          </w:p>
        </w:tc>
      </w:tr>
      <w:tr w14:paraId="70E49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0FC90DA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5"/>
                <w:sz w:val="21"/>
                <w:szCs w:val="21"/>
              </w:rPr>
              <w:t>序号</w:t>
            </w:r>
          </w:p>
        </w:tc>
        <w:tc>
          <w:tcPr>
            <w:tcW w:w="1025" w:type="pct"/>
            <w:gridSpan w:val="7"/>
            <w:noWrap w:val="0"/>
            <w:vAlign w:val="center"/>
          </w:tcPr>
          <w:p w14:paraId="0C93A25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3"/>
                <w:sz w:val="21"/>
                <w:szCs w:val="21"/>
              </w:rPr>
              <w:t>工程</w:t>
            </w:r>
          </w:p>
        </w:tc>
        <w:tc>
          <w:tcPr>
            <w:tcW w:w="818" w:type="pct"/>
            <w:gridSpan w:val="5"/>
            <w:noWrap w:val="0"/>
            <w:vAlign w:val="center"/>
          </w:tcPr>
          <w:p w14:paraId="4FDAC51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7"/>
                <w:sz w:val="21"/>
                <w:szCs w:val="21"/>
              </w:rPr>
              <w:t>环境要素</w:t>
            </w:r>
          </w:p>
        </w:tc>
        <w:tc>
          <w:tcPr>
            <w:tcW w:w="2765" w:type="pct"/>
            <w:gridSpan w:val="18"/>
            <w:noWrap w:val="0"/>
            <w:vAlign w:val="center"/>
          </w:tcPr>
          <w:p w14:paraId="6D315DF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8"/>
                <w:sz w:val="21"/>
                <w:szCs w:val="21"/>
              </w:rPr>
              <w:t>评价范围/调查范围</w:t>
            </w:r>
          </w:p>
        </w:tc>
      </w:tr>
      <w:tr w14:paraId="3B480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151F4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z w:val="21"/>
                <w:szCs w:val="21"/>
              </w:rPr>
              <w:t>1</w:t>
            </w:r>
          </w:p>
        </w:tc>
        <w:tc>
          <w:tcPr>
            <w:tcW w:w="1025" w:type="pct"/>
            <w:gridSpan w:val="7"/>
            <w:vMerge w:val="restart"/>
            <w:noWrap w:val="0"/>
            <w:vAlign w:val="center"/>
          </w:tcPr>
          <w:p w14:paraId="6A6F30C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spacing w:val="1"/>
                <w:sz w:val="21"/>
                <w:szCs w:val="21"/>
                <w:lang w:val="en-US" w:eastAsia="zh-CN"/>
              </w:rPr>
              <w:t>兆瓦能源110kV光伏升压站</w:t>
            </w:r>
          </w:p>
        </w:tc>
        <w:tc>
          <w:tcPr>
            <w:tcW w:w="818" w:type="pct"/>
            <w:gridSpan w:val="5"/>
            <w:noWrap w:val="0"/>
            <w:vAlign w:val="center"/>
          </w:tcPr>
          <w:p w14:paraId="415A5A7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1"/>
                <w:sz w:val="21"/>
                <w:szCs w:val="21"/>
              </w:rPr>
              <w:t>电磁环境</w:t>
            </w:r>
          </w:p>
        </w:tc>
        <w:tc>
          <w:tcPr>
            <w:tcW w:w="2765" w:type="pct"/>
            <w:gridSpan w:val="18"/>
            <w:noWrap w:val="0"/>
            <w:vAlign w:val="center"/>
          </w:tcPr>
          <w:p w14:paraId="3CB48C2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eastAsia" w:ascii="Times New Roman" w:hAnsi="Times New Roman" w:eastAsia="宋体" w:cs="Times New Roman"/>
                <w:spacing w:val="1"/>
                <w:sz w:val="21"/>
                <w:szCs w:val="21"/>
                <w:lang w:val="en-US" w:eastAsia="zh-CN"/>
              </w:rPr>
              <w:t>升压站</w:t>
            </w:r>
            <w:r>
              <w:rPr>
                <w:rFonts w:hint="default" w:ascii="Times New Roman" w:hAnsi="Times New Roman" w:eastAsia="宋体" w:cs="Times New Roman"/>
                <w:spacing w:val="6"/>
                <w:sz w:val="21"/>
                <w:szCs w:val="21"/>
              </w:rPr>
              <w:t>站界外30m范围区域</w:t>
            </w:r>
          </w:p>
        </w:tc>
      </w:tr>
      <w:tr w14:paraId="11B88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6DF10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z w:val="21"/>
                <w:szCs w:val="21"/>
              </w:rPr>
              <w:t>2</w:t>
            </w:r>
          </w:p>
        </w:tc>
        <w:tc>
          <w:tcPr>
            <w:tcW w:w="1025" w:type="pct"/>
            <w:gridSpan w:val="7"/>
            <w:vMerge w:val="continue"/>
            <w:noWrap w:val="0"/>
            <w:vAlign w:val="center"/>
          </w:tcPr>
          <w:p w14:paraId="64B62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p>
        </w:tc>
        <w:tc>
          <w:tcPr>
            <w:tcW w:w="818" w:type="pct"/>
            <w:gridSpan w:val="5"/>
            <w:noWrap w:val="0"/>
            <w:vAlign w:val="center"/>
          </w:tcPr>
          <w:p w14:paraId="2093A9E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5"/>
                <w:sz w:val="21"/>
                <w:szCs w:val="21"/>
              </w:rPr>
              <w:t>声环境</w:t>
            </w:r>
          </w:p>
        </w:tc>
        <w:tc>
          <w:tcPr>
            <w:tcW w:w="2765" w:type="pct"/>
            <w:gridSpan w:val="18"/>
            <w:noWrap w:val="0"/>
            <w:vAlign w:val="center"/>
          </w:tcPr>
          <w:p w14:paraId="0589B2B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
              </w:rPr>
            </w:pPr>
            <w:r>
              <w:rPr>
                <w:rFonts w:hint="eastAsia" w:ascii="Times New Roman" w:hAnsi="Times New Roman" w:eastAsia="宋体" w:cs="Times New Roman"/>
                <w:spacing w:val="1"/>
                <w:sz w:val="21"/>
                <w:szCs w:val="21"/>
                <w:lang w:val="en-US" w:eastAsia="zh-CN"/>
              </w:rPr>
              <w:t>升压站</w:t>
            </w:r>
            <w:r>
              <w:rPr>
                <w:rFonts w:hint="default" w:ascii="Times New Roman" w:hAnsi="Times New Roman" w:eastAsia="宋体" w:cs="Times New Roman"/>
                <w:color w:val="auto"/>
                <w:spacing w:val="7"/>
                <w:sz w:val="21"/>
                <w:szCs w:val="21"/>
              </w:rPr>
              <w:t>站界外</w:t>
            </w:r>
            <w:r>
              <w:rPr>
                <w:rFonts w:hint="eastAsia" w:ascii="Times New Roman" w:hAnsi="Times New Roman" w:cs="Times New Roman"/>
                <w:color w:val="auto"/>
                <w:spacing w:val="7"/>
                <w:sz w:val="21"/>
                <w:szCs w:val="21"/>
                <w:lang w:val="en-US" w:eastAsia="zh-CN"/>
              </w:rPr>
              <w:t>200</w:t>
            </w:r>
            <w:r>
              <w:rPr>
                <w:rFonts w:hint="default" w:ascii="Times New Roman" w:hAnsi="Times New Roman" w:eastAsia="宋体" w:cs="Times New Roman"/>
                <w:color w:val="auto"/>
                <w:spacing w:val="7"/>
                <w:sz w:val="21"/>
                <w:szCs w:val="21"/>
              </w:rPr>
              <w:t>m范围区域</w:t>
            </w:r>
          </w:p>
        </w:tc>
      </w:tr>
      <w:tr w14:paraId="0398B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57625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z w:val="21"/>
                <w:szCs w:val="21"/>
              </w:rPr>
              <w:t>3</w:t>
            </w:r>
          </w:p>
        </w:tc>
        <w:tc>
          <w:tcPr>
            <w:tcW w:w="1025" w:type="pct"/>
            <w:gridSpan w:val="7"/>
            <w:vMerge w:val="continue"/>
            <w:noWrap w:val="0"/>
            <w:vAlign w:val="center"/>
          </w:tcPr>
          <w:p w14:paraId="061EB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p>
        </w:tc>
        <w:tc>
          <w:tcPr>
            <w:tcW w:w="818" w:type="pct"/>
            <w:gridSpan w:val="5"/>
            <w:noWrap w:val="0"/>
            <w:vAlign w:val="center"/>
          </w:tcPr>
          <w:p w14:paraId="5754615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6"/>
                <w:sz w:val="21"/>
                <w:szCs w:val="21"/>
              </w:rPr>
              <w:t>生态环境</w:t>
            </w:r>
          </w:p>
        </w:tc>
        <w:tc>
          <w:tcPr>
            <w:tcW w:w="2765" w:type="pct"/>
            <w:gridSpan w:val="18"/>
            <w:noWrap w:val="0"/>
            <w:vAlign w:val="center"/>
          </w:tcPr>
          <w:p w14:paraId="4B0AE9D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FF"/>
                <w:kern w:val="2"/>
                <w:sz w:val="21"/>
                <w:szCs w:val="21"/>
                <w:highlight w:val="none"/>
                <w:lang w:val="en-US" w:eastAsia="zh-CN" w:bidi="ar"/>
              </w:rPr>
            </w:pPr>
            <w:r>
              <w:rPr>
                <w:rFonts w:hint="eastAsia" w:ascii="Times New Roman" w:hAnsi="Times New Roman" w:eastAsia="宋体" w:cs="Times New Roman"/>
                <w:color w:val="auto"/>
                <w:spacing w:val="1"/>
                <w:sz w:val="21"/>
                <w:szCs w:val="21"/>
                <w:lang w:val="en-US" w:eastAsia="zh-CN"/>
              </w:rPr>
              <w:t>升压站</w:t>
            </w:r>
            <w:r>
              <w:rPr>
                <w:rFonts w:hint="default" w:ascii="Times New Roman" w:hAnsi="Times New Roman" w:eastAsia="宋体" w:cs="Times New Roman"/>
                <w:color w:val="auto"/>
                <w:spacing w:val="6"/>
                <w:sz w:val="21"/>
                <w:szCs w:val="21"/>
              </w:rPr>
              <w:t>站界外500m范围</w:t>
            </w:r>
          </w:p>
        </w:tc>
      </w:tr>
      <w:tr w14:paraId="56A94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756EA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1"/>
                <w:sz w:val="21"/>
                <w:szCs w:val="21"/>
              </w:rPr>
              <w:t>4</w:t>
            </w:r>
          </w:p>
        </w:tc>
        <w:tc>
          <w:tcPr>
            <w:tcW w:w="1025" w:type="pct"/>
            <w:gridSpan w:val="7"/>
            <w:vMerge w:val="restart"/>
            <w:noWrap w:val="0"/>
            <w:vAlign w:val="center"/>
          </w:tcPr>
          <w:p w14:paraId="49B33B2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107"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1"/>
                <w:sz w:val="21"/>
                <w:szCs w:val="21"/>
              </w:rPr>
              <w:t>110</w:t>
            </w:r>
            <w:r>
              <w:rPr>
                <w:rFonts w:hint="default" w:ascii="Times New Roman" w:hAnsi="Times New Roman" w:eastAsia="宋体" w:cs="Times New Roman"/>
                <w:sz w:val="21"/>
                <w:szCs w:val="21"/>
              </w:rPr>
              <w:t>kV</w:t>
            </w:r>
            <w:r>
              <w:rPr>
                <w:rFonts w:hint="default" w:ascii="Times New Roman" w:hAnsi="Times New Roman" w:eastAsia="宋体" w:cs="Times New Roman"/>
                <w:spacing w:val="1"/>
                <w:sz w:val="21"/>
                <w:szCs w:val="21"/>
              </w:rPr>
              <w:t>输电</w:t>
            </w:r>
            <w:r>
              <w:rPr>
                <w:rFonts w:hint="default" w:ascii="Times New Roman" w:hAnsi="Times New Roman" w:eastAsia="宋体" w:cs="Times New Roman"/>
                <w:spacing w:val="3"/>
                <w:sz w:val="21"/>
                <w:szCs w:val="21"/>
              </w:rPr>
              <w:t>线路</w:t>
            </w:r>
          </w:p>
        </w:tc>
        <w:tc>
          <w:tcPr>
            <w:tcW w:w="818" w:type="pct"/>
            <w:gridSpan w:val="5"/>
            <w:noWrap w:val="0"/>
            <w:vAlign w:val="center"/>
          </w:tcPr>
          <w:p w14:paraId="3E1771C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1"/>
                <w:sz w:val="21"/>
                <w:szCs w:val="21"/>
              </w:rPr>
              <w:t>电磁环境</w:t>
            </w:r>
          </w:p>
        </w:tc>
        <w:tc>
          <w:tcPr>
            <w:tcW w:w="2765" w:type="pct"/>
            <w:gridSpan w:val="18"/>
            <w:noWrap w:val="0"/>
            <w:vAlign w:val="center"/>
          </w:tcPr>
          <w:p w14:paraId="4C4F209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8"/>
                <w:sz w:val="21"/>
                <w:szCs w:val="21"/>
              </w:rPr>
              <w:t>架空线路边导线地面投影外两侧各30m带状区域</w:t>
            </w:r>
          </w:p>
        </w:tc>
      </w:tr>
      <w:tr w14:paraId="22EA2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2098C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z w:val="21"/>
                <w:szCs w:val="21"/>
              </w:rPr>
              <w:t>5</w:t>
            </w:r>
          </w:p>
        </w:tc>
        <w:tc>
          <w:tcPr>
            <w:tcW w:w="1025" w:type="pct"/>
            <w:gridSpan w:val="7"/>
            <w:vMerge w:val="continue"/>
            <w:noWrap w:val="0"/>
            <w:vAlign w:val="center"/>
          </w:tcPr>
          <w:p w14:paraId="17D03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p>
        </w:tc>
        <w:tc>
          <w:tcPr>
            <w:tcW w:w="818" w:type="pct"/>
            <w:gridSpan w:val="5"/>
            <w:noWrap w:val="0"/>
            <w:vAlign w:val="center"/>
          </w:tcPr>
          <w:p w14:paraId="4E2F78E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5"/>
                <w:sz w:val="21"/>
                <w:szCs w:val="21"/>
              </w:rPr>
              <w:t>声环境</w:t>
            </w:r>
          </w:p>
        </w:tc>
        <w:tc>
          <w:tcPr>
            <w:tcW w:w="2765" w:type="pct"/>
            <w:gridSpan w:val="18"/>
            <w:noWrap w:val="0"/>
            <w:vAlign w:val="center"/>
          </w:tcPr>
          <w:p w14:paraId="33CC138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8"/>
                <w:sz w:val="21"/>
                <w:szCs w:val="21"/>
              </w:rPr>
              <w:t>架空线路边导线地面投影外两侧各30m带状区域</w:t>
            </w:r>
          </w:p>
        </w:tc>
      </w:tr>
      <w:tr w14:paraId="5335C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0" w:type="pct"/>
            <w:gridSpan w:val="2"/>
            <w:noWrap w:val="0"/>
            <w:vAlign w:val="center"/>
          </w:tcPr>
          <w:p w14:paraId="25B38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z w:val="21"/>
                <w:szCs w:val="21"/>
              </w:rPr>
              <w:t>6</w:t>
            </w:r>
          </w:p>
        </w:tc>
        <w:tc>
          <w:tcPr>
            <w:tcW w:w="1025" w:type="pct"/>
            <w:gridSpan w:val="7"/>
            <w:vMerge w:val="continue"/>
            <w:noWrap w:val="0"/>
            <w:vAlign w:val="center"/>
          </w:tcPr>
          <w:p w14:paraId="2E2B0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p>
        </w:tc>
        <w:tc>
          <w:tcPr>
            <w:tcW w:w="818" w:type="pct"/>
            <w:gridSpan w:val="5"/>
            <w:noWrap w:val="0"/>
            <w:vAlign w:val="center"/>
          </w:tcPr>
          <w:p w14:paraId="62DC678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6"/>
                <w:sz w:val="21"/>
                <w:szCs w:val="21"/>
              </w:rPr>
              <w:t>生态环境</w:t>
            </w:r>
          </w:p>
        </w:tc>
        <w:tc>
          <w:tcPr>
            <w:tcW w:w="2765" w:type="pct"/>
            <w:gridSpan w:val="18"/>
            <w:noWrap w:val="0"/>
            <w:vAlign w:val="center"/>
          </w:tcPr>
          <w:p w14:paraId="04CBCEF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
              </w:rPr>
            </w:pPr>
            <w:r>
              <w:rPr>
                <w:rFonts w:hint="default" w:ascii="Times New Roman" w:hAnsi="Times New Roman" w:eastAsia="宋体" w:cs="Times New Roman"/>
                <w:spacing w:val="7"/>
                <w:sz w:val="21"/>
                <w:szCs w:val="21"/>
              </w:rPr>
              <w:t>导线地面投影外两侧各300m带状区域</w:t>
            </w:r>
          </w:p>
        </w:tc>
      </w:tr>
      <w:tr w14:paraId="5ED90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62BE3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eastAsia" w:ascii="Times New Roman" w:hAnsi="Times New Roman" w:cs="Times New Roman"/>
                <w:b w:val="0"/>
                <w:bCs w:val="0"/>
                <w:color w:val="000000"/>
                <w:kern w:val="2"/>
                <w:sz w:val="24"/>
                <w:szCs w:val="24"/>
                <w:highlight w:val="none"/>
                <w:lang w:val="en-US" w:eastAsia="zh-CN" w:bidi="ar"/>
              </w:rPr>
            </w:pPr>
          </w:p>
          <w:p w14:paraId="0D703367">
            <w:pPr>
              <w:keepNext w:val="0"/>
              <w:keepLines w:val="0"/>
              <w:pageBreakBefore w:val="0"/>
              <w:widowControl/>
              <w:suppressLineNumbers w:val="0"/>
              <w:kinsoku/>
              <w:wordWrap/>
              <w:overflowPunct/>
              <w:topLinePunct w:val="0"/>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zh-CN"/>
                <w14:textFill>
                  <w14:solidFill>
                    <w14:schemeClr w14:val="tx1"/>
                  </w14:solidFill>
                </w14:textFill>
              </w:rPr>
            </w:pPr>
            <w:r>
              <w:rPr>
                <w:rFonts w:hint="eastAsia" w:ascii="Times New Roman" w:hAnsi="Times New Roman" w:cs="Times New Roman"/>
                <w:b w:val="0"/>
                <w:bCs w:val="0"/>
                <w:color w:val="000000"/>
                <w:kern w:val="2"/>
                <w:sz w:val="24"/>
                <w:szCs w:val="24"/>
                <w:highlight w:val="none"/>
                <w:lang w:val="en-US" w:eastAsia="zh-CN" w:bidi="ar"/>
              </w:rPr>
              <w:t>（2）</w:t>
            </w:r>
            <w:r>
              <w:rPr>
                <w:rFonts w:hint="default" w:ascii="Times New Roman" w:hAnsi="Times New Roman" w:eastAsia="宋体" w:cs="Times New Roman"/>
                <w:b w:val="0"/>
                <w:bCs w:val="0"/>
                <w:color w:val="000000"/>
                <w:kern w:val="2"/>
                <w:sz w:val="24"/>
                <w:szCs w:val="24"/>
                <w:highlight w:val="none"/>
                <w:lang w:val="zh-CN" w:eastAsia="zh-CN" w:bidi="ar"/>
              </w:rPr>
              <w:t>生态环境保护目标</w:t>
            </w:r>
          </w:p>
          <w:p w14:paraId="3FEF4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000000"/>
                <w:kern w:val="2"/>
                <w:sz w:val="24"/>
                <w:szCs w:val="24"/>
                <w:highlight w:val="none"/>
                <w:lang w:val="en-US" w:eastAsia="zh-CN" w:bidi="ar"/>
              </w:rPr>
            </w:pPr>
            <w:r>
              <w:rPr>
                <w:rFonts w:hint="eastAsia" w:ascii="Times New Roman" w:hAnsi="Times New Roman" w:eastAsia="宋体" w:cs="Times New Roman"/>
                <w:b w:val="0"/>
                <w:bCs w:val="0"/>
                <w:color w:val="000000"/>
                <w:kern w:val="2"/>
                <w:sz w:val="24"/>
                <w:szCs w:val="24"/>
                <w:highlight w:val="none"/>
                <w:lang w:val="en-US" w:eastAsia="zh-CN" w:bidi="ar"/>
              </w:rPr>
              <w:t>根据《建设项目环境影响评价分类管理名录</w:t>
            </w:r>
            <w:r>
              <w:rPr>
                <w:rFonts w:hint="eastAsia" w:ascii="Times New Roman" w:hAnsi="Times New Roman" w:eastAsia="宋体" w:cs="Times New Roman"/>
                <w:b w:val="0"/>
                <w:bCs w:val="0"/>
                <w:color w:val="000000"/>
                <w:sz w:val="24"/>
                <w:szCs w:val="24"/>
                <w:highlight w:val="none"/>
                <w:lang w:val="en-US" w:eastAsia="zh-CN"/>
              </w:rPr>
              <w:t>(2021年版)</w:t>
            </w:r>
            <w:r>
              <w:rPr>
                <w:rFonts w:hint="eastAsia" w:ascii="Times New Roman" w:hAnsi="Times New Roman" w:eastAsia="宋体" w:cs="Times New Roman"/>
                <w:b w:val="0"/>
                <w:bCs w:val="0"/>
                <w:color w:val="000000"/>
                <w:kern w:val="2"/>
                <w:sz w:val="24"/>
                <w:szCs w:val="24"/>
                <w:highlight w:val="none"/>
                <w:lang w:val="en-US" w:eastAsia="zh-CN" w:bidi="ar"/>
              </w:rPr>
              <w:t>》，输变电类项目环境敏感区为：</w:t>
            </w:r>
            <w:r>
              <w:rPr>
                <w:rFonts w:hint="eastAsia" w:ascii="Times New Roman" w:hAnsi="Times New Roman" w:eastAsia="宋体" w:cs="Times New Roman"/>
                <w:b w:val="0"/>
                <w:bCs w:val="0"/>
                <w:color w:val="000000"/>
                <w:kern w:val="2"/>
                <w:sz w:val="24"/>
                <w:szCs w:val="24"/>
                <w:highlight w:val="none"/>
                <w:lang w:val="zh-CN" w:eastAsia="zh-CN" w:bidi="ar"/>
              </w:rPr>
              <w:t>(一)类，</w:t>
            </w:r>
            <w:r>
              <w:rPr>
                <w:rFonts w:hint="eastAsia" w:ascii="Times New Roman" w:hAnsi="Times New Roman" w:eastAsia="宋体" w:cs="Times New Roman"/>
                <w:b w:val="0"/>
                <w:bCs w:val="0"/>
                <w:color w:val="000000"/>
                <w:kern w:val="2"/>
                <w:sz w:val="24"/>
                <w:szCs w:val="24"/>
                <w:highlight w:val="none"/>
                <w:lang w:val="en-US" w:eastAsia="zh-CN" w:bidi="ar"/>
              </w:rPr>
              <w:t>国家公园、自然保护区、风景名胜区、世界文化和自然遗产地、海洋特别保护区、饮用水水源保护区</w:t>
            </w:r>
            <w:r>
              <w:rPr>
                <w:rFonts w:hint="eastAsia" w:ascii="Times New Roman" w:hAnsi="Times New Roman" w:eastAsia="宋体" w:cs="Times New Roman"/>
                <w:b w:val="0"/>
                <w:bCs w:val="0"/>
                <w:color w:val="000000"/>
                <w:kern w:val="2"/>
                <w:sz w:val="24"/>
                <w:szCs w:val="24"/>
                <w:highlight w:val="none"/>
                <w:lang w:val="zh-CN" w:eastAsia="zh-CN" w:bidi="ar"/>
              </w:rPr>
              <w:t>；(三)类，</w:t>
            </w:r>
            <w:r>
              <w:rPr>
                <w:rFonts w:hint="eastAsia" w:ascii="Times New Roman" w:hAnsi="Times New Roman" w:eastAsia="宋体" w:cs="Times New Roman"/>
                <w:b w:val="0"/>
                <w:bCs w:val="0"/>
                <w:color w:val="000000"/>
                <w:kern w:val="2"/>
                <w:sz w:val="24"/>
                <w:szCs w:val="24"/>
                <w:highlight w:val="none"/>
                <w:lang w:val="en-US" w:eastAsia="zh-CN" w:bidi="ar"/>
              </w:rPr>
              <w:t>以居住、医疗卫生、文化教育、科研、行政办公等为主要功能的区域</w:t>
            </w:r>
            <w:r>
              <w:rPr>
                <w:rFonts w:hint="eastAsia" w:ascii="Times New Roman" w:hAnsi="Times New Roman" w:eastAsia="宋体" w:cs="Times New Roman"/>
                <w:b w:val="0"/>
                <w:bCs w:val="0"/>
                <w:color w:val="000000"/>
                <w:kern w:val="2"/>
                <w:sz w:val="24"/>
                <w:szCs w:val="24"/>
                <w:highlight w:val="none"/>
                <w:lang w:val="zh-CN" w:eastAsia="zh-CN" w:bidi="ar"/>
              </w:rPr>
              <w:t>。</w:t>
            </w:r>
            <w:r>
              <w:rPr>
                <w:rFonts w:hint="eastAsia" w:ascii="Times New Roman" w:hAnsi="Times New Roman" w:cs="Times New Roman"/>
                <w:b w:val="0"/>
                <w:bCs w:val="0"/>
                <w:color w:val="000000"/>
                <w:kern w:val="2"/>
                <w:sz w:val="24"/>
                <w:szCs w:val="24"/>
                <w:highlight w:val="none"/>
                <w:lang w:val="en-US" w:eastAsia="zh-CN" w:bidi="ar"/>
              </w:rPr>
              <w:t>经</w:t>
            </w:r>
            <w:r>
              <w:rPr>
                <w:rFonts w:hint="eastAsia" w:ascii="Times New Roman" w:hAnsi="Times New Roman" w:eastAsia="宋体" w:cs="Times New Roman"/>
                <w:b w:val="0"/>
                <w:bCs w:val="0"/>
                <w:color w:val="000000"/>
                <w:kern w:val="2"/>
                <w:sz w:val="24"/>
                <w:szCs w:val="24"/>
                <w:highlight w:val="none"/>
                <w:lang w:val="en-US" w:eastAsia="zh-CN" w:bidi="ar"/>
              </w:rPr>
              <w:t>现场踏勘，本工程不涉及上述环境敏感区。</w:t>
            </w:r>
          </w:p>
          <w:p w14:paraId="227A03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对照</w:t>
            </w:r>
            <w:r>
              <w:rPr>
                <w:rFonts w:hint="eastAsia" w:ascii="Times New Roman" w:hAnsi="Times New Roman" w:eastAsia="宋体" w:cs="Times New Roman"/>
                <w:color w:val="000000"/>
                <w:kern w:val="2"/>
                <w:sz w:val="24"/>
                <w:szCs w:val="24"/>
                <w:highlight w:val="none"/>
                <w:lang w:val="en-US" w:eastAsia="zh-CN" w:bidi="ar-SA"/>
              </w:rPr>
              <w:t>《环境影响评价技术导则</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生态影响》(HJ</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19-2022)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，生态敏感区包括法定生态保护区域、重要生境以及其他具有重要生态功能、对保护生物多样性具有重要意义的区域。本工程不涉及《环境影响评价技术导则 生态影响》</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HJ</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19-2022</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中</w:t>
            </w:r>
            <w:r>
              <w:rPr>
                <w:rFonts w:hint="eastAsia" w:cs="Times New Roman"/>
                <w:b w:val="0"/>
                <w:bCs w:val="0"/>
                <w:color w:val="000000" w:themeColor="text1"/>
                <w:sz w:val="24"/>
                <w:szCs w:val="24"/>
                <w:highlight w:val="none"/>
                <w:lang w:val="en-US" w:eastAsia="zh-CN"/>
                <w14:textFill>
                  <w14:solidFill>
                    <w14:schemeClr w14:val="tx1"/>
                  </w14:solidFill>
                </w14:textFill>
              </w:rPr>
              <w:t>规定</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的生态敏感区</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5C459342">
            <w:pPr>
              <w:pStyle w:val="2"/>
              <w:keepNext w:val="0"/>
              <w:keepLines w:val="0"/>
              <w:pageBreakBefore w:val="0"/>
              <w:suppressLineNumbers w:val="0"/>
              <w:kinsoku/>
              <w:wordWrap/>
              <w:overflowPunct/>
              <w:topLinePunct w:val="0"/>
              <w:bidi w:val="0"/>
              <w:spacing w:before="0" w:beforeAutospacing="0" w:after="0" w:afterAutospacing="0"/>
              <w:ind w:left="0" w:right="0"/>
              <w:jc w:val="both"/>
              <w:textAlignment w:val="auto"/>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电磁环境保护目标</w:t>
            </w:r>
          </w:p>
          <w:p w14:paraId="4DC35395">
            <w:pPr>
              <w:pStyle w:val="2"/>
              <w:keepNext w:val="0"/>
              <w:keepLines w:val="0"/>
              <w:pageBreakBefore w:val="0"/>
              <w:suppressLineNumbers w:val="0"/>
              <w:kinsoku/>
              <w:wordWrap/>
              <w:overflowPunct/>
              <w:topLinePunct w:val="0"/>
              <w:bidi w:val="0"/>
              <w:spacing w:before="0" w:beforeAutospacing="0" w:after="0" w:afterAutospacing="0"/>
              <w:ind w:left="0" w:right="0"/>
              <w:jc w:val="both"/>
              <w:textAlignment w:val="auto"/>
              <w:rPr>
                <w:rFonts w:hint="default" w:ascii="Times New Roman" w:hAnsi="Times New Roman" w:eastAsia="宋体" w:cs="Times New Roman"/>
                <w:b w:val="0"/>
                <w:bCs w:val="0"/>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根据《环境影响评价技术导则 输变电》</w:t>
            </w:r>
            <w:r>
              <w:rPr>
                <w:rFonts w:hint="eastAsia" w:ascii="Times New Roman" w:hAnsi="Times New Roman" w:cs="Times New Roman"/>
                <w:b w:val="0"/>
                <w:bCs w:val="0"/>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HJ</w:t>
            </w:r>
            <w:r>
              <w:rPr>
                <w:rFonts w:hint="eastAsia" w:ascii="Times New Roman" w:hAnsi="Times New Roman" w:cs="Times New Roman"/>
                <w:b w:val="0"/>
                <w:bCs w:val="0"/>
                <w:color w:val="000000" w:themeColor="text1"/>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24-2020</w:t>
            </w:r>
            <w:r>
              <w:rPr>
                <w:rFonts w:hint="eastAsia" w:ascii="Times New Roman" w:hAnsi="Times New Roman" w:cs="Times New Roman"/>
                <w:b w:val="0"/>
                <w:bCs w:val="0"/>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，电磁环境敏感目标为电磁环境影响评价需重点关注的对象。包括住宅、学校、医院、办公楼、工厂等有公众居住，工作或学习的建筑物。</w:t>
            </w:r>
            <w:r>
              <w:rPr>
                <w:rFonts w:hint="eastAsia" w:ascii="Times New Roman" w:hAnsi="Times New Roman" w:cs="Times New Roman"/>
                <w:b w:val="0"/>
                <w:bCs w:val="0"/>
                <w:color w:val="000000" w:themeColor="text1"/>
                <w:sz w:val="24"/>
                <w:szCs w:val="24"/>
                <w:highlight w:val="none"/>
                <w:lang w:val="en-US" w:eastAsia="zh-CN" w:bidi="ar"/>
                <w14:textFill>
                  <w14:solidFill>
                    <w14:schemeClr w14:val="tx1"/>
                  </w14:solidFill>
                </w14:textFill>
              </w:rPr>
              <w:t>经</w:t>
            </w:r>
            <w:r>
              <w:rPr>
                <w:rFonts w:hint="eastAsia" w:ascii="Times New Roman" w:hAnsi="Times New Roman" w:eastAsia="宋体" w:cs="Times New Roman"/>
                <w:b w:val="0"/>
                <w:bCs w:val="0"/>
                <w:color w:val="000000"/>
                <w:sz w:val="24"/>
                <w:szCs w:val="24"/>
                <w:highlight w:val="none"/>
                <w:lang w:val="zh-CN"/>
              </w:rPr>
              <w:t>现场踏勘，</w:t>
            </w:r>
            <w:r>
              <w:rPr>
                <w:rFonts w:hint="eastAsia" w:ascii="Times New Roman" w:hAnsi="Times New Roman" w:eastAsia="宋体" w:cs="Times New Roman"/>
                <w:b w:val="0"/>
                <w:bCs w:val="0"/>
                <w:color w:val="000000"/>
                <w:sz w:val="24"/>
                <w:szCs w:val="24"/>
                <w:highlight w:val="none"/>
                <w:lang w:val="en-US" w:eastAsia="zh-CN"/>
              </w:rPr>
              <w:t>本工程电磁环境</w:t>
            </w:r>
            <w:r>
              <w:rPr>
                <w:rFonts w:hint="eastAsia" w:ascii="Times New Roman" w:hAnsi="Times New Roman" w:eastAsia="宋体" w:cs="Times New Roman"/>
                <w:b w:val="0"/>
                <w:bCs w:val="0"/>
                <w:color w:val="000000"/>
                <w:sz w:val="24"/>
                <w:szCs w:val="24"/>
                <w:highlight w:val="none"/>
                <w:lang w:val="zh-CN"/>
              </w:rPr>
              <w:t>评价范围</w:t>
            </w:r>
            <w:r>
              <w:rPr>
                <w:rFonts w:hint="eastAsia" w:ascii="Times New Roman" w:hAnsi="Times New Roman" w:cs="Times New Roman"/>
                <w:b w:val="0"/>
                <w:bCs w:val="0"/>
                <w:color w:val="000000"/>
                <w:sz w:val="24"/>
                <w:szCs w:val="24"/>
                <w:highlight w:val="none"/>
                <w:lang w:val="en-US" w:eastAsia="zh-CN"/>
              </w:rPr>
              <w:t>内</w:t>
            </w:r>
            <w:r>
              <w:rPr>
                <w:rFonts w:hint="eastAsia" w:ascii="Times New Roman" w:hAnsi="Times New Roman" w:cs="Times New Roman"/>
                <w:b w:val="0"/>
                <w:bCs w:val="0"/>
                <w:color w:val="000000" w:themeColor="text1"/>
                <w:sz w:val="24"/>
                <w:szCs w:val="24"/>
                <w:highlight w:val="none"/>
                <w:lang w:val="en-US" w:eastAsia="zh-CN" w:bidi="ar"/>
                <w14:textFill>
                  <w14:solidFill>
                    <w14:schemeClr w14:val="tx1"/>
                  </w14:solidFill>
                </w14:textFill>
              </w:rPr>
              <w:t>有</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电磁环境保护目标</w:t>
            </w:r>
            <w:r>
              <w:rPr>
                <w:rFonts w:hint="eastAsia" w:ascii="Times New Roman" w:hAnsi="Times New Roman" w:cs="Times New Roman"/>
                <w:b w:val="0"/>
                <w:bCs w:val="0"/>
                <w:color w:val="000000" w:themeColor="text1"/>
                <w:sz w:val="24"/>
                <w:szCs w:val="24"/>
                <w:highlight w:val="none"/>
                <w:lang w:eastAsia="zh-CN" w:bidi="ar"/>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bidi="ar"/>
                <w14:textFill>
                  <w14:solidFill>
                    <w14:schemeClr w14:val="tx1"/>
                  </w14:solidFill>
                </w14:textFill>
              </w:rPr>
              <w:t>具体见表</w:t>
            </w:r>
            <w:r>
              <w:rPr>
                <w:rFonts w:hint="eastAsia" w:cs="Times New Roman"/>
                <w:b w:val="0"/>
                <w:bCs w:val="0"/>
                <w:color w:val="000000" w:themeColor="text1"/>
                <w:sz w:val="24"/>
                <w:szCs w:val="24"/>
                <w:highlight w:val="none"/>
                <w:lang w:val="en-US" w:eastAsia="zh-CN" w:bidi="ar"/>
                <w14:textFill>
                  <w14:solidFill>
                    <w14:schemeClr w14:val="tx1"/>
                  </w14:solidFill>
                </w14:textFill>
              </w:rPr>
              <w:t>3-7</w:t>
            </w:r>
            <w:r>
              <w:rPr>
                <w:rFonts w:hint="default" w:ascii="Times New Roman" w:hAnsi="Times New Roman" w:eastAsia="宋体" w:cs="Times New Roman"/>
                <w:b w:val="0"/>
                <w:bCs w:val="0"/>
                <w:color w:val="000000" w:themeColor="text1"/>
                <w:sz w:val="24"/>
                <w:szCs w:val="24"/>
                <w:highlight w:val="none"/>
                <w:lang w:eastAsia="zh-CN" w:bidi="ar"/>
                <w14:textFill>
                  <w14:solidFill>
                    <w14:schemeClr w14:val="tx1"/>
                  </w14:solidFill>
                </w14:textFill>
              </w:rPr>
              <w:t>。</w:t>
            </w:r>
          </w:p>
          <w:p w14:paraId="47D021B4">
            <w:pPr>
              <w:pStyle w:val="2"/>
              <w:keepNext w:val="0"/>
              <w:keepLines w:val="0"/>
              <w:pageBreakBefore w:val="0"/>
              <w:suppressLineNumbers w:val="0"/>
              <w:kinsoku/>
              <w:wordWrap/>
              <w:overflowPunct/>
              <w:topLinePunct w:val="0"/>
              <w:bidi w:val="0"/>
              <w:spacing w:before="0" w:beforeAutospacing="0" w:after="0" w:afterAutospacing="0"/>
              <w:ind w:left="0" w:right="0"/>
              <w:jc w:val="both"/>
              <w:textAlignment w:val="auto"/>
              <w:rPr>
                <w:rFonts w:hint="default" w:ascii="Times New Roman" w:hAnsi="Times New Roman" w:eastAsia="宋体" w:cs="Times New Roman"/>
                <w:b w:val="0"/>
                <w:bCs w:val="0"/>
                <w:color w:val="000000" w:themeColor="text1"/>
                <w:sz w:val="24"/>
                <w:szCs w:val="24"/>
                <w:highlight w:val="none"/>
                <w:lang w:eastAsia="zh-CN" w:bidi="ar"/>
                <w14:textFill>
                  <w14:solidFill>
                    <w14:schemeClr w14:val="tx1"/>
                  </w14:solidFill>
                </w14:textFill>
              </w:rPr>
            </w:pP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声</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环境保护目标</w:t>
            </w:r>
          </w:p>
          <w:p w14:paraId="6561115F">
            <w:pPr>
              <w:pStyle w:val="2"/>
              <w:keepNext w:val="0"/>
              <w:keepLines w:val="0"/>
              <w:pageBreakBefore w:val="0"/>
              <w:suppressLineNumbers w:val="0"/>
              <w:kinsoku/>
              <w:wordWrap/>
              <w:overflowPunct/>
              <w:topLinePunct w:val="0"/>
              <w:bidi w:val="0"/>
              <w:spacing w:before="0" w:beforeAutospacing="0" w:after="0" w:afterAutospacing="0"/>
              <w:ind w:left="0" w:right="0"/>
              <w:jc w:val="both"/>
              <w:textAlignment w:val="auto"/>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2"/>
                <w:sz w:val="24"/>
                <w:szCs w:val="24"/>
                <w:highlight w:val="none"/>
                <w:lang w:val="en-US" w:eastAsia="zh-CN" w:bidi="ar"/>
              </w:rPr>
              <w:t>根据《环境影响评价技术导则</w:t>
            </w:r>
            <w:r>
              <w:rPr>
                <w:rFonts w:hint="eastAsia" w:cs="Times New Roman"/>
                <w:b w:val="0"/>
                <w:bCs w:val="0"/>
                <w:color w:val="000000"/>
                <w:kern w:val="2"/>
                <w:sz w:val="24"/>
                <w:szCs w:val="24"/>
                <w:highlight w:val="none"/>
                <w:lang w:val="en-US" w:eastAsia="zh-CN" w:bidi="ar"/>
              </w:rPr>
              <w:t xml:space="preserve"> </w:t>
            </w:r>
            <w:r>
              <w:rPr>
                <w:rFonts w:hint="eastAsia" w:ascii="Times New Roman" w:hAnsi="Times New Roman" w:eastAsia="宋体" w:cs="Times New Roman"/>
                <w:b w:val="0"/>
                <w:bCs w:val="0"/>
                <w:color w:val="000000"/>
                <w:kern w:val="2"/>
                <w:sz w:val="24"/>
                <w:szCs w:val="24"/>
                <w:highlight w:val="none"/>
                <w:lang w:val="en-US" w:eastAsia="zh-CN" w:bidi="ar"/>
              </w:rPr>
              <w:t>声环境》(HJ</w:t>
            </w:r>
            <w:r>
              <w:rPr>
                <w:rFonts w:hint="eastAsia" w:cs="Times New Roman"/>
                <w:b w:val="0"/>
                <w:bCs w:val="0"/>
                <w:color w:val="000000"/>
                <w:kern w:val="2"/>
                <w:sz w:val="24"/>
                <w:szCs w:val="24"/>
                <w:highlight w:val="none"/>
                <w:lang w:val="en-US" w:eastAsia="zh-CN" w:bidi="ar"/>
              </w:rPr>
              <w:t xml:space="preserve"> </w:t>
            </w:r>
            <w:r>
              <w:rPr>
                <w:rFonts w:hint="eastAsia" w:ascii="Times New Roman" w:hAnsi="Times New Roman" w:eastAsia="宋体" w:cs="Times New Roman"/>
                <w:b w:val="0"/>
                <w:bCs w:val="0"/>
                <w:color w:val="000000"/>
                <w:kern w:val="2"/>
                <w:sz w:val="24"/>
                <w:szCs w:val="24"/>
                <w:highlight w:val="none"/>
                <w:lang w:val="en-US" w:eastAsia="zh-CN" w:bidi="ar"/>
              </w:rPr>
              <w:t>2.4-2021)，</w:t>
            </w:r>
            <w:r>
              <w:rPr>
                <w:rFonts w:hint="default" w:ascii="Times New Roman" w:hAnsi="Times New Roman" w:cs="Times New Roman"/>
                <w:b w:val="0"/>
                <w:bCs w:val="0"/>
                <w:spacing w:val="-2"/>
                <w:sz w:val="24"/>
                <w:szCs w:val="24"/>
              </w:rPr>
              <w:t>声环境保</w:t>
            </w:r>
            <w:r>
              <w:rPr>
                <w:rFonts w:hint="default" w:ascii="Times New Roman" w:hAnsi="Times New Roman" w:cs="Times New Roman"/>
                <w:b w:val="0"/>
                <w:bCs w:val="0"/>
                <w:spacing w:val="-3"/>
                <w:sz w:val="24"/>
                <w:szCs w:val="24"/>
              </w:rPr>
              <w:t>护目标</w:t>
            </w:r>
            <w:r>
              <w:rPr>
                <w:rFonts w:hint="default" w:ascii="Times New Roman" w:hAnsi="Times New Roman" w:cs="Times New Roman"/>
                <w:b w:val="0"/>
                <w:bCs w:val="0"/>
                <w:spacing w:val="-88"/>
                <w:sz w:val="24"/>
                <w:szCs w:val="24"/>
              </w:rPr>
              <w:t xml:space="preserve"> </w:t>
            </w:r>
            <w:r>
              <w:rPr>
                <w:rFonts w:hint="eastAsia" w:ascii="Times New Roman" w:hAnsi="Times New Roman" w:eastAsia="宋体" w:cs="Times New Roman"/>
                <w:b w:val="0"/>
                <w:bCs w:val="0"/>
                <w:color w:val="000000"/>
                <w:kern w:val="2"/>
                <w:sz w:val="24"/>
                <w:szCs w:val="24"/>
                <w:highlight w:val="none"/>
                <w:lang w:val="en-US" w:eastAsia="zh-CN" w:bidi="ar"/>
              </w:rPr>
              <w:t>指医院、学校、机关、科研单位、住宅、自然保护区等对噪声敏感的建筑物或区域。</w:t>
            </w:r>
            <w:r>
              <w:rPr>
                <w:rFonts w:hint="eastAsia" w:ascii="Times New Roman" w:hAnsi="Times New Roman" w:cs="Times New Roman"/>
                <w:b w:val="0"/>
                <w:bCs w:val="0"/>
                <w:color w:val="000000"/>
                <w:kern w:val="2"/>
                <w:sz w:val="24"/>
                <w:szCs w:val="24"/>
                <w:highlight w:val="none"/>
                <w:lang w:val="en-US" w:eastAsia="zh-CN" w:bidi="ar"/>
              </w:rPr>
              <w:t>经</w:t>
            </w:r>
            <w:r>
              <w:rPr>
                <w:rFonts w:hint="eastAsia" w:ascii="Times New Roman" w:hAnsi="Times New Roman" w:eastAsia="宋体" w:cs="Times New Roman"/>
                <w:b w:val="0"/>
                <w:bCs w:val="0"/>
                <w:color w:val="000000"/>
                <w:sz w:val="24"/>
                <w:szCs w:val="24"/>
                <w:highlight w:val="none"/>
                <w:lang w:val="zh-CN"/>
              </w:rPr>
              <w:t>现场踏勘，</w:t>
            </w:r>
            <w:r>
              <w:rPr>
                <w:rFonts w:hint="eastAsia" w:ascii="Times New Roman" w:hAnsi="Times New Roman" w:eastAsia="宋体" w:cs="Times New Roman"/>
                <w:b w:val="0"/>
                <w:bCs w:val="0"/>
                <w:color w:val="000000"/>
                <w:kern w:val="2"/>
                <w:sz w:val="24"/>
                <w:szCs w:val="24"/>
                <w:highlight w:val="none"/>
                <w:lang w:val="en-US" w:eastAsia="zh-CN" w:bidi="ar"/>
              </w:rPr>
              <w:t>本工程声环境</w:t>
            </w:r>
            <w:r>
              <w:rPr>
                <w:rFonts w:hint="eastAsia" w:ascii="Times New Roman" w:hAnsi="Times New Roman" w:eastAsia="宋体" w:cs="Times New Roman"/>
                <w:b w:val="0"/>
                <w:bCs w:val="0"/>
                <w:color w:val="000000"/>
                <w:kern w:val="2"/>
                <w:sz w:val="24"/>
                <w:szCs w:val="24"/>
                <w:highlight w:val="none"/>
                <w:lang w:val="zh-CN" w:eastAsia="zh-CN" w:bidi="ar"/>
              </w:rPr>
              <w:t>评价范围</w:t>
            </w:r>
            <w:r>
              <w:rPr>
                <w:rFonts w:hint="eastAsia" w:ascii="Times New Roman" w:hAnsi="Times New Roman" w:cs="Times New Roman"/>
                <w:b w:val="0"/>
                <w:bCs w:val="0"/>
                <w:color w:val="000000"/>
                <w:kern w:val="2"/>
                <w:sz w:val="24"/>
                <w:szCs w:val="24"/>
                <w:highlight w:val="none"/>
                <w:lang w:val="en-US" w:eastAsia="zh-CN" w:bidi="ar"/>
              </w:rPr>
              <w:t>内</w:t>
            </w:r>
            <w:r>
              <w:rPr>
                <w:rFonts w:hint="eastAsia" w:ascii="Times New Roman" w:hAnsi="Times New Roman" w:cs="Times New Roman"/>
                <w:b w:val="0"/>
                <w:bCs w:val="0"/>
                <w:color w:val="000000" w:themeColor="text1"/>
                <w:sz w:val="24"/>
                <w:szCs w:val="24"/>
                <w:highlight w:val="none"/>
                <w:lang w:val="en-US" w:eastAsia="zh-CN" w:bidi="ar"/>
                <w14:textFill>
                  <w14:solidFill>
                    <w14:schemeClr w14:val="tx1"/>
                  </w14:solidFill>
                </w14:textFill>
              </w:rPr>
              <w:t>有声</w:t>
            </w:r>
            <w:r>
              <w:rPr>
                <w:rFonts w:hint="default" w:ascii="Times New Roman" w:hAnsi="Times New Roman" w:eastAsia="宋体" w:cs="Times New Roman"/>
                <w:b w:val="0"/>
                <w:bCs w:val="0"/>
                <w:color w:val="000000" w:themeColor="text1"/>
                <w:sz w:val="24"/>
                <w:szCs w:val="24"/>
                <w:highlight w:val="none"/>
                <w:lang w:bidi="ar"/>
                <w14:textFill>
                  <w14:solidFill>
                    <w14:schemeClr w14:val="tx1"/>
                  </w14:solidFill>
                </w14:textFill>
              </w:rPr>
              <w:t>环境保护目标</w:t>
            </w:r>
            <w:r>
              <w:rPr>
                <w:rFonts w:hint="eastAsia" w:ascii="Times New Roman" w:hAnsi="Times New Roman" w:cs="Times New Roman"/>
                <w:b w:val="0"/>
                <w:bCs w:val="0"/>
                <w:color w:val="000000" w:themeColor="text1"/>
                <w:sz w:val="24"/>
                <w:szCs w:val="24"/>
                <w:highlight w:val="none"/>
                <w:lang w:eastAsia="zh-CN" w:bidi="ar"/>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bidi="ar"/>
                <w14:textFill>
                  <w14:solidFill>
                    <w14:schemeClr w14:val="tx1"/>
                  </w14:solidFill>
                </w14:textFill>
              </w:rPr>
              <w:t>具体见表</w:t>
            </w:r>
            <w:r>
              <w:rPr>
                <w:rFonts w:hint="eastAsia" w:cs="Times New Roman"/>
                <w:b w:val="0"/>
                <w:bCs w:val="0"/>
                <w:color w:val="000000" w:themeColor="text1"/>
                <w:sz w:val="24"/>
                <w:szCs w:val="24"/>
                <w:highlight w:val="none"/>
                <w:lang w:val="en-US" w:eastAsia="zh-CN" w:bidi="ar"/>
                <w14:textFill>
                  <w14:solidFill>
                    <w14:schemeClr w14:val="tx1"/>
                  </w14:solidFill>
                </w14:textFill>
              </w:rPr>
              <w:t>3-7</w:t>
            </w:r>
            <w:r>
              <w:rPr>
                <w:rFonts w:hint="default" w:ascii="Times New Roman" w:hAnsi="Times New Roman" w:eastAsia="宋体" w:cs="Times New Roman"/>
                <w:b w:val="0"/>
                <w:bCs w:val="0"/>
                <w:color w:val="000000" w:themeColor="text1"/>
                <w:sz w:val="24"/>
                <w:szCs w:val="24"/>
                <w:highlight w:val="none"/>
                <w:lang w:eastAsia="zh-CN" w:bidi="ar"/>
                <w14:textFill>
                  <w14:solidFill>
                    <w14:schemeClr w14:val="tx1"/>
                  </w14:solidFill>
                </w14:textFill>
              </w:rPr>
              <w:t>。</w:t>
            </w:r>
          </w:p>
          <w:p w14:paraId="0B71AD72">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lang w:val="en-US" w:eastAsia="zh-CN"/>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表3-</w:t>
            </w:r>
            <w:r>
              <w:rPr>
                <w:rFonts w:hint="eastAsia" w:cs="Times New Roman"/>
                <w:b/>
                <w:bCs/>
                <w:color w:val="000000" w:themeColor="text1"/>
                <w:spacing w:val="-4"/>
                <w:kern w:val="2"/>
                <w:sz w:val="24"/>
                <w:szCs w:val="24"/>
                <w:lang w:val="en-US" w:eastAsia="zh-CN" w:bidi="ar-SA"/>
                <w14:textFill>
                  <w14:solidFill>
                    <w14:schemeClr w14:val="tx1"/>
                  </w14:solidFill>
                </w14:textFill>
              </w:rPr>
              <w:t xml:space="preserve">7 </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建设项目评价范围内声、电磁</w:t>
            </w:r>
            <w:r>
              <w:rPr>
                <w:rFonts w:hint="eastAsia" w:cs="Times New Roman"/>
                <w:b/>
                <w:bCs/>
                <w:color w:val="000000" w:themeColor="text1"/>
                <w:spacing w:val="-4"/>
                <w:kern w:val="2"/>
                <w:sz w:val="24"/>
                <w:szCs w:val="24"/>
                <w:lang w:val="en-US" w:eastAsia="zh-CN" w:bidi="ar-SA"/>
                <w14:textFill>
                  <w14:solidFill>
                    <w14:schemeClr w14:val="tx1"/>
                  </w14:solidFill>
                </w14:textFill>
              </w:rPr>
              <w:t>保护</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目标</w:t>
            </w:r>
          </w:p>
        </w:tc>
      </w:tr>
      <w:tr w14:paraId="23CDB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79" w:type="pct"/>
            <w:noWrap w:val="0"/>
            <w:vAlign w:val="center"/>
          </w:tcPr>
          <w:p w14:paraId="23025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序号</w:t>
            </w:r>
          </w:p>
        </w:tc>
        <w:tc>
          <w:tcPr>
            <w:tcW w:w="739" w:type="pct"/>
            <w:gridSpan w:val="6"/>
            <w:noWrap w:val="0"/>
            <w:vAlign w:val="center"/>
          </w:tcPr>
          <w:p w14:paraId="05C17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环境</w:t>
            </w:r>
            <w:r>
              <w:rPr>
                <w:rFonts w:hint="eastAsia" w:cs="Times New Roman"/>
                <w:b w:val="0"/>
                <w:bCs/>
                <w:color w:val="auto"/>
                <w:sz w:val="21"/>
                <w:szCs w:val="21"/>
                <w:lang w:val="en-US" w:eastAsia="zh-CN"/>
              </w:rPr>
              <w:t>保护</w:t>
            </w:r>
            <w:r>
              <w:rPr>
                <w:rFonts w:hint="default" w:ascii="Times New Roman" w:hAnsi="Times New Roman" w:cs="Times New Roman"/>
                <w:b w:val="0"/>
                <w:bCs/>
                <w:color w:val="auto"/>
                <w:sz w:val="21"/>
                <w:szCs w:val="21"/>
              </w:rPr>
              <w:t>目标名称</w:t>
            </w:r>
          </w:p>
        </w:tc>
        <w:tc>
          <w:tcPr>
            <w:tcW w:w="843" w:type="pct"/>
            <w:gridSpan w:val="5"/>
            <w:noWrap w:val="0"/>
            <w:vAlign w:val="center"/>
          </w:tcPr>
          <w:p w14:paraId="615FF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功能/数量</w:t>
            </w:r>
          </w:p>
        </w:tc>
        <w:tc>
          <w:tcPr>
            <w:tcW w:w="750" w:type="pct"/>
            <w:gridSpan w:val="6"/>
            <w:noWrap w:val="0"/>
            <w:vAlign w:val="center"/>
          </w:tcPr>
          <w:p w14:paraId="6723E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color w:val="auto"/>
                <w:sz w:val="21"/>
                <w:szCs w:val="21"/>
              </w:rPr>
              <w:t>建筑物楼层</w:t>
            </w:r>
            <w:r>
              <w:rPr>
                <w:rFonts w:hint="eastAsia" w:cs="Times New Roman"/>
                <w:b w:val="0"/>
                <w:bCs/>
                <w:color w:val="auto"/>
                <w:sz w:val="21"/>
                <w:szCs w:val="21"/>
                <w:lang w:val="en-US" w:eastAsia="zh-CN"/>
              </w:rPr>
              <w:t>/高度</w:t>
            </w:r>
          </w:p>
        </w:tc>
        <w:tc>
          <w:tcPr>
            <w:tcW w:w="900" w:type="pct"/>
            <w:gridSpan w:val="6"/>
            <w:noWrap w:val="0"/>
            <w:vAlign w:val="center"/>
          </w:tcPr>
          <w:p w14:paraId="38710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spacing w:val="8"/>
                <w:sz w:val="21"/>
                <w:szCs w:val="21"/>
              </w:rPr>
              <w:t>位置</w:t>
            </w:r>
          </w:p>
        </w:tc>
        <w:tc>
          <w:tcPr>
            <w:tcW w:w="1387" w:type="pct"/>
            <w:gridSpan w:val="8"/>
            <w:noWrap w:val="0"/>
            <w:vAlign w:val="center"/>
          </w:tcPr>
          <w:p w14:paraId="635EC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spacing w:val="4"/>
                <w:sz w:val="21"/>
                <w:szCs w:val="21"/>
              </w:rPr>
            </w:pPr>
            <w:r>
              <w:rPr>
                <w:rFonts w:hint="default" w:ascii="Times New Roman" w:hAnsi="Times New Roman" w:cs="Times New Roman"/>
                <w:b w:val="0"/>
                <w:bCs/>
                <w:spacing w:val="4"/>
                <w:sz w:val="21"/>
                <w:szCs w:val="21"/>
              </w:rPr>
              <w:t>保护要求</w:t>
            </w:r>
          </w:p>
        </w:tc>
      </w:tr>
      <w:tr w14:paraId="37B49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79" w:type="pct"/>
            <w:noWrap w:val="0"/>
            <w:vAlign w:val="center"/>
          </w:tcPr>
          <w:p w14:paraId="6E4F5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1</w:t>
            </w:r>
          </w:p>
        </w:tc>
        <w:tc>
          <w:tcPr>
            <w:tcW w:w="739" w:type="pct"/>
            <w:gridSpan w:val="6"/>
            <w:noWrap w:val="0"/>
            <w:vAlign w:val="center"/>
          </w:tcPr>
          <w:p w14:paraId="6D98E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综合楼</w:t>
            </w:r>
          </w:p>
        </w:tc>
        <w:tc>
          <w:tcPr>
            <w:tcW w:w="843" w:type="pct"/>
            <w:gridSpan w:val="5"/>
            <w:noWrap w:val="0"/>
            <w:vAlign w:val="center"/>
          </w:tcPr>
          <w:p w14:paraId="4E5EC9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color w:val="auto"/>
                <w:kern w:val="0"/>
                <w:sz w:val="21"/>
                <w:szCs w:val="21"/>
                <w:lang w:val="en-US" w:eastAsia="zh-CN"/>
              </w:rPr>
              <w:t>办公楼</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sz w:val="21"/>
                <w:szCs w:val="21"/>
              </w:rPr>
              <w:t>1户</w:t>
            </w:r>
          </w:p>
        </w:tc>
        <w:tc>
          <w:tcPr>
            <w:tcW w:w="750" w:type="pct"/>
            <w:gridSpan w:val="6"/>
            <w:noWrap w:val="0"/>
            <w:vAlign w:val="center"/>
          </w:tcPr>
          <w:p w14:paraId="5252F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color w:val="auto"/>
                <w:sz w:val="21"/>
                <w:szCs w:val="21"/>
              </w:rPr>
              <w:t>1层平顶</w:t>
            </w:r>
            <w:r>
              <w:rPr>
                <w:rFonts w:hint="eastAsia" w:cs="Times New Roman"/>
                <w:b w:val="0"/>
                <w:bCs/>
                <w:color w:val="auto"/>
                <w:sz w:val="21"/>
                <w:szCs w:val="21"/>
                <w:lang w:val="en-US" w:eastAsia="zh-CN"/>
              </w:rPr>
              <w:t>/3m</w:t>
            </w:r>
          </w:p>
        </w:tc>
        <w:tc>
          <w:tcPr>
            <w:tcW w:w="900" w:type="pct"/>
            <w:gridSpan w:val="6"/>
            <w:noWrap w:val="0"/>
            <w:vAlign w:val="center"/>
          </w:tcPr>
          <w:p w14:paraId="00147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color w:val="auto"/>
                <w:sz w:val="21"/>
                <w:szCs w:val="21"/>
                <w:highlight w:val="none"/>
                <w:lang w:val="en-US" w:eastAsia="zh-CN"/>
              </w:rPr>
              <w:t>升压站围墙北</w:t>
            </w:r>
            <w:r>
              <w:rPr>
                <w:rFonts w:hint="default" w:ascii="Times New Roman" w:hAnsi="Times New Roman" w:cs="Times New Roman"/>
                <w:b w:val="0"/>
                <w:bCs/>
                <w:color w:val="auto"/>
                <w:sz w:val="21"/>
                <w:szCs w:val="21"/>
                <w:highlight w:val="none"/>
              </w:rPr>
              <w:t>侧</w:t>
            </w:r>
            <w:r>
              <w:rPr>
                <w:rFonts w:hint="eastAsia" w:ascii="Times New Roman" w:hAnsi="Times New Roman" w:cs="Times New Roman"/>
                <w:b w:val="0"/>
                <w:bCs/>
                <w:color w:val="auto"/>
                <w:sz w:val="21"/>
                <w:szCs w:val="21"/>
                <w:highlight w:val="none"/>
                <w:lang w:val="en-US" w:eastAsia="zh-CN"/>
              </w:rPr>
              <w:t>外39</w:t>
            </w:r>
            <w:r>
              <w:rPr>
                <w:rFonts w:hint="default" w:ascii="Times New Roman" w:hAnsi="Times New Roman" w:cs="Times New Roman"/>
                <w:b w:val="0"/>
                <w:bCs/>
                <w:color w:val="auto"/>
                <w:sz w:val="21"/>
                <w:szCs w:val="21"/>
                <w:highlight w:val="none"/>
              </w:rPr>
              <w:t>m</w:t>
            </w:r>
          </w:p>
        </w:tc>
        <w:tc>
          <w:tcPr>
            <w:tcW w:w="1387" w:type="pct"/>
            <w:gridSpan w:val="8"/>
            <w:noWrap w:val="0"/>
            <w:vAlign w:val="center"/>
          </w:tcPr>
          <w:p w14:paraId="20C09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Times New Roman" w:hAnsi="Times New Roman" w:eastAsia="宋体" w:cs="Times New Roman"/>
                <w:b w:val="0"/>
                <w:bCs/>
                <w:color w:val="auto"/>
                <w:sz w:val="21"/>
                <w:szCs w:val="21"/>
                <w:lang w:val="en-US" w:eastAsia="zh-CN"/>
              </w:rPr>
            </w:pPr>
            <w:r>
              <w:rPr>
                <w:rFonts w:hint="default"/>
                <w:color w:val="auto"/>
                <w:spacing w:val="17"/>
                <w:sz w:val="21"/>
                <w:szCs w:val="21"/>
              </w:rPr>
              <w:t>《声环境质量标准》</w:t>
            </w:r>
            <w:r>
              <w:rPr>
                <w:rFonts w:hint="default"/>
                <w:color w:val="auto"/>
                <w:spacing w:val="4"/>
                <w:sz w:val="21"/>
                <w:szCs w:val="21"/>
              </w:rPr>
              <w:t xml:space="preserve"> </w:t>
            </w:r>
            <w:r>
              <w:rPr>
                <w:rFonts w:hint="default"/>
                <w:color w:val="auto"/>
                <w:spacing w:val="7"/>
                <w:sz w:val="21"/>
                <w:szCs w:val="21"/>
              </w:rPr>
              <w:t>（</w:t>
            </w:r>
            <w:r>
              <w:rPr>
                <w:rFonts w:hint="default" w:ascii="Times New Roman" w:hAnsi="Times New Roman" w:eastAsia="Times New Roman" w:cs="Times New Roman"/>
                <w:color w:val="auto"/>
                <w:sz w:val="21"/>
                <w:szCs w:val="21"/>
              </w:rPr>
              <w:t>GB</w:t>
            </w:r>
            <w:r>
              <w:rPr>
                <w:rFonts w:hint="eastAsia" w:eastAsia="宋体" w:cs="Times New Roman"/>
                <w:color w:val="auto"/>
                <w:sz w:val="21"/>
                <w:szCs w:val="21"/>
                <w:lang w:val="en-US" w:eastAsia="zh-CN"/>
              </w:rPr>
              <w:t xml:space="preserve"> </w:t>
            </w:r>
            <w:r>
              <w:rPr>
                <w:rFonts w:hint="default" w:ascii="Times New Roman" w:hAnsi="Times New Roman" w:eastAsia="Times New Roman" w:cs="Times New Roman"/>
                <w:color w:val="auto"/>
                <w:spacing w:val="7"/>
                <w:sz w:val="21"/>
                <w:szCs w:val="21"/>
              </w:rPr>
              <w:t>3096-2008</w:t>
            </w:r>
            <w:r>
              <w:rPr>
                <w:rFonts w:hint="default"/>
                <w:color w:val="auto"/>
                <w:spacing w:val="7"/>
                <w:sz w:val="21"/>
                <w:szCs w:val="21"/>
              </w:rPr>
              <w:t>）</w:t>
            </w:r>
            <w:r>
              <w:rPr>
                <w:rFonts w:hint="eastAsia"/>
                <w:color w:val="auto"/>
                <w:spacing w:val="-39"/>
                <w:sz w:val="21"/>
                <w:szCs w:val="21"/>
                <w:lang w:val="en-US" w:eastAsia="zh-CN"/>
              </w:rPr>
              <w:t>2</w:t>
            </w:r>
            <w:r>
              <w:rPr>
                <w:rFonts w:hint="default"/>
                <w:color w:val="auto"/>
                <w:spacing w:val="7"/>
                <w:sz w:val="21"/>
                <w:szCs w:val="21"/>
              </w:rPr>
              <w:t>类</w:t>
            </w:r>
          </w:p>
        </w:tc>
      </w:tr>
      <w:tr w14:paraId="4EF45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79" w:type="pct"/>
            <w:noWrap w:val="0"/>
            <w:vAlign w:val="center"/>
          </w:tcPr>
          <w:p w14:paraId="08239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2</w:t>
            </w:r>
          </w:p>
        </w:tc>
        <w:tc>
          <w:tcPr>
            <w:tcW w:w="739" w:type="pct"/>
            <w:gridSpan w:val="6"/>
            <w:noWrap w:val="0"/>
            <w:vAlign w:val="center"/>
          </w:tcPr>
          <w:p w14:paraId="59700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保安室</w:t>
            </w:r>
          </w:p>
        </w:tc>
        <w:tc>
          <w:tcPr>
            <w:tcW w:w="843" w:type="pct"/>
            <w:gridSpan w:val="5"/>
            <w:noWrap w:val="0"/>
            <w:vAlign w:val="center"/>
          </w:tcPr>
          <w:p w14:paraId="1F6B5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color w:val="auto"/>
                <w:kern w:val="0"/>
                <w:sz w:val="21"/>
                <w:szCs w:val="21"/>
                <w:lang w:val="en-US" w:eastAsia="zh-CN"/>
              </w:rPr>
              <w:t>工作区</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sz w:val="21"/>
                <w:szCs w:val="21"/>
              </w:rPr>
              <w:t>1户</w:t>
            </w:r>
          </w:p>
        </w:tc>
        <w:tc>
          <w:tcPr>
            <w:tcW w:w="750" w:type="pct"/>
            <w:gridSpan w:val="6"/>
            <w:noWrap w:val="0"/>
            <w:vAlign w:val="center"/>
          </w:tcPr>
          <w:p w14:paraId="5B6B1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1层平顶</w:t>
            </w:r>
            <w:r>
              <w:rPr>
                <w:rFonts w:hint="eastAsia" w:cs="Times New Roman"/>
                <w:b w:val="0"/>
                <w:bCs/>
                <w:color w:val="auto"/>
                <w:sz w:val="21"/>
                <w:szCs w:val="21"/>
                <w:lang w:val="en-US" w:eastAsia="zh-CN"/>
              </w:rPr>
              <w:t>/3m</w:t>
            </w:r>
          </w:p>
        </w:tc>
        <w:tc>
          <w:tcPr>
            <w:tcW w:w="900" w:type="pct"/>
            <w:gridSpan w:val="6"/>
            <w:noWrap w:val="0"/>
            <w:vAlign w:val="center"/>
          </w:tcPr>
          <w:p w14:paraId="63D72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color w:val="auto"/>
                <w:sz w:val="21"/>
                <w:szCs w:val="21"/>
                <w:highlight w:val="none"/>
                <w:lang w:val="en-US" w:eastAsia="zh-CN"/>
              </w:rPr>
              <w:t>升压站围墙北</w:t>
            </w:r>
            <w:r>
              <w:rPr>
                <w:rFonts w:hint="default" w:ascii="Times New Roman" w:hAnsi="Times New Roman" w:cs="Times New Roman"/>
                <w:b w:val="0"/>
                <w:bCs/>
                <w:color w:val="auto"/>
                <w:sz w:val="21"/>
                <w:szCs w:val="21"/>
                <w:highlight w:val="none"/>
              </w:rPr>
              <w:t>侧</w:t>
            </w:r>
            <w:r>
              <w:rPr>
                <w:rFonts w:hint="eastAsia" w:ascii="Times New Roman" w:hAnsi="Times New Roman" w:cs="Times New Roman"/>
                <w:b w:val="0"/>
                <w:bCs/>
                <w:color w:val="auto"/>
                <w:sz w:val="21"/>
                <w:szCs w:val="21"/>
                <w:highlight w:val="none"/>
                <w:lang w:val="en-US" w:eastAsia="zh-CN"/>
              </w:rPr>
              <w:t>外19</w:t>
            </w:r>
            <w:r>
              <w:rPr>
                <w:rFonts w:hint="default" w:ascii="Times New Roman" w:hAnsi="Times New Roman" w:cs="Times New Roman"/>
                <w:b w:val="0"/>
                <w:bCs/>
                <w:color w:val="auto"/>
                <w:sz w:val="21"/>
                <w:szCs w:val="21"/>
                <w:highlight w:val="none"/>
              </w:rPr>
              <w:t>m</w:t>
            </w:r>
          </w:p>
        </w:tc>
        <w:tc>
          <w:tcPr>
            <w:tcW w:w="1387" w:type="pct"/>
            <w:gridSpan w:val="8"/>
            <w:noWrap w:val="0"/>
            <w:vAlign w:val="center"/>
          </w:tcPr>
          <w:p w14:paraId="1C40D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Times New Roman" w:hAnsi="Times New Roman" w:cs="Times New Roman"/>
                <w:b w:val="0"/>
                <w:bCs/>
                <w:color w:val="auto"/>
                <w:sz w:val="21"/>
                <w:szCs w:val="21"/>
                <w:lang w:val="en-US" w:eastAsia="zh-CN"/>
              </w:rPr>
            </w:pPr>
            <w:r>
              <w:rPr>
                <w:rFonts w:hint="default"/>
                <w:color w:val="auto"/>
                <w:spacing w:val="17"/>
                <w:sz w:val="21"/>
                <w:szCs w:val="21"/>
              </w:rPr>
              <w:t>《声环境质量标准》</w:t>
            </w:r>
            <w:r>
              <w:rPr>
                <w:rFonts w:hint="default"/>
                <w:color w:val="auto"/>
                <w:spacing w:val="4"/>
                <w:sz w:val="21"/>
                <w:szCs w:val="21"/>
              </w:rPr>
              <w:t xml:space="preserve"> </w:t>
            </w:r>
            <w:r>
              <w:rPr>
                <w:rFonts w:hint="default"/>
                <w:color w:val="auto"/>
                <w:spacing w:val="7"/>
                <w:sz w:val="21"/>
                <w:szCs w:val="21"/>
              </w:rPr>
              <w:t>（</w:t>
            </w:r>
            <w:r>
              <w:rPr>
                <w:rFonts w:hint="default" w:ascii="Times New Roman" w:hAnsi="Times New Roman" w:eastAsia="Times New Roman" w:cs="Times New Roman"/>
                <w:color w:val="auto"/>
                <w:sz w:val="21"/>
                <w:szCs w:val="21"/>
              </w:rPr>
              <w:t>GB</w:t>
            </w:r>
            <w:r>
              <w:rPr>
                <w:rFonts w:hint="eastAsia" w:eastAsia="宋体" w:cs="Times New Roman"/>
                <w:color w:val="auto"/>
                <w:sz w:val="21"/>
                <w:szCs w:val="21"/>
                <w:lang w:val="en-US" w:eastAsia="zh-CN"/>
              </w:rPr>
              <w:t xml:space="preserve"> </w:t>
            </w:r>
            <w:r>
              <w:rPr>
                <w:rFonts w:hint="default" w:ascii="Times New Roman" w:hAnsi="Times New Roman" w:eastAsia="Times New Roman" w:cs="Times New Roman"/>
                <w:color w:val="auto"/>
                <w:spacing w:val="7"/>
                <w:sz w:val="21"/>
                <w:szCs w:val="21"/>
              </w:rPr>
              <w:t>3096-2008</w:t>
            </w:r>
            <w:r>
              <w:rPr>
                <w:rFonts w:hint="default"/>
                <w:color w:val="auto"/>
                <w:spacing w:val="7"/>
                <w:sz w:val="21"/>
                <w:szCs w:val="21"/>
              </w:rPr>
              <w:t>）</w:t>
            </w:r>
            <w:r>
              <w:rPr>
                <w:rFonts w:hint="eastAsia"/>
                <w:color w:val="auto"/>
                <w:spacing w:val="-39"/>
                <w:sz w:val="21"/>
                <w:szCs w:val="21"/>
                <w:lang w:val="en-US" w:eastAsia="zh-CN"/>
              </w:rPr>
              <w:t>2</w:t>
            </w:r>
            <w:r>
              <w:rPr>
                <w:rFonts w:hint="default"/>
                <w:color w:val="auto"/>
                <w:spacing w:val="7"/>
                <w:sz w:val="21"/>
                <w:szCs w:val="21"/>
              </w:rPr>
              <w:t>类</w:t>
            </w:r>
            <w:r>
              <w:rPr>
                <w:rFonts w:hint="eastAsia"/>
                <w:color w:val="auto"/>
                <w:spacing w:val="7"/>
                <w:sz w:val="21"/>
                <w:szCs w:val="21"/>
                <w:lang w:eastAsia="zh-CN"/>
              </w:rPr>
              <w:t>；</w:t>
            </w:r>
            <w:r>
              <w:rPr>
                <w:rFonts w:hint="eastAsia" w:ascii="Times New Roman" w:hAnsi="Times New Roman" w:eastAsia="宋体" w:cs="Times New Roman"/>
                <w:color w:val="auto"/>
                <w:kern w:val="2"/>
                <w:sz w:val="21"/>
                <w:szCs w:val="21"/>
                <w:highlight w:val="none"/>
                <w:lang w:val="en-US" w:eastAsia="zh-CN" w:bidi="ar"/>
              </w:rPr>
              <w:t>《电磁环境控制限值》(GB</w:t>
            </w:r>
            <w:r>
              <w:rPr>
                <w:rFonts w:hint="eastAsia" w:cs="Times New Roman"/>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8702-2014)</w:t>
            </w:r>
          </w:p>
        </w:tc>
      </w:tr>
      <w:tr w14:paraId="572DA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1F1C2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textAlignment w:val="auto"/>
              <w:rPr>
                <w:rFonts w:hint="default" w:ascii="Times New Roman" w:hAnsi="Times New Roman" w:eastAsia="宋体" w:cs="Times New Roman"/>
                <w:b/>
                <w:bCs/>
                <w:color w:val="000000" w:themeColor="text1"/>
                <w:sz w:val="24"/>
                <w:highlight w:val="none"/>
                <w:lang w:bidi="ar"/>
                <w14:textFill>
                  <w14:solidFill>
                    <w14:schemeClr w14:val="tx1"/>
                  </w14:solidFill>
                </w14:textFill>
              </w:rPr>
            </w:pPr>
          </w:p>
          <w:p w14:paraId="27CF23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水环境保护目标</w:t>
            </w:r>
          </w:p>
          <w:p w14:paraId="2F97E6F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根据《环境影响评价技术导则 地表水环境》</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HJ</w:t>
            </w:r>
            <w:r>
              <w:rPr>
                <w:rFonts w:hint="eastAsia" w:ascii="Times New Roman" w:hAnsi="Times New Roman"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t>2.3-2018</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，水环境保护目标包括饮用水水源保护区、饮用水取水口，涉水的自然保护区、风景名胜区，重要湿地、重点保护与珍稀水生生物的栖息地、重要水生生物的自然产卵场及索饵场、越冬场和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洄游</w:t>
            </w:r>
            <w:r>
              <w:rPr>
                <w:rFonts w:hint="default" w:ascii="Times New Roman" w:hAnsi="Times New Roman" w:eastAsia="宋体" w:cs="Times New Roman"/>
                <w:color w:val="000000" w:themeColor="text1"/>
                <w:sz w:val="24"/>
                <w:highlight w:val="none"/>
                <w14:textFill>
                  <w14:solidFill>
                    <w14:schemeClr w14:val="tx1"/>
                  </w14:solidFill>
                </w14:textFill>
              </w:rPr>
              <w:t>通道，天然渔场等渔业水体</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以及水产种质资源保护区等。</w:t>
            </w:r>
          </w:p>
          <w:p w14:paraId="3B06F41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本项目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不涉及水环境保护目标</w:t>
            </w:r>
            <w:r>
              <w:rPr>
                <w:rFonts w:hint="default" w:ascii="Times New Roman" w:hAnsi="Times New Roman" w:eastAsia="宋体" w:cs="Times New Roman"/>
                <w:color w:val="000000" w:themeColor="text1"/>
                <w:sz w:val="24"/>
                <w:highlight w:val="none"/>
                <w:lang w:bidi="ar"/>
                <w14:textFill>
                  <w14:solidFill>
                    <w14:schemeClr w14:val="tx1"/>
                  </w14:solidFill>
                </w14:textFill>
              </w:rPr>
              <w:t>。</w:t>
            </w:r>
          </w:p>
          <w:p w14:paraId="0FE9C2DF">
            <w:pPr>
              <w:keepNext w:val="0"/>
              <w:keepLines w:val="0"/>
              <w:suppressLineNumbers w:val="0"/>
              <w:spacing w:before="0" w:beforeAutospacing="0" w:after="0" w:afterAutospacing="0"/>
              <w:ind w:left="0" w:leftChars="0" w:right="0" w:firstLine="0" w:firstLineChars="0"/>
              <w:jc w:val="center"/>
              <w:rPr>
                <w:rFonts w:hint="default"/>
              </w:rPr>
            </w:pPr>
          </w:p>
          <w:p w14:paraId="41BC9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lang w:val="en-US" w:eastAsia="zh-CN"/>
              </w:rPr>
            </w:pP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图3-</w:t>
            </w:r>
            <w:r>
              <w:rPr>
                <w:rFonts w:hint="eastAsia" w:cs="Times New Roman"/>
                <w:b/>
                <w:bCs/>
                <w:color w:val="000000" w:themeColor="text1"/>
                <w:spacing w:val="-4"/>
                <w:kern w:val="2"/>
                <w:sz w:val="24"/>
                <w:szCs w:val="24"/>
                <w:lang w:val="en-US" w:eastAsia="zh-CN" w:bidi="ar-SA"/>
                <w14:textFill>
                  <w14:solidFill>
                    <w14:schemeClr w14:val="tx1"/>
                  </w14:solidFill>
                </w14:textFill>
              </w:rPr>
              <w:t>9</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 xml:space="preserve"> 本工程与保护目标位置关系图</w:t>
            </w:r>
          </w:p>
        </w:tc>
      </w:tr>
      <w:tr w14:paraId="6B6A0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6293F6F1">
            <w:pPr>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评价标准</w:t>
            </w:r>
          </w:p>
        </w:tc>
      </w:tr>
      <w:tr w14:paraId="3A192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6027EF5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default" w:ascii="Times New Roman" w:hAnsi="Times New Roman" w:eastAsia="宋体" w:cs="Times New Roman"/>
                <w:b/>
                <w:bCs/>
                <w:color w:val="000000"/>
                <w:kern w:val="2"/>
                <w:sz w:val="24"/>
                <w:szCs w:val="24"/>
                <w:shd w:val="clear" w:color="auto" w:fill="auto"/>
                <w:lang w:val="en-US" w:eastAsia="zh-CN" w:bidi="ar-SA"/>
              </w:rPr>
            </w:pPr>
            <w:r>
              <w:rPr>
                <w:rFonts w:hint="eastAsia" w:ascii="Times New Roman" w:hAnsi="Times New Roman" w:eastAsia="宋体" w:cs="Times New Roman"/>
                <w:b/>
                <w:bCs/>
                <w:color w:val="000000"/>
                <w:kern w:val="2"/>
                <w:sz w:val="24"/>
                <w:szCs w:val="24"/>
                <w:shd w:val="clear" w:color="auto" w:fill="auto"/>
                <w:lang w:val="en-US" w:eastAsia="zh-CN" w:bidi="ar-SA"/>
              </w:rPr>
              <w:t>3.</w:t>
            </w:r>
            <w:r>
              <w:rPr>
                <w:rFonts w:hint="eastAsia" w:ascii="Times New Roman" w:hAnsi="Times New Roman" w:cs="Times New Roman"/>
                <w:b/>
                <w:bCs/>
                <w:color w:val="000000"/>
                <w:kern w:val="2"/>
                <w:sz w:val="24"/>
                <w:szCs w:val="24"/>
                <w:shd w:val="clear" w:color="auto" w:fill="auto"/>
                <w:lang w:val="en-US" w:eastAsia="zh-CN" w:bidi="ar-SA"/>
              </w:rPr>
              <w:t>4</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评价标准</w:t>
            </w:r>
          </w:p>
          <w:p w14:paraId="55F2469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default"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b/>
                <w:bCs/>
                <w:color w:val="000000"/>
                <w:kern w:val="2"/>
                <w:sz w:val="24"/>
                <w:szCs w:val="24"/>
                <w:shd w:val="clear" w:color="auto" w:fill="auto"/>
                <w:lang w:val="en-US" w:eastAsia="zh-CN" w:bidi="ar-SA"/>
              </w:rPr>
              <w:t>3.4.1</w:t>
            </w:r>
            <w:r>
              <w:rPr>
                <w:rFonts w:hint="eastAsia" w:ascii="Times New Roman" w:hAnsi="Times New Roman" w:eastAsia="宋体" w:cs="Times New Roman"/>
                <w:b/>
                <w:bCs/>
                <w:color w:val="000000"/>
                <w:kern w:val="2"/>
                <w:sz w:val="24"/>
                <w:szCs w:val="24"/>
                <w:shd w:val="clear" w:color="auto" w:fill="auto"/>
                <w:lang w:val="en-US" w:eastAsia="zh-CN" w:bidi="ar-SA"/>
              </w:rPr>
              <w:t>环境质量标准</w:t>
            </w:r>
          </w:p>
          <w:p w14:paraId="545FDDE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（1）</w:t>
            </w:r>
            <w:r>
              <w:rPr>
                <w:rFonts w:hint="eastAsia" w:ascii="Times New Roman" w:hAnsi="Times New Roman" w:eastAsia="宋体" w:cs="Times New Roman"/>
                <w:color w:val="000000"/>
                <w:kern w:val="2"/>
                <w:sz w:val="24"/>
                <w:szCs w:val="24"/>
                <w:highlight w:val="none"/>
                <w:lang w:val="en-US" w:eastAsia="zh-CN" w:bidi="ar"/>
              </w:rPr>
              <w:t>大气环境：《环境空气质量标准》(GB</w:t>
            </w:r>
            <w:r>
              <w:rPr>
                <w:rFonts w:hint="eastAsia" w:ascii="Times New Roman" w:hAnsi="Times New Roman"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3095-2012)中的二级标准及修改单；</w:t>
            </w:r>
          </w:p>
          <w:p w14:paraId="55C560D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（2）</w:t>
            </w:r>
            <w:r>
              <w:rPr>
                <w:rFonts w:hint="eastAsia" w:ascii="Times New Roman" w:hAnsi="Times New Roman" w:eastAsia="宋体" w:cs="Times New Roman"/>
                <w:color w:val="000000"/>
                <w:kern w:val="2"/>
                <w:sz w:val="24"/>
                <w:szCs w:val="24"/>
                <w:highlight w:val="none"/>
                <w:lang w:val="en-US" w:eastAsia="zh-CN" w:bidi="ar"/>
              </w:rPr>
              <w:t>电磁环境：《电磁环境控制限值》(GB</w:t>
            </w:r>
            <w:r>
              <w:rPr>
                <w:rFonts w:hint="eastAsia" w:ascii="Times New Roman" w:hAnsi="Times New Roman"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8702-2014)中</w:t>
            </w:r>
            <w:r>
              <w:rPr>
                <w:rFonts w:hint="eastAsia" w:ascii="Times New Roman" w:hAnsi="Times New Roman" w:cs="Times New Roman"/>
                <w:color w:val="000000"/>
                <w:kern w:val="2"/>
                <w:sz w:val="24"/>
                <w:szCs w:val="24"/>
                <w:highlight w:val="none"/>
                <w:lang w:val="en-US" w:eastAsia="zh-CN" w:bidi="ar"/>
              </w:rPr>
              <w:t>的</w:t>
            </w:r>
            <w:r>
              <w:rPr>
                <w:rFonts w:hint="eastAsia" w:ascii="Times New Roman" w:hAnsi="Times New Roman" w:eastAsia="宋体" w:cs="Times New Roman"/>
                <w:color w:val="000000"/>
                <w:kern w:val="2"/>
                <w:sz w:val="24"/>
                <w:szCs w:val="24"/>
                <w:highlight w:val="none"/>
                <w:lang w:val="en-US" w:eastAsia="zh-CN" w:bidi="ar"/>
              </w:rPr>
              <w:t>(电场强度≤4000V/m；磁感应强度≤100</w:t>
            </w:r>
            <w:r>
              <w:rPr>
                <w:rFonts w:hint="default" w:ascii="Times New Roman" w:hAnsi="Times New Roman" w:eastAsia="宋体" w:cs="Times New Roman"/>
                <w:color w:val="000000"/>
                <w:sz w:val="24"/>
                <w:szCs w:val="24"/>
                <w:highlight w:val="none"/>
              </w:rPr>
              <w:t>μ</w:t>
            </w:r>
            <w:r>
              <w:rPr>
                <w:rFonts w:hint="eastAsia" w:ascii="Times New Roman" w:hAnsi="Times New Roman" w:eastAsia="宋体" w:cs="Times New Roman"/>
                <w:color w:val="000000"/>
                <w:kern w:val="2"/>
                <w:sz w:val="24"/>
                <w:szCs w:val="24"/>
                <w:highlight w:val="none"/>
                <w:lang w:val="en-US" w:eastAsia="zh-CN" w:bidi="ar"/>
              </w:rPr>
              <w:t>T</w:t>
            </w:r>
            <w:r>
              <w:rPr>
                <w:rFonts w:hint="eastAsia" w:ascii="Times New Roman" w:hAnsi="Times New Roman" w:cs="Times New Roman"/>
                <w:color w:val="000000"/>
                <w:kern w:val="2"/>
                <w:sz w:val="24"/>
                <w:szCs w:val="24"/>
                <w:highlight w:val="none"/>
                <w:lang w:val="en-US" w:eastAsia="zh-CN" w:bidi="ar"/>
              </w:rPr>
              <w:t>；架空输电线路线下的耕地、园地、牧草地、畜禽饲养地、养殖水面、道路等场所，其频率50Hz的电场强度控制限值为10kV/m，且应给出警示和防护指示标志</w:t>
            </w:r>
            <w:r>
              <w:rPr>
                <w:rFonts w:hint="eastAsia" w:ascii="Times New Roman" w:hAnsi="Times New Roman" w:eastAsia="宋体" w:cs="Times New Roman"/>
                <w:color w:val="000000"/>
                <w:kern w:val="2"/>
                <w:sz w:val="24"/>
                <w:szCs w:val="24"/>
                <w:highlight w:val="none"/>
                <w:lang w:val="en-US" w:eastAsia="zh-CN" w:bidi="ar"/>
              </w:rPr>
              <w:t>)</w:t>
            </w:r>
            <w:r>
              <w:rPr>
                <w:rFonts w:hint="eastAsia" w:ascii="Times New Roman" w:hAnsi="Times New Roman" w:cs="Times New Roman"/>
                <w:color w:val="000000"/>
                <w:kern w:val="2"/>
                <w:sz w:val="24"/>
                <w:szCs w:val="24"/>
                <w:highlight w:val="none"/>
                <w:lang w:val="en-US" w:eastAsia="zh-CN" w:bidi="ar"/>
              </w:rPr>
              <w:t>要求</w:t>
            </w:r>
            <w:r>
              <w:rPr>
                <w:rFonts w:hint="eastAsia" w:ascii="Times New Roman" w:hAnsi="Times New Roman" w:eastAsia="宋体" w:cs="Times New Roman"/>
                <w:color w:val="000000"/>
                <w:kern w:val="2"/>
                <w:sz w:val="24"/>
                <w:szCs w:val="24"/>
                <w:highlight w:val="none"/>
                <w:lang w:val="en-US" w:eastAsia="zh-CN" w:bidi="ar"/>
              </w:rPr>
              <w:t>；</w:t>
            </w:r>
          </w:p>
          <w:p w14:paraId="3F3A490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（3）</w:t>
            </w:r>
            <w:r>
              <w:rPr>
                <w:rFonts w:hint="default" w:ascii="Times New Roman" w:hAnsi="Times New Roman" w:eastAsia="宋体" w:cs="Times New Roman"/>
                <w:color w:val="000000"/>
                <w:kern w:val="2"/>
                <w:sz w:val="24"/>
                <w:szCs w:val="24"/>
                <w:highlight w:val="none"/>
                <w:lang w:val="en-US" w:eastAsia="zh-CN" w:bidi="ar"/>
              </w:rPr>
              <w:t>声</w:t>
            </w:r>
            <w:r>
              <w:rPr>
                <w:rFonts w:hint="eastAsia" w:ascii="Times New Roman" w:hAnsi="Times New Roman" w:cs="Times New Roman"/>
                <w:color w:val="000000"/>
                <w:kern w:val="2"/>
                <w:sz w:val="24"/>
                <w:szCs w:val="24"/>
                <w:highlight w:val="none"/>
                <w:lang w:val="en-US" w:eastAsia="zh-CN" w:bidi="ar"/>
              </w:rPr>
              <w:t>环境：</w:t>
            </w:r>
            <w:r>
              <w:rPr>
                <w:rFonts w:hint="default" w:ascii="Times New Roman" w:hAnsi="Times New Roman" w:eastAsia="宋体" w:cs="Times New Roman"/>
                <w:color w:val="000000"/>
                <w:kern w:val="2"/>
                <w:sz w:val="24"/>
                <w:szCs w:val="24"/>
                <w:highlight w:val="none"/>
                <w:lang w:val="en-US" w:eastAsia="zh-CN" w:bidi="ar"/>
              </w:rPr>
              <w:t>《声环境质量标准》（GB</w:t>
            </w:r>
            <w:r>
              <w:rPr>
                <w:rFonts w:hint="eastAsia" w:ascii="Times New Roman" w:hAnsi="Times New Roman" w:cs="Times New Roman"/>
                <w:color w:val="000000"/>
                <w:kern w:val="2"/>
                <w:sz w:val="24"/>
                <w:szCs w:val="24"/>
                <w:highlight w:val="none"/>
                <w:lang w:val="en-US" w:eastAsia="zh-CN" w:bidi="ar"/>
              </w:rPr>
              <w:t xml:space="preserve"> </w:t>
            </w:r>
            <w:r>
              <w:rPr>
                <w:rFonts w:hint="default" w:ascii="Times New Roman" w:hAnsi="Times New Roman" w:eastAsia="宋体" w:cs="Times New Roman"/>
                <w:color w:val="000000"/>
                <w:kern w:val="2"/>
                <w:sz w:val="24"/>
                <w:szCs w:val="24"/>
                <w:highlight w:val="none"/>
                <w:lang w:val="en-US" w:eastAsia="zh-CN" w:bidi="ar"/>
              </w:rPr>
              <w:t>3096-2008）的2类标准</w:t>
            </w:r>
            <w:r>
              <w:rPr>
                <w:rFonts w:hint="default" w:ascii="Times New Roman" w:hAnsi="Times New Roman" w:cs="Times New Roman"/>
                <w:sz w:val="24"/>
                <w:szCs w:val="24"/>
                <w:lang w:val="en-US" w:eastAsia="zh-CN"/>
              </w:rPr>
              <w:t>。</w:t>
            </w:r>
          </w:p>
          <w:p w14:paraId="096D2AC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b/>
                <w:bCs/>
                <w:color w:val="000000"/>
                <w:kern w:val="2"/>
                <w:sz w:val="24"/>
                <w:szCs w:val="24"/>
                <w:shd w:val="clear" w:color="auto" w:fill="auto"/>
                <w:lang w:val="en-US" w:eastAsia="zh-CN" w:bidi="ar-SA"/>
              </w:rPr>
              <w:t>3.4</w:t>
            </w:r>
            <w:r>
              <w:rPr>
                <w:rFonts w:hint="eastAsia" w:ascii="Times New Roman" w:hAnsi="Times New Roman" w:cs="Times New Roman"/>
                <w:b/>
                <w:bCs/>
                <w:color w:val="000000"/>
                <w:kern w:val="2"/>
                <w:sz w:val="24"/>
                <w:szCs w:val="24"/>
                <w:shd w:val="clear" w:color="auto" w:fill="auto"/>
                <w:lang w:val="en-US" w:eastAsia="zh-CN" w:bidi="ar-SA"/>
              </w:rPr>
              <w:t>.2</w:t>
            </w:r>
            <w:r>
              <w:rPr>
                <w:rFonts w:hint="eastAsia" w:ascii="Times New Roman" w:hAnsi="Times New Roman" w:eastAsia="宋体" w:cs="Times New Roman"/>
                <w:b/>
                <w:bCs/>
                <w:color w:val="000000"/>
                <w:kern w:val="2"/>
                <w:sz w:val="24"/>
                <w:szCs w:val="24"/>
                <w:shd w:val="clear" w:color="auto" w:fill="auto"/>
                <w:lang w:val="en-US" w:eastAsia="zh-CN" w:bidi="ar-SA"/>
              </w:rPr>
              <w:t>污染物排放标准</w:t>
            </w:r>
          </w:p>
          <w:p w14:paraId="092B5A45">
            <w:pPr>
              <w:pStyle w:val="163"/>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ind w:leftChars="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施工期噪声执行《建筑施工场界环境噪声排放标准》(GB</w:t>
            </w:r>
            <w:r>
              <w:rPr>
                <w:rFonts w:hint="eastAsia"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12523-2011)，昼间70dB(A)，夜间55dB(A)；</w:t>
            </w:r>
          </w:p>
          <w:p w14:paraId="264936CB">
            <w:pPr>
              <w:pStyle w:val="16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Chars="0" w:right="0" w:rightChars="0" w:firstLine="480" w:firstLineChars="20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运营期</w:t>
            </w:r>
            <w:r>
              <w:rPr>
                <w:rFonts w:hint="eastAsia" w:cs="Times New Roman"/>
                <w:color w:val="000000"/>
                <w:kern w:val="2"/>
                <w:sz w:val="24"/>
                <w:szCs w:val="24"/>
                <w:highlight w:val="none"/>
                <w:lang w:val="en-US" w:eastAsia="zh-CN" w:bidi="ar"/>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兆瓦能源110</w:t>
            </w:r>
            <w:r>
              <w:rPr>
                <w:rFonts w:hint="eastAsia" w:ascii="Times New Roman" w:hAnsi="Times New Roman" w:cs="宋体"/>
                <w:b w:val="0"/>
                <w:bCs w:val="0"/>
                <w:color w:val="000000" w:themeColor="text1"/>
                <w:kern w:val="2"/>
                <w:sz w:val="24"/>
                <w:szCs w:val="24"/>
                <w:highlight w:val="none"/>
                <w:lang w:val="en-US" w:eastAsia="zh-CN" w:bidi="ar-SA"/>
                <w14:textFill>
                  <w14:solidFill>
                    <w14:schemeClr w14:val="tx1"/>
                  </w14:solidFill>
                </w14:textFill>
              </w:rPr>
              <w:t>kV</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光伏升压站</w:t>
            </w:r>
            <w:r>
              <w:rPr>
                <w:rFonts w:hint="default"/>
                <w:highlight w:val="none"/>
              </w:rPr>
              <w:t>站界</w:t>
            </w:r>
            <w:r>
              <w:rPr>
                <w:rFonts w:hint="eastAsia" w:ascii="Times New Roman" w:hAnsi="Times New Roman" w:eastAsia="宋体" w:cs="Times New Roman"/>
                <w:color w:val="000000"/>
                <w:kern w:val="2"/>
                <w:sz w:val="24"/>
                <w:szCs w:val="24"/>
                <w:highlight w:val="none"/>
                <w:lang w:val="en-US" w:eastAsia="zh-CN" w:bidi="ar"/>
              </w:rPr>
              <w:t>噪声</w:t>
            </w:r>
            <w:r>
              <w:rPr>
                <w:rFonts w:hint="default"/>
                <w:highlight w:val="none"/>
              </w:rPr>
              <w:t>执行《工业企业厂界环境噪声排放标准》（GB12348-2008）</w:t>
            </w:r>
            <w:r>
              <w:rPr>
                <w:rFonts w:hint="eastAsia"/>
                <w:highlight w:val="none"/>
                <w:lang w:val="en-US" w:eastAsia="zh-CN"/>
              </w:rPr>
              <w:t>2</w:t>
            </w:r>
            <w:r>
              <w:rPr>
                <w:rFonts w:hint="default"/>
                <w:highlight w:val="none"/>
              </w:rPr>
              <w:t>类标准</w:t>
            </w:r>
            <w:r>
              <w:rPr>
                <w:rFonts w:hint="eastAsia"/>
                <w:highlight w:val="none"/>
                <w:lang w:eastAsia="zh-CN"/>
              </w:rPr>
              <w:t>；</w:t>
            </w:r>
            <w:r>
              <w:rPr>
                <w:rFonts w:hint="eastAsia"/>
                <w:highlight w:val="none"/>
                <w:lang w:val="en-US" w:eastAsia="zh-CN"/>
              </w:rPr>
              <w:t>输电线路</w:t>
            </w:r>
            <w:r>
              <w:rPr>
                <w:rFonts w:hint="eastAsia" w:ascii="Times New Roman" w:hAnsi="Times New Roman" w:eastAsia="宋体" w:cs="Times New Roman"/>
                <w:color w:val="000000"/>
                <w:kern w:val="2"/>
                <w:sz w:val="24"/>
                <w:szCs w:val="24"/>
                <w:highlight w:val="none"/>
                <w:lang w:val="en-US" w:eastAsia="zh-CN" w:bidi="ar"/>
              </w:rPr>
              <w:t>噪声执行《声环境质量标准》（GB</w:t>
            </w:r>
            <w:r>
              <w:rPr>
                <w:rFonts w:hint="eastAsia" w:cs="Times New Roman"/>
                <w:color w:val="000000"/>
                <w:kern w:val="2"/>
                <w:sz w:val="24"/>
                <w:szCs w:val="24"/>
                <w:highlight w:val="none"/>
                <w:lang w:val="en-US" w:eastAsia="zh-CN" w:bidi="ar"/>
              </w:rPr>
              <w:t xml:space="preserve"> </w:t>
            </w:r>
            <w:r>
              <w:rPr>
                <w:rFonts w:hint="eastAsia" w:ascii="Times New Roman" w:hAnsi="Times New Roman" w:eastAsia="宋体" w:cs="Times New Roman"/>
                <w:color w:val="000000"/>
                <w:kern w:val="2"/>
                <w:sz w:val="24"/>
                <w:szCs w:val="24"/>
                <w:highlight w:val="none"/>
                <w:lang w:val="en-US" w:eastAsia="zh-CN" w:bidi="ar"/>
              </w:rPr>
              <w:t>3096-2008）的2类标准</w:t>
            </w:r>
            <w:r>
              <w:rPr>
                <w:rFonts w:hint="eastAsia"/>
                <w:lang w:val="en-US" w:eastAsia="zh-CN"/>
              </w:rPr>
              <w:t>，</w:t>
            </w:r>
            <w:r>
              <w:rPr>
                <w:rFonts w:hint="default"/>
                <w:lang w:val="en-US" w:eastAsia="zh-CN"/>
              </w:rPr>
              <w:t>即昼间60dB(A)，夜间50dB(A)。</w:t>
            </w:r>
          </w:p>
          <w:p w14:paraId="066F96B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一般工业固体废弃物执行《一般工业固体废物贮存和填埋污染控制标准》（GB</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18599-20</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20</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）中有关规定。危险废物执行《危险废物贮存污染控制标准》(GB</w:t>
            </w:r>
            <w:r>
              <w:rPr>
                <w:rFonts w:hint="eastAsia" w:ascii="Times New Roman" w:hAnsi="Times New Roman" w:cs="Times New Roman"/>
                <w:color w:val="000000" w:themeColor="text1"/>
                <w:kern w:val="2"/>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18597-2023)。</w:t>
            </w:r>
          </w:p>
        </w:tc>
      </w:tr>
      <w:tr w14:paraId="2AEAF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39A27805">
            <w:pPr>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leftChars="0" w:right="0" w:firstLine="0" w:firstLineChars="0"/>
              <w:jc w:val="center"/>
              <w:textAlignment w:val="auto"/>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其他</w:t>
            </w:r>
          </w:p>
        </w:tc>
      </w:tr>
      <w:tr w14:paraId="3EA06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2"/>
            <w:noWrap w:val="0"/>
            <w:vAlign w:val="center"/>
          </w:tcPr>
          <w:p w14:paraId="11847012">
            <w:pPr>
              <w:keepNext w:val="0"/>
              <w:keepLines w:val="0"/>
              <w:suppressLineNumbers w:val="0"/>
              <w:adjustRightInd w:val="0"/>
              <w:snapToGrid w:val="0"/>
              <w:spacing w:before="0" w:beforeAutospacing="0" w:after="0" w:afterAutospacing="0"/>
              <w:ind w:left="0" w:leftChars="0" w:right="0" w:firstLine="476" w:firstLineChars="200"/>
              <w:jc w:val="both"/>
              <w:rPr>
                <w:rFonts w:hint="default"/>
                <w:spacing w:val="-1"/>
              </w:rPr>
            </w:pPr>
            <w:r>
              <w:rPr>
                <w:rFonts w:hint="default"/>
                <w:spacing w:val="-1"/>
              </w:rPr>
              <w:t>本项目为</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可再生能源太阳能发电项目配套工程</w:t>
            </w:r>
            <w:r>
              <w:rPr>
                <w:rFonts w:hint="default"/>
                <w:spacing w:val="-1"/>
              </w:rPr>
              <w:t>，为生态类项目，不涉及总量控制问题。</w:t>
            </w:r>
          </w:p>
          <w:p w14:paraId="6FC68190">
            <w:pPr>
              <w:keepNext w:val="0"/>
              <w:keepLines w:val="0"/>
              <w:suppressLineNumbers w:val="0"/>
              <w:spacing w:before="0" w:beforeAutospacing="0" w:after="0" w:afterAutospacing="0"/>
              <w:ind w:left="0" w:leftChars="0" w:right="0" w:firstLine="0" w:firstLineChars="0"/>
              <w:rPr>
                <w:rFonts w:hint="eastAsia"/>
                <w:lang w:val="en-US" w:eastAsia="zh-CN"/>
              </w:rPr>
            </w:pPr>
          </w:p>
        </w:tc>
      </w:tr>
    </w:tbl>
    <w:p w14:paraId="7C53EACF">
      <w:pPr>
        <w:pStyle w:val="87"/>
        <w:ind w:firstLine="0" w:firstLineChars="0"/>
        <w:jc w:val="both"/>
        <w:textAlignment w:val="baseline"/>
        <w:rPr>
          <w:b/>
          <w:bCs/>
          <w:color w:val="000000"/>
        </w:rPr>
        <w:sectPr>
          <w:pgSz w:w="11907" w:h="16840"/>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12158660">
      <w:pPr>
        <w:pStyle w:val="25"/>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Style w:val="42"/>
          <w:rFonts w:hint="eastAsia"/>
        </w:rPr>
      </w:pPr>
      <w:bookmarkStart w:id="8" w:name="_Toc24206"/>
      <w:r>
        <w:rPr>
          <w:rStyle w:val="42"/>
          <w:rFonts w:hint="eastAsia"/>
        </w:rPr>
        <w:t>四、生态环境影响分析</w:t>
      </w:r>
      <w:bookmarkEnd w:id="8"/>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69"/>
        <w:gridCol w:w="472"/>
        <w:gridCol w:w="1510"/>
        <w:gridCol w:w="2067"/>
        <w:gridCol w:w="953"/>
        <w:gridCol w:w="1934"/>
        <w:gridCol w:w="1087"/>
      </w:tblGrid>
      <w:tr w14:paraId="15015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000" w:type="pct"/>
            <w:gridSpan w:val="8"/>
            <w:noWrap w:val="0"/>
            <w:vAlign w:val="center"/>
          </w:tcPr>
          <w:p w14:paraId="6DD1B3DA">
            <w:pPr>
              <w:pStyle w:val="125"/>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宋体"/>
                <w:bCs/>
                <w:color w:val="000000"/>
                <w:kern w:val="2"/>
                <w:sz w:val="24"/>
                <w:szCs w:val="24"/>
                <w:lang w:val="en-US" w:eastAsia="zh-CN" w:bidi="ar-SA"/>
              </w:rPr>
            </w:pPr>
            <w:bookmarkStart w:id="9" w:name="_Hlk49796138"/>
            <w:bookmarkStart w:id="10" w:name="_Toc385251976"/>
            <w:bookmarkStart w:id="11" w:name="_Toc271467869"/>
            <w:bookmarkStart w:id="12" w:name="_Toc231294733"/>
            <w:bookmarkStart w:id="13" w:name="_Toc384391623"/>
            <w:bookmarkStart w:id="14" w:name="_Toc231294631"/>
            <w:bookmarkStart w:id="15" w:name="_Toc384740754"/>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施工期生态环境影响分析</w:t>
            </w:r>
            <w:bookmarkEnd w:id="9"/>
          </w:p>
        </w:tc>
      </w:tr>
      <w:bookmarkEnd w:id="10"/>
      <w:bookmarkEnd w:id="11"/>
      <w:bookmarkEnd w:id="12"/>
      <w:bookmarkEnd w:id="13"/>
      <w:bookmarkEnd w:id="14"/>
      <w:bookmarkEnd w:id="15"/>
      <w:tr w14:paraId="0F214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noWrap w:val="0"/>
            <w:vAlign w:val="center"/>
          </w:tcPr>
          <w:p w14:paraId="1F5A873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b/>
                <w:bCs/>
                <w:color w:val="000000"/>
                <w:kern w:val="2"/>
                <w:sz w:val="24"/>
                <w:szCs w:val="24"/>
                <w:shd w:val="clear" w:color="auto" w:fill="auto"/>
                <w:lang w:val="en-US" w:eastAsia="zh-CN" w:bidi="ar-SA"/>
              </w:rPr>
              <w:t>4.1</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施工期生态环境影响分析</w:t>
            </w:r>
          </w:p>
          <w:p w14:paraId="68D2902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本工程已建成投入运行，施工期已结束，本环评仅作回顾性评价。结合对本工程现场踏勘及项目施工期间产生的各污染物对应的防治措施，对不满足现行环保要</w:t>
            </w:r>
            <w:r>
              <w:rPr>
                <w:rFonts w:hint="eastAsia" w:ascii="Times New Roman" w:hAnsi="Times New Roman" w:cs="Times New Roman"/>
                <w:color w:val="000000"/>
                <w:kern w:val="2"/>
                <w:sz w:val="24"/>
                <w:szCs w:val="24"/>
                <w:highlight w:val="none"/>
                <w:lang w:val="en-US" w:eastAsia="zh-CN" w:bidi="ar"/>
              </w:rPr>
              <w:t>求的</w:t>
            </w:r>
            <w:r>
              <w:rPr>
                <w:rFonts w:hint="eastAsia" w:ascii="Times New Roman" w:hAnsi="Times New Roman" w:eastAsia="宋体" w:cs="Times New Roman"/>
                <w:color w:val="000000"/>
                <w:kern w:val="2"/>
                <w:sz w:val="24"/>
                <w:szCs w:val="24"/>
                <w:highlight w:val="none"/>
                <w:lang w:val="en-US" w:eastAsia="zh-CN" w:bidi="ar"/>
              </w:rPr>
              <w:t>环保设施、措施等提出整改措施。</w:t>
            </w:r>
          </w:p>
          <w:p w14:paraId="2F2A2AD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宋体" w:hAnsi="宋体" w:eastAsia="宋体" w:cs="宋体"/>
                <w:b/>
                <w:bCs/>
                <w:color w:val="000000"/>
                <w:sz w:val="24"/>
                <w:szCs w:val="24"/>
                <w:highlight w:val="none"/>
                <w:lang w:val="en-US" w:eastAsia="zh-CN"/>
              </w:rPr>
            </w:pPr>
            <w:r>
              <w:rPr>
                <w:rFonts w:hint="eastAsia" w:ascii="Times New Roman" w:hAnsi="Times New Roman" w:eastAsia="宋体" w:cs="Times New Roman"/>
                <w:b/>
                <w:bCs/>
                <w:color w:val="000000"/>
                <w:kern w:val="2"/>
                <w:sz w:val="24"/>
                <w:szCs w:val="24"/>
                <w:shd w:val="clear" w:color="auto" w:fill="auto"/>
                <w:lang w:val="en-US" w:eastAsia="zh-CN" w:bidi="ar-SA"/>
              </w:rPr>
              <w:t>4.1</w:t>
            </w:r>
            <w:r>
              <w:rPr>
                <w:rFonts w:hint="eastAsia" w:ascii="Times New Roman" w:hAnsi="Times New Roman" w:cs="Times New Roman"/>
                <w:b/>
                <w:bCs/>
                <w:color w:val="000000"/>
                <w:kern w:val="2"/>
                <w:sz w:val="24"/>
                <w:szCs w:val="24"/>
                <w:shd w:val="clear" w:color="auto" w:fill="auto"/>
                <w:lang w:val="en-US" w:eastAsia="zh-CN" w:bidi="ar-SA"/>
              </w:rPr>
              <w:t>.1</w:t>
            </w:r>
            <w:r>
              <w:rPr>
                <w:rFonts w:hint="eastAsia" w:ascii="宋体" w:hAnsi="宋体" w:eastAsia="宋体" w:cs="宋体"/>
                <w:b/>
                <w:bCs/>
                <w:color w:val="000000"/>
                <w:sz w:val="24"/>
                <w:szCs w:val="24"/>
                <w:highlight w:val="none"/>
                <w:lang w:val="en-US" w:eastAsia="zh-CN"/>
              </w:rPr>
              <w:t>施工期产污环节分析</w:t>
            </w:r>
          </w:p>
          <w:p w14:paraId="293265D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（1）</w:t>
            </w:r>
            <w:r>
              <w:rPr>
                <w:rFonts w:hint="eastAsia" w:ascii="Times New Roman" w:hAnsi="Times New Roman" w:eastAsia="宋体" w:cs="Times New Roman"/>
                <w:color w:val="000000"/>
                <w:kern w:val="2"/>
                <w:sz w:val="24"/>
                <w:szCs w:val="24"/>
                <w:highlight w:val="none"/>
                <w:lang w:val="en-US" w:eastAsia="zh-CN" w:bidi="ar"/>
              </w:rPr>
              <w:t>生态环境：施工期间开挖、平整、土方临时堆放等工程活动，在短期内造成植被破坏，对原地貌产生了扰动、损坏。</w:t>
            </w:r>
          </w:p>
          <w:p w14:paraId="0F1C8E9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（2）</w:t>
            </w:r>
            <w:r>
              <w:rPr>
                <w:rFonts w:hint="eastAsia" w:ascii="Times New Roman" w:hAnsi="Times New Roman" w:eastAsia="宋体" w:cs="Times New Roman"/>
                <w:color w:val="000000"/>
                <w:kern w:val="2"/>
                <w:sz w:val="24"/>
                <w:szCs w:val="24"/>
                <w:highlight w:val="none"/>
                <w:lang w:val="en-US" w:eastAsia="zh-CN" w:bidi="ar"/>
              </w:rPr>
              <w:t>施工噪声：主要有施工机械噪声、运输车辆交通噪声。其中施工机械噪声主要是由施工时物件碰撞产生的，噪声排放具有瞬间性和不定性；运输车辆交通噪声主要是车辆发动机及车辆鸣笛产生的噪声，具有短暂性特点。</w:t>
            </w:r>
          </w:p>
          <w:p w14:paraId="1D7654B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（3）</w:t>
            </w:r>
            <w:r>
              <w:rPr>
                <w:rFonts w:hint="eastAsia" w:ascii="Times New Roman" w:hAnsi="Times New Roman" w:eastAsia="宋体" w:cs="Times New Roman"/>
                <w:color w:val="000000"/>
                <w:kern w:val="2"/>
                <w:sz w:val="24"/>
                <w:szCs w:val="24"/>
                <w:highlight w:val="none"/>
                <w:lang w:val="en-US" w:eastAsia="zh-CN" w:bidi="ar"/>
              </w:rPr>
              <w:t>施工扬尘：施工开挖、土石方回填、施工现场的清理平整以及施工车辆行驶产生的二次扬尘和对环境空气质量造成的暂时性的和局部的影响。</w:t>
            </w:r>
          </w:p>
          <w:p w14:paraId="049DFC7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（4）</w:t>
            </w:r>
            <w:r>
              <w:rPr>
                <w:rFonts w:hint="eastAsia" w:ascii="Times New Roman" w:hAnsi="Times New Roman" w:eastAsia="宋体" w:cs="Times New Roman"/>
                <w:color w:val="000000"/>
                <w:kern w:val="2"/>
                <w:sz w:val="24"/>
                <w:szCs w:val="24"/>
                <w:highlight w:val="none"/>
                <w:lang w:val="en-US" w:eastAsia="zh-CN" w:bidi="ar"/>
              </w:rPr>
              <w:t>施工废水：施工废水及施工人员的生活污水。</w:t>
            </w:r>
          </w:p>
          <w:p w14:paraId="4F8EF18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（5）</w:t>
            </w:r>
            <w:r>
              <w:rPr>
                <w:rFonts w:hint="eastAsia" w:ascii="Times New Roman" w:hAnsi="Times New Roman" w:eastAsia="宋体" w:cs="Times New Roman"/>
                <w:color w:val="000000"/>
                <w:kern w:val="2"/>
                <w:sz w:val="24"/>
                <w:szCs w:val="24"/>
                <w:highlight w:val="none"/>
                <w:lang w:val="en-US" w:eastAsia="zh-CN" w:bidi="ar"/>
              </w:rPr>
              <w:t>固体废物：施工过程中产生的建筑垃圾、施工人员产生的生活垃圾。</w:t>
            </w:r>
          </w:p>
          <w:p w14:paraId="0D10630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宋体" w:hAnsi="宋体" w:eastAsia="宋体" w:cs="宋体"/>
                <w:b/>
                <w:bCs/>
                <w:color w:val="000000"/>
                <w:sz w:val="24"/>
                <w:szCs w:val="24"/>
                <w:highlight w:val="none"/>
                <w:lang w:val="en-US" w:eastAsia="zh-CN"/>
              </w:rPr>
            </w:pPr>
            <w:r>
              <w:rPr>
                <w:rFonts w:hint="eastAsia" w:ascii="Times New Roman" w:hAnsi="Times New Roman" w:eastAsia="宋体" w:cs="Times New Roman"/>
                <w:b/>
                <w:bCs/>
                <w:color w:val="000000"/>
                <w:kern w:val="2"/>
                <w:sz w:val="24"/>
                <w:szCs w:val="24"/>
                <w:shd w:val="clear" w:color="auto" w:fill="auto"/>
                <w:lang w:val="en-US" w:eastAsia="zh-CN" w:bidi="ar-SA"/>
              </w:rPr>
              <w:t>4.</w:t>
            </w:r>
            <w:r>
              <w:rPr>
                <w:rFonts w:hint="eastAsia" w:ascii="Times New Roman" w:hAnsi="Times New Roman" w:cs="Times New Roman"/>
                <w:b/>
                <w:bCs/>
                <w:color w:val="000000"/>
                <w:kern w:val="2"/>
                <w:sz w:val="24"/>
                <w:szCs w:val="24"/>
                <w:shd w:val="clear" w:color="auto" w:fill="auto"/>
                <w:lang w:val="en-US" w:eastAsia="zh-CN" w:bidi="ar-SA"/>
              </w:rPr>
              <w:t>1.2施工期</w:t>
            </w:r>
            <w:r>
              <w:rPr>
                <w:rFonts w:hint="eastAsia" w:ascii="宋体" w:hAnsi="宋体" w:eastAsia="宋体" w:cs="宋体"/>
                <w:b/>
                <w:bCs/>
                <w:color w:val="000000"/>
                <w:sz w:val="24"/>
                <w:szCs w:val="24"/>
                <w:highlight w:val="none"/>
                <w:lang w:val="en-US" w:eastAsia="zh-CN"/>
              </w:rPr>
              <w:t>生态环境影响分析</w:t>
            </w:r>
          </w:p>
          <w:p w14:paraId="4C57F45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宋体" w:hAnsi="宋体" w:eastAsia="宋体" w:cs="宋体"/>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1.2</w:t>
            </w:r>
            <w:r>
              <w:rPr>
                <w:rFonts w:hint="default" w:ascii="Times New Roman" w:hAnsi="Times New Roman" w:eastAsia="宋体" w:cs="Times New Roman"/>
                <w:b/>
                <w:bCs/>
                <w:color w:val="000000"/>
                <w:sz w:val="24"/>
                <w:szCs w:val="24"/>
                <w:highlight w:val="none"/>
                <w:lang w:val="en-US" w:eastAsia="zh-CN"/>
              </w:rPr>
              <w:t>.1</w:t>
            </w:r>
            <w:r>
              <w:rPr>
                <w:rFonts w:hint="eastAsia" w:ascii="宋体" w:hAnsi="宋体" w:eastAsia="宋体" w:cs="宋体"/>
                <w:b/>
                <w:bCs/>
                <w:color w:val="000000"/>
                <w:sz w:val="24"/>
                <w:szCs w:val="24"/>
                <w:highlight w:val="none"/>
                <w:lang w:val="en-US" w:eastAsia="zh-CN"/>
              </w:rPr>
              <w:t>对土地利用的影响分析</w:t>
            </w:r>
          </w:p>
          <w:p w14:paraId="1E43EA6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（1）</w:t>
            </w:r>
            <w:r>
              <w:rPr>
                <w:rFonts w:hint="eastAsia" w:ascii="Times New Roman" w:hAnsi="Times New Roman" w:eastAsia="宋体" w:cs="Times New Roman"/>
                <w:color w:val="000000"/>
                <w:kern w:val="2"/>
                <w:sz w:val="24"/>
                <w:szCs w:val="24"/>
                <w:highlight w:val="none"/>
                <w:lang w:val="en-US" w:eastAsia="zh-CN" w:bidi="ar"/>
              </w:rPr>
              <w:t>永久占地</w:t>
            </w:r>
          </w:p>
          <w:p w14:paraId="59A624B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本项目杆塔基座永久占地面积约64</w:t>
            </w:r>
            <w:r>
              <w:rPr>
                <w:rFonts w:hint="eastAsia" w:ascii="Times New Roman" w:hAnsi="Times New Roman" w:cs="Times New Roman"/>
                <w:color w:val="000000"/>
                <w:kern w:val="2"/>
                <w:sz w:val="24"/>
                <w:szCs w:val="24"/>
                <w:highlight w:val="none"/>
                <w:lang w:val="en-US" w:eastAsia="zh-CN" w:bidi="ar"/>
              </w:rPr>
              <w:t>6</w:t>
            </w:r>
            <w:r>
              <w:rPr>
                <w:rFonts w:hint="eastAsia" w:ascii="Times New Roman" w:hAnsi="Times New Roman" w:eastAsia="宋体" w:cs="Times New Roman"/>
                <w:color w:val="000000"/>
                <w:kern w:val="2"/>
                <w:sz w:val="24"/>
                <w:szCs w:val="24"/>
                <w:highlight w:val="none"/>
                <w:lang w:val="en-US" w:eastAsia="zh-CN" w:bidi="ar"/>
              </w:rPr>
              <w:t>m</w:t>
            </w:r>
            <w:r>
              <w:rPr>
                <w:rFonts w:hint="eastAsia" w:ascii="Times New Roman" w:hAnsi="Times New Roman" w:eastAsia="宋体" w:cs="Times New Roman"/>
                <w:color w:val="000000"/>
                <w:kern w:val="2"/>
                <w:sz w:val="24"/>
                <w:szCs w:val="24"/>
                <w:highlight w:val="none"/>
                <w:vertAlign w:val="superscript"/>
                <w:lang w:val="en-US" w:eastAsia="zh-CN" w:bidi="ar"/>
              </w:rPr>
              <w:t>2</w:t>
            </w:r>
            <w:r>
              <w:rPr>
                <w:rFonts w:hint="eastAsia" w:ascii="Times New Roman" w:hAnsi="Times New Roman" w:eastAsia="宋体" w:cs="Times New Roman"/>
                <w:color w:val="000000"/>
                <w:kern w:val="2"/>
                <w:sz w:val="24"/>
                <w:szCs w:val="24"/>
                <w:highlight w:val="none"/>
                <w:lang w:val="en-US" w:eastAsia="zh-CN" w:bidi="ar"/>
              </w:rPr>
              <w:t>，属于点位间隔式占地，并非大面积的开挖</w:t>
            </w:r>
            <w:r>
              <w:rPr>
                <w:rFonts w:hint="eastAsia" w:ascii="Times New Roman" w:hAnsi="Times New Roman" w:cs="Times New Roman"/>
                <w:color w:val="000000"/>
                <w:kern w:val="2"/>
                <w:sz w:val="24"/>
                <w:szCs w:val="24"/>
                <w:highlight w:val="none"/>
                <w:lang w:val="en-US" w:eastAsia="zh-CN" w:bidi="ar"/>
              </w:rPr>
              <w:t>；升压站</w:t>
            </w:r>
            <w:r>
              <w:rPr>
                <w:rFonts w:hint="eastAsia" w:ascii="Times New Roman" w:hAnsi="Times New Roman" w:eastAsia="宋体" w:cs="Times New Roman"/>
                <w:color w:val="000000"/>
                <w:kern w:val="2"/>
                <w:sz w:val="24"/>
                <w:szCs w:val="24"/>
                <w:highlight w:val="none"/>
                <w:lang w:val="en-US" w:eastAsia="zh-CN" w:bidi="ar"/>
              </w:rPr>
              <w:t>永久占地面积约</w:t>
            </w:r>
            <w:r>
              <w:rPr>
                <w:rFonts w:hint="eastAsia" w:ascii="Times New Roman" w:hAnsi="Times New Roman" w:cs="Times New Roman"/>
                <w:color w:val="000000"/>
                <w:kern w:val="2"/>
                <w:sz w:val="24"/>
                <w:szCs w:val="24"/>
                <w:highlight w:val="none"/>
                <w:lang w:val="en-US" w:eastAsia="zh-CN" w:bidi="ar"/>
              </w:rPr>
              <w:t>3780</w:t>
            </w:r>
            <w:r>
              <w:rPr>
                <w:rFonts w:hint="eastAsia" w:ascii="Times New Roman" w:hAnsi="Times New Roman" w:eastAsia="宋体" w:cs="Times New Roman"/>
                <w:color w:val="000000"/>
                <w:kern w:val="2"/>
                <w:sz w:val="24"/>
                <w:szCs w:val="24"/>
                <w:highlight w:val="none"/>
                <w:lang w:val="en-US" w:eastAsia="zh-CN" w:bidi="ar"/>
              </w:rPr>
              <w:t>m</w:t>
            </w:r>
            <w:r>
              <w:rPr>
                <w:rFonts w:hint="eastAsia" w:ascii="Times New Roman" w:hAnsi="Times New Roman" w:eastAsia="宋体" w:cs="Times New Roman"/>
                <w:color w:val="000000"/>
                <w:kern w:val="2"/>
                <w:sz w:val="24"/>
                <w:szCs w:val="24"/>
                <w:highlight w:val="none"/>
                <w:vertAlign w:val="superscript"/>
                <w:lang w:val="en-US" w:eastAsia="zh-CN" w:bidi="ar"/>
              </w:rPr>
              <w:t>2</w:t>
            </w:r>
            <w:r>
              <w:rPr>
                <w:rFonts w:hint="eastAsia" w:ascii="Times New Roman" w:hAnsi="Times New Roman" w:eastAsia="宋体" w:cs="Times New Roman"/>
                <w:color w:val="000000"/>
                <w:kern w:val="2"/>
                <w:sz w:val="24"/>
                <w:szCs w:val="24"/>
                <w:highlight w:val="none"/>
                <w:lang w:val="en-US" w:eastAsia="zh-CN" w:bidi="ar"/>
              </w:rPr>
              <w:t>，占地面积较小；用地类型为</w:t>
            </w:r>
            <w:r>
              <w:rPr>
                <w:rFonts w:hint="eastAsia" w:ascii="宋体" w:hAnsi="宋体"/>
                <w:sz w:val="24"/>
                <w:highlight w:val="none"/>
              </w:rPr>
              <w:t>未利用地</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（裸土地）</w:t>
            </w:r>
            <w:r>
              <w:rPr>
                <w:rFonts w:hint="eastAsia" w:ascii="Times New Roman" w:hAnsi="Times New Roman" w:eastAsia="宋体" w:cs="Times New Roman"/>
                <w:color w:val="000000"/>
                <w:kern w:val="2"/>
                <w:sz w:val="24"/>
                <w:szCs w:val="24"/>
                <w:highlight w:val="none"/>
                <w:lang w:val="en-US" w:eastAsia="zh-CN" w:bidi="ar"/>
              </w:rPr>
              <w:t>，对当地的土地利用结构影响也相对较小。</w:t>
            </w:r>
          </w:p>
          <w:p w14:paraId="1A4EE36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（2）</w:t>
            </w:r>
            <w:r>
              <w:rPr>
                <w:rFonts w:hint="eastAsia" w:ascii="Times New Roman" w:hAnsi="Times New Roman" w:eastAsia="宋体" w:cs="Times New Roman"/>
                <w:color w:val="000000"/>
                <w:kern w:val="2"/>
                <w:sz w:val="24"/>
                <w:szCs w:val="24"/>
                <w:highlight w:val="none"/>
                <w:lang w:val="en-US" w:eastAsia="zh-CN" w:bidi="ar"/>
              </w:rPr>
              <w:t>临时占地</w:t>
            </w:r>
          </w:p>
          <w:p w14:paraId="5E5A19B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8"/>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临时占地包括：施工场地、牵张场、临时道路等</w:t>
            </w:r>
            <w:r>
              <w:rPr>
                <w:rFonts w:hint="eastAsia" w:ascii="Times New Roman" w:hAnsi="Times New Roman" w:cs="Times New Roman"/>
                <w:color w:val="000000"/>
                <w:kern w:val="2"/>
                <w:sz w:val="24"/>
                <w:szCs w:val="24"/>
                <w:highlight w:val="none"/>
                <w:lang w:val="en-US" w:eastAsia="zh-CN" w:bidi="ar"/>
              </w:rPr>
              <w:t>，</w:t>
            </w:r>
            <w:r>
              <w:rPr>
                <w:rFonts w:hint="eastAsia" w:ascii="Times New Roman" w:hAnsi="Times New Roman" w:eastAsia="宋体" w:cs="Times New Roman"/>
                <w:color w:val="000000"/>
                <w:kern w:val="2"/>
                <w:sz w:val="24"/>
                <w:szCs w:val="24"/>
                <w:highlight w:val="none"/>
                <w:lang w:val="en-US" w:eastAsia="zh-CN" w:bidi="ar"/>
              </w:rPr>
              <w:t>约</w:t>
            </w:r>
            <w:r>
              <w:rPr>
                <w:rFonts w:hint="eastAsia" w:ascii="Times New Roman" w:hAnsi="Times New Roman" w:eastAsia="仿宋_GB2312" w:cs="Times New Roman"/>
                <w:color w:val="auto"/>
                <w:sz w:val="24"/>
                <w:szCs w:val="22"/>
                <w:lang w:val="en-US" w:eastAsia="zh-CN"/>
              </w:rPr>
              <w:t>1.26</w:t>
            </w:r>
            <w:r>
              <w:rPr>
                <w:rFonts w:hint="default" w:ascii="Times New Roman" w:hAnsi="Times New Roman" w:eastAsia="仿宋_GB2312" w:cs="Times New Roman"/>
                <w:color w:val="auto"/>
                <w:sz w:val="24"/>
                <w:szCs w:val="22"/>
                <w:lang w:val="en-US" w:eastAsia="zh-CN"/>
              </w:rPr>
              <w:t>hm</w:t>
            </w:r>
            <w:r>
              <w:rPr>
                <w:rFonts w:hint="default" w:ascii="Times New Roman" w:hAnsi="Times New Roman" w:eastAsia="仿宋_GB2312" w:cs="Times New Roman"/>
                <w:color w:val="auto"/>
                <w:sz w:val="24"/>
                <w:szCs w:val="22"/>
                <w:vertAlign w:val="superscript"/>
                <w:lang w:val="en-US" w:eastAsia="zh-CN"/>
              </w:rPr>
              <w:t>2</w:t>
            </w:r>
            <w:r>
              <w:rPr>
                <w:rFonts w:hint="eastAsia" w:ascii="Times New Roman" w:hAnsi="Times New Roman" w:cs="Times New Roman"/>
                <w:color w:val="000000"/>
                <w:kern w:val="2"/>
                <w:sz w:val="24"/>
                <w:szCs w:val="24"/>
                <w:highlight w:val="none"/>
                <w:lang w:val="en-US" w:eastAsia="zh-CN" w:bidi="ar"/>
              </w:rPr>
              <w:t>。</w:t>
            </w:r>
            <w:r>
              <w:rPr>
                <w:rFonts w:hint="eastAsia" w:ascii="Times New Roman" w:hAnsi="Times New Roman" w:eastAsia="宋体" w:cs="Times New Roman"/>
                <w:color w:val="000000"/>
                <w:kern w:val="2"/>
                <w:sz w:val="24"/>
                <w:szCs w:val="24"/>
                <w:highlight w:val="none"/>
                <w:lang w:val="en-US" w:eastAsia="zh-CN" w:bidi="ar"/>
              </w:rPr>
              <w:t>占地类型主要为</w:t>
            </w:r>
            <w:r>
              <w:rPr>
                <w:rFonts w:hint="eastAsia" w:ascii="宋体" w:hAnsi="宋体"/>
                <w:sz w:val="24"/>
                <w:highlight w:val="none"/>
              </w:rPr>
              <w:t>未利用地</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（裸土地）</w:t>
            </w:r>
            <w:r>
              <w:rPr>
                <w:rFonts w:hint="eastAsia" w:ascii="宋体" w:hAnsi="宋体"/>
                <w:sz w:val="24"/>
                <w:highlight w:val="none"/>
                <w:lang w:eastAsia="zh-CN"/>
              </w:rPr>
              <w:t>，</w:t>
            </w:r>
            <w:r>
              <w:rPr>
                <w:rFonts w:hint="eastAsia" w:ascii="宋体" w:hAnsi="宋体"/>
                <w:sz w:val="24"/>
                <w:highlight w:val="none"/>
                <w:lang w:val="en-US" w:eastAsia="zh-CN"/>
              </w:rPr>
              <w:t>且</w:t>
            </w:r>
            <w:r>
              <w:rPr>
                <w:rFonts w:hint="eastAsia" w:ascii="Times New Roman" w:hAnsi="Times New Roman" w:eastAsia="宋体" w:cs="Times New Roman"/>
                <w:color w:val="000000"/>
                <w:kern w:val="2"/>
                <w:sz w:val="24"/>
                <w:szCs w:val="24"/>
                <w:highlight w:val="none"/>
                <w:lang w:val="en-US" w:eastAsia="zh-CN" w:bidi="ar"/>
              </w:rPr>
              <w:t>不涉及国家公园、自然保护区、风景名胜区、世界文化和自然遗产地等环境敏感区，不涉及饮用水水源地保护区。以上临时占地均属于输变电工程施工必要占地，符合相关用地管控要求。本项目工期较短，临时占地在施工结束后及时进行了表土回覆和土地</w:t>
            </w:r>
            <w:r>
              <w:rPr>
                <w:rFonts w:hint="eastAsia" w:ascii="Times New Roman" w:hAnsi="Times New Roman" w:cs="Times New Roman"/>
                <w:color w:val="000000"/>
                <w:kern w:val="2"/>
                <w:sz w:val="24"/>
                <w:szCs w:val="24"/>
                <w:highlight w:val="none"/>
                <w:lang w:val="en-US" w:eastAsia="zh-CN" w:bidi="ar"/>
              </w:rPr>
              <w:t>平整</w:t>
            </w:r>
            <w:r>
              <w:rPr>
                <w:rFonts w:hint="eastAsia" w:ascii="Times New Roman" w:hAnsi="Times New Roman" w:eastAsia="宋体" w:cs="Times New Roman"/>
                <w:color w:val="000000"/>
                <w:kern w:val="2"/>
                <w:sz w:val="24"/>
                <w:szCs w:val="24"/>
                <w:highlight w:val="none"/>
                <w:lang w:val="en-US" w:eastAsia="zh-CN" w:bidi="ar"/>
              </w:rPr>
              <w:t>。落实</w:t>
            </w:r>
            <w:r>
              <w:rPr>
                <w:rFonts w:hint="eastAsia" w:ascii="Times New Roman" w:hAnsi="Times New Roman" w:cs="Times New Roman"/>
                <w:color w:val="000000"/>
                <w:kern w:val="2"/>
                <w:sz w:val="24"/>
                <w:szCs w:val="24"/>
                <w:highlight w:val="none"/>
                <w:lang w:val="en-US" w:eastAsia="zh-CN" w:bidi="ar"/>
              </w:rPr>
              <w:t>相应</w:t>
            </w:r>
            <w:r>
              <w:rPr>
                <w:rFonts w:hint="eastAsia" w:ascii="Times New Roman" w:hAnsi="Times New Roman" w:eastAsia="宋体" w:cs="Times New Roman"/>
                <w:color w:val="000000"/>
                <w:kern w:val="2"/>
                <w:sz w:val="24"/>
                <w:szCs w:val="24"/>
                <w:highlight w:val="none"/>
                <w:lang w:val="en-US" w:eastAsia="zh-CN" w:bidi="ar"/>
              </w:rPr>
              <w:t>措施后，本项目建设对当地土地利用影响不大，未造成土地生产力下降。</w:t>
            </w:r>
          </w:p>
          <w:p w14:paraId="79D6C8E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宋体" w:hAnsi="宋体" w:eastAsia="宋体" w:cs="宋体"/>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1.2</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2植被</w:t>
            </w:r>
            <w:r>
              <w:rPr>
                <w:rFonts w:hint="eastAsia" w:ascii="宋体" w:hAnsi="宋体" w:eastAsia="宋体" w:cs="宋体"/>
                <w:b/>
                <w:bCs/>
                <w:color w:val="000000"/>
                <w:sz w:val="24"/>
                <w:szCs w:val="24"/>
                <w:highlight w:val="none"/>
                <w:lang w:val="en-US" w:eastAsia="zh-CN"/>
              </w:rPr>
              <w:t>影响分析</w:t>
            </w:r>
          </w:p>
          <w:p w14:paraId="75212C4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23"/>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default" w:ascii="宋体" w:hAnsi="宋体" w:eastAsia="宋体" w:cs="宋体"/>
                <w:sz w:val="24"/>
                <w:szCs w:val="24"/>
              </w:rPr>
              <w:t>根据现场调查以及向建设单位了解到，</w:t>
            </w:r>
            <w:r>
              <w:rPr>
                <w:rFonts w:hint="eastAsia" w:ascii="Times New Roman" w:hAnsi="Times New Roman" w:eastAsia="宋体" w:cs="Times New Roman"/>
                <w:color w:val="000000"/>
                <w:kern w:val="2"/>
                <w:sz w:val="24"/>
                <w:szCs w:val="24"/>
                <w:highlight w:val="none"/>
                <w:lang w:val="en-US" w:eastAsia="zh-CN" w:bidi="ar"/>
              </w:rPr>
              <w:t>虽然建设项目施工期间会造成植被数量减少，但丧失的植被未影响到植被群落整体的结构和功能及建设项目周围生态系统的稳定性，对于植物群落的多样性影响极其有限；植被连续性、生态系统空间结构完整性以及生物多样性未受到明显破坏，未对当地自然生态产生明显影响。</w:t>
            </w:r>
          </w:p>
          <w:p w14:paraId="1CD4FFB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宋体" w:hAnsi="宋体" w:eastAsia="宋体" w:cs="宋体"/>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1.2</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3野生动物</w:t>
            </w:r>
            <w:r>
              <w:rPr>
                <w:rFonts w:hint="eastAsia" w:ascii="宋体" w:hAnsi="宋体" w:eastAsia="宋体" w:cs="宋体"/>
                <w:b/>
                <w:bCs/>
                <w:color w:val="000000"/>
                <w:sz w:val="24"/>
                <w:szCs w:val="24"/>
                <w:highlight w:val="none"/>
                <w:lang w:val="en-US" w:eastAsia="zh-CN"/>
              </w:rPr>
              <w:t>影响分析</w:t>
            </w:r>
          </w:p>
          <w:p w14:paraId="7BCF77F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施工机械噪声和人类活动噪声是影响野生动物的主要因素。经调查，本区的野生动物主要有生存型啮齿类动物、麻雀、燕子等，迁徙能力强。在施工期间，本区的野生动物产生规避反应，迁往附近同类环境，且同类生境易于在附近找寻，故物种种群与数量未受到明显影响。且该区域没有珍贵动物，也不是候鸟的栖息地和迁徙通道。因此，施工期对野生动物的影响很小。</w:t>
            </w:r>
          </w:p>
          <w:p w14:paraId="6C4FCA3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4.</w:t>
            </w:r>
            <w:r>
              <w:rPr>
                <w:rFonts w:hint="eastAsia" w:ascii="Times New Roman" w:hAnsi="Times New Roman" w:eastAsia="宋体" w:cs="Times New Roman"/>
                <w:b/>
                <w:bCs/>
                <w:color w:val="000000"/>
                <w:sz w:val="24"/>
                <w:szCs w:val="24"/>
                <w:highlight w:val="none"/>
                <w:lang w:val="en-US" w:eastAsia="zh-CN"/>
              </w:rPr>
              <w:t>1.2</w:t>
            </w:r>
            <w:r>
              <w:rPr>
                <w:rFonts w:hint="default" w:ascii="Times New Roman" w:hAnsi="Times New Roman" w:eastAsia="宋体" w:cs="Times New Roman"/>
                <w:b/>
                <w:bCs/>
                <w:color w:val="000000"/>
                <w:sz w:val="24"/>
                <w:szCs w:val="24"/>
                <w:highlight w:val="none"/>
                <w:lang w:val="en-US" w:eastAsia="zh-CN"/>
              </w:rPr>
              <w:t>.</w:t>
            </w:r>
            <w:r>
              <w:rPr>
                <w:rFonts w:hint="eastAsia" w:ascii="Times New Roman" w:hAnsi="Times New Roman" w:eastAsia="宋体" w:cs="Times New Roman"/>
                <w:b/>
                <w:bCs/>
                <w:color w:val="000000"/>
                <w:sz w:val="24"/>
                <w:szCs w:val="24"/>
                <w:highlight w:val="none"/>
                <w:lang w:val="en-US" w:eastAsia="zh-CN"/>
              </w:rPr>
              <w:t>4水土流失影响分析</w:t>
            </w:r>
          </w:p>
          <w:p w14:paraId="55ACB9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kern w:val="2"/>
                <w:sz w:val="24"/>
                <w:szCs w:val="24"/>
                <w:highlight w:val="none"/>
                <w:lang w:val="en-US" w:eastAsia="zh-CN" w:bidi="ar"/>
              </w:rPr>
            </w:pPr>
            <w:r>
              <w:rPr>
                <w:rFonts w:hint="default" w:ascii="Times New Roman" w:hAnsi="Times New Roman" w:eastAsia="宋体" w:cs="Times New Roman"/>
                <w:color w:val="000000"/>
                <w:kern w:val="2"/>
                <w:sz w:val="24"/>
                <w:szCs w:val="24"/>
                <w:highlight w:val="none"/>
                <w:lang w:val="en-US" w:eastAsia="zh-CN" w:bidi="ar"/>
              </w:rPr>
              <w:t>主要产生水土流失时段为土建施工期</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土建</w:t>
            </w:r>
            <w:r>
              <w:rPr>
                <w:rFonts w:hint="eastAsia" w:cs="Times New Roman"/>
                <w:color w:val="000000"/>
                <w:kern w:val="2"/>
                <w:sz w:val="24"/>
                <w:szCs w:val="24"/>
                <w:highlight w:val="none"/>
                <w:lang w:val="en-US" w:eastAsia="zh-CN" w:bidi="ar"/>
              </w:rPr>
              <w:t>期间</w:t>
            </w:r>
            <w:r>
              <w:rPr>
                <w:rFonts w:hint="default" w:ascii="Times New Roman" w:hAnsi="Times New Roman" w:eastAsia="宋体" w:cs="Times New Roman"/>
                <w:color w:val="000000"/>
                <w:kern w:val="2"/>
                <w:sz w:val="24"/>
                <w:szCs w:val="24"/>
                <w:highlight w:val="none"/>
                <w:lang w:val="en-US" w:eastAsia="zh-CN" w:bidi="ar"/>
              </w:rPr>
              <w:t>工程主要包括</w:t>
            </w:r>
            <w:r>
              <w:rPr>
                <w:rFonts w:hint="eastAsia" w:cs="Times New Roman"/>
                <w:color w:val="000000"/>
                <w:kern w:val="2"/>
                <w:sz w:val="24"/>
                <w:szCs w:val="24"/>
                <w:highlight w:val="none"/>
                <w:lang w:val="en-US" w:eastAsia="zh-CN" w:bidi="ar"/>
              </w:rPr>
              <w:t>场地</w:t>
            </w:r>
            <w:r>
              <w:rPr>
                <w:rFonts w:hint="eastAsia" w:ascii="Times New Roman" w:hAnsi="Times New Roman" w:eastAsia="宋体" w:cs="Times New Roman"/>
                <w:color w:val="000000"/>
                <w:kern w:val="2"/>
                <w:sz w:val="24"/>
                <w:szCs w:val="24"/>
                <w:highlight w:val="none"/>
                <w:lang w:val="en-US" w:eastAsia="zh-CN" w:bidi="ar"/>
              </w:rPr>
              <w:t>的</w:t>
            </w:r>
            <w:r>
              <w:rPr>
                <w:rFonts w:hint="default" w:ascii="Times New Roman" w:hAnsi="Times New Roman" w:eastAsia="宋体" w:cs="Times New Roman"/>
                <w:color w:val="000000"/>
                <w:kern w:val="2"/>
                <w:sz w:val="24"/>
                <w:szCs w:val="24"/>
                <w:highlight w:val="none"/>
                <w:lang w:val="en-US" w:eastAsia="zh-CN" w:bidi="ar"/>
              </w:rPr>
              <w:t>平整及开挖</w:t>
            </w:r>
            <w:r>
              <w:rPr>
                <w:rFonts w:hint="eastAsia" w:cs="Times New Roman"/>
                <w:color w:val="000000"/>
                <w:kern w:val="2"/>
                <w:sz w:val="24"/>
                <w:szCs w:val="24"/>
                <w:highlight w:val="none"/>
                <w:lang w:val="en-US" w:eastAsia="zh-CN" w:bidi="ar"/>
              </w:rPr>
              <w:t>等</w:t>
            </w:r>
            <w:r>
              <w:rPr>
                <w:rFonts w:hint="eastAsia" w:ascii="Times New Roman" w:hAnsi="Times New Roman" w:eastAsia="宋体" w:cs="Times New Roman"/>
                <w:color w:val="000000"/>
                <w:kern w:val="2"/>
                <w:sz w:val="24"/>
                <w:szCs w:val="24"/>
                <w:highlight w:val="none"/>
                <w:lang w:val="en-US" w:eastAsia="zh-CN" w:bidi="ar"/>
              </w:rPr>
              <w:t>。</w:t>
            </w:r>
            <w:r>
              <w:rPr>
                <w:rFonts w:hint="default" w:ascii="Times New Roman" w:hAnsi="Times New Roman" w:eastAsia="宋体" w:cs="Times New Roman"/>
                <w:color w:val="000000"/>
                <w:kern w:val="2"/>
                <w:sz w:val="24"/>
                <w:szCs w:val="24"/>
                <w:highlight w:val="none"/>
                <w:lang w:val="en-US" w:eastAsia="zh-CN" w:bidi="ar"/>
              </w:rPr>
              <w:t>根据施工特点，场地平整、基础开挖等工程对原地表</w:t>
            </w:r>
            <w:r>
              <w:rPr>
                <w:rFonts w:hint="eastAsia" w:ascii="Times New Roman" w:hAnsi="Times New Roman" w:eastAsia="宋体" w:cs="Times New Roman"/>
                <w:color w:val="000000"/>
                <w:kern w:val="2"/>
                <w:sz w:val="24"/>
                <w:szCs w:val="24"/>
                <w:highlight w:val="none"/>
                <w:lang w:val="en-US" w:eastAsia="zh-CN" w:bidi="ar"/>
              </w:rPr>
              <w:t>进行了</w:t>
            </w:r>
            <w:r>
              <w:rPr>
                <w:rFonts w:hint="default" w:ascii="Times New Roman" w:hAnsi="Times New Roman" w:eastAsia="宋体" w:cs="Times New Roman"/>
                <w:color w:val="000000"/>
                <w:kern w:val="2"/>
                <w:sz w:val="24"/>
                <w:szCs w:val="24"/>
                <w:highlight w:val="none"/>
                <w:lang w:val="en-US" w:eastAsia="zh-CN" w:bidi="ar"/>
              </w:rPr>
              <w:t>开挖、扰动和再塑，使地表植被遭到破坏，失去原有固土和防冲能力，易造成水土流失。</w:t>
            </w:r>
            <w:r>
              <w:rPr>
                <w:rFonts w:hint="eastAsia" w:ascii="Times New Roman" w:hAnsi="Times New Roman" w:eastAsia="宋体" w:cs="Times New Roman"/>
                <w:color w:val="000000"/>
                <w:sz w:val="24"/>
                <w:szCs w:val="24"/>
                <w:highlight w:val="none"/>
                <w:lang w:val="en-US" w:eastAsia="zh-CN"/>
              </w:rPr>
              <w:t>本工程</w:t>
            </w:r>
            <w:r>
              <w:rPr>
                <w:rFonts w:hint="eastAsia" w:cs="Times New Roman"/>
                <w:color w:val="000000"/>
                <w:sz w:val="24"/>
                <w:szCs w:val="24"/>
                <w:highlight w:val="none"/>
                <w:lang w:val="en-US" w:eastAsia="zh-CN"/>
              </w:rPr>
              <w:t>严格落实了水土保持相关措施，施工过程中未造成明显的水土流失现象。</w:t>
            </w:r>
          </w:p>
          <w:p w14:paraId="396298A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1.3</w:t>
            </w:r>
            <w:r>
              <w:rPr>
                <w:rFonts w:hint="eastAsia" w:ascii="Times New Roman" w:hAnsi="Times New Roman" w:eastAsia="宋体" w:cs="Times New Roman"/>
                <w:b/>
                <w:bCs/>
                <w:color w:val="000000"/>
                <w:sz w:val="24"/>
                <w:szCs w:val="24"/>
                <w:highlight w:val="none"/>
                <w:lang w:val="en-US" w:eastAsia="zh-CN"/>
              </w:rPr>
              <w:t>环境空气影响分析</w:t>
            </w:r>
          </w:p>
          <w:p w14:paraId="6F29C8BA">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（1）</w:t>
            </w:r>
            <w:r>
              <w:rPr>
                <w:rFonts w:hint="eastAsia" w:ascii="Times New Roman" w:hAnsi="Times New Roman" w:eastAsia="宋体" w:cs="Times New Roman"/>
                <w:color w:val="000000"/>
                <w:kern w:val="2"/>
                <w:sz w:val="24"/>
                <w:szCs w:val="24"/>
                <w:highlight w:val="none"/>
                <w:lang w:val="en-US" w:eastAsia="zh-CN" w:bidi="ar"/>
              </w:rPr>
              <w:t>施工采取措施</w:t>
            </w:r>
          </w:p>
          <w:p w14:paraId="545D5BD3">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经调查，施工期在</w:t>
            </w:r>
            <w:r>
              <w:rPr>
                <w:rFonts w:hint="eastAsia" w:ascii="Times New Roman" w:hAnsi="Times New Roman" w:eastAsia="宋体" w:cs="Times New Roman"/>
                <w:color w:val="000000"/>
                <w:kern w:val="2"/>
                <w:sz w:val="24"/>
                <w:szCs w:val="24"/>
                <w:highlight w:val="none"/>
                <w:lang w:val="en-US" w:eastAsia="zh-CN" w:bidi="ar"/>
              </w:rPr>
              <w:t>基础开挖产生的土方堆放采取了篷布覆盖，运输车辆采用篷布覆盖，并在施工范围内设置围挡，避免扬尘飞扬，施工及设备安装过程，产生少量的施工扬尘排放，经施工单位洒水降尘措施后，减轻了施工扬尘对周围的影响。</w:t>
            </w:r>
          </w:p>
          <w:p w14:paraId="10B16264">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cs="Times New Roman"/>
                <w:color w:val="000000"/>
                <w:kern w:val="2"/>
                <w:sz w:val="24"/>
                <w:szCs w:val="24"/>
                <w:highlight w:val="none"/>
                <w:lang w:val="en-US" w:eastAsia="zh-CN" w:bidi="ar"/>
              </w:rPr>
              <w:t>（2）</w:t>
            </w:r>
            <w:r>
              <w:rPr>
                <w:rFonts w:hint="eastAsia" w:ascii="Times New Roman" w:hAnsi="Times New Roman" w:eastAsia="宋体" w:cs="Times New Roman"/>
                <w:color w:val="000000"/>
                <w:kern w:val="2"/>
                <w:sz w:val="24"/>
                <w:szCs w:val="24"/>
                <w:highlight w:val="none"/>
                <w:lang w:val="en-US" w:eastAsia="zh-CN" w:bidi="ar"/>
              </w:rPr>
              <w:t>现场问题</w:t>
            </w:r>
          </w:p>
          <w:p w14:paraId="78008FF0">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
              </w:rPr>
            </w:pPr>
            <w:r>
              <w:rPr>
                <w:rFonts w:hint="eastAsia" w:ascii="Times New Roman" w:hAnsi="Times New Roman" w:eastAsia="宋体" w:cs="Times New Roman"/>
                <w:color w:val="000000"/>
                <w:kern w:val="2"/>
                <w:sz w:val="24"/>
                <w:szCs w:val="24"/>
                <w:highlight w:val="none"/>
                <w:lang w:val="en-US" w:eastAsia="zh-CN" w:bidi="ar"/>
              </w:rPr>
              <w:t>通过现场调查，线路沿线</w:t>
            </w:r>
            <w:r>
              <w:rPr>
                <w:rFonts w:hint="eastAsia" w:ascii="Times New Roman" w:hAnsi="Times New Roman" w:cs="Times New Roman"/>
                <w:color w:val="000000"/>
                <w:kern w:val="2"/>
                <w:sz w:val="24"/>
                <w:szCs w:val="24"/>
                <w:highlight w:val="none"/>
                <w:lang w:val="en-US" w:eastAsia="zh-CN" w:bidi="ar"/>
              </w:rPr>
              <w:t>及</w:t>
            </w:r>
            <w:r>
              <w:rPr>
                <w:rFonts w:hint="eastAsia" w:ascii="Times New Roman" w:hAnsi="Times New Roman" w:eastAsia="宋体" w:cs="Times New Roman"/>
                <w:color w:val="000000"/>
                <w:kern w:val="2"/>
                <w:sz w:val="24"/>
                <w:szCs w:val="24"/>
                <w:highlight w:val="none"/>
                <w:lang w:val="en-US" w:eastAsia="zh-CN" w:bidi="ar"/>
              </w:rPr>
              <w:t>升压站</w:t>
            </w:r>
            <w:r>
              <w:rPr>
                <w:rFonts w:hint="eastAsia" w:ascii="Times New Roman" w:hAnsi="Times New Roman" w:cs="Times New Roman"/>
                <w:color w:val="000000"/>
                <w:kern w:val="2"/>
                <w:sz w:val="24"/>
                <w:szCs w:val="24"/>
                <w:highlight w:val="none"/>
                <w:lang w:val="en-US" w:eastAsia="zh-CN" w:bidi="ar"/>
              </w:rPr>
              <w:t>周边</w:t>
            </w:r>
            <w:r>
              <w:rPr>
                <w:rFonts w:hint="eastAsia" w:ascii="Times New Roman" w:hAnsi="Times New Roman" w:eastAsia="宋体" w:cs="Times New Roman"/>
                <w:color w:val="000000"/>
                <w:kern w:val="2"/>
                <w:sz w:val="24"/>
                <w:szCs w:val="24"/>
                <w:highlight w:val="none"/>
                <w:lang w:val="en-US" w:eastAsia="zh-CN" w:bidi="ar"/>
              </w:rPr>
              <w:t>无弃土、弃渣等堆放，未对周围环境大气造成明显影响。</w:t>
            </w:r>
          </w:p>
          <w:p w14:paraId="0BDD292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1.4</w:t>
            </w:r>
            <w:r>
              <w:rPr>
                <w:rFonts w:hint="eastAsia" w:ascii="Times New Roman" w:hAnsi="Times New Roman" w:eastAsia="宋体" w:cs="Times New Roman"/>
                <w:b/>
                <w:bCs/>
                <w:color w:val="000000"/>
                <w:sz w:val="24"/>
                <w:szCs w:val="24"/>
                <w:highlight w:val="none"/>
                <w:lang w:val="en-US" w:eastAsia="zh-CN"/>
              </w:rPr>
              <w:t>水环境影响分析</w:t>
            </w:r>
          </w:p>
          <w:p w14:paraId="0722C9BB">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Times New Roman" w:hAnsi="Times New Roman" w:eastAsia="宋体" w:cs="Times New Roman"/>
                <w:sz w:val="24"/>
                <w:szCs w:val="24"/>
              </w:rPr>
            </w:pPr>
            <w:r>
              <w:rPr>
                <w:rFonts w:hint="eastAsia" w:cs="宋体"/>
                <w:sz w:val="24"/>
                <w:szCs w:val="24"/>
                <w:lang w:val="en-US" w:eastAsia="zh-CN"/>
              </w:rPr>
              <w:t>（1）</w:t>
            </w:r>
            <w:r>
              <w:rPr>
                <w:rFonts w:hint="default" w:ascii="宋体" w:hAnsi="宋体" w:eastAsia="宋体" w:cs="宋体"/>
                <w:sz w:val="24"/>
                <w:szCs w:val="24"/>
              </w:rPr>
              <w:t>施工</w:t>
            </w:r>
            <w:r>
              <w:rPr>
                <w:rFonts w:hint="default" w:ascii="Times New Roman" w:hAnsi="Times New Roman" w:eastAsia="宋体" w:cs="Times New Roman"/>
                <w:sz w:val="24"/>
                <w:szCs w:val="24"/>
              </w:rPr>
              <w:t>采取措施</w:t>
            </w:r>
          </w:p>
          <w:p w14:paraId="17C75451">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spacing w:val="0"/>
                <w:sz w:val="24"/>
                <w:szCs w:val="24"/>
                <w:highlight w:val="none"/>
                <w:lang w:val="en-US" w:eastAsia="zh-CN"/>
              </w:rPr>
            </w:pPr>
            <w:r>
              <w:rPr>
                <w:rFonts w:hint="eastAsia" w:ascii="Times New Roman" w:hAnsi="Times New Roman" w:cs="Times New Roman"/>
                <w:sz w:val="24"/>
                <w:szCs w:val="24"/>
                <w:lang w:val="en-US" w:eastAsia="zh-CN"/>
              </w:rPr>
              <w:t>经调查，</w:t>
            </w:r>
            <w:r>
              <w:rPr>
                <w:rFonts w:hint="eastAsia" w:ascii="Times New Roman" w:hAnsi="Times New Roman" w:eastAsia="宋体" w:cs="Times New Roman"/>
                <w:color w:val="000000"/>
                <w:spacing w:val="0"/>
                <w:sz w:val="24"/>
                <w:szCs w:val="24"/>
                <w:highlight w:val="none"/>
                <w:lang w:val="en-US" w:eastAsia="zh-CN"/>
              </w:rPr>
              <w:t>施工人员产生的生活污水依托主体工程的</w:t>
            </w:r>
            <w:r>
              <w:rPr>
                <w:rFonts w:hint="default" w:ascii="Times New Roman" w:hAnsi="Times New Roman" w:eastAsia="宋体" w:cs="Times New Roman"/>
                <w:sz w:val="24"/>
                <w:szCs w:val="24"/>
              </w:rPr>
              <w:t>污水处理设施</w:t>
            </w:r>
            <w:r>
              <w:rPr>
                <w:rFonts w:hint="eastAsia" w:ascii="Times New Roman" w:hAnsi="Times New Roman" w:eastAsia="宋体" w:cs="Times New Roman"/>
                <w:color w:val="000000"/>
                <w:spacing w:val="0"/>
                <w:sz w:val="24"/>
                <w:szCs w:val="24"/>
                <w:highlight w:val="none"/>
                <w:lang w:val="en-US" w:eastAsia="zh-CN"/>
              </w:rPr>
              <w:t>处理</w:t>
            </w:r>
            <w:r>
              <w:rPr>
                <w:rFonts w:hint="eastAsia" w:ascii="Times New Roman" w:hAnsi="Times New Roman" w:cs="Times New Roman"/>
                <w:color w:val="000000"/>
                <w:spacing w:val="0"/>
                <w:sz w:val="24"/>
                <w:szCs w:val="24"/>
                <w:highlight w:val="none"/>
                <w:lang w:val="en-US" w:eastAsia="zh-CN"/>
              </w:rPr>
              <w:t>。</w:t>
            </w:r>
            <w:r>
              <w:rPr>
                <w:rFonts w:hint="default" w:ascii="Times New Roman" w:hAnsi="Times New Roman" w:eastAsia="宋体" w:cs="Times New Roman"/>
                <w:sz w:val="24"/>
                <w:szCs w:val="24"/>
              </w:rPr>
              <w:t>施工</w:t>
            </w:r>
            <w:r>
              <w:rPr>
                <w:rFonts w:hint="eastAsia" w:ascii="Times New Roman" w:hAnsi="Times New Roman" w:cs="Times New Roman"/>
                <w:sz w:val="24"/>
                <w:szCs w:val="24"/>
                <w:lang w:val="en-US" w:eastAsia="zh-CN"/>
              </w:rPr>
              <w:t>期</w:t>
            </w:r>
            <w:r>
              <w:rPr>
                <w:rFonts w:hint="default" w:ascii="Times New Roman" w:hAnsi="Times New Roman" w:eastAsia="宋体" w:cs="Times New Roman"/>
                <w:sz w:val="24"/>
                <w:szCs w:val="24"/>
              </w:rPr>
              <w:t>场地设有临时集水池等临时性污水简易处理设施</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施工废水经沉淀后</w:t>
            </w:r>
            <w:r>
              <w:rPr>
                <w:rFonts w:hint="default" w:ascii="Times New Roman" w:hAnsi="Times New Roman" w:eastAsia="宋体" w:cs="Times New Roman"/>
                <w:color w:val="000000"/>
                <w:spacing w:val="0"/>
                <w:sz w:val="24"/>
                <w:szCs w:val="24"/>
                <w:highlight w:val="none"/>
                <w:lang w:val="en-US" w:eastAsia="zh-CN"/>
              </w:rPr>
              <w:t>，</w:t>
            </w:r>
            <w:r>
              <w:rPr>
                <w:rFonts w:hint="eastAsia" w:ascii="Times New Roman" w:hAnsi="Times New Roman" w:eastAsia="宋体" w:cs="Times New Roman"/>
                <w:color w:val="000000"/>
                <w:spacing w:val="0"/>
                <w:sz w:val="24"/>
                <w:szCs w:val="24"/>
                <w:highlight w:val="none"/>
                <w:lang w:val="en-US" w:eastAsia="zh-CN"/>
              </w:rPr>
              <w:t>用于施工场地及运输道路洒水降尘，</w:t>
            </w:r>
            <w:r>
              <w:rPr>
                <w:rFonts w:hint="default" w:ascii="Times New Roman" w:hAnsi="Times New Roman" w:eastAsia="宋体" w:cs="Times New Roman"/>
                <w:color w:val="000000"/>
                <w:spacing w:val="0"/>
                <w:sz w:val="24"/>
                <w:szCs w:val="24"/>
                <w:highlight w:val="none"/>
                <w:lang w:val="en-US" w:eastAsia="zh-CN"/>
              </w:rPr>
              <w:t>未外排。</w:t>
            </w:r>
          </w:p>
          <w:p w14:paraId="1F155F82">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现场问题</w:t>
            </w:r>
          </w:p>
          <w:p w14:paraId="0FE07F70">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通过现场调查，本工程避免了雨季径流产生污染物对附近水环境的影响，施工中产生的生活污水及施工废水均采取了措施，未外排，本工程未对周围水环境造成明显影响。</w:t>
            </w:r>
          </w:p>
          <w:p w14:paraId="172CD0A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lang w:val="en-US" w:eastAsia="zh-CN"/>
              </w:rPr>
              <w:t>5声环境影响分析</w:t>
            </w:r>
          </w:p>
          <w:p w14:paraId="7B3F88BB">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施工采取措施</w:t>
            </w:r>
          </w:p>
          <w:p w14:paraId="7AF850AC">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施工区严格控制在用地红线范围内；合理安排了施工时间，合理规划施工场地；选用了低噪声设备；对施工机械采取消声降噪措施；运输车辆已尽量保持低速行驶。</w:t>
            </w:r>
          </w:p>
          <w:p w14:paraId="1F5389AF">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现场问题</w:t>
            </w:r>
          </w:p>
          <w:p w14:paraId="7C8AC3C9">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通过现场调查，本工程施工期未对工程周围声环境造成显著不利影响，且施工期间未收到有关本工程噪声扰民的投诉。</w:t>
            </w:r>
          </w:p>
          <w:p w14:paraId="2ABB19D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lang w:val="en-US" w:eastAsia="zh-CN"/>
              </w:rPr>
              <w:t>6固体废物影响分析</w:t>
            </w:r>
          </w:p>
          <w:p w14:paraId="63FA2EF2">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Times New Roman" w:hAnsi="Times New Roman" w:eastAsia="宋体" w:cs="宋体"/>
                <w:sz w:val="24"/>
                <w:szCs w:val="24"/>
              </w:rPr>
            </w:pPr>
            <w:r>
              <w:rPr>
                <w:rFonts w:hint="eastAsia" w:ascii="Times New Roman" w:hAnsi="Times New Roman" w:cs="宋体"/>
                <w:sz w:val="24"/>
                <w:szCs w:val="24"/>
                <w:lang w:val="en-US" w:eastAsia="zh-CN"/>
              </w:rPr>
              <w:t>（1）</w:t>
            </w:r>
            <w:r>
              <w:rPr>
                <w:rFonts w:hint="default" w:ascii="Times New Roman" w:hAnsi="Times New Roman" w:eastAsia="宋体" w:cs="宋体"/>
                <w:sz w:val="24"/>
                <w:szCs w:val="24"/>
              </w:rPr>
              <w:t>施工采取措施</w:t>
            </w:r>
          </w:p>
          <w:p w14:paraId="15FFB426">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default" w:ascii="Times New Roman" w:hAnsi="Times New Roman" w:eastAsia="宋体" w:cs="宋体"/>
                <w:sz w:val="24"/>
                <w:szCs w:val="24"/>
              </w:rPr>
              <w:t>施工单位已进行了土石方平衡，无弃土产生</w:t>
            </w:r>
            <w:r>
              <w:rPr>
                <w:rFonts w:hint="eastAsia" w:ascii="Times New Roman" w:hAnsi="Times New Roman" w:cs="宋体"/>
                <w:sz w:val="24"/>
                <w:szCs w:val="24"/>
                <w:lang w:eastAsia="zh-CN"/>
              </w:rPr>
              <w:t>；</w:t>
            </w:r>
            <w:r>
              <w:rPr>
                <w:rFonts w:hint="default" w:ascii="Times New Roman" w:hAnsi="Times New Roman" w:eastAsia="宋体" w:cs="宋体"/>
                <w:sz w:val="24"/>
                <w:szCs w:val="24"/>
              </w:rPr>
              <w:t>施工建筑垃圾等已尽量回收利用</w:t>
            </w:r>
            <w:r>
              <w:rPr>
                <w:rFonts w:hint="eastAsia" w:ascii="Times New Roman" w:hAnsi="Times New Roman" w:cs="宋体"/>
                <w:sz w:val="24"/>
                <w:szCs w:val="24"/>
                <w:lang w:eastAsia="zh-CN"/>
              </w:rPr>
              <w:t>；</w:t>
            </w:r>
            <w:r>
              <w:rPr>
                <w:rFonts w:hint="default" w:ascii="宋体" w:hAnsi="宋体" w:eastAsia="宋体" w:cs="宋体"/>
                <w:kern w:val="2"/>
                <w:sz w:val="24"/>
                <w:szCs w:val="24"/>
                <w:lang w:val="en-US" w:eastAsia="zh-CN" w:bidi="ar-SA"/>
              </w:rPr>
              <w:t>生活</w:t>
            </w:r>
            <w:r>
              <w:rPr>
                <w:rFonts w:hint="eastAsia" w:ascii="宋体" w:hAnsi="宋体" w:eastAsia="宋体" w:cs="宋体"/>
                <w:kern w:val="2"/>
                <w:sz w:val="24"/>
                <w:szCs w:val="24"/>
                <w:lang w:val="en-US" w:eastAsia="zh-CN" w:bidi="ar-SA"/>
              </w:rPr>
              <w:t>垃圾</w:t>
            </w:r>
            <w:r>
              <w:rPr>
                <w:rFonts w:hint="default" w:ascii="Times New Roman" w:hAnsi="Times New Roman" w:eastAsia="宋体" w:cs="宋体"/>
                <w:sz w:val="24"/>
                <w:szCs w:val="24"/>
              </w:rPr>
              <w:t>集中收集后</w:t>
            </w:r>
            <w:r>
              <w:rPr>
                <w:rFonts w:hint="default" w:ascii="宋体" w:hAnsi="宋体" w:eastAsia="宋体" w:cs="宋体"/>
                <w:sz w:val="24"/>
                <w:szCs w:val="24"/>
              </w:rPr>
              <w:t>，交由环卫部门处理。</w:t>
            </w:r>
          </w:p>
          <w:p w14:paraId="7B34CCDE">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宋体" w:hAnsi="宋体" w:eastAsia="宋体" w:cs="宋体"/>
                <w:sz w:val="24"/>
                <w:szCs w:val="24"/>
              </w:rPr>
            </w:pPr>
            <w:r>
              <w:rPr>
                <w:rFonts w:hint="eastAsia" w:ascii="Times New Roman" w:hAnsi="Times New Roman" w:cs="宋体"/>
                <w:sz w:val="24"/>
                <w:szCs w:val="24"/>
                <w:lang w:val="en-US" w:eastAsia="zh-CN"/>
              </w:rPr>
              <w:t>（2）</w:t>
            </w:r>
            <w:r>
              <w:rPr>
                <w:rFonts w:hint="default" w:ascii="Times New Roman" w:hAnsi="Times New Roman" w:eastAsia="宋体" w:cs="宋体"/>
                <w:sz w:val="24"/>
                <w:szCs w:val="24"/>
              </w:rPr>
              <w:t>现场</w:t>
            </w:r>
            <w:r>
              <w:rPr>
                <w:rFonts w:hint="default" w:ascii="宋体" w:hAnsi="宋体" w:eastAsia="宋体" w:cs="宋体"/>
                <w:sz w:val="24"/>
                <w:szCs w:val="24"/>
              </w:rPr>
              <w:t>问题</w:t>
            </w:r>
          </w:p>
          <w:p w14:paraId="560CC6AA">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rPr>
              <w:t>施工期无遗留环境问题，通过现场调查无施工建筑垃圾、生活垃圾等堆存。</w:t>
            </w:r>
          </w:p>
        </w:tc>
      </w:tr>
      <w:tr w14:paraId="050BB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5000" w:type="pct"/>
            <w:gridSpan w:val="8"/>
            <w:noWrap w:val="0"/>
            <w:vAlign w:val="center"/>
          </w:tcPr>
          <w:p w14:paraId="075CD84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黑体" w:cs="Times New Roman"/>
                <w:b/>
                <w:bCs/>
                <w:color w:val="000000"/>
                <w:sz w:val="24"/>
                <w:lang w:val="en-US" w:eastAsia="zh-CN"/>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运营期生态环境影响分析</w:t>
            </w:r>
          </w:p>
        </w:tc>
      </w:tr>
      <w:tr w14:paraId="4217F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noWrap w:val="0"/>
            <w:vAlign w:val="center"/>
          </w:tcPr>
          <w:p w14:paraId="66ECD08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2</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运营期生态环境影响分析</w:t>
            </w:r>
          </w:p>
          <w:p w14:paraId="7719C83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2.1</w:t>
            </w:r>
            <w:r>
              <w:rPr>
                <w:rFonts w:hint="eastAsia" w:ascii="Times New Roman" w:hAnsi="Times New Roman" w:eastAsia="宋体" w:cs="Times New Roman"/>
                <w:b/>
                <w:bCs/>
                <w:color w:val="000000"/>
                <w:sz w:val="24"/>
                <w:szCs w:val="24"/>
                <w:highlight w:val="none"/>
                <w:lang w:val="en-US" w:eastAsia="zh-CN"/>
              </w:rPr>
              <w:t>运营期产污环节分析</w:t>
            </w:r>
          </w:p>
          <w:p w14:paraId="40416631">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eastAsia" w:ascii="Times New Roman" w:hAnsi="Times New Roman" w:cs="宋体"/>
                <w:sz w:val="24"/>
                <w:szCs w:val="24"/>
                <w:lang w:val="en-US" w:eastAsia="zh-CN"/>
              </w:rPr>
              <w:t>（1）</w:t>
            </w:r>
            <w:r>
              <w:rPr>
                <w:rFonts w:hint="default" w:ascii="Times New Roman" w:hAnsi="Times New Roman" w:eastAsia="宋体" w:cs="宋体"/>
                <w:sz w:val="24"/>
                <w:szCs w:val="24"/>
              </w:rPr>
              <w:t>电磁环境影响</w:t>
            </w:r>
          </w:p>
          <w:p w14:paraId="11BF00E2">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eastAsia" w:ascii="Times New Roman" w:hAnsi="Times New Roman" w:cs="宋体"/>
                <w:sz w:val="24"/>
                <w:szCs w:val="24"/>
                <w:lang w:val="en-US" w:eastAsia="zh-CN"/>
              </w:rPr>
              <w:t>本工程</w:t>
            </w:r>
            <w:r>
              <w:rPr>
                <w:rFonts w:hint="default" w:ascii="Times New Roman" w:hAnsi="Times New Roman" w:eastAsia="宋体" w:cs="宋体"/>
                <w:sz w:val="24"/>
                <w:szCs w:val="24"/>
              </w:rPr>
              <w:t>运行时，在线路导线</w:t>
            </w:r>
            <w:r>
              <w:rPr>
                <w:rFonts w:hint="eastAsia" w:ascii="Times New Roman" w:hAnsi="Times New Roman" w:cs="宋体"/>
                <w:sz w:val="24"/>
                <w:szCs w:val="24"/>
                <w:lang w:val="en-US" w:eastAsia="zh-CN"/>
              </w:rPr>
              <w:t>及升压站</w:t>
            </w:r>
            <w:r>
              <w:rPr>
                <w:rFonts w:hint="default" w:ascii="Times New Roman" w:hAnsi="Times New Roman" w:eastAsia="宋体" w:cs="宋体"/>
                <w:sz w:val="24"/>
                <w:szCs w:val="24"/>
              </w:rPr>
              <w:t>周围空间形成了工频电场、工频磁场，对周围环境产生一定的影响。</w:t>
            </w:r>
          </w:p>
          <w:p w14:paraId="5DCB04F7">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eastAsia" w:ascii="Times New Roman" w:hAnsi="Times New Roman" w:cs="宋体"/>
                <w:sz w:val="24"/>
                <w:szCs w:val="24"/>
                <w:lang w:val="en-US" w:eastAsia="zh-CN"/>
              </w:rPr>
              <w:t>（2）</w:t>
            </w:r>
            <w:r>
              <w:rPr>
                <w:rFonts w:hint="default" w:ascii="Times New Roman" w:hAnsi="Times New Roman" w:eastAsia="宋体" w:cs="宋体"/>
                <w:sz w:val="24"/>
                <w:szCs w:val="24"/>
              </w:rPr>
              <w:t>声环境</w:t>
            </w:r>
          </w:p>
          <w:p w14:paraId="7EF5C330">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default" w:ascii="Times New Roman" w:hAnsi="Times New Roman" w:eastAsia="宋体" w:cs="宋体"/>
                <w:sz w:val="24"/>
                <w:szCs w:val="24"/>
              </w:rPr>
              <w:t>输电线路噪声主要是由导线、金具及绝缘子的电晕放电产生。在晴朗干燥天气条件下，导线通常在起晕水平以下运行，很少有电晕放电现象，因而产生的噪声不大。</w:t>
            </w:r>
            <w:r>
              <w:rPr>
                <w:rFonts w:hint="eastAsia" w:ascii="Times New Roman" w:hAnsi="Times New Roman" w:cs="宋体"/>
                <w:sz w:val="24"/>
                <w:szCs w:val="24"/>
                <w:lang w:val="en-US" w:eastAsia="zh-CN"/>
              </w:rPr>
              <w:t>升压</w:t>
            </w:r>
            <w:r>
              <w:rPr>
                <w:rFonts w:hint="default" w:ascii="Times New Roman" w:hAnsi="Times New Roman" w:eastAsia="宋体" w:cs="宋体"/>
                <w:sz w:val="24"/>
                <w:szCs w:val="24"/>
              </w:rPr>
              <w:t>站内噪声污染源主要来自主变压器，</w:t>
            </w:r>
            <w:r>
              <w:rPr>
                <w:rFonts w:hint="eastAsia" w:ascii="Times New Roman" w:hAnsi="Times New Roman" w:cs="宋体"/>
                <w:sz w:val="24"/>
                <w:szCs w:val="24"/>
                <w:lang w:val="en-US" w:eastAsia="zh-CN"/>
              </w:rPr>
              <w:t>升压</w:t>
            </w:r>
            <w:r>
              <w:rPr>
                <w:rFonts w:hint="default" w:ascii="Times New Roman" w:hAnsi="Times New Roman" w:eastAsia="宋体" w:cs="宋体"/>
                <w:sz w:val="24"/>
                <w:szCs w:val="24"/>
              </w:rPr>
              <w:t>站的噪声以中低频为主。</w:t>
            </w:r>
          </w:p>
          <w:p w14:paraId="46F711B5">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eastAsia" w:ascii="Times New Roman" w:hAnsi="Times New Roman" w:cs="宋体"/>
                <w:sz w:val="24"/>
                <w:szCs w:val="24"/>
                <w:lang w:val="en-US" w:eastAsia="zh-CN"/>
              </w:rPr>
              <w:t>（3）</w:t>
            </w:r>
            <w:r>
              <w:rPr>
                <w:rFonts w:hint="default" w:ascii="Times New Roman" w:hAnsi="Times New Roman" w:eastAsia="宋体" w:cs="宋体"/>
                <w:sz w:val="24"/>
                <w:szCs w:val="24"/>
              </w:rPr>
              <w:t>生态环境</w:t>
            </w:r>
          </w:p>
          <w:p w14:paraId="32B20ED0">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宋体"/>
                <w:sz w:val="24"/>
                <w:szCs w:val="24"/>
              </w:rPr>
            </w:pPr>
            <w:r>
              <w:rPr>
                <w:rFonts w:hint="eastAsia" w:ascii="Times New Roman" w:hAnsi="Times New Roman" w:cs="宋体"/>
                <w:sz w:val="24"/>
                <w:szCs w:val="24"/>
                <w:lang w:val="en-US" w:eastAsia="zh-CN"/>
              </w:rPr>
              <w:t>本项目</w:t>
            </w:r>
            <w:r>
              <w:rPr>
                <w:rFonts w:hint="default" w:ascii="Times New Roman" w:hAnsi="Times New Roman" w:eastAsia="宋体" w:cs="宋体"/>
                <w:sz w:val="24"/>
                <w:szCs w:val="24"/>
              </w:rPr>
              <w:t>运行期间不会排放</w:t>
            </w:r>
            <w:r>
              <w:rPr>
                <w:rFonts w:hint="eastAsia" w:ascii="Times New Roman" w:hAnsi="Times New Roman" w:cs="宋体"/>
                <w:sz w:val="24"/>
                <w:szCs w:val="24"/>
                <w:lang w:val="en-US" w:eastAsia="zh-CN"/>
              </w:rPr>
              <w:t>废气、废水</w:t>
            </w:r>
            <w:r>
              <w:rPr>
                <w:rFonts w:hint="default" w:ascii="Times New Roman" w:hAnsi="Times New Roman" w:eastAsia="宋体" w:cs="宋体"/>
                <w:sz w:val="24"/>
                <w:szCs w:val="24"/>
              </w:rPr>
              <w:t>污染物，运行产生的工频电场强度、工频磁感应强度和噪声等均符合标准限值要求。从已投运工程的调查情况来看，运行线路下方</w:t>
            </w:r>
            <w:r>
              <w:rPr>
                <w:rFonts w:hint="eastAsia" w:ascii="Times New Roman" w:hAnsi="Times New Roman" w:cs="宋体"/>
                <w:sz w:val="24"/>
                <w:szCs w:val="24"/>
                <w:lang w:val="en-US" w:eastAsia="zh-CN"/>
              </w:rPr>
              <w:t>及升压站周围</w:t>
            </w:r>
            <w:r>
              <w:rPr>
                <w:rFonts w:hint="default" w:ascii="Times New Roman" w:hAnsi="Times New Roman" w:eastAsia="宋体" w:cs="宋体"/>
                <w:sz w:val="24"/>
                <w:szCs w:val="24"/>
              </w:rPr>
              <w:t>的生态环境与其他区域并没有显著的差异。因此，本工程运行期不会影响项目周边的自然植被和生态系统，仅线路巡查期间工作人员会对线路沿线植被、动物造成局部扰动，但扰动较轻微很快能自然恢复。</w:t>
            </w:r>
          </w:p>
          <w:p w14:paraId="3981D1C7">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eastAsia" w:ascii="Times New Roman" w:hAnsi="Times New Roman" w:eastAsia="宋体" w:cs="宋体"/>
                <w:sz w:val="24"/>
                <w:szCs w:val="24"/>
                <w:lang w:eastAsia="zh-CN"/>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升压站运营</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期固体废物主要为</w:t>
            </w:r>
            <w:r>
              <w:rPr>
                <w:rFonts w:hint="eastAsia" w:ascii="Times New Roman" w:hAnsi="Times New Roman" w:cs="Times New Roman"/>
                <w:color w:val="000000" w:themeColor="text1"/>
                <w:sz w:val="24"/>
                <w:highlight w:val="none"/>
                <w:lang w:eastAsia="zh-CN"/>
                <w14:textFill>
                  <w14:solidFill>
                    <w14:schemeClr w14:val="tx1"/>
                  </w14:solidFill>
                </w14:textFill>
              </w:rPr>
              <w:t>废旧电池</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事故废油</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宋体"/>
                <w:sz w:val="24"/>
                <w:szCs w:val="24"/>
              </w:rPr>
              <w:t>无环境空气污染物及工业废水产生。</w:t>
            </w:r>
          </w:p>
          <w:p w14:paraId="3D7BF72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4.</w:t>
            </w:r>
            <w:r>
              <w:rPr>
                <w:rFonts w:hint="eastAsia" w:ascii="Times New Roman" w:hAnsi="Times New Roman" w:cs="Times New Roman"/>
                <w:b/>
                <w:bCs/>
                <w:color w:val="000000"/>
                <w:sz w:val="24"/>
                <w:szCs w:val="24"/>
                <w:highlight w:val="none"/>
                <w:lang w:val="en-US" w:eastAsia="zh-CN"/>
              </w:rPr>
              <w:t>2.2</w:t>
            </w:r>
            <w:r>
              <w:rPr>
                <w:rFonts w:hint="eastAsia" w:ascii="Times New Roman" w:hAnsi="Times New Roman" w:eastAsia="宋体" w:cs="Times New Roman"/>
                <w:b/>
                <w:bCs/>
                <w:color w:val="000000"/>
                <w:sz w:val="24"/>
                <w:szCs w:val="24"/>
                <w:highlight w:val="none"/>
                <w:lang w:val="en-US" w:eastAsia="zh-CN"/>
              </w:rPr>
              <w:t>运营期生态环境影响分析</w:t>
            </w:r>
          </w:p>
          <w:p w14:paraId="6E355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ascii="Times New Roman" w:hAnsi="Times New Roman" w:eastAsia="宋体" w:cs="Times New Roman"/>
                <w:bCs/>
                <w:sz w:val="24"/>
                <w:szCs w:val="24"/>
                <w:lang w:val="en-US" w:eastAsia="zh-CN"/>
              </w:rPr>
            </w:pPr>
            <w:r>
              <w:rPr>
                <w:rFonts w:hint="eastAsia"/>
                <w:b/>
                <w:bCs/>
                <w:spacing w:val="6"/>
                <w:lang w:val="en-US" w:eastAsia="zh-CN"/>
              </w:rPr>
              <w:t>4.2.2.1</w:t>
            </w:r>
            <w:r>
              <w:rPr>
                <w:rFonts w:hint="default"/>
                <w:b/>
                <w:bCs/>
                <w:spacing w:val="3"/>
              </w:rPr>
              <w:t>电磁环境影响分析</w:t>
            </w:r>
          </w:p>
          <w:p w14:paraId="1C0D9DCE">
            <w:pPr>
              <w:pStyle w:val="163"/>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根据《环境影响评价技术导则 输变电》（HJ</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24-2020），</w:t>
            </w:r>
            <w:r>
              <w:rPr>
                <w:rFonts w:hint="eastAsia"/>
                <w:color w:val="000000" w:themeColor="text1"/>
                <w:lang w:val="en-US" w:eastAsia="zh-CN"/>
                <w14:textFill>
                  <w14:solidFill>
                    <w14:schemeClr w14:val="tx1"/>
                  </w14:solidFill>
                </w14:textFill>
              </w:rPr>
              <w:t>本工程</w:t>
            </w:r>
            <w:r>
              <w:rPr>
                <w:rFonts w:hint="default" w:ascii="Times New Roman" w:hAnsi="Times New Roman" w:eastAsia="Times New Roman" w:cs="Times New Roman"/>
                <w:spacing w:val="-1"/>
                <w:sz w:val="24"/>
                <w:szCs w:val="24"/>
              </w:rPr>
              <w:t>110kV</w:t>
            </w:r>
            <w:r>
              <w:rPr>
                <w:rFonts w:hint="default" w:ascii="宋体" w:hAnsi="宋体" w:eastAsia="宋体" w:cs="宋体"/>
                <w:spacing w:val="-1"/>
                <w:sz w:val="24"/>
                <w:szCs w:val="24"/>
              </w:rPr>
              <w:t>架空线路电磁环境影响评价等级为</w:t>
            </w:r>
            <w:r>
              <w:rPr>
                <w:rFonts w:hint="eastAsia" w:ascii="宋体" w:hAnsi="宋体" w:eastAsia="宋体" w:cs="宋体"/>
                <w:spacing w:val="-1"/>
                <w:sz w:val="24"/>
                <w:szCs w:val="24"/>
                <w:lang w:val="en-US" w:eastAsia="zh-CN"/>
              </w:rPr>
              <w:t>三</w:t>
            </w:r>
            <w:r>
              <w:rPr>
                <w:rFonts w:hint="default" w:ascii="宋体" w:hAnsi="宋体" w:eastAsia="宋体" w:cs="宋体"/>
                <w:spacing w:val="-1"/>
                <w:sz w:val="24"/>
                <w:szCs w:val="24"/>
              </w:rPr>
              <w:t>级；</w:t>
            </w:r>
            <w:r>
              <w:rPr>
                <w:rFonts w:hint="eastAsia" w:ascii="宋体" w:hAnsi="宋体" w:eastAsia="宋体" w:cs="宋体"/>
                <w:spacing w:val="-1"/>
                <w:sz w:val="24"/>
                <w:szCs w:val="24"/>
                <w:lang w:val="en-US" w:eastAsia="zh-CN"/>
              </w:rPr>
              <w:t>升压</w:t>
            </w:r>
            <w:r>
              <w:rPr>
                <w:rFonts w:hint="default" w:ascii="宋体" w:hAnsi="宋体" w:eastAsia="宋体" w:cs="宋体"/>
                <w:spacing w:val="-1"/>
                <w:sz w:val="24"/>
                <w:szCs w:val="24"/>
              </w:rPr>
              <w:t>站电磁环境影响</w:t>
            </w:r>
            <w:r>
              <w:rPr>
                <w:rFonts w:hint="default" w:ascii="宋体" w:hAnsi="宋体" w:eastAsia="宋体" w:cs="宋体"/>
                <w:spacing w:val="-2"/>
                <w:sz w:val="24"/>
                <w:szCs w:val="24"/>
              </w:rPr>
              <w:t>评价工作</w:t>
            </w:r>
            <w:r>
              <w:rPr>
                <w:rFonts w:hint="default" w:ascii="宋体" w:hAnsi="宋体" w:eastAsia="宋体" w:cs="宋体"/>
                <w:spacing w:val="-1"/>
                <w:sz w:val="24"/>
                <w:szCs w:val="24"/>
              </w:rPr>
              <w:t>等级为二级</w:t>
            </w:r>
            <w:r>
              <w:rPr>
                <w:rFonts w:hint="default"/>
                <w:color w:val="000000" w:themeColor="text1"/>
                <w:lang w:val="en-US" w:eastAsia="zh-CN"/>
                <w14:textFill>
                  <w14:solidFill>
                    <w14:schemeClr w14:val="tx1"/>
                  </w14:solidFill>
                </w14:textFill>
              </w:rPr>
              <w:t>，电磁环境影响预测一般采用模式预测的方式</w:t>
            </w:r>
            <w:r>
              <w:rPr>
                <w:rFonts w:hint="eastAsia"/>
                <w:color w:val="000000" w:themeColor="text1"/>
                <w:lang w:val="en-US" w:eastAsia="zh-CN"/>
                <w14:textFill>
                  <w14:solidFill>
                    <w14:schemeClr w14:val="tx1"/>
                  </w14:solidFill>
                </w14:textFill>
              </w:rPr>
              <w:t>。但</w:t>
            </w:r>
            <w:r>
              <w:rPr>
                <w:rFonts w:hint="eastAsia" w:ascii="Times New Roman" w:hAnsi="Times New Roman" w:cs="Times New Roman"/>
                <w:color w:val="000000" w:themeColor="text1"/>
                <w:sz w:val="24"/>
                <w:szCs w:val="24"/>
                <w:lang w:val="en-US" w:eastAsia="zh-CN"/>
                <w14:textFill>
                  <w14:solidFill>
                    <w14:schemeClr w14:val="tx1"/>
                  </w14:solidFill>
                </w14:textFill>
              </w:rPr>
              <w:t>因本工程已建成且</w:t>
            </w:r>
            <w:r>
              <w:rPr>
                <w:rFonts w:hint="eastAsia" w:cs="Times New Roman"/>
                <w:color w:val="000000" w:themeColor="text1"/>
                <w:sz w:val="24"/>
                <w:szCs w:val="24"/>
                <w:lang w:val="en-US" w:eastAsia="zh-CN"/>
                <w14:textFill>
                  <w14:solidFill>
                    <w14:schemeClr w14:val="tx1"/>
                  </w14:solidFill>
                </w14:textFill>
              </w:rPr>
              <w:t>正常</w:t>
            </w:r>
            <w:r>
              <w:rPr>
                <w:rFonts w:hint="eastAsia" w:ascii="Times New Roman" w:hAnsi="Times New Roman" w:cs="Times New Roman"/>
                <w:color w:val="000000" w:themeColor="text1"/>
                <w:sz w:val="24"/>
                <w:szCs w:val="24"/>
                <w:lang w:val="en-US" w:eastAsia="zh-CN"/>
                <w14:textFill>
                  <w14:solidFill>
                    <w14:schemeClr w14:val="tx1"/>
                  </w14:solidFill>
                </w14:textFill>
              </w:rPr>
              <w:t>运行，产生的</w:t>
            </w:r>
            <w:r>
              <w:rPr>
                <w:rFonts w:hint="eastAsia" w:cs="Times New Roman"/>
                <w:color w:val="000000" w:themeColor="text1"/>
                <w:sz w:val="24"/>
                <w:szCs w:val="24"/>
                <w:lang w:val="en-US" w:eastAsia="zh-CN"/>
                <w14:textFill>
                  <w14:solidFill>
                    <w14:schemeClr w14:val="tx1"/>
                  </w14:solidFill>
                </w14:textFill>
              </w:rPr>
              <w:t>电磁</w:t>
            </w:r>
            <w:r>
              <w:rPr>
                <w:rFonts w:hint="eastAsia" w:ascii="Times New Roman" w:hAnsi="Times New Roman" w:cs="Times New Roman"/>
                <w:color w:val="000000" w:themeColor="text1"/>
                <w:sz w:val="24"/>
                <w:szCs w:val="24"/>
                <w:lang w:val="en-US" w:eastAsia="zh-CN"/>
                <w14:textFill>
                  <w14:solidFill>
                    <w14:schemeClr w14:val="tx1"/>
                  </w14:solidFill>
                </w14:textFill>
              </w:rPr>
              <w:t>环境影响已基本全部显现，故利用现状监测的实测值对电磁环境影响进行分析，结果表明</w:t>
            </w:r>
            <w:r>
              <w:rPr>
                <w:rFonts w:hint="eastAsia"/>
                <w:color w:val="000000" w:themeColor="text1"/>
                <w:lang w:val="en-US" w:eastAsia="zh-CN"/>
                <w14:textFill>
                  <w14:solidFill>
                    <w14:schemeClr w14:val="tx1"/>
                  </w14:solidFill>
                </w14:textFill>
              </w:rPr>
              <w:t>本工程运行期工频电场强度和工频磁感应强度均满足《电磁环境控制限值》（GB 8702-2014）中规定的标准限值要求，对电磁环境影响可接受。</w:t>
            </w:r>
            <w:r>
              <w:rPr>
                <w:rFonts w:hint="default" w:ascii="宋体" w:hAnsi="宋体" w:eastAsia="宋体" w:cs="宋体"/>
                <w:color w:val="000000" w:themeColor="text1"/>
                <w:sz w:val="24"/>
                <w:szCs w:val="24"/>
                <w14:textFill>
                  <w14:solidFill>
                    <w14:schemeClr w14:val="tx1"/>
                  </w14:solidFill>
                </w14:textFill>
              </w:rPr>
              <w:t>具体电磁环境影响分析见电磁环境影响专题评价。</w:t>
            </w:r>
          </w:p>
          <w:p w14:paraId="1E371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b/>
                <w:bCs/>
                <w:color w:val="000000" w:themeColor="text1"/>
                <w:spacing w:val="3"/>
                <w14:textFill>
                  <w14:solidFill>
                    <w14:schemeClr w14:val="tx1"/>
                  </w14:solidFill>
                </w14:textFill>
              </w:rPr>
            </w:pPr>
            <w:r>
              <w:rPr>
                <w:rFonts w:hint="eastAsia"/>
                <w:b/>
                <w:bCs/>
                <w:color w:val="000000" w:themeColor="text1"/>
                <w:spacing w:val="6"/>
                <w:lang w:val="en-US" w:eastAsia="zh-CN"/>
                <w14:textFill>
                  <w14:solidFill>
                    <w14:schemeClr w14:val="tx1"/>
                  </w14:solidFill>
                </w14:textFill>
              </w:rPr>
              <w:t>4.2.2.2</w:t>
            </w:r>
            <w:r>
              <w:rPr>
                <w:rFonts w:hint="eastAsia"/>
                <w:b/>
                <w:bCs/>
                <w:color w:val="000000" w:themeColor="text1"/>
                <w:spacing w:val="3"/>
                <w:lang w:val="en-US" w:eastAsia="zh-CN"/>
                <w14:textFill>
                  <w14:solidFill>
                    <w14:schemeClr w14:val="tx1"/>
                  </w14:solidFill>
                </w14:textFill>
              </w:rPr>
              <w:t>声</w:t>
            </w:r>
            <w:r>
              <w:rPr>
                <w:rFonts w:hint="default"/>
                <w:b/>
                <w:bCs/>
                <w:color w:val="000000" w:themeColor="text1"/>
                <w:spacing w:val="3"/>
                <w14:textFill>
                  <w14:solidFill>
                    <w14:schemeClr w14:val="tx1"/>
                  </w14:solidFill>
                </w14:textFill>
              </w:rPr>
              <w:t>环境影响分析</w:t>
            </w:r>
          </w:p>
          <w:p w14:paraId="3762C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ascii="宋体" w:hAnsi="宋体" w:eastAsia="宋体" w:cs="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本工程已建成投入运行，</w:t>
            </w:r>
            <w:r>
              <w:rPr>
                <w:rFonts w:hint="eastAsia"/>
                <w:color w:val="000000" w:themeColor="text1"/>
                <w14:textFill>
                  <w14:solidFill>
                    <w14:schemeClr w14:val="tx1"/>
                  </w14:solidFill>
                </w14:textFill>
              </w:rPr>
              <w:t>产生的声环境影响已基本全部显现，产生的噪声现状值可用来评估本工程运行后的噪声影响，故无需类比其他项目。</w:t>
            </w:r>
            <w:r>
              <w:rPr>
                <w:rFonts w:hint="default" w:ascii="宋体" w:hAnsi="宋体" w:eastAsia="宋体" w:cs="宋体"/>
                <w:color w:val="000000" w:themeColor="text1"/>
                <w:sz w:val="24"/>
                <w:szCs w:val="24"/>
                <w14:textFill>
                  <w14:solidFill>
                    <w14:schemeClr w14:val="tx1"/>
                  </w14:solidFill>
                </w14:textFill>
              </w:rPr>
              <w:t>根据现状监测数据，本工程线路沿线声环境质量满足《声环境质量标准》</w:t>
            </w:r>
            <w:r>
              <w:rPr>
                <w:rFonts w:hint="default" w:ascii="Times New Roman" w:hAnsi="Times New Roman" w:eastAsia="宋体" w:cs="Times New Roman"/>
                <w:color w:val="000000" w:themeColor="text1"/>
                <w:sz w:val="24"/>
                <w:szCs w:val="24"/>
                <w14:textFill>
                  <w14:solidFill>
                    <w14:schemeClr w14:val="tx1"/>
                  </w14:solidFill>
                </w14:textFill>
              </w:rPr>
              <w:t>(GB</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3096-2008)</w:t>
            </w:r>
            <w:r>
              <w:rPr>
                <w:rFonts w:hint="eastAsia"/>
                <w:highlight w:val="none"/>
                <w:lang w:val="en-US" w:eastAsia="zh-CN"/>
              </w:rPr>
              <w:t>2</w:t>
            </w:r>
            <w:r>
              <w:rPr>
                <w:rFonts w:hint="default"/>
                <w:highlight w:val="none"/>
              </w:rPr>
              <w:t>类</w:t>
            </w:r>
            <w:r>
              <w:rPr>
                <w:rFonts w:hint="default" w:ascii="宋体" w:hAnsi="宋体" w:eastAsia="宋体" w:cs="宋体"/>
                <w:color w:val="000000" w:themeColor="text1"/>
                <w:sz w:val="24"/>
                <w:szCs w:val="24"/>
                <w14:textFill>
                  <w14:solidFill>
                    <w14:schemeClr w14:val="tx1"/>
                  </w14:solidFill>
                </w14:textFill>
              </w:rPr>
              <w:t>标准</w:t>
            </w:r>
            <w:r>
              <w:rPr>
                <w:rFonts w:hint="eastAsia" w:ascii="宋体" w:hAnsi="宋体" w:cs="宋体"/>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升压站</w:t>
            </w:r>
            <w:r>
              <w:rPr>
                <w:rFonts w:hint="default"/>
                <w:highlight w:val="none"/>
              </w:rPr>
              <w:t>站界</w:t>
            </w:r>
            <w:r>
              <w:rPr>
                <w:rFonts w:hint="eastAsia" w:ascii="Times New Roman" w:hAnsi="Times New Roman" w:eastAsia="宋体" w:cs="Times New Roman"/>
                <w:color w:val="000000"/>
                <w:kern w:val="2"/>
                <w:sz w:val="24"/>
                <w:szCs w:val="24"/>
                <w:highlight w:val="none"/>
                <w:lang w:val="en-US" w:eastAsia="zh-CN" w:bidi="ar"/>
              </w:rPr>
              <w:t>噪声</w:t>
            </w:r>
            <w:r>
              <w:rPr>
                <w:rFonts w:hint="default"/>
                <w:highlight w:val="none"/>
              </w:rPr>
              <w:t>执行《工业企业厂界环境噪声排放标准》（GB</w:t>
            </w:r>
            <w:r>
              <w:rPr>
                <w:rFonts w:hint="eastAsia"/>
                <w:highlight w:val="none"/>
                <w:lang w:val="en-US" w:eastAsia="zh-CN"/>
              </w:rPr>
              <w:t xml:space="preserve"> </w:t>
            </w:r>
            <w:r>
              <w:rPr>
                <w:rFonts w:hint="default"/>
                <w:highlight w:val="none"/>
              </w:rPr>
              <w:t>12348-2008）</w:t>
            </w:r>
            <w:r>
              <w:rPr>
                <w:rFonts w:hint="eastAsia"/>
                <w:highlight w:val="none"/>
                <w:lang w:val="en-US" w:eastAsia="zh-CN"/>
              </w:rPr>
              <w:t>2</w:t>
            </w:r>
            <w:r>
              <w:rPr>
                <w:rFonts w:hint="default"/>
                <w:highlight w:val="none"/>
              </w:rPr>
              <w:t>类标准</w:t>
            </w:r>
            <w:r>
              <w:rPr>
                <w:rFonts w:hint="eastAsia"/>
                <w:highlight w:val="none"/>
                <w:lang w:eastAsia="zh-CN"/>
              </w:rPr>
              <w:t>。</w:t>
            </w:r>
            <w:r>
              <w:rPr>
                <w:rFonts w:hint="eastAsia" w:ascii="宋体" w:hAnsi="宋体" w:cs="宋体"/>
                <w:color w:val="000000" w:themeColor="text1"/>
                <w:sz w:val="24"/>
                <w:szCs w:val="24"/>
                <w:lang w:val="en-US" w:eastAsia="zh-CN"/>
                <w14:textFill>
                  <w14:solidFill>
                    <w14:schemeClr w14:val="tx1"/>
                  </w14:solidFill>
                </w14:textFill>
              </w:rPr>
              <w:t>项目</w:t>
            </w:r>
            <w:r>
              <w:rPr>
                <w:rFonts w:hint="default" w:ascii="宋体" w:hAnsi="宋体" w:eastAsia="宋体" w:cs="宋体"/>
                <w:color w:val="000000" w:themeColor="text1"/>
                <w:sz w:val="24"/>
                <w:szCs w:val="24"/>
                <w14:textFill>
                  <w14:solidFill>
                    <w14:schemeClr w14:val="tx1"/>
                  </w14:solidFill>
                </w14:textFill>
              </w:rPr>
              <w:t>的运行噪声对周围环境噪声的贡献小，不会使当地环境噪声发生明显的改变。</w:t>
            </w:r>
          </w:p>
          <w:p w14:paraId="29FB8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cs="Times New Roman"/>
                <w:b/>
                <w:bCs/>
                <w:color w:val="000000" w:themeColor="text1"/>
                <w:sz w:val="24"/>
                <w:szCs w:val="24"/>
                <w:highlight w:val="none"/>
                <w:lang w:val="en-US" w:eastAsia="zh-CN"/>
                <w14:textFill>
                  <w14:solidFill>
                    <w14:schemeClr w14:val="tx1"/>
                  </w14:solidFill>
                </w14:textFill>
              </w:rPr>
              <w:t>2.3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环境空气影响分析</w:t>
            </w:r>
          </w:p>
          <w:p w14:paraId="379E5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ascii="宋体" w:hAnsi="宋体" w:eastAsia="宋体" w:cs="宋体"/>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本工程</w:t>
            </w:r>
            <w:r>
              <w:rPr>
                <w:rFonts w:hint="default" w:ascii="宋体" w:hAnsi="宋体" w:eastAsia="宋体" w:cs="宋体"/>
                <w:color w:val="000000" w:themeColor="text1"/>
                <w:sz w:val="24"/>
                <w:szCs w:val="24"/>
                <w14:textFill>
                  <w14:solidFill>
                    <w14:schemeClr w14:val="tx1"/>
                  </w14:solidFill>
                </w14:textFill>
              </w:rPr>
              <w:t>投运后无</w:t>
            </w:r>
            <w:r>
              <w:rPr>
                <w:rFonts w:hint="eastAsia" w:ascii="宋体" w:hAnsi="宋体" w:eastAsia="宋体" w:cs="宋体"/>
                <w:color w:val="000000" w:themeColor="text1"/>
                <w:sz w:val="24"/>
                <w:szCs w:val="24"/>
                <w:lang w:val="en-US" w:eastAsia="zh-CN"/>
                <w14:textFill>
                  <w14:solidFill>
                    <w14:schemeClr w14:val="tx1"/>
                  </w14:solidFill>
                </w14:textFill>
              </w:rPr>
              <w:t>大气污染物排放</w:t>
            </w:r>
            <w:r>
              <w:rPr>
                <w:rFonts w:hint="default" w:ascii="宋体" w:hAnsi="宋体" w:eastAsia="宋体" w:cs="宋体"/>
                <w:color w:val="000000" w:themeColor="text1"/>
                <w:sz w:val="24"/>
                <w:szCs w:val="24"/>
                <w14:textFill>
                  <w14:solidFill>
                    <w14:schemeClr w14:val="tx1"/>
                  </w14:solidFill>
                </w14:textFill>
              </w:rPr>
              <w:t>，对环境空气无影响。</w:t>
            </w:r>
          </w:p>
          <w:p w14:paraId="6390FD2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水环境影响分析</w:t>
            </w:r>
          </w:p>
          <w:p w14:paraId="2E2FA522">
            <w:pPr>
              <w:keepNext w:val="0"/>
              <w:keepLines w:val="0"/>
              <w:suppressLineNumbers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本工程不新增劳动定员</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且输电线路运营期不产生废水，不会对地表水环境产生影响。</w:t>
            </w:r>
          </w:p>
          <w:p w14:paraId="24001DA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2" w:lineRule="auto"/>
              <w:ind w:left="0" w:leftChars="0" w:right="0" w:firstLine="0" w:firstLineChars="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2.5</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固体废物影响分析</w:t>
            </w:r>
          </w:p>
          <w:p w14:paraId="49E11972">
            <w:pPr>
              <w:keepNext w:val="0"/>
              <w:keepLines w:val="0"/>
              <w:suppressLineNumbers w:val="0"/>
              <w:adjustRightInd w:val="0"/>
              <w:snapToGrid w:val="0"/>
              <w:spacing w:before="0" w:beforeAutospacing="0" w:after="0" w:afterAutospacing="0" w:line="360" w:lineRule="auto"/>
              <w:ind w:left="0" w:leftChars="0" w:right="0" w:firstLine="480" w:firstLineChars="200"/>
              <w:rPr>
                <w:rFonts w:hint="eastAsia" w:ascii="宋体" w:hAnsi="宋体"/>
                <w:color w:val="000000" w:themeColor="text1"/>
                <w:sz w:val="24"/>
                <w14:textFill>
                  <w14:solidFill>
                    <w14:schemeClr w14:val="tx1"/>
                  </w14:solidFill>
                </w14:textFill>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w:t>
            </w:r>
            <w:r>
              <w:rPr>
                <w:rFonts w:hint="default" w:ascii="Times New Roman" w:hAnsi="Times New Roman" w:cs="Times New Roman"/>
                <w:sz w:val="24"/>
              </w:rPr>
              <w:t>一般固废</w:t>
            </w:r>
            <w:r>
              <w:rPr>
                <w:rFonts w:hint="default" w:ascii="Times New Roman" w:hAnsi="Times New Roman" w:cs="Times New Roman"/>
                <w:sz w:val="24"/>
                <w:lang w:val="en-US" w:eastAsia="zh-CN"/>
              </w:rPr>
              <w:t>及生活垃圾</w:t>
            </w:r>
          </w:p>
          <w:p w14:paraId="58359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线路检修时产生少量检修废弃物(如废导线、绝缘子、金具等)和人员生活垃圾，均为一般固废。</w:t>
            </w:r>
            <w:r>
              <w:rPr>
                <w:rFonts w:hint="eastAsia" w:ascii="宋体" w:hAnsi="宋体" w:eastAsia="宋体" w:cs="宋体"/>
                <w:color w:val="000000" w:themeColor="text1"/>
                <w:kern w:val="2"/>
                <w:sz w:val="24"/>
                <w:szCs w:val="24"/>
                <w:lang w:val="en-US" w:eastAsia="zh-CN" w:bidi="ar-SA"/>
                <w14:textFill>
                  <w14:solidFill>
                    <w14:schemeClr w14:val="tx1"/>
                  </w14:solidFill>
                </w14:textFill>
              </w:rPr>
              <w:t>检修废弃物交旧退库回收处理，由公司物资管理部门按公司制度统一处置</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工作人员</w:t>
            </w:r>
            <w:r>
              <w:rPr>
                <w:rFonts w:hint="default" w:ascii="宋体" w:hAnsi="宋体" w:eastAsia="宋体" w:cs="宋体"/>
                <w:color w:val="000000" w:themeColor="text1"/>
                <w:kern w:val="2"/>
                <w:sz w:val="24"/>
                <w:szCs w:val="24"/>
                <w:lang w:val="en-US" w:eastAsia="zh-CN" w:bidi="ar-SA"/>
                <w14:textFill>
                  <w14:solidFill>
                    <w14:schemeClr w14:val="tx1"/>
                  </w14:solidFill>
                </w14:textFill>
              </w:rPr>
              <w:t>生活垃圾集中收集后，交由环卫部门处理</w:t>
            </w:r>
            <w:r>
              <w:rPr>
                <w:rFonts w:hint="eastAsia" w:ascii="宋体" w:hAnsi="宋体" w:cs="宋体"/>
                <w:color w:val="000000" w:themeColor="text1"/>
                <w:kern w:val="2"/>
                <w:sz w:val="24"/>
                <w:szCs w:val="24"/>
                <w:lang w:val="en-US" w:eastAsia="zh-CN" w:bidi="ar-SA"/>
                <w14:textFill>
                  <w14:solidFill>
                    <w14:schemeClr w14:val="tx1"/>
                  </w14:solidFill>
                </w14:textFill>
              </w:rPr>
              <w:t>。</w:t>
            </w:r>
          </w:p>
          <w:p w14:paraId="312B6CF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事故废油</w:t>
            </w:r>
          </w:p>
          <w:p w14:paraId="1C3F71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eastAsia="宋体" w:cs="Times New Roman"/>
                <w:color w:val="000000" w:themeColor="text1"/>
                <w:sz w:val="24"/>
                <w:highlight w:val="none"/>
                <w14:textFill>
                  <w14:solidFill>
                    <w14:schemeClr w14:val="tx1"/>
                  </w14:solidFill>
                </w14:textFill>
              </w:rPr>
              <w:t>站内的变压器等设备，为了绝缘和冷却的需要，在变压器外壳内装有大量的变压器油，一般只有检修及事故情况下才会产生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事故废油</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根据物质危险性判定标准，变压器事故排油属废矿物油，根据《国家危险废物名录</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年版</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本项目</w:t>
            </w:r>
            <w:r>
              <w:rPr>
                <w:rFonts w:hint="default" w:ascii="Times New Roman" w:hAnsi="Times New Roman" w:cs="Times New Roman"/>
                <w:color w:val="000000" w:themeColor="text1"/>
                <w:sz w:val="24"/>
                <w:highlight w:val="none"/>
                <w14:textFill>
                  <w14:solidFill>
                    <w14:schemeClr w14:val="tx1"/>
                  </w14:solidFill>
                </w14:textFill>
              </w:rPr>
              <w:t>事故排油属于</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HW08废矿物油与含矿物油废物</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中的</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变压器维护、更换和拆解过程中产生的废变压器油</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，废物代码</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900-220-08</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。因该废矿物油由变压器发生事故状态产生，变压器事故油池主要起临时收集贮存作用，废油产生后将尽快交由有相关资质的单位进行回收处理，不在</w:t>
            </w:r>
            <w:r>
              <w:rPr>
                <w:rFonts w:hint="eastAsia"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cs="Times New Roman"/>
                <w:color w:val="000000" w:themeColor="text1"/>
                <w:sz w:val="24"/>
                <w:highlight w:val="none"/>
                <w14:textFill>
                  <w14:solidFill>
                    <w14:schemeClr w14:val="tx1"/>
                  </w14:solidFill>
                </w14:textFill>
              </w:rPr>
              <w:t>站内长时间储存。</w:t>
            </w:r>
          </w:p>
          <w:p w14:paraId="39C07145">
            <w:pPr>
              <w:pStyle w:val="14"/>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（3）废旧电池</w:t>
            </w:r>
          </w:p>
          <w:p w14:paraId="1D35A842">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①升压</w:t>
            </w:r>
            <w:r>
              <w:rPr>
                <w:rFonts w:hint="default" w:ascii="Times New Roman" w:hAnsi="Times New Roman" w:eastAsia="宋体" w:cs="Times New Roman"/>
                <w:color w:val="000000" w:themeColor="text1"/>
                <w:sz w:val="24"/>
                <w:highlight w:val="none"/>
                <w14:textFill>
                  <w14:solidFill>
                    <w14:schemeClr w14:val="tx1"/>
                  </w14:solidFill>
                </w14:textFill>
              </w:rPr>
              <w:t>站运行和检修时，无酸性废水排放，但是会产生废蓄电池。</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eastAsia="宋体" w:cs="Times New Roman"/>
                <w:color w:val="000000" w:themeColor="text1"/>
                <w:sz w:val="24"/>
                <w:highlight w:val="none"/>
                <w14:textFill>
                  <w14:solidFill>
                    <w14:schemeClr w14:val="tx1"/>
                  </w14:solidFill>
                </w14:textFill>
              </w:rPr>
              <w:t>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配备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104块SAA2-200（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00A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14:textFill>
                  <w14:solidFill>
                    <w14:schemeClr w14:val="tx1"/>
                  </w14:solidFill>
                </w14:textFill>
              </w:rPr>
              <w:t>/2V</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）密封式铅蓄电池以及</w:t>
            </w:r>
            <w:r>
              <w:rPr>
                <w:rFonts w:hint="default" w:ascii="Times New Roman" w:hAnsi="Times New Roman" w:eastAsia="宋体" w:cs="Times New Roman"/>
                <w:color w:val="000000" w:themeColor="text1"/>
                <w:sz w:val="24"/>
                <w:highlight w:val="none"/>
                <w14:textFill>
                  <w14:solidFill>
                    <w14:schemeClr w14:val="tx1"/>
                  </w14:solidFill>
                </w14:textFill>
              </w:rPr>
              <w:t>24只100A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14:textFill>
                  <w14:solidFill>
                    <w14:schemeClr w14:val="tx1"/>
                  </w14:solidFill>
                </w14:textFill>
              </w:rPr>
              <w:t>/2V铅蓄电池</w:t>
            </w:r>
            <w:r>
              <w:rPr>
                <w:rFonts w:hint="default" w:ascii="Times New Roman" w:hAnsi="Times New Roman" w:eastAsia="宋体" w:cs="Times New Roman"/>
                <w:color w:val="000000" w:themeColor="text1"/>
                <w:sz w:val="24"/>
                <w:szCs w:val="24"/>
                <w:highlight w:val="none"/>
                <w14:textFill>
                  <w14:solidFill>
                    <w14:schemeClr w14:val="tx1"/>
                  </w14:solidFill>
                </w14:textFill>
              </w:rPr>
              <w:t>，设计使用寿命10年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废旧铅蓄电池每10年产生量约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1468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highlight w:val="none"/>
                <w14:textFill>
                  <w14:solidFill>
                    <w14:schemeClr w14:val="tx1"/>
                  </w14:solidFill>
                </w14:textFill>
              </w:rPr>
              <w:t>。根据《国家危险废物名录（202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废铅蓄电池属于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HW31含铅废物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z w:val="24"/>
                <w:szCs w:val="24"/>
              </w:rPr>
              <w:t>废铅蓄电池及废铅蓄电池拆解过程中产生的废铅板、废铅膏和酸液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，废物代码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900-052-31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eastAsia="宋体" w:cs="Times New Roman"/>
                <w:color w:val="000000" w:themeColor="text1"/>
                <w:sz w:val="24"/>
                <w:szCs w:val="24"/>
                <w:highlight w:val="none"/>
                <w14:textFill>
                  <w14:solidFill>
                    <w14:schemeClr w14:val="tx1"/>
                  </w14:solidFill>
                </w14:textFill>
              </w:rPr>
              <w:t>站内铅蓄电池到寿命周期后，建设单位根据《国网科技部关于印发国家电网公司电网废弃物环境无害化处置及资源化利用指导意见的通知》中废铅蓄电池管理的相关规定，</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依托主体工程现有危废暂存间</w:t>
            </w:r>
            <w:r>
              <w:rPr>
                <w:rFonts w:hint="default" w:ascii="Times New Roman" w:hAnsi="Times New Roman" w:eastAsia="宋体" w:cs="Times New Roman"/>
                <w:color w:val="000000" w:themeColor="text1"/>
                <w:sz w:val="24"/>
                <w:szCs w:val="24"/>
                <w:highlight w:val="none"/>
                <w14:textFill>
                  <w14:solidFill>
                    <w14:schemeClr w14:val="tx1"/>
                  </w14:solidFill>
                </w14:textFill>
              </w:rPr>
              <w:t>暂存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交由有资质单位处置</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1A30654">
            <w:pPr>
              <w:pStyle w:val="5"/>
              <w:suppressLineNumbers w:val="0"/>
              <w:bidi w:val="0"/>
              <w:spacing w:before="0" w:beforeAutospacing="0" w:after="0" w:afterAutospacing="0"/>
              <w:ind w:left="720" w:leftChars="0" w:right="0" w:hanging="720" w:firstLineChars="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4.2.6生态环境影响分析</w:t>
            </w:r>
          </w:p>
          <w:p w14:paraId="14CDD235">
            <w:pPr>
              <w:pStyle w:val="163"/>
              <w:keepNext w:val="0"/>
              <w:keepLines w:val="0"/>
              <w:suppressLineNumbers w:val="0"/>
              <w:bidi w:val="0"/>
              <w:spacing w:before="0" w:beforeAutospacing="0" w:after="0" w:afterAutospacing="0"/>
              <w:ind w:right="0"/>
              <w:jc w:val="left"/>
              <w:rPr>
                <w:rFonts w:hint="default"/>
                <w:spacing w:val="8"/>
              </w:rPr>
            </w:pPr>
            <w:r>
              <w:rPr>
                <w:rFonts w:hint="eastAsia"/>
                <w:lang w:val="en-US" w:eastAsia="zh-CN"/>
              </w:rPr>
              <w:t>本</w:t>
            </w:r>
            <w:r>
              <w:rPr>
                <w:rFonts w:hint="default"/>
              </w:rPr>
              <w:t>工程运行期不再产生占地、不破坏植被、无废水外排，线路沿线无风景名胜区，工程运行期对周边自然生态和景观基本无影响。</w:t>
            </w:r>
            <w:r>
              <w:rPr>
                <w:rFonts w:hint="default"/>
                <w:spacing w:val="10"/>
              </w:rPr>
              <w:t>进行线路巡检和维护时，</w:t>
            </w:r>
            <w:r>
              <w:rPr>
                <w:rFonts w:hint="default"/>
                <w:spacing w:val="9"/>
              </w:rPr>
              <w:t>避免过多人员和车辆进入，</w:t>
            </w:r>
            <w:r>
              <w:rPr>
                <w:rFonts w:hint="default"/>
                <w:spacing w:val="-57"/>
              </w:rPr>
              <w:t xml:space="preserve"> </w:t>
            </w:r>
            <w:r>
              <w:rPr>
                <w:rFonts w:hint="default"/>
                <w:spacing w:val="9"/>
              </w:rPr>
              <w:t>以减少对当地地表土壤结构和植被的破坏，避免过多干扰</w:t>
            </w:r>
            <w:r>
              <w:rPr>
                <w:rFonts w:hint="default"/>
                <w:spacing w:val="8"/>
              </w:rPr>
              <w:t>野生动物的生</w:t>
            </w:r>
            <w:r>
              <w:rPr>
                <w:rFonts w:hint="default"/>
                <w:spacing w:val="10"/>
              </w:rPr>
              <w:t>境；强化设备检修维护人员的生态环境保护意识教育，并严格管理，避免对项目周边</w:t>
            </w:r>
            <w:r>
              <w:rPr>
                <w:rFonts w:hint="default"/>
                <w:spacing w:val="9"/>
              </w:rPr>
              <w:t>的自</w:t>
            </w:r>
            <w:r>
              <w:rPr>
                <w:rFonts w:hint="default"/>
                <w:spacing w:val="8"/>
              </w:rPr>
              <w:t>然植被和生态系统的破坏。</w:t>
            </w:r>
          </w:p>
          <w:p w14:paraId="481684F0">
            <w:pPr>
              <w:pStyle w:val="5"/>
              <w:suppressLineNumbers w:val="0"/>
              <w:bidi w:val="0"/>
              <w:spacing w:before="0" w:beforeAutospacing="0" w:after="0" w:afterAutospacing="0"/>
              <w:ind w:left="720" w:leftChars="0" w:right="0" w:hanging="720" w:firstLineChars="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4.2.</w:t>
            </w:r>
            <w:r>
              <w:rPr>
                <w:rFonts w:hint="eastAsia" w:cs="Times New Roman"/>
                <w:b/>
                <w:bCs/>
                <w:color w:val="000000" w:themeColor="text1"/>
                <w:kern w:val="2"/>
                <w:sz w:val="24"/>
                <w:szCs w:val="24"/>
                <w:highlight w:val="none"/>
                <w:lang w:val="en-US" w:eastAsia="zh-CN" w:bidi="ar-SA"/>
                <w14:textFill>
                  <w14:solidFill>
                    <w14:schemeClr w14:val="tx1"/>
                  </w14:solidFill>
                </w14:textFill>
              </w:rPr>
              <w:t>7环境风险</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分析</w:t>
            </w:r>
          </w:p>
          <w:p w14:paraId="6CF1B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本项目主要风险物质为变压器内存储的变压器油，变压器油会因为火灾爆炸或泄漏而造成环境风险，主要有以下方面：</w:t>
            </w:r>
          </w:p>
          <w:p w14:paraId="4ABD06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火灾、爆炸事故影响分析</w:t>
            </w:r>
          </w:p>
          <w:p w14:paraId="63C54571">
            <w:pPr>
              <w:pStyle w:val="135"/>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64"/>
              <w:textAlignment w:val="auto"/>
              <w:rPr>
                <w:rFonts w:hint="default" w:ascii="Times New Roman" w:hAnsi="Times New Roman" w:eastAsia="宋体" w:cs="Times New Roman"/>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油类物质</w:t>
            </w:r>
            <w:r>
              <w:rPr>
                <w:rFonts w:hint="default" w:ascii="Times New Roman" w:hAnsi="Times New Roman" w:eastAsia="宋体" w:cs="Times New Roman"/>
                <w:color w:val="000000" w:themeColor="text1"/>
                <w:sz w:val="24"/>
                <w:highlight w:val="none"/>
                <w14:textFill>
                  <w14:solidFill>
                    <w14:schemeClr w14:val="tx1"/>
                  </w14:solidFill>
                </w14:textFill>
              </w:rPr>
              <w:t>发生火灾、爆炸事故后对环境空气影响的主要污染物为一氧化碳和非甲烷总烃。一氧化碳可在血中与血红蛋白结合从而造成组织缺氧。轻者出现头痛、头晕、耳鸣、心悸</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等症状</w:t>
            </w:r>
            <w:r>
              <w:rPr>
                <w:rFonts w:hint="default" w:ascii="Times New Roman" w:hAnsi="Times New Roman" w:eastAsia="宋体" w:cs="Times New Roman"/>
                <w:color w:val="000000" w:themeColor="text1"/>
                <w:sz w:val="24"/>
                <w:highlight w:val="none"/>
                <w14:textFill>
                  <w14:solidFill>
                    <w14:schemeClr w14:val="tx1"/>
                  </w14:solidFill>
                </w14:textFill>
              </w:rPr>
              <w:t>。重度患者昏迷不醒、瞳孔缩小、频繁抽搐等。深度中毒可致死。非甲烷总烃中</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的</w:t>
            </w:r>
            <w:r>
              <w:rPr>
                <w:rFonts w:hint="default" w:ascii="Times New Roman" w:hAnsi="Times New Roman" w:eastAsia="宋体" w:cs="Times New Roman"/>
                <w:color w:val="000000" w:themeColor="text1"/>
                <w:sz w:val="24"/>
                <w:highlight w:val="none"/>
                <w14:textFill>
                  <w14:solidFill>
                    <w14:schemeClr w14:val="tx1"/>
                  </w14:solidFill>
                </w14:textFill>
              </w:rPr>
              <w:t>一些饱和脂肪烃能够对外围神经系统造成永久性损伤，</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同时其</w:t>
            </w:r>
            <w:r>
              <w:rPr>
                <w:rFonts w:hint="default" w:ascii="Times New Roman" w:hAnsi="Times New Roman" w:eastAsia="宋体" w:cs="Times New Roman"/>
                <w:color w:val="000000" w:themeColor="text1"/>
                <w:sz w:val="24"/>
                <w:highlight w:val="none"/>
                <w14:textFill>
                  <w14:solidFill>
                    <w14:schemeClr w14:val="tx1"/>
                  </w14:solidFill>
                </w14:textFill>
              </w:rPr>
              <w:t>存在有助于形成光化学烟雾。由于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本项目站址处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周边</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较为空旷，污染物可迅速稀释扩建，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降低了</w:t>
            </w:r>
            <w:r>
              <w:rPr>
                <w:rFonts w:hint="default" w:ascii="Times New Roman" w:hAnsi="Times New Roman" w:eastAsia="宋体" w:cs="Times New Roman"/>
                <w:color w:val="000000" w:themeColor="text1"/>
                <w:sz w:val="24"/>
                <w:highlight w:val="none"/>
                <w14:textFill>
                  <w14:solidFill>
                    <w14:schemeClr w14:val="tx1"/>
                  </w14:solidFill>
                </w14:textFill>
              </w:rPr>
              <w:t>火灾、爆炸事故对周围环境的影响。</w:t>
            </w:r>
          </w:p>
          <w:p w14:paraId="71A70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油料泄漏</w:t>
            </w:r>
            <w:r>
              <w:rPr>
                <w:rFonts w:hint="default" w:ascii="Times New Roman" w:hAnsi="Times New Roman" w:eastAsia="宋体" w:cs="Times New Roman"/>
                <w:color w:val="000000" w:themeColor="text1"/>
                <w:sz w:val="24"/>
                <w:highlight w:val="none"/>
                <w14:textFill>
                  <w14:solidFill>
                    <w14:schemeClr w14:val="tx1"/>
                  </w14:solidFill>
                </w14:textFill>
              </w:rPr>
              <w:t>影响分析</w:t>
            </w:r>
          </w:p>
          <w:p w14:paraId="27DFCDDC">
            <w:pPr>
              <w:pStyle w:val="135"/>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spacing w:val="-5"/>
                <w:kern w:val="2"/>
                <w:sz w:val="24"/>
                <w:szCs w:val="44"/>
                <w:lang w:val="en-US" w:eastAsia="zh-CN" w:bidi="ar-SA"/>
              </w:rPr>
            </w:pPr>
            <w:r>
              <w:rPr>
                <w:rFonts w:hint="default" w:ascii="Times New Roman" w:hAnsi="Times New Roman" w:eastAsia="宋体" w:cs="Times New Roman"/>
                <w:color w:val="000000" w:themeColor="text1"/>
                <w:sz w:val="24"/>
                <w:highlight w:val="none"/>
                <w14:textFill>
                  <w14:solidFill>
                    <w14:schemeClr w14:val="tx1"/>
                  </w14:solidFill>
                </w14:textFill>
              </w:rPr>
              <w:t>当</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油类物质</w:t>
            </w:r>
            <w:r>
              <w:rPr>
                <w:rFonts w:hint="default" w:ascii="Times New Roman" w:hAnsi="Times New Roman" w:eastAsia="宋体" w:cs="Times New Roman"/>
                <w:color w:val="000000" w:themeColor="text1"/>
                <w:sz w:val="24"/>
                <w:highlight w:val="none"/>
                <w14:textFill>
                  <w14:solidFill>
                    <w14:schemeClr w14:val="tx1"/>
                  </w14:solidFill>
                </w14:textFill>
              </w:rPr>
              <w:t>发生</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泄漏</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石油类污染物会在</w:t>
            </w:r>
            <w:r>
              <w:rPr>
                <w:rFonts w:hint="default" w:ascii="Times New Roman" w:hAnsi="Times New Roman" w:eastAsia="宋体" w:cs="Times New Roman"/>
                <w:color w:val="000000" w:themeColor="text1"/>
                <w:sz w:val="24"/>
                <w:highlight w:val="none"/>
                <w14:textFill>
                  <w14:solidFill>
                    <w14:schemeClr w14:val="tx1"/>
                  </w14:solidFill>
                </w14:textFill>
              </w:rPr>
              <w:t>土壤内部由于重力作用沿垂直方向</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向地下渗透，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处理不及时的情况下泄漏</w:t>
            </w:r>
            <w:r>
              <w:rPr>
                <w:rFonts w:hint="default" w:ascii="Times New Roman" w:hAnsi="Times New Roman" w:eastAsia="宋体" w:cs="Times New Roman"/>
                <w:color w:val="000000" w:themeColor="text1"/>
                <w:sz w:val="24"/>
                <w:highlight w:val="none"/>
                <w14:textFill>
                  <w14:solidFill>
                    <w14:schemeClr w14:val="tx1"/>
                  </w14:solidFill>
                </w14:textFill>
              </w:rPr>
              <w:t>的事故废油</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可能会对表层</w:t>
            </w:r>
            <w:r>
              <w:rPr>
                <w:rFonts w:hint="default" w:ascii="Times New Roman" w:hAnsi="Times New Roman" w:eastAsia="宋体" w:cs="Times New Roman"/>
                <w:color w:val="000000" w:themeColor="text1"/>
                <w:sz w:val="24"/>
                <w:highlight w:val="none"/>
                <w14:textFill>
                  <w14:solidFill>
                    <w14:schemeClr w14:val="tx1"/>
                  </w14:solidFill>
                </w14:textFill>
              </w:rPr>
              <w:t>土壤造成污染。</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但由于土壤的截流阻隔作用，基本不会对地下水造成影响。</w:t>
            </w:r>
          </w:p>
          <w:p w14:paraId="10B94C6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68" w:firstLineChars="200"/>
              <w:jc w:val="both"/>
              <w:textAlignment w:val="auto"/>
              <w:rPr>
                <w:rFonts w:hint="default" w:ascii="Times New Roman" w:hAnsi="Times New Roman" w:eastAsia="宋体" w:cs="Times New Roman"/>
                <w:spacing w:val="-5"/>
                <w:kern w:val="2"/>
                <w:sz w:val="24"/>
                <w:szCs w:val="44"/>
                <w:lang w:val="en-US" w:eastAsia="zh-CN" w:bidi="ar-SA"/>
              </w:rPr>
            </w:pPr>
            <w:r>
              <w:rPr>
                <w:rFonts w:hint="default" w:ascii="Times New Roman" w:hAnsi="Times New Roman" w:eastAsia="宋体" w:cs="Times New Roman"/>
                <w:spacing w:val="-3"/>
                <w:sz w:val="24"/>
                <w:szCs w:val="24"/>
              </w:rPr>
              <w:t>根据已建变压器铭牌显示，主变油量为</w:t>
            </w:r>
            <w:r>
              <w:rPr>
                <w:rFonts w:hint="eastAsia" w:ascii="Times New Roman" w:hAnsi="Times New Roman" w:eastAsia="宋体" w:cs="Times New Roman"/>
                <w:spacing w:val="-3"/>
                <w:sz w:val="24"/>
                <w:szCs w:val="24"/>
                <w:lang w:val="en-US" w:eastAsia="zh-CN"/>
              </w:rPr>
              <w:t>14.3t，</w:t>
            </w:r>
            <w:r>
              <w:rPr>
                <w:rFonts w:hint="default" w:ascii="Times New Roman" w:hAnsi="Times New Roman" w:eastAsia="宋体" w:cs="Times New Roman"/>
                <w:spacing w:val="-3"/>
                <w:sz w:val="24"/>
                <w:szCs w:val="24"/>
              </w:rPr>
              <w:t>相对密度为0</w:t>
            </w:r>
            <w:r>
              <w:rPr>
                <w:rFonts w:hint="default" w:ascii="Times New Roman" w:hAnsi="Times New Roman" w:eastAsia="宋体" w:cs="Times New Roman"/>
                <w:spacing w:val="-4"/>
                <w:sz w:val="24"/>
                <w:szCs w:val="24"/>
              </w:rPr>
              <w:t>.895t/</w:t>
            </w:r>
            <w:r>
              <w:rPr>
                <w:rFonts w:hint="eastAsia" w:ascii="Times New Roman" w:hAnsi="Times New Roman" w:eastAsia="宋体" w:cs="Times New Roman"/>
                <w:spacing w:val="-4"/>
                <w:sz w:val="24"/>
                <w:szCs w:val="24"/>
                <w:lang w:val="en-US" w:eastAsia="zh-CN"/>
              </w:rPr>
              <w:t>m</w:t>
            </w:r>
            <w:r>
              <w:rPr>
                <w:rFonts w:hint="eastAsia"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rPr>
              <w:t>，</w:t>
            </w:r>
            <w:r>
              <w:rPr>
                <w:rFonts w:hint="eastAsia" w:ascii="Times New Roman" w:hAnsi="Times New Roman" w:eastAsia="宋体" w:cs="Times New Roman"/>
                <w:spacing w:val="-4"/>
                <w:sz w:val="24"/>
                <w:szCs w:val="24"/>
                <w:lang w:val="en-US" w:eastAsia="zh-CN"/>
              </w:rPr>
              <w:t>体积约16m</w:t>
            </w:r>
            <w:r>
              <w:rPr>
                <w:rFonts w:hint="eastAsia"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3"/>
                <w:sz w:val="24"/>
                <w:szCs w:val="24"/>
              </w:rPr>
              <w:t>。本工程事故油池容积为</w:t>
            </w:r>
            <w:r>
              <w:rPr>
                <w:rFonts w:hint="eastAsia" w:ascii="Times New Roman" w:hAnsi="Times New Roman" w:eastAsia="宋体" w:cs="Times New Roman"/>
                <w:spacing w:val="-3"/>
                <w:sz w:val="24"/>
                <w:szCs w:val="24"/>
                <w:lang w:val="en-US" w:eastAsia="zh-CN"/>
              </w:rPr>
              <w:t>23.5</w:t>
            </w:r>
            <w:r>
              <w:rPr>
                <w:rFonts w:hint="eastAsia" w:ascii="Times New Roman" w:hAnsi="Times New Roman" w:eastAsia="宋体" w:cs="Times New Roman"/>
                <w:spacing w:val="-4"/>
                <w:sz w:val="24"/>
                <w:szCs w:val="24"/>
                <w:lang w:val="en-US" w:eastAsia="zh-CN"/>
              </w:rPr>
              <w:t>m</w:t>
            </w:r>
            <w:r>
              <w:rPr>
                <w:rFonts w:hint="eastAsia"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3"/>
                <w:sz w:val="24"/>
                <w:szCs w:val="24"/>
              </w:rPr>
              <w:t>，因此本工程事</w:t>
            </w:r>
            <w:r>
              <w:rPr>
                <w:rFonts w:hint="default" w:ascii="Times New Roman" w:hAnsi="Times New Roman" w:eastAsia="宋体" w:cs="Times New Roman"/>
                <w:spacing w:val="-5"/>
                <w:sz w:val="24"/>
                <w:szCs w:val="24"/>
              </w:rPr>
              <w:t>故油池设计合理，满足主变事故状态</w:t>
            </w:r>
            <w:r>
              <w:rPr>
                <w:rFonts w:hint="eastAsia" w:ascii="Times New Roman" w:hAnsi="Times New Roman" w:cs="Times New Roman"/>
                <w:spacing w:val="-5"/>
                <w:sz w:val="24"/>
                <w:szCs w:val="24"/>
                <w:lang w:val="en-US" w:eastAsia="zh-CN"/>
              </w:rPr>
              <w:t>下</w:t>
            </w:r>
            <w:r>
              <w:rPr>
                <w:rFonts w:hint="default" w:ascii="Times New Roman" w:hAnsi="Times New Roman" w:eastAsia="宋体" w:cs="Times New Roman"/>
                <w:spacing w:val="-5"/>
                <w:sz w:val="24"/>
                <w:szCs w:val="24"/>
              </w:rPr>
              <w:t>100%排油量要求</w:t>
            </w:r>
            <w:r>
              <w:rPr>
                <w:rFonts w:hint="eastAsia" w:ascii="Times New Roman" w:hAnsi="Times New Roman" w:cs="Times New Roman"/>
                <w:spacing w:val="-5"/>
                <w:sz w:val="24"/>
                <w:szCs w:val="24"/>
                <w:lang w:eastAsia="zh-CN"/>
              </w:rPr>
              <w:t>，</w:t>
            </w:r>
            <w:r>
              <w:rPr>
                <w:rFonts w:hint="default" w:ascii="Times New Roman" w:hAnsi="Times New Roman" w:eastAsia="宋体" w:cs="Times New Roman"/>
                <w:spacing w:val="-5"/>
                <w:sz w:val="24"/>
                <w:szCs w:val="24"/>
              </w:rPr>
              <w:t>满足《输变电建设项目环境保护技术要求》(HJ</w:t>
            </w:r>
            <w:r>
              <w:rPr>
                <w:rFonts w:hint="eastAsia" w:ascii="Times New Roman" w:hAnsi="Times New Roman" w:cs="Times New Roman"/>
                <w:spacing w:val="-5"/>
                <w:sz w:val="24"/>
                <w:szCs w:val="24"/>
                <w:lang w:val="en-US" w:eastAsia="zh-CN"/>
              </w:rPr>
              <w:t xml:space="preserve"> </w:t>
            </w:r>
            <w:r>
              <w:rPr>
                <w:rFonts w:hint="default" w:ascii="Times New Roman" w:hAnsi="Times New Roman" w:eastAsia="宋体" w:cs="Times New Roman"/>
                <w:spacing w:val="-5"/>
                <w:sz w:val="24"/>
                <w:szCs w:val="24"/>
              </w:rPr>
              <w:t>1113-</w:t>
            </w:r>
            <w:r>
              <w:rPr>
                <w:rFonts w:hint="default" w:ascii="Times New Roman" w:hAnsi="Times New Roman" w:eastAsia="宋体" w:cs="Times New Roman"/>
                <w:spacing w:val="-6"/>
                <w:sz w:val="24"/>
                <w:szCs w:val="24"/>
              </w:rPr>
              <w:t>2020）第6.1.4</w:t>
            </w:r>
            <w:r>
              <w:rPr>
                <w:rFonts w:hint="default" w:ascii="Times New Roman" w:hAnsi="Times New Roman" w:eastAsia="宋体" w:cs="Times New Roman"/>
                <w:sz w:val="24"/>
                <w:szCs w:val="24"/>
              </w:rPr>
              <w:t>条要求。</w:t>
            </w:r>
            <w:r>
              <w:rPr>
                <w:rFonts w:hint="default" w:ascii="Times New Roman" w:hAnsi="Times New Roman" w:eastAsia="宋体" w:cs="Times New Roman"/>
                <w:spacing w:val="-5"/>
                <w:kern w:val="2"/>
                <w:sz w:val="24"/>
                <w:szCs w:val="44"/>
                <w:lang w:val="en-US" w:eastAsia="zh-CN" w:bidi="ar-SA"/>
              </w:rPr>
              <w:t>事故油池防渗措施满足《危险废物贮存污染控制标准》（GB</w:t>
            </w:r>
            <w:r>
              <w:rPr>
                <w:rFonts w:hint="eastAsia" w:ascii="Times New Roman" w:hAnsi="Times New Roman" w:eastAsia="宋体" w:cs="Times New Roman"/>
                <w:spacing w:val="-5"/>
                <w:kern w:val="2"/>
                <w:sz w:val="24"/>
                <w:szCs w:val="44"/>
                <w:lang w:val="en-US" w:eastAsia="zh-CN" w:bidi="ar-SA"/>
              </w:rPr>
              <w:t xml:space="preserve"> 1</w:t>
            </w:r>
            <w:r>
              <w:rPr>
                <w:rFonts w:hint="default" w:ascii="Times New Roman" w:hAnsi="Times New Roman" w:eastAsia="宋体" w:cs="Times New Roman"/>
                <w:spacing w:val="-5"/>
                <w:kern w:val="2"/>
                <w:sz w:val="24"/>
                <w:szCs w:val="44"/>
                <w:lang w:val="en-US" w:eastAsia="zh-CN" w:bidi="ar-SA"/>
              </w:rPr>
              <w:t>8597-2023）中相应防渗要求，且事故油池的废油由有资质单位回收、处置，做到及时转运，不外排。</w:t>
            </w:r>
          </w:p>
          <w:p w14:paraId="35956711">
            <w:pPr>
              <w:pStyle w:val="16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spacing w:val="8"/>
                <w:lang w:val="en-US" w:eastAsia="zh-CN"/>
              </w:rPr>
            </w:pPr>
            <w:r>
              <w:rPr>
                <w:rFonts w:hint="default" w:ascii="Times New Roman" w:hAnsi="Times New Roman" w:eastAsia="宋体" w:cs="Times New Roman"/>
                <w:spacing w:val="-5"/>
                <w:sz w:val="24"/>
              </w:rPr>
              <w:t>建设单位应加强管理，对事故油池的完好性进行定期检查，确保无渗漏、无溢流，</w:t>
            </w:r>
            <w:r>
              <w:rPr>
                <w:rFonts w:hint="default" w:ascii="Times New Roman" w:hAnsi="Times New Roman" w:eastAsia="宋体" w:cs="Times New Roman"/>
                <w:sz w:val="24"/>
              </w:rPr>
              <w:t>在采取以上风险防范措施后，基本不会对周围土壤、地表水、</w:t>
            </w:r>
            <w:r>
              <w:rPr>
                <w:rFonts w:hint="default" w:ascii="Times New Roman" w:hAnsi="Times New Roman" w:eastAsia="宋体" w:cs="Times New Roman"/>
                <w:spacing w:val="-1"/>
                <w:sz w:val="24"/>
              </w:rPr>
              <w:t>地下水环境造成影响</w:t>
            </w:r>
            <w:r>
              <w:rPr>
                <w:rFonts w:hint="default" w:ascii="Times New Roman" w:hAnsi="Times New Roman" w:eastAsia="宋体" w:cs="Times New Roman"/>
                <w:spacing w:val="-1"/>
              </w:rPr>
              <w:t>。</w:t>
            </w:r>
          </w:p>
        </w:tc>
      </w:tr>
      <w:tr w14:paraId="6E5CE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noWrap w:val="0"/>
            <w:vAlign w:val="center"/>
          </w:tcPr>
          <w:p w14:paraId="3A12B3D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auto"/>
              <w:ind w:left="0" w:right="0" w:firstLine="0" w:firstLineChars="0"/>
              <w:jc w:val="center"/>
              <w:textAlignment w:val="auto"/>
              <w:rPr>
                <w:rFonts w:hint="eastAsia" w:ascii="Times New Roman" w:hAnsi="Times New Roman" w:eastAsia="宋体" w:cs="Times New Roman"/>
                <w:bCs/>
                <w:sz w:val="24"/>
                <w:szCs w:val="24"/>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选址选线环境合理性分析</w:t>
            </w:r>
          </w:p>
        </w:tc>
      </w:tr>
      <w:tr w14:paraId="3166A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4" w:hRule="atLeast"/>
          <w:jc w:val="center"/>
        </w:trPr>
        <w:tc>
          <w:tcPr>
            <w:tcW w:w="5000" w:type="pct"/>
            <w:gridSpan w:val="8"/>
            <w:noWrap w:val="0"/>
            <w:vAlign w:val="center"/>
          </w:tcPr>
          <w:p w14:paraId="12E86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w:t>
            </w:r>
            <w:r>
              <w:rPr>
                <w:rFonts w:hint="eastAsia" w:cs="Times New Roman"/>
                <w:b/>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选址选线环境合理性分析</w:t>
            </w:r>
          </w:p>
          <w:p w14:paraId="4EC37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4.3.1</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与《输变电建设项目环境保护技术要求》符合性分析</w:t>
            </w:r>
          </w:p>
          <w:p w14:paraId="342A2BCB">
            <w:pPr>
              <w:pStyle w:val="163"/>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根据《环境影响评价技术导则 输变电》(HJ 24-2020)，应按照《输变电建设项目环境保护技术要求》（HJ 1113-2020）的规定进行选址选线环境合理性分析。本项目选址选线与《输变电建设项目环境保护技术要求》的符合性分析</w:t>
            </w:r>
            <w:r>
              <w:rPr>
                <w:rFonts w:hint="eastAsia"/>
                <w:color w:val="000000" w:themeColor="text1"/>
                <w:highlight w:val="none"/>
                <w:lang w:val="en-US" w:eastAsia="zh-CN"/>
                <w14:textFill>
                  <w14:solidFill>
                    <w14:schemeClr w14:val="tx1"/>
                  </w14:solidFill>
                </w14:textFill>
              </w:rPr>
              <w:t>见下表</w:t>
            </w:r>
            <w:r>
              <w:rPr>
                <w:rFonts w:hint="eastAsia"/>
                <w:color w:val="000000" w:themeColor="text1"/>
                <w:lang w:val="en-US" w:eastAsia="zh-CN"/>
                <w14:textFill>
                  <w14:solidFill>
                    <w14:schemeClr w14:val="tx1"/>
                  </w14:solidFill>
                </w14:textFill>
              </w:rPr>
              <w:t>。</w:t>
            </w:r>
          </w:p>
          <w:p w14:paraId="50A9B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b/>
                <w:bCs/>
                <w:color w:val="000000" w:themeColor="text1"/>
                <w:spacing w:val="-2"/>
                <w:lang w:val="en-US" w:eastAsia="zh-CN"/>
                <w14:textFill>
                  <w14:solidFill>
                    <w14:schemeClr w14:val="tx1"/>
                  </w14:solidFill>
                </w14:textFill>
              </w:rPr>
              <w:t>表4-1 本项目选址选线与《输变电建设项目环境保护技术要求》符合性分析表</w:t>
            </w:r>
          </w:p>
        </w:tc>
      </w:tr>
      <w:tr w14:paraId="29E06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1CF3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2437" w:type="pct"/>
            <w:gridSpan w:val="4"/>
            <w:noWrap w:val="0"/>
            <w:vAlign w:val="center"/>
          </w:tcPr>
          <w:p w14:paraId="22F49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具体要求</w:t>
            </w:r>
          </w:p>
        </w:tc>
        <w:tc>
          <w:tcPr>
            <w:tcW w:w="1593" w:type="pct"/>
            <w:gridSpan w:val="2"/>
            <w:noWrap w:val="0"/>
            <w:vAlign w:val="center"/>
          </w:tcPr>
          <w:p w14:paraId="7D75D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项目实际情况</w:t>
            </w:r>
          </w:p>
        </w:tc>
        <w:tc>
          <w:tcPr>
            <w:tcW w:w="599" w:type="pct"/>
            <w:noWrap w:val="0"/>
            <w:vAlign w:val="center"/>
          </w:tcPr>
          <w:p w14:paraId="5028E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r>
              <w:rPr>
                <w:rFonts w:hint="eastAsia"/>
                <w:color w:val="000000" w:themeColor="text1"/>
                <w:sz w:val="21"/>
                <w:szCs w:val="21"/>
                <w:lang w:val="en-US" w:eastAsia="zh-CN"/>
                <w14:textFill>
                  <w14:solidFill>
                    <w14:schemeClr w14:val="tx1"/>
                  </w14:solidFill>
                </w14:textFill>
              </w:rPr>
              <w:t>性</w:t>
            </w:r>
          </w:p>
        </w:tc>
      </w:tr>
      <w:tr w14:paraId="1D2F5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FADE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03" w:type="pct"/>
            <w:vMerge w:val="restart"/>
            <w:noWrap w:val="0"/>
            <w:vAlign w:val="center"/>
          </w:tcPr>
          <w:p w14:paraId="54862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选址选线</w:t>
            </w:r>
          </w:p>
        </w:tc>
        <w:tc>
          <w:tcPr>
            <w:tcW w:w="2234" w:type="pct"/>
            <w:gridSpan w:val="3"/>
            <w:noWrap w:val="0"/>
            <w:vAlign w:val="center"/>
          </w:tcPr>
          <w:p w14:paraId="5FC18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输变电建设项目选址选线应符合生态保护红线管控要求，避让自然保护区、饮用水水源保护区等环境敏感区。确实因自然条件等因素限制无法避让自然保护区试验区、饮用水水源二级保护区等环境敏感区的输电线路，应在满足相关法律法规及管理要求的前提下对线路方案进行唯一性论证，并采取无害化方式通过。</w:t>
            </w:r>
          </w:p>
        </w:tc>
        <w:tc>
          <w:tcPr>
            <w:tcW w:w="1593" w:type="pct"/>
            <w:gridSpan w:val="2"/>
            <w:noWrap w:val="0"/>
            <w:vAlign w:val="center"/>
          </w:tcPr>
          <w:p w14:paraId="2D61B6F2">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rPr>
              <w:t>本工程不在生态保护红线管控区内，不涉及自然保护区、饮用水水源保护区等环境敏感区</w:t>
            </w:r>
            <w:r>
              <w:rPr>
                <w:rFonts w:hint="eastAsia" w:ascii="Times New Roman" w:hAnsi="Times New Roman" w:eastAsia="宋体" w:cs="Times New Roman"/>
                <w:sz w:val="21"/>
                <w:szCs w:val="21"/>
                <w:highlight w:val="none"/>
                <w:lang w:eastAsia="zh-CN"/>
              </w:rPr>
              <w:t>。</w:t>
            </w:r>
          </w:p>
        </w:tc>
        <w:tc>
          <w:tcPr>
            <w:tcW w:w="599" w:type="pct"/>
            <w:noWrap w:val="0"/>
            <w:vAlign w:val="center"/>
          </w:tcPr>
          <w:p w14:paraId="5D698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4EE6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05051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203" w:type="pct"/>
            <w:vMerge w:val="continue"/>
            <w:noWrap w:val="0"/>
            <w:vAlign w:val="center"/>
          </w:tcPr>
          <w:p w14:paraId="748FB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52B8C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变电工程在选址时应按终期规模综合考虑进出线走廊规划，避免进出线进入自然保护区、饮用水水源保护区等环境敏感区。</w:t>
            </w:r>
          </w:p>
        </w:tc>
        <w:tc>
          <w:tcPr>
            <w:tcW w:w="1593" w:type="pct"/>
            <w:gridSpan w:val="2"/>
            <w:noWrap w:val="0"/>
            <w:vAlign w:val="center"/>
          </w:tcPr>
          <w:p w14:paraId="419BDA4C">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rPr>
              <w:t>本工程评价范围内不涉及环境敏感区。</w:t>
            </w:r>
          </w:p>
        </w:tc>
        <w:tc>
          <w:tcPr>
            <w:tcW w:w="599" w:type="pct"/>
            <w:noWrap w:val="0"/>
            <w:vAlign w:val="center"/>
          </w:tcPr>
          <w:p w14:paraId="0DCF1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0564D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75EBC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203" w:type="pct"/>
            <w:vMerge w:val="continue"/>
            <w:noWrap w:val="0"/>
            <w:vAlign w:val="center"/>
          </w:tcPr>
          <w:p w14:paraId="1CA60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72343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户外变电工程及规划架空进出线选址选线时，应关注以居住、医疗卫生、文化教育、科研、行政办公等为主要功能的区域，采取综合措施，减少电磁和声环境影响。</w:t>
            </w:r>
          </w:p>
        </w:tc>
        <w:tc>
          <w:tcPr>
            <w:tcW w:w="1593" w:type="pct"/>
            <w:gridSpan w:val="2"/>
            <w:noWrap w:val="0"/>
            <w:vAlign w:val="center"/>
          </w:tcPr>
          <w:p w14:paraId="00B40C32">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rPr>
              <w:t>本工程不涉及医疗卫生、文化教育、科研、行政办公等功能的区域，避让集中居住区。</w:t>
            </w:r>
          </w:p>
        </w:tc>
        <w:tc>
          <w:tcPr>
            <w:tcW w:w="599" w:type="pct"/>
            <w:noWrap w:val="0"/>
            <w:vAlign w:val="center"/>
          </w:tcPr>
          <w:p w14:paraId="1AA64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8B9D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7AFE1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03" w:type="pct"/>
            <w:vMerge w:val="continue"/>
            <w:noWrap w:val="0"/>
            <w:vAlign w:val="center"/>
          </w:tcPr>
          <w:p w14:paraId="0F5C9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0FA25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同一走廊内的多回输电线路，宜采用同塔多回架设、并行架设等形式，减少新开辟走廊，优化线路走廊间距，降低环境影响。</w:t>
            </w:r>
          </w:p>
        </w:tc>
        <w:tc>
          <w:tcPr>
            <w:tcW w:w="1593" w:type="pct"/>
            <w:gridSpan w:val="2"/>
            <w:noWrap w:val="0"/>
            <w:vAlign w:val="center"/>
          </w:tcPr>
          <w:p w14:paraId="7824A984">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线路为单回</w:t>
            </w:r>
            <w:r>
              <w:rPr>
                <w:rFonts w:hint="eastAsia" w:ascii="Times New Roman" w:hAnsi="Times New Roman" w:eastAsia="宋体" w:cs="Times New Roman"/>
                <w:sz w:val="21"/>
                <w:szCs w:val="21"/>
                <w:highlight w:val="none"/>
              </w:rPr>
              <w:t>输电</w:t>
            </w:r>
            <w:r>
              <w:rPr>
                <w:rFonts w:hint="eastAsia" w:ascii="Times New Roman" w:hAnsi="Times New Roman" w:eastAsia="宋体" w:cs="Times New Roman"/>
                <w:sz w:val="21"/>
                <w:szCs w:val="21"/>
                <w:highlight w:val="none"/>
                <w:lang w:val="en-US" w:eastAsia="zh-CN"/>
              </w:rPr>
              <w:t>线路</w:t>
            </w:r>
            <w:r>
              <w:rPr>
                <w:rFonts w:hint="eastAsia" w:ascii="Times New Roman" w:hAnsi="Times New Roman" w:eastAsia="宋体" w:cs="Times New Roman"/>
                <w:sz w:val="21"/>
                <w:szCs w:val="21"/>
                <w:highlight w:val="none"/>
              </w:rPr>
              <w:t>。</w:t>
            </w:r>
          </w:p>
        </w:tc>
        <w:tc>
          <w:tcPr>
            <w:tcW w:w="599" w:type="pct"/>
            <w:noWrap w:val="0"/>
            <w:vAlign w:val="center"/>
          </w:tcPr>
          <w:p w14:paraId="274B0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4DDEB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06160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03" w:type="pct"/>
            <w:vMerge w:val="continue"/>
            <w:noWrap w:val="0"/>
            <w:vAlign w:val="center"/>
          </w:tcPr>
          <w:p w14:paraId="5BD36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713C4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原则上避免在0类声环境功能区建设变电工程。</w:t>
            </w:r>
          </w:p>
        </w:tc>
        <w:tc>
          <w:tcPr>
            <w:tcW w:w="1593" w:type="pct"/>
            <w:gridSpan w:val="2"/>
            <w:noWrap w:val="0"/>
            <w:vAlign w:val="center"/>
          </w:tcPr>
          <w:p w14:paraId="1A20F11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不涉及</w:t>
            </w:r>
            <w:r>
              <w:rPr>
                <w:rFonts w:hint="eastAsia" w:ascii="Times New Roman" w:hAnsi="Times New Roman" w:eastAsia="宋体" w:cs="Times New Roman"/>
                <w:sz w:val="21"/>
                <w:szCs w:val="21"/>
                <w:highlight w:val="none"/>
              </w:rPr>
              <w:t>0类声环境功能区</w:t>
            </w:r>
          </w:p>
        </w:tc>
        <w:tc>
          <w:tcPr>
            <w:tcW w:w="599" w:type="pct"/>
            <w:noWrap w:val="0"/>
            <w:vAlign w:val="center"/>
          </w:tcPr>
          <w:p w14:paraId="11E90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11920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09EF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203" w:type="pct"/>
            <w:vMerge w:val="continue"/>
            <w:noWrap w:val="0"/>
            <w:vAlign w:val="center"/>
          </w:tcPr>
          <w:p w14:paraId="5CEFC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46F1F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变电工程选址时，应综合考虑减少土地占用、植被砍伐和弃土弃渣等，以减少对生态环境的不利影响。</w:t>
            </w:r>
          </w:p>
        </w:tc>
        <w:tc>
          <w:tcPr>
            <w:tcW w:w="1593" w:type="pct"/>
            <w:gridSpan w:val="2"/>
            <w:noWrap w:val="0"/>
            <w:vAlign w:val="center"/>
          </w:tcPr>
          <w:p w14:paraId="21ECA31E">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已</w:t>
            </w:r>
            <w:r>
              <w:rPr>
                <w:rFonts w:hint="eastAsia" w:ascii="Times New Roman" w:hAnsi="Times New Roman" w:eastAsia="宋体" w:cs="Times New Roman"/>
                <w:sz w:val="21"/>
                <w:szCs w:val="21"/>
                <w:highlight w:val="none"/>
              </w:rPr>
              <w:t>综合考虑减少土地占用、植被砍伐和弃土弃渣等。</w:t>
            </w:r>
          </w:p>
        </w:tc>
        <w:tc>
          <w:tcPr>
            <w:tcW w:w="599" w:type="pct"/>
            <w:noWrap w:val="0"/>
            <w:vAlign w:val="center"/>
          </w:tcPr>
          <w:p w14:paraId="05CD8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29DDD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523D0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203" w:type="pct"/>
            <w:vMerge w:val="continue"/>
            <w:noWrap w:val="0"/>
            <w:vAlign w:val="center"/>
          </w:tcPr>
          <w:p w14:paraId="4C05B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4677A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输电线路宜避让集中林区，以减少林木砍伐，保护生态环境。</w:t>
            </w:r>
          </w:p>
        </w:tc>
        <w:tc>
          <w:tcPr>
            <w:tcW w:w="1593" w:type="pct"/>
            <w:gridSpan w:val="2"/>
            <w:noWrap w:val="0"/>
            <w:vAlign w:val="center"/>
          </w:tcPr>
          <w:p w14:paraId="0121720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rPr>
              <w:t>本工程</w:t>
            </w:r>
            <w:r>
              <w:rPr>
                <w:rFonts w:hint="eastAsia" w:ascii="Times New Roman" w:hAnsi="Times New Roman" w:eastAsia="宋体" w:cs="Times New Roman"/>
                <w:sz w:val="21"/>
                <w:szCs w:val="21"/>
                <w:highlight w:val="none"/>
                <w:lang w:val="en-US" w:eastAsia="zh-CN"/>
              </w:rPr>
              <w:t>不涉及</w:t>
            </w:r>
            <w:r>
              <w:rPr>
                <w:rFonts w:hint="eastAsia" w:ascii="Times New Roman" w:hAnsi="Times New Roman" w:eastAsia="宋体" w:cs="Times New Roman"/>
                <w:sz w:val="21"/>
                <w:szCs w:val="21"/>
                <w:highlight w:val="none"/>
              </w:rPr>
              <w:t>集中林区</w:t>
            </w:r>
            <w:r>
              <w:rPr>
                <w:rFonts w:hint="eastAsia" w:ascii="Times New Roman" w:hAnsi="Times New Roman" w:eastAsia="宋体" w:cs="Times New Roman"/>
                <w:sz w:val="21"/>
                <w:szCs w:val="21"/>
                <w:highlight w:val="none"/>
                <w:lang w:eastAsia="zh-CN"/>
              </w:rPr>
              <w:t>。</w:t>
            </w:r>
          </w:p>
        </w:tc>
        <w:tc>
          <w:tcPr>
            <w:tcW w:w="599" w:type="pct"/>
            <w:noWrap w:val="0"/>
            <w:vAlign w:val="center"/>
          </w:tcPr>
          <w:p w14:paraId="4E6A0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62359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noWrap w:val="0"/>
            <w:vAlign w:val="center"/>
          </w:tcPr>
          <w:p w14:paraId="4DE36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03" w:type="pct"/>
            <w:vMerge w:val="continue"/>
            <w:noWrap w:val="0"/>
            <w:vAlign w:val="center"/>
          </w:tcPr>
          <w:p w14:paraId="0C1D5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p>
        </w:tc>
        <w:tc>
          <w:tcPr>
            <w:tcW w:w="2234" w:type="pct"/>
            <w:gridSpan w:val="3"/>
            <w:noWrap w:val="0"/>
            <w:vAlign w:val="center"/>
          </w:tcPr>
          <w:p w14:paraId="5C799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进入自然保护区的输电线路，应按照HJ19的要求开展生态环境现状调查，避让保护对象的集中分布区。</w:t>
            </w:r>
          </w:p>
        </w:tc>
        <w:tc>
          <w:tcPr>
            <w:tcW w:w="1593" w:type="pct"/>
            <w:gridSpan w:val="2"/>
            <w:noWrap w:val="0"/>
            <w:vAlign w:val="center"/>
          </w:tcPr>
          <w:p w14:paraId="2C66180F">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sz w:val="21"/>
                <w:szCs w:val="21"/>
                <w:highlight w:val="none"/>
                <w:lang w:val="en-US" w:eastAsia="zh-CN"/>
              </w:rPr>
              <w:t>本工程不涉及自然保护区。</w:t>
            </w:r>
          </w:p>
        </w:tc>
        <w:tc>
          <w:tcPr>
            <w:tcW w:w="599" w:type="pct"/>
            <w:noWrap w:val="0"/>
            <w:vAlign w:val="center"/>
          </w:tcPr>
          <w:p w14:paraId="4E65E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b/>
                <w:bCs/>
                <w:color w:val="000000" w:themeColor="text1"/>
                <w:spacing w:val="-2"/>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14:paraId="75761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noWrap w:val="0"/>
            <w:vAlign w:val="center"/>
          </w:tcPr>
          <w:p w14:paraId="6E478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left"/>
              <w:textAlignment w:val="auto"/>
              <w:rPr>
                <w:rFonts w:hint="eastAsia" w:cs="Times New Roman"/>
                <w:b/>
                <w:bCs/>
                <w:color w:val="000000" w:themeColor="text1"/>
                <w:kern w:val="2"/>
                <w:sz w:val="24"/>
                <w:szCs w:val="24"/>
                <w:highlight w:val="none"/>
                <w:lang w:val="en-US" w:eastAsia="zh-CN" w:bidi="ar-SA"/>
                <w14:textFill>
                  <w14:solidFill>
                    <w14:schemeClr w14:val="tx1"/>
                  </w14:solidFill>
                </w14:textFill>
              </w:rPr>
            </w:pPr>
          </w:p>
          <w:p w14:paraId="78FAB5F2">
            <w:pPr>
              <w:pStyle w:val="127"/>
              <w:keepNext w:val="0"/>
              <w:keepLines w:val="0"/>
              <w:suppressLineNumbers w:val="0"/>
              <w:bidi w:val="0"/>
              <w:spacing w:before="0" w:beforeAutospacing="0" w:after="0" w:afterAutospacing="0"/>
              <w:ind w:left="0" w:leftChars="0" w:right="0" w:firstLine="480" w:firstLineChars="200"/>
              <w:jc w:val="left"/>
              <w:outlineLvl w:val="9"/>
              <w:rPr>
                <w:rFonts w:hint="eastAsia"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综上所述，本工程符合《输变电工程项目环境保护技术要求》相关技术要求。</w:t>
            </w:r>
          </w:p>
          <w:p w14:paraId="1E1D2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4.3.2</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环境制约因素分析</w:t>
            </w:r>
          </w:p>
          <w:p w14:paraId="75C39E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default"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14:textFill>
                  <w14:solidFill>
                    <w14:schemeClr w14:val="tx1"/>
                  </w14:solidFill>
                </w14:textFill>
              </w:rPr>
              <w:t>本工程已建成投入试运行，根据现场调查了解，本工程不涉及自然保护区、风景名胜区、森林公园等生态保护区域，未发现国家重点保护动植物及古树名木分布</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不涉及生态</w:t>
            </w:r>
            <w:r>
              <w:rPr>
                <w:rFonts w:hint="default" w:ascii="宋体" w:hAnsi="宋体" w:eastAsia="宋体" w:cs="宋体"/>
                <w:color w:val="000000" w:themeColor="text1"/>
                <w:sz w:val="24"/>
                <w:szCs w:val="24"/>
                <w14:textFill>
                  <w14:solidFill>
                    <w14:schemeClr w14:val="tx1"/>
                  </w14:solidFill>
                </w14:textFill>
              </w:rPr>
              <w:t>保护红线。</w:t>
            </w:r>
          </w:p>
          <w:p w14:paraId="42F44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w:t>
            </w:r>
            <w:r>
              <w:rPr>
                <w:rFonts w:hint="eastAsia" w:cs="Times New Roman"/>
                <w:b/>
                <w:bCs/>
                <w:color w:val="000000" w:themeColor="text1"/>
                <w:kern w:val="2"/>
                <w:sz w:val="24"/>
                <w:szCs w:val="24"/>
                <w:highlight w:val="none"/>
                <w:lang w:val="en-US" w:eastAsia="zh-CN" w:bidi="ar-SA"/>
                <w14:textFill>
                  <w14:solidFill>
                    <w14:schemeClr w14:val="tx1"/>
                  </w14:solidFill>
                </w14:textFill>
              </w:rPr>
              <w:t>3.3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环境影响程度分析</w:t>
            </w:r>
          </w:p>
          <w:p w14:paraId="2B0A6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default"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14:textFill>
                  <w14:solidFill>
                    <w14:schemeClr w14:val="tx1"/>
                  </w14:solidFill>
                </w14:textFill>
              </w:rPr>
              <w:t>本工程已建成投入试运行，施工期已结束，经现场踏勘及向施工单位了解，本工程施工时已按照环境保护法律法规和相关文件要求落实各项生态保护措施，对生态</w:t>
            </w:r>
            <w:r>
              <w:rPr>
                <w:rFonts w:hint="eastAsia" w:ascii="宋体" w:hAnsi="宋体" w:eastAsia="宋体" w:cs="宋体"/>
                <w:color w:val="000000" w:themeColor="text1"/>
                <w:sz w:val="24"/>
                <w:szCs w:val="24"/>
                <w:lang w:val="en-US" w:eastAsia="zh-CN"/>
                <w14:textFill>
                  <w14:solidFill>
                    <w14:schemeClr w14:val="tx1"/>
                  </w14:solidFill>
                </w14:textFill>
              </w:rPr>
              <w:t>环境</w:t>
            </w:r>
            <w:r>
              <w:rPr>
                <w:rFonts w:hint="default" w:ascii="宋体" w:hAnsi="宋体" w:eastAsia="宋体" w:cs="宋体"/>
                <w:color w:val="000000" w:themeColor="text1"/>
                <w:sz w:val="24"/>
                <w:szCs w:val="24"/>
                <w14:textFill>
                  <w14:solidFill>
                    <w14:schemeClr w14:val="tx1"/>
                  </w14:solidFill>
                </w14:textFill>
              </w:rPr>
              <w:t>影响较小；线路沿线</w:t>
            </w:r>
            <w:r>
              <w:rPr>
                <w:rFonts w:hint="default"/>
              </w:rPr>
              <w:t>及升压站四周</w:t>
            </w:r>
            <w:r>
              <w:rPr>
                <w:rFonts w:hint="default" w:ascii="宋体" w:hAnsi="宋体" w:eastAsia="宋体" w:cs="宋体"/>
                <w:color w:val="000000" w:themeColor="text1"/>
                <w:sz w:val="24"/>
                <w:szCs w:val="24"/>
                <w14:textFill>
                  <w14:solidFill>
                    <w14:schemeClr w14:val="tx1"/>
                  </w14:solidFill>
                </w14:textFill>
              </w:rPr>
              <w:t>无建筑垃圾、生活垃圾乱堆乱放</w:t>
            </w:r>
            <w:r>
              <w:rPr>
                <w:rFonts w:hint="eastAsia" w:ascii="宋体" w:hAnsi="宋体" w:eastAsia="宋体" w:cs="宋体"/>
                <w:color w:val="000000" w:themeColor="text1"/>
                <w:sz w:val="24"/>
                <w:szCs w:val="24"/>
                <w:lang w:val="en-US" w:eastAsia="zh-CN"/>
                <w14:textFill>
                  <w14:solidFill>
                    <w14:schemeClr w14:val="tx1"/>
                  </w14:solidFill>
                </w14:textFill>
              </w:rPr>
              <w:t>情况</w:t>
            </w:r>
            <w:r>
              <w:rPr>
                <w:rFonts w:hint="eastAsia" w:ascii="宋体" w:hAnsi="宋体" w:eastAsia="宋体" w:cs="宋体"/>
                <w:color w:val="000000" w:themeColor="text1"/>
                <w:sz w:val="24"/>
                <w:szCs w:val="24"/>
                <w:lang w:eastAsia="zh-CN"/>
                <w14:textFill>
                  <w14:solidFill>
                    <w14:schemeClr w14:val="tx1"/>
                  </w14:solidFill>
                </w14:textFill>
              </w:rPr>
              <w:t>。</w:t>
            </w:r>
            <w:r>
              <w:rPr>
                <w:rFonts w:hint="default" w:ascii="宋体" w:hAnsi="宋体" w:eastAsia="宋体" w:cs="宋体"/>
                <w:color w:val="000000" w:themeColor="text1"/>
                <w:sz w:val="24"/>
                <w:szCs w:val="24"/>
                <w14:textFill>
                  <w14:solidFill>
                    <w14:schemeClr w14:val="tx1"/>
                  </w14:solidFill>
                </w14:textFill>
              </w:rPr>
              <w:t>本工程建成投入运行后的主要影响是电磁环境和声环境，根据运行期间现状监测结果可知，项目运行产生的电磁环境和声环境影响很小。因此，从环境角度分析，本工程选址选线是合理的。</w:t>
            </w:r>
          </w:p>
          <w:p w14:paraId="263D4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spacing w:val="-2"/>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w:t>
            </w:r>
            <w:r>
              <w:rPr>
                <w:rFonts w:hint="eastAsia" w:cs="Times New Roman"/>
                <w:b/>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4兆瓦</w:t>
            </w:r>
            <w:bookmarkStart w:id="70" w:name="_GoBack"/>
            <w:bookmarkEnd w:id="70"/>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能源110kV光伏升压站选址可行性分析</w:t>
            </w:r>
          </w:p>
          <w:p w14:paraId="3D35886A">
            <w:pPr>
              <w:pStyle w:val="135"/>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8"/>
              <w:textAlignment w:val="auto"/>
              <w:rPr>
                <w:rFonts w:hint="eastAsia"/>
                <w:lang w:val="en-US" w:eastAsia="zh-CN"/>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兆瓦能源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110kV</w:t>
            </w:r>
            <w:r>
              <w:rPr>
                <w:rFonts w:hint="eastAsia" w:ascii="宋体" w:hAnsi="宋体" w:eastAsia="宋体" w:cs="宋体"/>
                <w:color w:val="000000" w:themeColor="text1"/>
                <w:kern w:val="2"/>
                <w:sz w:val="24"/>
                <w:szCs w:val="24"/>
                <w:lang w:val="en-US" w:eastAsia="zh-CN" w:bidi="ar-SA"/>
                <w14:textFill>
                  <w14:solidFill>
                    <w14:schemeClr w14:val="tx1"/>
                  </w14:solidFill>
                </w14:textFill>
              </w:rPr>
              <w:t>光伏升压站</w:t>
            </w:r>
            <w:r>
              <w:rPr>
                <w:rFonts w:hint="default" w:ascii="宋体" w:hAnsi="宋体" w:eastAsia="宋体" w:cs="宋体"/>
                <w:color w:val="000000" w:themeColor="text1"/>
                <w:kern w:val="2"/>
                <w:sz w:val="24"/>
                <w:szCs w:val="24"/>
                <w:lang w:val="en-US" w:eastAsia="zh-CN" w:bidi="ar-SA"/>
                <w14:textFill>
                  <w14:solidFill>
                    <w14:schemeClr w14:val="tx1"/>
                  </w14:solidFill>
                </w14:textFill>
              </w:rPr>
              <w:t>位于</w:t>
            </w:r>
            <w:r>
              <w:rPr>
                <w:rFonts w:hint="default" w:ascii="宋体" w:hAnsi="宋体" w:eastAsia="宋体" w:cs="宋体"/>
                <w:color w:val="000000" w:themeColor="text1"/>
                <w:spacing w:val="9"/>
                <w:sz w:val="24"/>
                <w:szCs w:val="24"/>
                <w14:textFill>
                  <w14:solidFill>
                    <w14:schemeClr w14:val="tx1"/>
                  </w14:solidFill>
                </w14:textFill>
              </w:rPr>
              <w:t>博湖县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博斯腾湖乡</w:t>
            </w:r>
            <w:r>
              <w:rPr>
                <w:rFonts w:hint="default" w:ascii="宋体" w:hAnsi="宋体" w:eastAsia="宋体" w:cs="宋体"/>
                <w:color w:val="000000" w:themeColor="text1"/>
                <w:kern w:val="2"/>
                <w:sz w:val="24"/>
                <w:szCs w:val="24"/>
                <w:lang w:val="en-US" w:eastAsia="zh-CN" w:bidi="ar-SA"/>
                <w14:textFill>
                  <w14:solidFill>
                    <w14:schemeClr w14:val="tx1"/>
                  </w14:solidFill>
                </w14:textFill>
              </w:rPr>
              <w:t>，工程所在地空旷、无地物干扰，进出线方便。通过实地踏勘和收集资料，</w:t>
            </w:r>
            <w:r>
              <w:rPr>
                <w:rFonts w:hint="eastAsia" w:ascii="宋体" w:hAnsi="宋体" w:eastAsia="宋体" w:cs="宋体"/>
                <w:color w:val="000000" w:themeColor="text1"/>
                <w:kern w:val="2"/>
                <w:sz w:val="24"/>
                <w:szCs w:val="24"/>
                <w:lang w:val="en-US" w:eastAsia="zh-CN" w:bidi="ar-SA"/>
                <w14:textFill>
                  <w14:solidFill>
                    <w14:schemeClr w14:val="tx1"/>
                  </w14:solidFill>
                </w14:textFill>
              </w:rPr>
              <w:t>升压站</w:t>
            </w:r>
            <w:r>
              <w:rPr>
                <w:rFonts w:hint="default" w:ascii="宋体" w:hAnsi="宋体" w:eastAsia="宋体" w:cs="宋体"/>
                <w:color w:val="000000" w:themeColor="text1"/>
                <w:kern w:val="2"/>
                <w:sz w:val="24"/>
                <w:szCs w:val="24"/>
                <w:lang w:val="en-US" w:eastAsia="zh-CN" w:bidi="ar-SA"/>
                <w14:textFill>
                  <w14:solidFill>
                    <w14:schemeClr w14:val="tx1"/>
                  </w14:solidFill>
                </w14:textFill>
              </w:rPr>
              <w:t>站址交通便利，能够满足设备运输及消防车通行，有利于工程建设。从环保角度分析，</w:t>
            </w:r>
            <w:r>
              <w:rPr>
                <w:rFonts w:hint="eastAsia" w:ascii="宋体" w:hAnsi="宋体" w:eastAsia="宋体" w:cs="宋体"/>
                <w:color w:val="000000" w:themeColor="text1"/>
                <w:kern w:val="2"/>
                <w:sz w:val="24"/>
                <w:szCs w:val="24"/>
                <w:lang w:val="en-US" w:eastAsia="zh-CN" w:bidi="ar-SA"/>
                <w14:textFill>
                  <w14:solidFill>
                    <w14:schemeClr w14:val="tx1"/>
                  </w14:solidFill>
                </w14:textFill>
              </w:rPr>
              <w:t>升压站</w:t>
            </w:r>
            <w:r>
              <w:rPr>
                <w:rFonts w:hint="default" w:ascii="宋体" w:hAnsi="宋体" w:eastAsia="宋体" w:cs="宋体"/>
                <w:color w:val="000000" w:themeColor="text1"/>
                <w:kern w:val="2"/>
                <w:sz w:val="24"/>
                <w:szCs w:val="24"/>
                <w:lang w:val="en-US" w:eastAsia="zh-CN" w:bidi="ar-SA"/>
                <w14:textFill>
                  <w14:solidFill>
                    <w14:schemeClr w14:val="tx1"/>
                  </w14:solidFill>
                </w14:textFill>
              </w:rPr>
              <w:t>选址可行。</w:t>
            </w:r>
          </w:p>
          <w:p w14:paraId="1B21D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w:t>
            </w:r>
            <w:r>
              <w:rPr>
                <w:rFonts w:hint="eastAsia" w:cs="Times New Roman"/>
                <w:b/>
                <w:bCs/>
                <w:color w:val="000000" w:themeColor="text1"/>
                <w:kern w:val="2"/>
                <w:sz w:val="24"/>
                <w:szCs w:val="24"/>
                <w:highlight w:val="none"/>
                <w:lang w:val="en-US" w:eastAsia="zh-CN" w:bidi="ar-SA"/>
                <w14:textFill>
                  <w14:solidFill>
                    <w14:schemeClr w14:val="tx1"/>
                  </w14:solidFill>
                </w14:textFill>
              </w:rPr>
              <w:t>3.5</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输电线路路径</w:t>
            </w:r>
            <w:r>
              <w:rPr>
                <w:rFonts w:hint="default"/>
                <w:b/>
                <w:bCs/>
                <w:spacing w:val="-4"/>
              </w:rPr>
              <w:t>方案比选</w:t>
            </w:r>
          </w:p>
          <w:p w14:paraId="572D0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方</w:t>
            </w:r>
            <w:r>
              <w:rPr>
                <w:rFonts w:hint="default"/>
                <w:spacing w:val="-2"/>
              </w:rPr>
              <w:t>案一：</w:t>
            </w:r>
            <w:r>
              <w:rPr>
                <w:rFonts w:hint="eastAsia" w:ascii="Times New Roman" w:hAnsi="Times New Roman" w:eastAsia="宋体" w:cs="宋体"/>
                <w:color w:val="000000" w:themeColor="text1"/>
                <w:sz w:val="24"/>
                <w:szCs w:val="24"/>
                <w:lang w:val="en-US" w:eastAsia="zh-CN"/>
                <w14:textFill>
                  <w14:solidFill>
                    <w14:schemeClr w14:val="tx1"/>
                  </w14:solidFill>
                </w14:textFill>
              </w:rPr>
              <w:t>线路自博湖县兆瓦能源科技光伏110kV升压站出线至终端塔后，线路平行于晶嘉光伏至种植园110kV变35kV线路南侧40米向西行进，线路行进至110kV莲园线东侧40米时右转，连续跨越晶嘉光伏35kV线路及大唐光伏35kV线路后</w:t>
            </w:r>
            <w:r>
              <w:rPr>
                <w:rFonts w:hint="eastAsia" w:cs="宋体"/>
                <w:color w:val="000000" w:themeColor="text1"/>
                <w:sz w:val="24"/>
                <w:szCs w:val="24"/>
                <w:lang w:val="en-US"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向北行进约400米</w:t>
            </w:r>
            <w:r>
              <w:rPr>
                <w:rFonts w:hint="eastAsia" w:cs="宋体"/>
                <w:color w:val="000000" w:themeColor="text1"/>
                <w:sz w:val="24"/>
                <w:szCs w:val="24"/>
                <w:lang w:val="en-US" w:eastAsia="zh-CN"/>
                <w14:textFill>
                  <w14:solidFill>
                    <w14:schemeClr w14:val="tx1"/>
                  </w14:solidFill>
                </w14:textFill>
              </w:rPr>
              <w:t>，左转至</w:t>
            </w:r>
            <w:r>
              <w:rPr>
                <w:rFonts w:hint="eastAsia" w:ascii="Times New Roman" w:hAnsi="Times New Roman" w:eastAsia="宋体" w:cs="宋体"/>
                <w:color w:val="000000" w:themeColor="text1"/>
                <w:sz w:val="24"/>
                <w:szCs w:val="24"/>
                <w:lang w:val="en-US" w:eastAsia="zh-CN"/>
                <w14:textFill>
                  <w14:solidFill>
                    <w14:schemeClr w14:val="tx1"/>
                  </w14:solidFill>
                </w14:textFill>
              </w:rPr>
              <w:t>终端塔</w:t>
            </w:r>
            <w:r>
              <w:rPr>
                <w:rFonts w:hint="eastAsia" w:cs="宋体"/>
                <w:color w:val="000000" w:themeColor="text1"/>
                <w:sz w:val="24"/>
                <w:szCs w:val="24"/>
                <w:lang w:val="en-US" w:eastAsia="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从终端塔架空线路接至种植园110kV变，线路全长2.98千米。</w:t>
            </w:r>
          </w:p>
          <w:p w14:paraId="50F217CE">
            <w:pPr>
              <w:pStyle w:val="5"/>
              <w:suppressLineNumbers w:val="0"/>
              <w:spacing w:before="0" w:beforeAutospacing="0" w:after="0" w:afterAutospacing="0"/>
              <w:ind w:left="0" w:right="0"/>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方案二：线路自博湖县兆瓦能源科技光伏110kV升压站电缆出线，线路右转仍采用电缆穿越35kV晶嘉光伏35kV线路及大唐光伏35K线路（此处因晶嘉光伏35kV线路为27米高塔，因此无法跨越</w:t>
            </w:r>
            <w:r>
              <w:rPr>
                <w:rFonts w:hint="eastAsia" w:cs="宋体"/>
                <w:b w:val="0"/>
                <w:bCs w:val="0"/>
                <w:color w:val="000000" w:themeColor="text1"/>
                <w:kern w:val="2"/>
                <w:sz w:val="24"/>
                <w:szCs w:val="24"/>
                <w:lang w:val="en-US" w:eastAsia="zh-CN" w:bidi="ar-SA"/>
                <w14:textFill>
                  <w14:solidFill>
                    <w14:schemeClr w14:val="tx1"/>
                  </w14:solidFill>
                </w14:textFill>
              </w:rPr>
              <w:t>，需</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电缆穿越）。电缆线路继续向北跨越公路行进约150米至公路线石油管线北侧50米，后线路左转平行于石油管线北侧50米向西行进至110kV莲园线东侧40米，线路右转向北行进200米至终端塔，后从终端塔下架空线路接至种植园110kV变。线路全长约3.1千米，其中电缆路径260米。</w:t>
            </w:r>
          </w:p>
          <w:p w14:paraId="39889951">
            <w:pPr>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b/>
                <w:bCs/>
                <w:color w:val="000000" w:themeColor="text1"/>
                <w:spacing w:val="-2"/>
                <w:lang w:val="en-US" w:eastAsia="zh-CN"/>
                <w14:textFill>
                  <w14:solidFill>
                    <w14:schemeClr w14:val="tx1"/>
                  </w14:solidFill>
                </w14:textFill>
              </w:rPr>
              <w:t xml:space="preserve">表4-2 </w:t>
            </w:r>
            <w:r>
              <w:rPr>
                <w:rFonts w:hint="default"/>
                <w:b/>
                <w:bCs/>
                <w:spacing w:val="-2"/>
              </w:rPr>
              <w:t>线路路径方案比较一览表</w:t>
            </w:r>
          </w:p>
        </w:tc>
      </w:tr>
      <w:tr w14:paraId="23E14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666" w:type="pct"/>
            <w:gridSpan w:val="4"/>
            <w:noWrap w:val="0"/>
            <w:vAlign w:val="center"/>
          </w:tcPr>
          <w:p w14:paraId="7B01770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方案</w:t>
            </w:r>
          </w:p>
        </w:tc>
        <w:tc>
          <w:tcPr>
            <w:tcW w:w="1666" w:type="pct"/>
            <w:gridSpan w:val="2"/>
            <w:noWrap w:val="0"/>
            <w:vAlign w:val="center"/>
          </w:tcPr>
          <w:p w14:paraId="49DF22E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方案一</w:t>
            </w:r>
          </w:p>
        </w:tc>
        <w:tc>
          <w:tcPr>
            <w:tcW w:w="1667" w:type="pct"/>
            <w:gridSpan w:val="2"/>
            <w:noWrap w:val="0"/>
            <w:vAlign w:val="center"/>
          </w:tcPr>
          <w:p w14:paraId="430A0CE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方案二</w:t>
            </w:r>
          </w:p>
        </w:tc>
      </w:tr>
      <w:tr w14:paraId="5409E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666" w:type="pct"/>
            <w:gridSpan w:val="4"/>
            <w:noWrap w:val="0"/>
            <w:vAlign w:val="center"/>
          </w:tcPr>
          <w:p w14:paraId="0BAAF3D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线路长度</w:t>
            </w:r>
          </w:p>
        </w:tc>
        <w:tc>
          <w:tcPr>
            <w:tcW w:w="1666" w:type="pct"/>
            <w:gridSpan w:val="2"/>
            <w:noWrap w:val="0"/>
            <w:vAlign w:val="center"/>
          </w:tcPr>
          <w:p w14:paraId="174C696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2.98km</w:t>
            </w:r>
          </w:p>
        </w:tc>
        <w:tc>
          <w:tcPr>
            <w:tcW w:w="1667" w:type="pct"/>
            <w:gridSpan w:val="2"/>
            <w:noWrap w:val="0"/>
            <w:vAlign w:val="center"/>
          </w:tcPr>
          <w:p w14:paraId="05118C2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（电缆0.26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799F4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666" w:type="pct"/>
            <w:gridSpan w:val="4"/>
            <w:noWrap w:val="0"/>
            <w:vAlign w:val="center"/>
          </w:tcPr>
          <w:p w14:paraId="3C9FB4A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转角次数</w:t>
            </w:r>
          </w:p>
        </w:tc>
        <w:tc>
          <w:tcPr>
            <w:tcW w:w="1666" w:type="pct"/>
            <w:gridSpan w:val="2"/>
            <w:noWrap w:val="0"/>
            <w:vAlign w:val="center"/>
          </w:tcPr>
          <w:p w14:paraId="4571C21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667" w:type="pct"/>
            <w:gridSpan w:val="2"/>
            <w:noWrap w:val="0"/>
            <w:vAlign w:val="center"/>
          </w:tcPr>
          <w:p w14:paraId="3672FE7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r>
      <w:tr w14:paraId="2BAEF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666" w:type="pct"/>
            <w:gridSpan w:val="4"/>
            <w:noWrap w:val="0"/>
            <w:vAlign w:val="center"/>
          </w:tcPr>
          <w:p w14:paraId="4769682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曲折系数</w:t>
            </w:r>
          </w:p>
        </w:tc>
        <w:tc>
          <w:tcPr>
            <w:tcW w:w="1666" w:type="pct"/>
            <w:gridSpan w:val="2"/>
            <w:noWrap w:val="0"/>
            <w:vAlign w:val="center"/>
          </w:tcPr>
          <w:p w14:paraId="527E84F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1.12</w:t>
            </w:r>
          </w:p>
        </w:tc>
        <w:tc>
          <w:tcPr>
            <w:tcW w:w="1667" w:type="pct"/>
            <w:gridSpan w:val="2"/>
            <w:noWrap w:val="0"/>
            <w:vAlign w:val="center"/>
          </w:tcPr>
          <w:p w14:paraId="56A34A0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1.13</w:t>
            </w:r>
          </w:p>
        </w:tc>
      </w:tr>
      <w:tr w14:paraId="10EC6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666" w:type="pct"/>
            <w:gridSpan w:val="4"/>
            <w:noWrap w:val="0"/>
            <w:vAlign w:val="center"/>
          </w:tcPr>
          <w:p w14:paraId="784E463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spacing w:val="7"/>
                <w:sz w:val="20"/>
                <w:szCs w:val="20"/>
              </w:rPr>
              <w:t>地形地质</w:t>
            </w:r>
          </w:p>
        </w:tc>
        <w:tc>
          <w:tcPr>
            <w:tcW w:w="1666" w:type="pct"/>
            <w:gridSpan w:val="2"/>
            <w:noWrap w:val="0"/>
            <w:vAlign w:val="center"/>
          </w:tcPr>
          <w:p w14:paraId="3048094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未利用地（裸土地）</w:t>
            </w:r>
          </w:p>
        </w:tc>
        <w:tc>
          <w:tcPr>
            <w:tcW w:w="1667" w:type="pct"/>
            <w:gridSpan w:val="2"/>
            <w:noWrap w:val="0"/>
            <w:vAlign w:val="center"/>
          </w:tcPr>
          <w:p w14:paraId="7E5FE51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未利用地（裸土地）</w:t>
            </w:r>
          </w:p>
        </w:tc>
      </w:tr>
      <w:tr w14:paraId="18001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833" w:type="pct"/>
            <w:gridSpan w:val="3"/>
            <w:vMerge w:val="restart"/>
            <w:noWrap w:val="0"/>
            <w:vAlign w:val="center"/>
          </w:tcPr>
          <w:p w14:paraId="7E5B85A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交叉跨越</w:t>
            </w:r>
          </w:p>
        </w:tc>
        <w:tc>
          <w:tcPr>
            <w:tcW w:w="833" w:type="pct"/>
            <w:noWrap w:val="0"/>
            <w:vAlign w:val="center"/>
          </w:tcPr>
          <w:p w14:paraId="51E9D7B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35kV电力线</w:t>
            </w:r>
          </w:p>
        </w:tc>
        <w:tc>
          <w:tcPr>
            <w:tcW w:w="1666" w:type="pct"/>
            <w:gridSpan w:val="2"/>
            <w:noWrap w:val="0"/>
            <w:vAlign w:val="center"/>
          </w:tcPr>
          <w:p w14:paraId="4B5985E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跨越2次</w:t>
            </w:r>
          </w:p>
        </w:tc>
        <w:tc>
          <w:tcPr>
            <w:tcW w:w="1667" w:type="pct"/>
            <w:gridSpan w:val="2"/>
            <w:noWrap w:val="0"/>
            <w:vAlign w:val="center"/>
          </w:tcPr>
          <w:p w14:paraId="083503B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跨越2次</w:t>
            </w:r>
          </w:p>
        </w:tc>
      </w:tr>
      <w:tr w14:paraId="7CB8D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833" w:type="pct"/>
            <w:gridSpan w:val="3"/>
            <w:vMerge w:val="continue"/>
            <w:noWrap w:val="0"/>
            <w:vAlign w:val="center"/>
          </w:tcPr>
          <w:p w14:paraId="6D0C0C0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3" w:type="pct"/>
            <w:noWrap w:val="0"/>
            <w:vAlign w:val="center"/>
          </w:tcPr>
          <w:p w14:paraId="48CD739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10kV电力线</w:t>
            </w:r>
          </w:p>
        </w:tc>
        <w:tc>
          <w:tcPr>
            <w:tcW w:w="1666" w:type="pct"/>
            <w:gridSpan w:val="2"/>
            <w:noWrap w:val="0"/>
            <w:vAlign w:val="center"/>
          </w:tcPr>
          <w:p w14:paraId="163F4A0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跨越3次</w:t>
            </w:r>
          </w:p>
        </w:tc>
        <w:tc>
          <w:tcPr>
            <w:tcW w:w="1667" w:type="pct"/>
            <w:gridSpan w:val="2"/>
            <w:noWrap w:val="0"/>
            <w:vAlign w:val="center"/>
          </w:tcPr>
          <w:p w14:paraId="7B2622D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跨越3次</w:t>
            </w:r>
          </w:p>
        </w:tc>
      </w:tr>
      <w:tr w14:paraId="360A6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833" w:type="pct"/>
            <w:gridSpan w:val="3"/>
            <w:vMerge w:val="continue"/>
            <w:noWrap w:val="0"/>
            <w:vAlign w:val="center"/>
          </w:tcPr>
          <w:p w14:paraId="1966E1E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3" w:type="pct"/>
            <w:noWrap w:val="0"/>
            <w:vAlign w:val="center"/>
          </w:tcPr>
          <w:p w14:paraId="5A36AB2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通讯线</w:t>
            </w:r>
          </w:p>
        </w:tc>
        <w:tc>
          <w:tcPr>
            <w:tcW w:w="1666" w:type="pct"/>
            <w:gridSpan w:val="2"/>
            <w:noWrap w:val="0"/>
            <w:vAlign w:val="center"/>
          </w:tcPr>
          <w:p w14:paraId="3C943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rPr>
              <w:t>跨越2次</w:t>
            </w:r>
          </w:p>
        </w:tc>
        <w:tc>
          <w:tcPr>
            <w:tcW w:w="1667" w:type="pct"/>
            <w:gridSpan w:val="2"/>
            <w:noWrap w:val="0"/>
            <w:vAlign w:val="center"/>
          </w:tcPr>
          <w:p w14:paraId="2A879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rPr>
              <w:t>跨越2次</w:t>
            </w:r>
          </w:p>
        </w:tc>
      </w:tr>
      <w:tr w14:paraId="6D7DA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833" w:type="pct"/>
            <w:gridSpan w:val="3"/>
            <w:vMerge w:val="continue"/>
            <w:noWrap w:val="0"/>
            <w:vAlign w:val="center"/>
          </w:tcPr>
          <w:p w14:paraId="01D5CF4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3" w:type="pct"/>
            <w:noWrap w:val="0"/>
            <w:vAlign w:val="center"/>
          </w:tcPr>
          <w:p w14:paraId="5A470E3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公路</w:t>
            </w:r>
          </w:p>
        </w:tc>
        <w:tc>
          <w:tcPr>
            <w:tcW w:w="1666" w:type="pct"/>
            <w:gridSpan w:val="2"/>
            <w:noWrap w:val="0"/>
            <w:vAlign w:val="center"/>
          </w:tcPr>
          <w:p w14:paraId="659BF79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跨越2次</w:t>
            </w:r>
          </w:p>
        </w:tc>
        <w:tc>
          <w:tcPr>
            <w:tcW w:w="1667" w:type="pct"/>
            <w:gridSpan w:val="2"/>
            <w:noWrap w:val="0"/>
            <w:vAlign w:val="center"/>
          </w:tcPr>
          <w:p w14:paraId="4457362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跨越2次</w:t>
            </w:r>
          </w:p>
        </w:tc>
      </w:tr>
      <w:tr w14:paraId="12133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5000" w:type="pct"/>
            <w:gridSpan w:val="8"/>
            <w:noWrap w:val="0"/>
            <w:vAlign w:val="center"/>
          </w:tcPr>
          <w:p w14:paraId="67EE5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firstLine="520" w:firstLineChars="200"/>
              <w:jc w:val="left"/>
              <w:textAlignment w:val="auto"/>
              <w:rPr>
                <w:rFonts w:hint="default" w:ascii="Times New Roman" w:hAnsi="Times New Roman" w:eastAsia="宋体"/>
                <w:color w:val="000000" w:themeColor="text1"/>
                <w:spacing w:val="10"/>
                <w:sz w:val="24"/>
                <w14:textFill>
                  <w14:solidFill>
                    <w14:schemeClr w14:val="tx1"/>
                  </w14:solidFill>
                </w14:textFill>
              </w:rPr>
            </w:pPr>
          </w:p>
          <w:p w14:paraId="105C2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14:textFill>
                  <w14:solidFill>
                    <w14:schemeClr w14:val="tx1"/>
                  </w14:solidFill>
                </w14:textFill>
              </w:rPr>
              <w:t>根据《博湖县兆瓦能源科技有限公司20MWP光伏电站工程110kV配套送出工程可行性研究报告》</w:t>
            </w:r>
            <w:r>
              <w:rPr>
                <w:rFonts w:hint="eastAsia" w:cs="宋体"/>
                <w:color w:val="000000" w:themeColor="text1"/>
                <w:sz w:val="24"/>
                <w:szCs w:val="24"/>
                <w:lang w:val="en-US" w:eastAsia="zh-CN"/>
                <w14:textFill>
                  <w14:solidFill>
                    <w14:schemeClr w14:val="tx1"/>
                  </w14:solidFill>
                </w14:textFill>
              </w:rPr>
              <w:t>，</w:t>
            </w:r>
            <w:r>
              <w:rPr>
                <w:rFonts w:hint="default" w:ascii="Times New Roman" w:hAnsi="Times New Roman" w:eastAsia="宋体"/>
                <w:color w:val="000000" w:themeColor="text1"/>
                <w:spacing w:val="10"/>
                <w:sz w:val="24"/>
                <w14:textFill>
                  <w14:solidFill>
                    <w14:schemeClr w14:val="tx1"/>
                  </w14:solidFill>
                </w14:textFill>
              </w:rPr>
              <w:t>综合考虑运行条件</w:t>
            </w:r>
            <w:r>
              <w:rPr>
                <w:rFonts w:hint="eastAsia" w:ascii="Times New Roman" w:hAnsi="Times New Roman" w:eastAsia="宋体" w:cs="宋体"/>
                <w:color w:val="000000" w:themeColor="text1"/>
                <w:sz w:val="24"/>
                <w:szCs w:val="24"/>
                <w:lang w:val="en-US" w:eastAsia="zh-CN"/>
                <w14:textFill>
                  <w14:solidFill>
                    <w14:schemeClr w14:val="tx1"/>
                  </w14:solidFill>
                </w14:textFill>
              </w:rPr>
              <w:t>，</w:t>
            </w:r>
            <w:r>
              <w:rPr>
                <w:rFonts w:hint="default"/>
                <w:spacing w:val="-2"/>
              </w:rPr>
              <w:t>方案一</w:t>
            </w:r>
            <w:r>
              <w:rPr>
                <w:rFonts w:hint="eastAsia" w:ascii="Times New Roman" w:hAnsi="Times New Roman" w:eastAsia="宋体" w:cs="宋体"/>
                <w:color w:val="000000" w:themeColor="text1"/>
                <w:sz w:val="24"/>
                <w:szCs w:val="24"/>
                <w:lang w:val="en-US" w:eastAsia="zh-CN"/>
                <w14:textFill>
                  <w14:solidFill>
                    <w14:schemeClr w14:val="tx1"/>
                  </w14:solidFill>
                </w14:textFill>
              </w:rPr>
              <w:t>路径线路长度短；综合费用合理；</w:t>
            </w:r>
            <w:r>
              <w:rPr>
                <w:rFonts w:hint="default"/>
                <w:color w:val="000000" w:themeColor="text1"/>
                <w:spacing w:val="7"/>
                <w14:textFill>
                  <w14:solidFill>
                    <w14:schemeClr w14:val="tx1"/>
                  </w14:solidFill>
                </w14:textFill>
              </w:rPr>
              <w:t>从环境影响角度分析</w:t>
            </w:r>
            <w:r>
              <w:rPr>
                <w:rFonts w:hint="eastAsia"/>
                <w:color w:val="000000" w:themeColor="text1"/>
                <w:spacing w:val="7"/>
                <w:lang w:eastAsia="zh-CN"/>
                <w14:textFill>
                  <w14:solidFill>
                    <w14:schemeClr w14:val="tx1"/>
                  </w14:solidFill>
                </w14:textFill>
              </w:rPr>
              <w:t>，</w:t>
            </w:r>
            <w:r>
              <w:rPr>
                <w:rFonts w:hint="eastAsia"/>
                <w:color w:val="000000" w:themeColor="text1"/>
                <w:spacing w:val="7"/>
                <w:lang w:val="en-US" w:eastAsia="zh-CN"/>
                <w14:textFill>
                  <w14:solidFill>
                    <w14:schemeClr w14:val="tx1"/>
                  </w14:solidFill>
                </w14:textFill>
              </w:rPr>
              <w:t>选址选线亦合理，</w:t>
            </w:r>
            <w:r>
              <w:rPr>
                <w:rFonts w:hint="eastAsia" w:ascii="Times New Roman" w:hAnsi="Times New Roman" w:eastAsia="宋体" w:cs="宋体"/>
                <w:color w:val="000000" w:themeColor="text1"/>
                <w:sz w:val="24"/>
                <w:szCs w:val="24"/>
                <w:lang w:val="en-US" w:eastAsia="zh-CN"/>
                <w14:textFill>
                  <w14:solidFill>
                    <w14:schemeClr w14:val="tx1"/>
                  </w14:solidFill>
                </w14:textFill>
              </w:rPr>
              <w:t>故选用</w:t>
            </w:r>
            <w:r>
              <w:rPr>
                <w:rFonts w:hint="default"/>
                <w:spacing w:val="-2"/>
              </w:rPr>
              <w:t>方案一</w:t>
            </w:r>
            <w:r>
              <w:rPr>
                <w:rFonts w:hint="eastAsia" w:ascii="Times New Roman" w:hAnsi="Times New Roman" w:eastAsia="宋体" w:cs="宋体"/>
                <w:color w:val="000000" w:themeColor="text1"/>
                <w:sz w:val="24"/>
                <w:szCs w:val="24"/>
                <w:lang w:val="en-US" w:eastAsia="zh-CN"/>
                <w14:textFill>
                  <w14:solidFill>
                    <w14:schemeClr w14:val="tx1"/>
                  </w14:solidFill>
                </w14:textFill>
              </w:rPr>
              <w:t>建设。</w:t>
            </w:r>
          </w:p>
          <w:p w14:paraId="012F17C2">
            <w:pPr>
              <w:pStyle w:val="5"/>
              <w:suppressLineNumbers w:val="0"/>
              <w:spacing w:before="0" w:beforeAutospacing="0" w:after="0" w:afterAutospacing="0"/>
              <w:ind w:left="0" w:right="0"/>
              <w:rPr>
                <w:rFonts w:hint="eastAsia" w:ascii="Times New Roman" w:hAnsi="Times New Roman" w:eastAsia="宋体" w:cs="宋体"/>
                <w:color w:val="000000" w:themeColor="text1"/>
                <w:sz w:val="24"/>
                <w:szCs w:val="24"/>
                <w:lang w:val="en-US" w:eastAsia="zh-CN"/>
                <w14:textFill>
                  <w14:solidFill>
                    <w14:schemeClr w14:val="tx1"/>
                  </w14:solidFill>
                </w14:textFill>
              </w:rPr>
            </w:pPr>
          </w:p>
          <w:p w14:paraId="5A03AD16">
            <w:pPr>
              <w:keepNext w:val="0"/>
              <w:keepLines w:val="0"/>
              <w:suppressLineNumbers w:val="0"/>
              <w:spacing w:before="0" w:beforeAutospacing="0" w:after="0" w:afterAutospacing="0"/>
              <w:ind w:left="0" w:right="0"/>
              <w:rPr>
                <w:rFonts w:hint="eastAsia" w:ascii="Times New Roman" w:hAnsi="Times New Roman" w:eastAsia="宋体" w:cs="宋体"/>
                <w:color w:val="000000" w:themeColor="text1"/>
                <w:sz w:val="24"/>
                <w:szCs w:val="24"/>
                <w:lang w:val="en-US" w:eastAsia="zh-CN"/>
                <w14:textFill>
                  <w14:solidFill>
                    <w14:schemeClr w14:val="tx1"/>
                  </w14:solidFill>
                </w14:textFill>
              </w:rPr>
            </w:pPr>
          </w:p>
          <w:p w14:paraId="6FA71BA3">
            <w:pPr>
              <w:pStyle w:val="5"/>
              <w:suppressLineNumbers w:val="0"/>
              <w:spacing w:before="0" w:beforeAutospacing="0" w:after="0" w:afterAutospacing="0"/>
              <w:ind w:left="0" w:leftChars="0" w:right="0" w:firstLine="0" w:firstLineChars="0"/>
              <w:rPr>
                <w:rFonts w:hint="default"/>
                <w:lang w:val="en-US" w:eastAsia="zh-CN"/>
              </w:rPr>
            </w:pPr>
          </w:p>
          <w:p w14:paraId="1A257ED5">
            <w:pPr>
              <w:keepNext w:val="0"/>
              <w:keepLines w:val="0"/>
              <w:suppressLineNumbers w:val="0"/>
              <w:spacing w:before="0" w:beforeAutospacing="0" w:after="0" w:afterAutospacing="0"/>
              <w:ind w:left="0" w:right="0"/>
              <w:rPr>
                <w:rFonts w:hint="default"/>
                <w:lang w:val="en-US" w:eastAsia="zh-CN"/>
              </w:rPr>
            </w:pPr>
          </w:p>
          <w:p w14:paraId="597776E1">
            <w:pPr>
              <w:keepNext w:val="0"/>
              <w:keepLines w:val="0"/>
              <w:suppressLineNumbers w:val="0"/>
              <w:spacing w:before="0" w:beforeAutospacing="0" w:after="0" w:afterAutospacing="0"/>
              <w:ind w:left="0" w:leftChars="0" w:right="0" w:firstLine="0" w:firstLineChars="0"/>
              <w:rPr>
                <w:rFonts w:hint="default"/>
                <w:lang w:val="en-US" w:eastAsia="zh-CN"/>
              </w:rPr>
            </w:pPr>
          </w:p>
          <w:p w14:paraId="25AC8E84">
            <w:pPr>
              <w:keepNext w:val="0"/>
              <w:keepLines w:val="0"/>
              <w:suppressLineNumbers w:val="0"/>
              <w:spacing w:before="0" w:beforeAutospacing="0" w:after="0" w:afterAutospacing="0"/>
              <w:ind w:left="0" w:leftChars="0" w:right="0" w:firstLine="0" w:firstLineChars="0"/>
              <w:rPr>
                <w:rFonts w:hint="default"/>
                <w:lang w:val="en-US" w:eastAsia="zh-CN"/>
              </w:rPr>
            </w:pPr>
          </w:p>
          <w:p w14:paraId="436B9BAE">
            <w:pPr>
              <w:keepNext w:val="0"/>
              <w:keepLines w:val="0"/>
              <w:suppressLineNumbers w:val="0"/>
              <w:spacing w:before="0" w:beforeAutospacing="0" w:after="0" w:afterAutospacing="0"/>
              <w:ind w:left="0" w:leftChars="0" w:right="0" w:firstLine="0" w:firstLineChars="0"/>
              <w:rPr>
                <w:rFonts w:hint="default"/>
                <w:lang w:val="en-US" w:eastAsia="zh-CN"/>
              </w:rPr>
            </w:pPr>
          </w:p>
          <w:p w14:paraId="2A82BC50">
            <w:pPr>
              <w:keepNext w:val="0"/>
              <w:keepLines w:val="0"/>
              <w:suppressLineNumbers w:val="0"/>
              <w:spacing w:before="0" w:beforeAutospacing="0" w:after="0" w:afterAutospacing="0"/>
              <w:ind w:left="0" w:leftChars="0" w:right="0" w:firstLine="0" w:firstLineChars="0"/>
              <w:rPr>
                <w:rFonts w:hint="default"/>
                <w:lang w:val="en-US" w:eastAsia="zh-CN"/>
              </w:rPr>
            </w:pPr>
          </w:p>
          <w:p w14:paraId="7C50CFE5">
            <w:pPr>
              <w:keepNext w:val="0"/>
              <w:keepLines w:val="0"/>
              <w:suppressLineNumbers w:val="0"/>
              <w:spacing w:before="0" w:beforeAutospacing="0" w:after="0" w:afterAutospacing="0"/>
              <w:ind w:left="0" w:leftChars="0" w:right="0" w:firstLine="0" w:firstLineChars="0"/>
              <w:rPr>
                <w:rFonts w:hint="default"/>
                <w:lang w:val="en-US" w:eastAsia="zh-CN"/>
              </w:rPr>
            </w:pPr>
          </w:p>
          <w:p w14:paraId="35495380">
            <w:pPr>
              <w:keepNext w:val="0"/>
              <w:keepLines w:val="0"/>
              <w:suppressLineNumbers w:val="0"/>
              <w:spacing w:before="0" w:beforeAutospacing="0" w:after="0" w:afterAutospacing="0"/>
              <w:ind w:left="0" w:leftChars="0" w:right="0" w:firstLine="0" w:firstLineChars="0"/>
              <w:rPr>
                <w:rFonts w:hint="default"/>
                <w:lang w:val="en-US" w:eastAsia="zh-CN"/>
              </w:rPr>
            </w:pPr>
          </w:p>
          <w:p w14:paraId="31A42B94">
            <w:pPr>
              <w:keepNext w:val="0"/>
              <w:keepLines w:val="0"/>
              <w:suppressLineNumbers w:val="0"/>
              <w:spacing w:before="0" w:beforeAutospacing="0" w:after="0" w:afterAutospacing="0"/>
              <w:ind w:left="0" w:leftChars="0" w:right="0" w:firstLine="0" w:firstLineChars="0"/>
              <w:rPr>
                <w:rFonts w:hint="default"/>
                <w:lang w:val="en-US" w:eastAsia="zh-CN"/>
              </w:rPr>
            </w:pPr>
          </w:p>
          <w:p w14:paraId="114F5F85">
            <w:pPr>
              <w:keepNext w:val="0"/>
              <w:keepLines w:val="0"/>
              <w:suppressLineNumbers w:val="0"/>
              <w:spacing w:before="0" w:beforeAutospacing="0" w:after="0" w:afterAutospacing="0"/>
              <w:ind w:left="0" w:leftChars="0" w:right="0" w:firstLine="0" w:firstLineChars="0"/>
              <w:rPr>
                <w:rFonts w:hint="default"/>
                <w:lang w:val="en-US" w:eastAsia="zh-CN"/>
              </w:rPr>
            </w:pPr>
          </w:p>
          <w:p w14:paraId="1E162AB8">
            <w:pPr>
              <w:keepNext w:val="0"/>
              <w:keepLines w:val="0"/>
              <w:suppressLineNumbers w:val="0"/>
              <w:spacing w:before="0" w:beforeAutospacing="0" w:after="0" w:afterAutospacing="0"/>
              <w:ind w:left="0" w:leftChars="0" w:right="0" w:firstLine="0" w:firstLineChars="0"/>
              <w:rPr>
                <w:rFonts w:hint="default"/>
                <w:lang w:val="en-US" w:eastAsia="zh-CN"/>
              </w:rPr>
            </w:pPr>
          </w:p>
          <w:p w14:paraId="41152D92">
            <w:pPr>
              <w:keepNext w:val="0"/>
              <w:keepLines w:val="0"/>
              <w:suppressLineNumbers w:val="0"/>
              <w:spacing w:before="0" w:beforeAutospacing="0" w:after="0" w:afterAutospacing="0"/>
              <w:ind w:left="0" w:leftChars="0" w:right="0" w:firstLine="0" w:firstLineChars="0"/>
              <w:rPr>
                <w:rFonts w:hint="default"/>
                <w:lang w:val="en-US" w:eastAsia="zh-CN"/>
              </w:rPr>
            </w:pPr>
          </w:p>
          <w:p w14:paraId="562A6A96">
            <w:pPr>
              <w:keepNext w:val="0"/>
              <w:keepLines w:val="0"/>
              <w:suppressLineNumbers w:val="0"/>
              <w:spacing w:before="0" w:beforeAutospacing="0" w:after="0" w:afterAutospacing="0"/>
              <w:ind w:left="0" w:leftChars="0" w:right="0" w:firstLine="0" w:firstLineChars="0"/>
              <w:rPr>
                <w:rFonts w:hint="default"/>
                <w:lang w:val="en-US" w:eastAsia="zh-CN"/>
              </w:rPr>
            </w:pPr>
          </w:p>
          <w:p w14:paraId="25F60977">
            <w:pPr>
              <w:keepNext w:val="0"/>
              <w:keepLines w:val="0"/>
              <w:suppressLineNumbers w:val="0"/>
              <w:spacing w:before="0" w:beforeAutospacing="0" w:after="0" w:afterAutospacing="0"/>
              <w:ind w:left="0" w:leftChars="0" w:right="0" w:firstLine="0" w:firstLineChars="0"/>
              <w:rPr>
                <w:rFonts w:hint="default"/>
                <w:lang w:val="en-US" w:eastAsia="zh-CN"/>
              </w:rPr>
            </w:pPr>
          </w:p>
          <w:p w14:paraId="70D9FC37">
            <w:pPr>
              <w:keepNext w:val="0"/>
              <w:keepLines w:val="0"/>
              <w:suppressLineNumbers w:val="0"/>
              <w:spacing w:before="0" w:beforeAutospacing="0" w:after="0" w:afterAutospacing="0"/>
              <w:ind w:left="0" w:leftChars="0" w:right="0" w:firstLine="0" w:firstLineChars="0"/>
              <w:rPr>
                <w:rFonts w:hint="default"/>
                <w:lang w:val="en-US" w:eastAsia="zh-CN"/>
              </w:rPr>
            </w:pPr>
          </w:p>
          <w:p w14:paraId="518BB698">
            <w:pPr>
              <w:keepNext w:val="0"/>
              <w:keepLines w:val="0"/>
              <w:suppressLineNumbers w:val="0"/>
              <w:spacing w:before="0" w:beforeAutospacing="0" w:after="0" w:afterAutospacing="0"/>
              <w:ind w:left="0" w:leftChars="0" w:right="0" w:firstLine="0" w:firstLineChars="0"/>
              <w:rPr>
                <w:rFonts w:hint="default"/>
                <w:lang w:val="en-US" w:eastAsia="zh-CN"/>
              </w:rPr>
            </w:pPr>
          </w:p>
          <w:p w14:paraId="6EBC50C7">
            <w:pPr>
              <w:keepNext w:val="0"/>
              <w:keepLines w:val="0"/>
              <w:suppressLineNumbers w:val="0"/>
              <w:spacing w:before="0" w:beforeAutospacing="0" w:after="0" w:afterAutospacing="0"/>
              <w:ind w:left="0" w:leftChars="0" w:right="0" w:firstLine="0" w:firstLineChars="0"/>
              <w:rPr>
                <w:rFonts w:hint="default"/>
                <w:lang w:val="en-US" w:eastAsia="zh-CN"/>
              </w:rPr>
            </w:pPr>
          </w:p>
          <w:p w14:paraId="54319AB5">
            <w:pPr>
              <w:keepNext w:val="0"/>
              <w:keepLines w:val="0"/>
              <w:suppressLineNumbers w:val="0"/>
              <w:spacing w:before="0" w:beforeAutospacing="0" w:after="0" w:afterAutospacing="0"/>
              <w:ind w:left="0" w:leftChars="0" w:right="0" w:firstLine="0" w:firstLineChars="0"/>
              <w:rPr>
                <w:rFonts w:hint="default"/>
                <w:lang w:val="en-US" w:eastAsia="zh-CN"/>
              </w:rPr>
            </w:pPr>
          </w:p>
          <w:p w14:paraId="50CD166C">
            <w:pPr>
              <w:keepNext w:val="0"/>
              <w:keepLines w:val="0"/>
              <w:suppressLineNumbers w:val="0"/>
              <w:spacing w:before="0" w:beforeAutospacing="0" w:after="0" w:afterAutospacing="0"/>
              <w:ind w:left="0" w:leftChars="0" w:right="0" w:firstLine="0" w:firstLineChars="0"/>
              <w:rPr>
                <w:rFonts w:hint="default"/>
                <w:lang w:val="en-US" w:eastAsia="zh-CN"/>
              </w:rPr>
            </w:pPr>
          </w:p>
          <w:p w14:paraId="22722D99">
            <w:pPr>
              <w:keepNext w:val="0"/>
              <w:keepLines w:val="0"/>
              <w:suppressLineNumbers w:val="0"/>
              <w:spacing w:before="0" w:beforeAutospacing="0" w:after="0" w:afterAutospacing="0"/>
              <w:ind w:left="0" w:leftChars="0" w:right="0" w:firstLine="0" w:firstLineChars="0"/>
              <w:rPr>
                <w:rFonts w:hint="default"/>
                <w:lang w:val="en-US" w:eastAsia="zh-CN"/>
              </w:rPr>
            </w:pPr>
          </w:p>
          <w:p w14:paraId="3FD00841">
            <w:pPr>
              <w:keepNext w:val="0"/>
              <w:keepLines w:val="0"/>
              <w:suppressLineNumbers w:val="0"/>
              <w:spacing w:before="0" w:beforeAutospacing="0" w:after="0" w:afterAutospacing="0"/>
              <w:ind w:left="0" w:leftChars="0" w:right="0" w:firstLine="0" w:firstLineChars="0"/>
              <w:rPr>
                <w:rFonts w:hint="default"/>
                <w:lang w:val="en-US" w:eastAsia="zh-CN"/>
              </w:rPr>
            </w:pPr>
          </w:p>
          <w:p w14:paraId="14B4BEFC">
            <w:pPr>
              <w:keepNext w:val="0"/>
              <w:keepLines w:val="0"/>
              <w:suppressLineNumbers w:val="0"/>
              <w:spacing w:before="0" w:beforeAutospacing="0" w:after="0" w:afterAutospacing="0"/>
              <w:ind w:left="0" w:leftChars="0" w:right="0" w:firstLine="0" w:firstLineChars="0"/>
              <w:rPr>
                <w:rFonts w:hint="default"/>
                <w:lang w:val="en-US" w:eastAsia="zh-CN"/>
              </w:rPr>
            </w:pPr>
          </w:p>
          <w:p w14:paraId="43B4A8AC">
            <w:pPr>
              <w:keepNext w:val="0"/>
              <w:keepLines w:val="0"/>
              <w:suppressLineNumbers w:val="0"/>
              <w:spacing w:before="0" w:beforeAutospacing="0" w:after="0" w:afterAutospacing="0"/>
              <w:ind w:left="0" w:leftChars="0" w:right="0" w:firstLine="0" w:firstLineChars="0"/>
              <w:rPr>
                <w:rFonts w:hint="default"/>
                <w:lang w:val="en-US" w:eastAsia="zh-CN"/>
              </w:rPr>
            </w:pPr>
          </w:p>
          <w:p w14:paraId="07AC8097">
            <w:pPr>
              <w:keepNext w:val="0"/>
              <w:keepLines w:val="0"/>
              <w:suppressLineNumbers w:val="0"/>
              <w:spacing w:before="0" w:beforeAutospacing="0" w:after="0" w:afterAutospacing="0"/>
              <w:ind w:left="0" w:leftChars="0" w:right="0" w:firstLine="0" w:firstLineChars="0"/>
              <w:rPr>
                <w:rFonts w:hint="default"/>
                <w:lang w:val="en-US" w:eastAsia="zh-CN"/>
              </w:rPr>
            </w:pPr>
          </w:p>
        </w:tc>
      </w:tr>
    </w:tbl>
    <w:p w14:paraId="218C56B3">
      <w:pPr>
        <w:spacing w:before="240" w:line="360" w:lineRule="auto"/>
        <w:rPr>
          <w:rFonts w:hint="eastAsia"/>
          <w:b/>
          <w:color w:val="000000"/>
          <w:sz w:val="24"/>
        </w:rPr>
        <w:sectPr>
          <w:pgSz w:w="11907" w:h="16840"/>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5FBB9BCC">
      <w:pPr>
        <w:pStyle w:val="3"/>
        <w:keepNext/>
        <w:keepLines w:val="0"/>
        <w:pageBreakBefore w:val="0"/>
        <w:widowControl w:val="0"/>
        <w:numPr>
          <w:ilvl w:val="0"/>
          <w:numId w:val="7"/>
        </w:numPr>
        <w:kinsoku/>
        <w:wordWrap/>
        <w:overflowPunct w:val="0"/>
        <w:topLinePunct w:val="0"/>
        <w:autoSpaceDE/>
        <w:autoSpaceDN/>
        <w:bidi w:val="0"/>
        <w:adjustRightInd/>
        <w:snapToGrid w:val="0"/>
        <w:spacing w:before="0" w:after="0" w:line="360" w:lineRule="auto"/>
        <w:ind w:left="0" w:firstLine="0" w:firstLineChars="0"/>
        <w:textAlignment w:val="auto"/>
        <w:rPr>
          <w:rFonts w:hint="eastAsia"/>
        </w:rPr>
      </w:pPr>
      <w:bookmarkStart w:id="16" w:name="_Toc29956"/>
      <w:r>
        <w:rPr>
          <w:rFonts w:hint="eastAsia"/>
        </w:rPr>
        <w:t>主要生态环境保护措施</w:t>
      </w:r>
      <w:bookmarkEnd w:id="16"/>
    </w:p>
    <w:tbl>
      <w:tblPr>
        <w:tblStyle w:val="29"/>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01"/>
        <w:gridCol w:w="49"/>
        <w:gridCol w:w="851"/>
        <w:gridCol w:w="1499"/>
        <w:gridCol w:w="69"/>
        <w:gridCol w:w="596"/>
        <w:gridCol w:w="645"/>
        <w:gridCol w:w="810"/>
        <w:gridCol w:w="630"/>
        <w:gridCol w:w="387"/>
        <w:gridCol w:w="1023"/>
        <w:gridCol w:w="396"/>
        <w:gridCol w:w="1581"/>
      </w:tblGrid>
      <w:tr w14:paraId="5778D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tcMar>
              <w:left w:w="28" w:type="dxa"/>
              <w:right w:w="28" w:type="dxa"/>
            </w:tcMar>
            <w:vAlign w:val="center"/>
          </w:tcPr>
          <w:p w14:paraId="62B4100C">
            <w:pPr>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default" w:ascii="宋体" w:hAnsi="宋体" w:cs="宋体"/>
                <w:bCs/>
                <w:spacing w:val="10"/>
                <w:szCs w:val="21"/>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施工期生态环境保护措施</w:t>
            </w:r>
          </w:p>
        </w:tc>
      </w:tr>
      <w:tr w14:paraId="4AE60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9210" w:type="dxa"/>
            <w:gridSpan w:val="14"/>
            <w:noWrap w:val="0"/>
            <w:tcMar>
              <w:left w:w="28" w:type="dxa"/>
              <w:right w:w="28" w:type="dxa"/>
            </w:tcMar>
            <w:vAlign w:val="center"/>
          </w:tcPr>
          <w:p w14:paraId="68C94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宋体" w:hAnsi="宋体" w:cs="宋体"/>
                <w:sz w:val="24"/>
                <w:highlight w:val="none"/>
                <w:lang w:val="en-US" w:eastAsia="zh-CN"/>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5.1施工期生态环境保护措施</w:t>
            </w:r>
          </w:p>
          <w:p w14:paraId="5C3C4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default" w:cs="Times New Roman"/>
                <w:b/>
                <w:bCs/>
                <w:color w:val="000000"/>
                <w:kern w:val="2"/>
                <w:sz w:val="24"/>
                <w:szCs w:val="24"/>
                <w:highlight w:val="none"/>
                <w:lang w:val="en-US" w:eastAsia="zh-CN" w:bidi="ar-SA"/>
              </w:rPr>
            </w:pPr>
            <w:r>
              <w:rPr>
                <w:rFonts w:hint="eastAsia" w:ascii="宋体" w:hAnsi="宋体" w:cs="宋体"/>
                <w:sz w:val="24"/>
                <w:highlight w:val="none"/>
                <w:lang w:val="en-US" w:eastAsia="zh-CN"/>
              </w:rPr>
              <w:t>本工程在施工过程中，实施了以下措施。</w:t>
            </w:r>
          </w:p>
          <w:p w14:paraId="6185D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lang w:val="en-US" w:eastAsia="zh-CN"/>
              </w:rPr>
            </w:pPr>
            <w:r>
              <w:rPr>
                <w:rFonts w:hint="eastAsia" w:cs="Times New Roman"/>
                <w:b/>
                <w:bCs/>
                <w:color w:val="000000"/>
                <w:kern w:val="2"/>
                <w:sz w:val="24"/>
                <w:szCs w:val="24"/>
                <w:highlight w:val="none"/>
                <w:lang w:val="en-US" w:eastAsia="zh-CN" w:bidi="ar-SA"/>
              </w:rPr>
              <w:t>5.1.1</w:t>
            </w:r>
            <w:r>
              <w:rPr>
                <w:rFonts w:hint="eastAsia" w:ascii="Times New Roman" w:hAnsi="Times New Roman" w:eastAsia="宋体" w:cs="Times New Roman"/>
                <w:b/>
                <w:bCs/>
                <w:color w:val="000000"/>
                <w:kern w:val="2"/>
                <w:sz w:val="24"/>
                <w:szCs w:val="24"/>
                <w:highlight w:val="none"/>
                <w:lang w:val="en-US" w:eastAsia="zh-CN" w:bidi="ar-SA"/>
              </w:rPr>
              <w:t>生态环境保护措施</w:t>
            </w:r>
          </w:p>
          <w:p w14:paraId="0366F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Times New Roman" w:hAnsi="Times New Roman" w:eastAsia="宋体" w:cs="Times New Roman"/>
                <w:b/>
                <w:bCs/>
                <w:color w:val="000000"/>
                <w:kern w:val="2"/>
                <w:sz w:val="24"/>
                <w:szCs w:val="24"/>
                <w:highlight w:val="none"/>
                <w:lang w:val="en-US" w:eastAsia="zh-CN" w:bidi="ar-SA"/>
              </w:rPr>
            </w:pPr>
            <w:r>
              <w:rPr>
                <w:rFonts w:hint="eastAsia" w:cs="Times New Roman"/>
                <w:b/>
                <w:bCs/>
                <w:color w:val="000000"/>
                <w:kern w:val="2"/>
                <w:sz w:val="24"/>
                <w:szCs w:val="24"/>
                <w:highlight w:val="none"/>
                <w:lang w:val="en-US" w:eastAsia="zh-CN" w:bidi="ar-SA"/>
              </w:rPr>
              <w:t>5.1.1.1</w:t>
            </w:r>
            <w:r>
              <w:rPr>
                <w:rFonts w:hint="eastAsia" w:ascii="Times New Roman" w:hAnsi="Times New Roman" w:eastAsia="宋体" w:cs="Times New Roman"/>
                <w:b/>
                <w:bCs/>
                <w:color w:val="000000"/>
                <w:kern w:val="2"/>
                <w:sz w:val="24"/>
                <w:szCs w:val="24"/>
                <w:highlight w:val="none"/>
                <w:lang w:val="en-US" w:eastAsia="zh-CN" w:bidi="ar-SA"/>
              </w:rPr>
              <w:t>人员行为规范</w:t>
            </w:r>
          </w:p>
          <w:p w14:paraId="2557461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lang w:eastAsia="zh-CN"/>
              </w:rPr>
            </w:pPr>
            <w:r>
              <w:rPr>
                <w:rFonts w:hint="eastAsia" w:cs="Times New Roman"/>
                <w:sz w:val="24"/>
                <w:highlight w:val="none"/>
                <w:lang w:val="en-US" w:eastAsia="zh-CN"/>
              </w:rPr>
              <w:t>（1）</w:t>
            </w:r>
            <w:r>
              <w:rPr>
                <w:rFonts w:hint="eastAsia" w:ascii="Times New Roman" w:hAnsi="Times New Roman" w:eastAsia="宋体" w:cs="Times New Roman"/>
                <w:sz w:val="24"/>
                <w:highlight w:val="none"/>
              </w:rPr>
              <w:t>加强</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对管理人员和施工人员的教育，提高</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其环保意识</w:t>
            </w:r>
            <w:r>
              <w:rPr>
                <w:rFonts w:hint="eastAsia" w:ascii="Times New Roman" w:hAnsi="Times New Roman" w:eastAsia="宋体" w:cs="Times New Roman"/>
                <w:sz w:val="24"/>
                <w:highlight w:val="none"/>
                <w:lang w:eastAsia="zh-CN"/>
              </w:rPr>
              <w:t>。</w:t>
            </w:r>
          </w:p>
          <w:p w14:paraId="796C9B2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lang w:eastAsia="zh-CN"/>
              </w:rPr>
            </w:pPr>
            <w:r>
              <w:rPr>
                <w:rFonts w:hint="eastAsia" w:cs="Times New Roman"/>
                <w:sz w:val="24"/>
                <w:highlight w:val="none"/>
                <w:lang w:val="en-US" w:eastAsia="zh-CN"/>
              </w:rPr>
              <w:t>（2）</w:t>
            </w:r>
            <w:r>
              <w:rPr>
                <w:rFonts w:hint="eastAsia" w:ascii="Times New Roman" w:hAnsi="Times New Roman" w:eastAsia="宋体" w:cs="Times New Roman"/>
                <w:sz w:val="24"/>
                <w:highlight w:val="none"/>
              </w:rPr>
              <w:t>注意保护植被</w:t>
            </w:r>
            <w:r>
              <w:rPr>
                <w:rFonts w:hint="eastAsia" w:cs="Times New Roman"/>
                <w:sz w:val="24"/>
                <w:highlight w:val="none"/>
                <w:lang w:eastAsia="zh-CN"/>
              </w:rPr>
              <w:t>（</w:t>
            </w:r>
            <w:r>
              <w:rPr>
                <w:rFonts w:hint="eastAsia" w:ascii="Times New Roman" w:hAnsi="Times New Roman" w:eastAsia="宋体" w:cs="Times New Roman"/>
                <w:sz w:val="24"/>
                <w:highlight w:val="none"/>
              </w:rPr>
              <w:t>农作物</w:t>
            </w:r>
            <w:r>
              <w:rPr>
                <w:rFonts w:hint="eastAsia" w:cs="Times New Roman"/>
                <w:sz w:val="24"/>
                <w:highlight w:val="none"/>
                <w:lang w:eastAsia="zh-CN"/>
              </w:rPr>
              <w:t>）</w:t>
            </w:r>
            <w:r>
              <w:rPr>
                <w:rFonts w:hint="eastAsia" w:ascii="Times New Roman" w:hAnsi="Times New Roman" w:eastAsia="宋体" w:cs="Times New Roman"/>
                <w:sz w:val="24"/>
                <w:highlight w:val="none"/>
              </w:rPr>
              <w:t>，禁止随意砍伐灌木、割草等活动，</w:t>
            </w:r>
            <w:r>
              <w:rPr>
                <w:rFonts w:hint="eastAsia" w:ascii="Times New Roman" w:hAnsi="Times New Roman" w:eastAsia="宋体" w:cs="Times New Roman"/>
                <w:sz w:val="24"/>
                <w:highlight w:val="none"/>
                <w:lang w:val="en-US" w:eastAsia="zh-CN"/>
              </w:rPr>
              <w:t>禁止</w:t>
            </w:r>
            <w:r>
              <w:rPr>
                <w:rFonts w:hint="eastAsia" w:ascii="Times New Roman" w:hAnsi="Times New Roman" w:eastAsia="宋体" w:cs="Times New Roman"/>
                <w:sz w:val="24"/>
                <w:highlight w:val="none"/>
              </w:rPr>
              <w:t>偷猎、伤害、恐吓、袭击野生动物</w:t>
            </w:r>
            <w:r>
              <w:rPr>
                <w:rFonts w:hint="eastAsia" w:ascii="Times New Roman" w:hAnsi="Times New Roman" w:eastAsia="宋体" w:cs="Times New Roman"/>
                <w:sz w:val="24"/>
                <w:highlight w:val="none"/>
                <w:lang w:eastAsia="zh-CN"/>
              </w:rPr>
              <w:t>。</w:t>
            </w:r>
          </w:p>
          <w:p w14:paraId="286527F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lang w:eastAsia="zh-CN"/>
              </w:rPr>
            </w:pPr>
            <w:r>
              <w:rPr>
                <w:rFonts w:hint="eastAsia" w:cs="Times New Roman"/>
                <w:sz w:val="24"/>
                <w:highlight w:val="none"/>
                <w:lang w:val="en-US" w:eastAsia="zh-CN"/>
              </w:rPr>
              <w:t>（3）</w:t>
            </w:r>
            <w:r>
              <w:rPr>
                <w:rFonts w:hint="eastAsia" w:ascii="Times New Roman" w:hAnsi="Times New Roman" w:eastAsia="宋体" w:cs="Times New Roman"/>
                <w:sz w:val="24"/>
                <w:highlight w:val="none"/>
              </w:rPr>
              <w:t>施工人员和施工机械</w:t>
            </w:r>
            <w:r>
              <w:rPr>
                <w:rFonts w:hint="eastAsia" w:ascii="Times New Roman" w:hAnsi="Times New Roman" w:eastAsia="宋体" w:cs="Times New Roman"/>
                <w:sz w:val="24"/>
                <w:highlight w:val="none"/>
                <w:lang w:val="en-US" w:eastAsia="zh-CN"/>
              </w:rPr>
              <w:t>未</w:t>
            </w:r>
            <w:r>
              <w:rPr>
                <w:rFonts w:hint="eastAsia" w:ascii="Times New Roman" w:hAnsi="Times New Roman" w:eastAsia="宋体" w:cs="Times New Roman"/>
                <w:sz w:val="24"/>
                <w:highlight w:val="none"/>
              </w:rPr>
              <w:t>在规定区域范围外随意活动和行驶</w:t>
            </w:r>
            <w:r>
              <w:rPr>
                <w:rFonts w:hint="eastAsia" w:ascii="Times New Roman" w:hAnsi="Times New Roman" w:eastAsia="宋体" w:cs="Times New Roman"/>
                <w:sz w:val="24"/>
                <w:highlight w:val="none"/>
                <w:lang w:eastAsia="zh-CN"/>
              </w:rPr>
              <w:t>。</w:t>
            </w:r>
          </w:p>
          <w:p w14:paraId="4F1E2F4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（4）</w:t>
            </w:r>
            <w:r>
              <w:rPr>
                <w:rFonts w:hint="eastAsia" w:ascii="Times New Roman" w:hAnsi="Times New Roman" w:eastAsia="宋体" w:cs="Times New Roman"/>
                <w:sz w:val="24"/>
                <w:highlight w:val="none"/>
                <w:lang w:val="en-US" w:eastAsia="zh-CN"/>
              </w:rPr>
              <w:t>生活垃圾和建筑垃圾集中收集、集中处理，未随意丢弃。</w:t>
            </w:r>
          </w:p>
          <w:p w14:paraId="79351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eastAsia" w:ascii="Times New Roman" w:hAnsi="Times New Roman" w:eastAsia="宋体" w:cs="Times New Roman"/>
                <w:b/>
                <w:sz w:val="24"/>
                <w:highlight w:val="none"/>
                <w:lang w:eastAsia="zh-CN"/>
              </w:rPr>
            </w:pPr>
            <w:r>
              <w:rPr>
                <w:rFonts w:hint="eastAsia" w:ascii="Times New Roman" w:hAnsi="Times New Roman" w:eastAsia="宋体" w:cs="Times New Roman"/>
                <w:b/>
                <w:bCs/>
                <w:color w:val="000000"/>
                <w:kern w:val="2"/>
                <w:sz w:val="24"/>
                <w:szCs w:val="24"/>
                <w:highlight w:val="none"/>
                <w:lang w:val="en-US" w:eastAsia="zh-CN" w:bidi="ar-SA"/>
              </w:rPr>
              <w:t>5.1.</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2植物保</w:t>
            </w:r>
            <w:r>
              <w:rPr>
                <w:rFonts w:hint="eastAsia" w:ascii="Times New Roman" w:hAnsi="Times New Roman" w:eastAsia="宋体" w:cs="Times New Roman"/>
                <w:b/>
                <w:sz w:val="24"/>
                <w:highlight w:val="none"/>
                <w:lang w:eastAsia="zh-CN"/>
              </w:rPr>
              <w:t>护措施</w:t>
            </w:r>
          </w:p>
          <w:p w14:paraId="6E786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spacing w:val="0"/>
                <w:sz w:val="24"/>
                <w:szCs w:val="24"/>
                <w:highlight w:val="none"/>
                <w:lang w:eastAsia="zh-CN"/>
              </w:rPr>
            </w:pPr>
            <w:r>
              <w:rPr>
                <w:rFonts w:hint="eastAsia" w:cs="Times New Roman"/>
                <w:color w:val="000000"/>
                <w:spacing w:val="0"/>
                <w:sz w:val="24"/>
                <w:szCs w:val="24"/>
                <w:highlight w:val="none"/>
                <w:lang w:val="en-US" w:eastAsia="zh-CN"/>
              </w:rPr>
              <w:t>（1）</w:t>
            </w:r>
            <w:r>
              <w:rPr>
                <w:rFonts w:hint="eastAsia" w:ascii="Times New Roman" w:hAnsi="Times New Roman" w:eastAsia="宋体" w:cs="Times New Roman"/>
                <w:color w:val="000000"/>
                <w:spacing w:val="0"/>
                <w:sz w:val="24"/>
                <w:szCs w:val="24"/>
                <w:highlight w:val="none"/>
                <w:lang w:eastAsia="zh-CN"/>
              </w:rPr>
              <w:t>合理规划、设计了施工便道及场地，各种机械和车辆固定了行车路线，</w:t>
            </w:r>
            <w:r>
              <w:rPr>
                <w:rFonts w:hint="eastAsia" w:ascii="Times New Roman" w:hAnsi="Times New Roman" w:eastAsia="宋体" w:cs="Times New Roman"/>
                <w:color w:val="000000"/>
                <w:spacing w:val="0"/>
                <w:sz w:val="24"/>
                <w:szCs w:val="24"/>
                <w:highlight w:val="none"/>
                <w:lang w:val="en-US" w:eastAsia="zh-CN"/>
              </w:rPr>
              <w:t>未</w:t>
            </w:r>
            <w:r>
              <w:rPr>
                <w:rFonts w:hint="eastAsia" w:ascii="Times New Roman" w:hAnsi="Times New Roman" w:eastAsia="宋体" w:cs="Times New Roman"/>
                <w:color w:val="000000"/>
                <w:spacing w:val="0"/>
                <w:sz w:val="24"/>
                <w:szCs w:val="24"/>
                <w:highlight w:val="none"/>
                <w:lang w:eastAsia="zh-CN"/>
              </w:rPr>
              <w:t>随意下道行驶或另开辟便道</w:t>
            </w:r>
            <w:r>
              <w:rPr>
                <w:rFonts w:hint="eastAsia" w:cs="Times New Roman"/>
                <w:color w:val="000000"/>
                <w:spacing w:val="0"/>
                <w:sz w:val="24"/>
                <w:szCs w:val="24"/>
                <w:highlight w:val="none"/>
                <w:lang w:eastAsia="zh-CN"/>
              </w:rPr>
              <w:t>，</w:t>
            </w:r>
            <w:r>
              <w:rPr>
                <w:rFonts w:hint="eastAsia" w:ascii="宋体" w:hAnsi="宋体" w:eastAsia="宋体" w:cs="宋体"/>
                <w:color w:val="000000"/>
                <w:spacing w:val="0"/>
                <w:sz w:val="24"/>
                <w:szCs w:val="24"/>
                <w:highlight w:val="none"/>
                <w:lang w:eastAsia="zh-CN"/>
              </w:rPr>
              <w:t>保证了周围地表和植被不受破坏。</w:t>
            </w:r>
          </w:p>
          <w:p w14:paraId="0F1330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spacing w:val="0"/>
                <w:sz w:val="24"/>
                <w:szCs w:val="24"/>
                <w:highlight w:val="none"/>
                <w:lang w:eastAsia="zh-CN"/>
              </w:rPr>
            </w:pPr>
            <w:r>
              <w:rPr>
                <w:rFonts w:hint="eastAsia" w:cs="Times New Roman"/>
                <w:color w:val="000000"/>
                <w:spacing w:val="0"/>
                <w:sz w:val="24"/>
                <w:szCs w:val="24"/>
                <w:highlight w:val="none"/>
                <w:lang w:val="en-US" w:eastAsia="zh-CN"/>
              </w:rPr>
              <w:t>（2）</w:t>
            </w:r>
            <w:r>
              <w:rPr>
                <w:rFonts w:hint="eastAsia" w:ascii="Times New Roman" w:hAnsi="Times New Roman" w:eastAsia="宋体" w:cs="Times New Roman"/>
                <w:color w:val="000000"/>
                <w:spacing w:val="0"/>
                <w:sz w:val="24"/>
                <w:szCs w:val="24"/>
                <w:highlight w:val="none"/>
                <w:lang w:eastAsia="zh-CN"/>
              </w:rPr>
              <w:t>材料运输过程中对施工道路及人抬道路进行了合理的选择，尽量避免了过多扰动原地貌，</w:t>
            </w:r>
            <w:r>
              <w:rPr>
                <w:rFonts w:hint="eastAsia" w:ascii="Times New Roman" w:hAnsi="Times New Roman" w:eastAsia="宋体" w:cs="Times New Roman"/>
                <w:color w:val="000000"/>
                <w:spacing w:val="0"/>
                <w:sz w:val="24"/>
                <w:szCs w:val="24"/>
                <w:highlight w:val="none"/>
                <w:lang w:val="en-US" w:eastAsia="zh-CN"/>
              </w:rPr>
              <w:t>未</w:t>
            </w:r>
            <w:r>
              <w:rPr>
                <w:rFonts w:hint="eastAsia" w:ascii="Times New Roman" w:hAnsi="Times New Roman" w:eastAsia="宋体" w:cs="Times New Roman"/>
                <w:color w:val="000000"/>
                <w:spacing w:val="0"/>
                <w:sz w:val="24"/>
                <w:szCs w:val="24"/>
                <w:highlight w:val="none"/>
                <w:lang w:eastAsia="zh-CN"/>
              </w:rPr>
              <w:t>在植被完好的地段进行道路修筑工作。</w:t>
            </w:r>
          </w:p>
          <w:p w14:paraId="0EFB79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spacing w:val="0"/>
                <w:sz w:val="24"/>
                <w:szCs w:val="24"/>
                <w:highlight w:val="none"/>
                <w:lang w:eastAsia="zh-CN"/>
              </w:rPr>
            </w:pPr>
            <w:r>
              <w:rPr>
                <w:rFonts w:hint="eastAsia" w:cs="Times New Roman"/>
                <w:color w:val="000000"/>
                <w:spacing w:val="0"/>
                <w:sz w:val="24"/>
                <w:szCs w:val="24"/>
                <w:highlight w:val="none"/>
                <w:lang w:val="en-US" w:eastAsia="zh-CN"/>
              </w:rPr>
              <w:t>（3）</w:t>
            </w:r>
            <w:r>
              <w:rPr>
                <w:rFonts w:hint="eastAsia" w:ascii="Times New Roman" w:hAnsi="Times New Roman" w:eastAsia="宋体" w:cs="Times New Roman"/>
                <w:color w:val="000000"/>
                <w:spacing w:val="0"/>
                <w:sz w:val="24"/>
                <w:szCs w:val="24"/>
                <w:highlight w:val="none"/>
                <w:lang w:eastAsia="zh-CN"/>
              </w:rPr>
              <w:t>施工时在工期安排上合理有序，先设置围栏措施，后进行工程建设，减少了对地表和植被的破坏，除施工必须不得不铲除或碾压植被外，</w:t>
            </w:r>
            <w:r>
              <w:rPr>
                <w:rFonts w:hint="eastAsia" w:ascii="Times New Roman" w:hAnsi="Times New Roman" w:eastAsia="宋体" w:cs="Times New Roman"/>
                <w:color w:val="000000"/>
                <w:spacing w:val="0"/>
                <w:sz w:val="24"/>
                <w:szCs w:val="24"/>
                <w:highlight w:val="none"/>
                <w:lang w:val="en-US" w:eastAsia="zh-CN"/>
              </w:rPr>
              <w:t>未</w:t>
            </w:r>
            <w:r>
              <w:rPr>
                <w:rFonts w:hint="eastAsia" w:ascii="Times New Roman" w:hAnsi="Times New Roman" w:eastAsia="宋体" w:cs="Times New Roman"/>
                <w:color w:val="000000"/>
                <w:spacing w:val="0"/>
                <w:sz w:val="24"/>
                <w:szCs w:val="24"/>
                <w:highlight w:val="none"/>
                <w:lang w:eastAsia="zh-CN"/>
              </w:rPr>
              <w:t>铲除</w:t>
            </w:r>
            <w:r>
              <w:rPr>
                <w:rFonts w:hint="eastAsia" w:ascii="Times New Roman" w:hAnsi="Times New Roman" w:eastAsia="宋体" w:cs="Times New Roman"/>
                <w:color w:val="000000"/>
                <w:spacing w:val="0"/>
                <w:sz w:val="24"/>
                <w:szCs w:val="24"/>
                <w:highlight w:val="none"/>
                <w:lang w:val="en-US" w:eastAsia="zh-CN"/>
              </w:rPr>
              <w:t>更多</w:t>
            </w:r>
            <w:r>
              <w:rPr>
                <w:rFonts w:hint="eastAsia" w:ascii="Times New Roman" w:hAnsi="Times New Roman" w:eastAsia="宋体" w:cs="Times New Roman"/>
                <w:color w:val="000000"/>
                <w:spacing w:val="0"/>
                <w:sz w:val="24"/>
                <w:szCs w:val="24"/>
                <w:highlight w:val="none"/>
                <w:lang w:eastAsia="zh-CN"/>
              </w:rPr>
              <w:t>植被。</w:t>
            </w:r>
          </w:p>
          <w:p w14:paraId="2E8CA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spacing w:val="0"/>
                <w:sz w:val="24"/>
                <w:szCs w:val="24"/>
                <w:highlight w:val="none"/>
                <w:lang w:eastAsia="zh-CN"/>
              </w:rPr>
            </w:pPr>
            <w:r>
              <w:rPr>
                <w:rFonts w:hint="eastAsia" w:cs="Times New Roman"/>
                <w:color w:val="000000"/>
                <w:spacing w:val="0"/>
                <w:sz w:val="24"/>
                <w:szCs w:val="24"/>
                <w:highlight w:val="none"/>
                <w:lang w:val="en-US" w:eastAsia="zh-CN"/>
              </w:rPr>
              <w:t>（4）基础</w:t>
            </w:r>
            <w:r>
              <w:rPr>
                <w:rFonts w:hint="eastAsia" w:ascii="Times New Roman" w:hAnsi="Times New Roman" w:eastAsia="宋体" w:cs="Times New Roman"/>
                <w:color w:val="000000"/>
                <w:spacing w:val="0"/>
                <w:sz w:val="24"/>
                <w:szCs w:val="24"/>
                <w:highlight w:val="none"/>
                <w:lang w:eastAsia="zh-CN"/>
              </w:rPr>
              <w:t>开挖时将表层熟土分装在编织袋内，堆放在临时堆土场的周围，</w:t>
            </w:r>
            <w:r>
              <w:rPr>
                <w:rFonts w:hint="eastAsia" w:ascii="Times New Roman" w:hAnsi="Times New Roman" w:eastAsia="宋体" w:cs="Times New Roman"/>
                <w:color w:val="000000"/>
                <w:spacing w:val="0"/>
                <w:sz w:val="24"/>
                <w:szCs w:val="24"/>
                <w:highlight w:val="none"/>
                <w:lang w:val="en-US" w:eastAsia="zh-CN"/>
              </w:rPr>
              <w:t>在</w:t>
            </w:r>
            <w:r>
              <w:rPr>
                <w:rFonts w:hint="eastAsia" w:ascii="Times New Roman" w:hAnsi="Times New Roman" w:eastAsia="宋体" w:cs="Times New Roman"/>
                <w:color w:val="000000"/>
                <w:spacing w:val="0"/>
                <w:sz w:val="24"/>
                <w:szCs w:val="24"/>
                <w:highlight w:val="none"/>
                <w:lang w:eastAsia="zh-CN"/>
              </w:rPr>
              <w:t>施工结束后回填</w:t>
            </w:r>
            <w:r>
              <w:rPr>
                <w:rFonts w:hint="eastAsia" w:ascii="Times New Roman" w:hAnsi="Times New Roman" w:eastAsia="宋体" w:cs="Times New Roman"/>
                <w:color w:val="000000"/>
                <w:spacing w:val="0"/>
                <w:sz w:val="24"/>
                <w:szCs w:val="24"/>
                <w:highlight w:val="none"/>
                <w:lang w:val="en-US" w:eastAsia="zh-CN"/>
              </w:rPr>
              <w:t>于</w:t>
            </w:r>
            <w:r>
              <w:rPr>
                <w:rFonts w:hint="eastAsia" w:ascii="Times New Roman" w:hAnsi="Times New Roman" w:eastAsia="宋体" w:cs="Times New Roman"/>
                <w:color w:val="000000"/>
                <w:spacing w:val="0"/>
                <w:sz w:val="24"/>
                <w:szCs w:val="24"/>
                <w:highlight w:val="none"/>
                <w:lang w:eastAsia="zh-CN"/>
              </w:rPr>
              <w:t>基坑</w:t>
            </w:r>
            <w:r>
              <w:rPr>
                <w:rFonts w:hint="eastAsia" w:cs="Times New Roman"/>
                <w:color w:val="000000"/>
                <w:spacing w:val="0"/>
                <w:sz w:val="24"/>
                <w:szCs w:val="24"/>
                <w:highlight w:val="none"/>
                <w:lang w:val="en-US" w:eastAsia="zh-CN"/>
              </w:rPr>
              <w:t>或</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临近低洼处</w:t>
            </w:r>
            <w:r>
              <w:rPr>
                <w:rFonts w:hint="eastAsia" w:ascii="Times New Roman" w:hAnsi="Times New Roman" w:eastAsia="宋体" w:cs="Times New Roman"/>
                <w:color w:val="000000"/>
                <w:spacing w:val="0"/>
                <w:sz w:val="24"/>
                <w:szCs w:val="24"/>
                <w:highlight w:val="none"/>
                <w:lang w:eastAsia="zh-CN"/>
              </w:rPr>
              <w:t>。临时堆土采取四周拦挡、上铺下盖的措施，回填后及时</w:t>
            </w:r>
            <w:r>
              <w:rPr>
                <w:rFonts w:hint="eastAsia" w:ascii="Times New Roman" w:hAnsi="Times New Roman" w:eastAsia="宋体" w:cs="Times New Roman"/>
                <w:color w:val="000000"/>
                <w:spacing w:val="0"/>
                <w:sz w:val="24"/>
                <w:szCs w:val="24"/>
                <w:highlight w:val="none"/>
                <w:lang w:val="en-US" w:eastAsia="zh-CN"/>
              </w:rPr>
              <w:t>进行了</w:t>
            </w:r>
            <w:r>
              <w:rPr>
                <w:rFonts w:hint="eastAsia" w:ascii="Times New Roman" w:hAnsi="Times New Roman" w:eastAsia="宋体" w:cs="Times New Roman"/>
                <w:color w:val="000000"/>
                <w:spacing w:val="0"/>
                <w:sz w:val="24"/>
                <w:szCs w:val="24"/>
                <w:highlight w:val="none"/>
                <w:lang w:eastAsia="zh-CN"/>
              </w:rPr>
              <w:t>整平</w:t>
            </w:r>
            <w:r>
              <w:rPr>
                <w:rFonts w:hint="eastAsia" w:ascii="Times New Roman" w:hAnsi="Times New Roman" w:eastAsia="宋体" w:cs="Times New Roman"/>
                <w:color w:val="000000"/>
                <w:spacing w:val="0"/>
                <w:sz w:val="24"/>
                <w:szCs w:val="24"/>
                <w:highlight w:val="none"/>
                <w:lang w:val="en-US" w:eastAsia="zh-CN"/>
              </w:rPr>
              <w:t>工作</w:t>
            </w:r>
            <w:r>
              <w:rPr>
                <w:rFonts w:hint="eastAsia" w:ascii="Times New Roman" w:hAnsi="Times New Roman" w:eastAsia="宋体" w:cs="Times New Roman"/>
                <w:color w:val="000000"/>
                <w:spacing w:val="0"/>
                <w:sz w:val="24"/>
                <w:szCs w:val="24"/>
                <w:highlight w:val="none"/>
                <w:lang w:eastAsia="zh-CN"/>
              </w:rPr>
              <w:t>。施工中严格控制了临时占地，减少了破坏原地貌、植被的面积。</w:t>
            </w:r>
          </w:p>
          <w:p w14:paraId="20B31087">
            <w:pPr>
              <w:pStyle w:val="5"/>
              <w:suppressLineNumbers w:val="0"/>
              <w:spacing w:before="0" w:beforeAutospacing="0" w:after="0" w:afterAutospacing="0"/>
              <w:ind w:left="0" w:right="0"/>
              <w:rPr>
                <w:rFonts w:hint="eastAsia"/>
                <w:lang w:eastAsia="zh-CN"/>
              </w:rPr>
            </w:pPr>
            <w:r>
              <w:rPr>
                <w:rFonts w:hint="eastAsia" w:ascii="Times New Roman" w:hAnsi="Times New Roman" w:eastAsia="宋体" w:cs="Times New Roman"/>
                <w:b w:val="0"/>
                <w:bCs w:val="0"/>
                <w:color w:val="000000"/>
                <w:spacing w:val="0"/>
                <w:kern w:val="2"/>
                <w:sz w:val="24"/>
                <w:szCs w:val="24"/>
                <w:highlight w:val="none"/>
                <w:lang w:val="en-US" w:eastAsia="zh-CN" w:bidi="ar-SA"/>
              </w:rPr>
              <w:t>（</w:t>
            </w:r>
            <w:r>
              <w:rPr>
                <w:rFonts w:hint="eastAsia" w:ascii="Times New Roman" w:hAnsi="Times New Roman" w:cs="Times New Roman"/>
                <w:b w:val="0"/>
                <w:bCs w:val="0"/>
                <w:color w:val="000000"/>
                <w:spacing w:val="0"/>
                <w:kern w:val="2"/>
                <w:sz w:val="24"/>
                <w:szCs w:val="24"/>
                <w:highlight w:val="none"/>
                <w:lang w:val="en-US" w:eastAsia="zh-CN" w:bidi="ar-SA"/>
              </w:rPr>
              <w:t>5</w:t>
            </w:r>
            <w:r>
              <w:rPr>
                <w:rFonts w:hint="eastAsia" w:ascii="Times New Roman" w:hAnsi="Times New Roman" w:eastAsia="宋体" w:cs="Times New Roman"/>
                <w:b w:val="0"/>
                <w:bCs w:val="0"/>
                <w:color w:val="000000"/>
                <w:spacing w:val="0"/>
                <w:kern w:val="2"/>
                <w:sz w:val="24"/>
                <w:szCs w:val="24"/>
                <w:highlight w:val="none"/>
                <w:lang w:val="en-US" w:eastAsia="zh-CN" w:bidi="ar-SA"/>
              </w:rPr>
              <w:t>）</w:t>
            </w:r>
            <w:r>
              <w:rPr>
                <w:rFonts w:hint="default" w:ascii="Times New Roman" w:hAnsi="Times New Roman" w:eastAsia="宋体" w:cs="Times New Roman"/>
                <w:b w:val="0"/>
                <w:bCs w:val="0"/>
                <w:color w:val="000000"/>
                <w:spacing w:val="0"/>
                <w:kern w:val="2"/>
                <w:sz w:val="24"/>
                <w:szCs w:val="24"/>
                <w:highlight w:val="none"/>
                <w:lang w:val="en-US" w:eastAsia="zh-CN" w:bidi="ar-SA"/>
              </w:rPr>
              <w:t>对作业区、牵张场、施工临时道路等施工扰动区进行</w:t>
            </w:r>
            <w:r>
              <w:rPr>
                <w:rFonts w:hint="eastAsia" w:ascii="Times New Roman" w:hAnsi="Times New Roman" w:cs="Times New Roman"/>
                <w:b w:val="0"/>
                <w:bCs w:val="0"/>
                <w:color w:val="000000"/>
                <w:spacing w:val="0"/>
                <w:kern w:val="2"/>
                <w:sz w:val="24"/>
                <w:szCs w:val="24"/>
                <w:highlight w:val="none"/>
                <w:lang w:val="en-US" w:eastAsia="zh-CN" w:bidi="ar-SA"/>
              </w:rPr>
              <w:t>洒</w:t>
            </w:r>
            <w:r>
              <w:rPr>
                <w:rFonts w:hint="default" w:ascii="Times New Roman" w:hAnsi="Times New Roman" w:eastAsia="宋体" w:cs="Times New Roman"/>
                <w:b w:val="0"/>
                <w:bCs w:val="0"/>
                <w:color w:val="000000"/>
                <w:spacing w:val="0"/>
                <w:kern w:val="2"/>
                <w:sz w:val="24"/>
                <w:szCs w:val="24"/>
                <w:highlight w:val="none"/>
                <w:lang w:val="en-US" w:eastAsia="zh-CN" w:bidi="ar-SA"/>
              </w:rPr>
              <w:t>水增湿，</w:t>
            </w:r>
            <w:r>
              <w:rPr>
                <w:rFonts w:hint="eastAsia" w:ascii="Times New Roman" w:hAnsi="Times New Roman" w:cs="Times New Roman"/>
                <w:b w:val="0"/>
                <w:bCs w:val="0"/>
                <w:color w:val="000000"/>
                <w:spacing w:val="0"/>
                <w:sz w:val="24"/>
                <w:szCs w:val="24"/>
                <w:highlight w:val="none"/>
                <w:lang w:val="en-US" w:eastAsia="zh-CN"/>
              </w:rPr>
              <w:t>促进</w:t>
            </w:r>
            <w:r>
              <w:rPr>
                <w:rFonts w:hint="eastAsia" w:ascii="Times New Roman" w:hAnsi="Times New Roman" w:eastAsia="宋体" w:cs="Times New Roman"/>
                <w:b w:val="0"/>
                <w:bCs w:val="0"/>
                <w:color w:val="000000"/>
                <w:spacing w:val="0"/>
                <w:sz w:val="24"/>
                <w:szCs w:val="24"/>
                <w:highlight w:val="none"/>
                <w:lang w:eastAsia="zh-CN"/>
              </w:rPr>
              <w:t>植被恢复。</w:t>
            </w:r>
          </w:p>
          <w:p w14:paraId="1468FD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spacing w:val="0"/>
                <w:sz w:val="24"/>
                <w:szCs w:val="24"/>
                <w:highlight w:val="none"/>
                <w:lang w:eastAsia="zh-CN"/>
              </w:rPr>
            </w:pPr>
            <w:r>
              <w:rPr>
                <w:rFonts w:hint="eastAsia" w:cs="Times New Roman"/>
                <w:color w:val="000000"/>
                <w:spacing w:val="0"/>
                <w:sz w:val="24"/>
                <w:szCs w:val="24"/>
                <w:highlight w:val="none"/>
                <w:lang w:val="en-US" w:eastAsia="zh-CN"/>
              </w:rPr>
              <w:t>（6）</w:t>
            </w:r>
            <w:r>
              <w:rPr>
                <w:rFonts w:hint="eastAsia" w:ascii="Times New Roman" w:hAnsi="Times New Roman" w:eastAsia="宋体" w:cs="Times New Roman"/>
                <w:color w:val="000000"/>
                <w:spacing w:val="0"/>
                <w:sz w:val="24"/>
                <w:szCs w:val="24"/>
                <w:highlight w:val="none"/>
                <w:lang w:eastAsia="zh-CN"/>
              </w:rPr>
              <w:t>严格控制了施工范围。在塔基基础及杆塔等施工完毕后，按设计要求立即对塔基基础周边开挖部分进行了覆土，并平整夯实，减少了水土流失；对施工扰动区地表进行了平整，以便自然植被的生长恢复。</w:t>
            </w:r>
          </w:p>
          <w:p w14:paraId="300336A8">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Times New Roman"/>
                <w:b/>
                <w:sz w:val="24"/>
                <w:highlight w:val="none"/>
              </w:rPr>
            </w:pPr>
            <w:r>
              <w:rPr>
                <w:rFonts w:hint="eastAsia" w:ascii="Times New Roman" w:hAnsi="Times New Roman" w:eastAsia="宋体" w:cs="Times New Roman"/>
                <w:b/>
                <w:bCs/>
                <w:color w:val="000000"/>
                <w:kern w:val="2"/>
                <w:sz w:val="24"/>
                <w:szCs w:val="24"/>
                <w:highlight w:val="none"/>
                <w:lang w:val="en-US" w:eastAsia="zh-CN" w:bidi="ar-SA"/>
              </w:rPr>
              <w:t>5.1.</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3</w:t>
            </w:r>
            <w:r>
              <w:rPr>
                <w:rFonts w:hint="eastAsia" w:ascii="Times New Roman" w:hAnsi="Times New Roman" w:eastAsia="宋体" w:cs="Times New Roman"/>
                <w:b/>
                <w:sz w:val="24"/>
                <w:highlight w:val="none"/>
              </w:rPr>
              <w:t>野生动物保护措施</w:t>
            </w:r>
          </w:p>
          <w:p w14:paraId="6AD750C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rPr>
            </w:pPr>
            <w:r>
              <w:rPr>
                <w:rFonts w:hint="eastAsia" w:cs="Times New Roman"/>
                <w:sz w:val="24"/>
                <w:highlight w:val="none"/>
                <w:lang w:val="en-US" w:eastAsia="zh-CN"/>
              </w:rPr>
              <w:t>（1）工程</w:t>
            </w:r>
            <w:r>
              <w:rPr>
                <w:rFonts w:hint="eastAsia" w:ascii="Times New Roman" w:hAnsi="Times New Roman" w:eastAsia="宋体" w:cs="Times New Roman"/>
                <w:sz w:val="24"/>
                <w:highlight w:val="none"/>
              </w:rPr>
              <w:t>施工前对施工人员进行</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宣传和教育，</w:t>
            </w:r>
            <w:r>
              <w:rPr>
                <w:rFonts w:hint="eastAsia" w:ascii="Times New Roman" w:hAnsi="Times New Roman" w:eastAsia="宋体" w:cs="Times New Roman"/>
                <w:sz w:val="24"/>
                <w:highlight w:val="none"/>
                <w:lang w:val="en-US" w:eastAsia="zh-CN"/>
              </w:rPr>
              <w:t>未发生</w:t>
            </w:r>
            <w:r>
              <w:rPr>
                <w:rFonts w:hint="eastAsia" w:ascii="Times New Roman" w:hAnsi="Times New Roman" w:eastAsia="宋体" w:cs="Times New Roman"/>
                <w:sz w:val="24"/>
                <w:highlight w:val="none"/>
              </w:rPr>
              <w:t>捕捉伤害野生动物的行为。</w:t>
            </w:r>
          </w:p>
          <w:p w14:paraId="6E5FB44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rPr>
            </w:pPr>
            <w:r>
              <w:rPr>
                <w:rFonts w:hint="eastAsia" w:cs="Times New Roman"/>
                <w:sz w:val="24"/>
                <w:highlight w:val="none"/>
                <w:lang w:val="en-US" w:eastAsia="zh-CN"/>
              </w:rPr>
              <w:t>（2）</w:t>
            </w:r>
            <w:r>
              <w:rPr>
                <w:rFonts w:hint="eastAsia" w:ascii="Times New Roman" w:hAnsi="Times New Roman" w:eastAsia="宋体" w:cs="Times New Roman"/>
                <w:sz w:val="24"/>
                <w:highlight w:val="none"/>
              </w:rPr>
              <w:t>选用</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低噪声的施工设备及工艺，施工活动主要集中在白天进行，避免</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灯光、噪声对夜间动物活动的惊扰。</w:t>
            </w:r>
          </w:p>
          <w:p w14:paraId="135F6427">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Times New Roman"/>
                <w:b/>
                <w:sz w:val="24"/>
                <w:highlight w:val="none"/>
              </w:rPr>
            </w:pPr>
            <w:r>
              <w:rPr>
                <w:rFonts w:hint="eastAsia" w:ascii="Times New Roman" w:hAnsi="Times New Roman" w:eastAsia="宋体" w:cs="Times New Roman"/>
                <w:b/>
                <w:bCs/>
                <w:color w:val="000000"/>
                <w:kern w:val="2"/>
                <w:sz w:val="24"/>
                <w:szCs w:val="24"/>
                <w:highlight w:val="none"/>
                <w:lang w:val="en-US" w:eastAsia="zh-CN" w:bidi="ar-SA"/>
              </w:rPr>
              <w:t>5.1.</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4</w:t>
            </w:r>
            <w:r>
              <w:rPr>
                <w:rFonts w:hint="eastAsia" w:ascii="Times New Roman" w:hAnsi="Times New Roman" w:eastAsia="宋体" w:cs="Times New Roman"/>
                <w:b/>
                <w:sz w:val="24"/>
                <w:highlight w:val="none"/>
              </w:rPr>
              <w:t>工程措施及水土保持措施</w:t>
            </w:r>
          </w:p>
          <w:p w14:paraId="187B42A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lang w:eastAsia="zh-CN"/>
              </w:rPr>
            </w:pPr>
            <w:r>
              <w:rPr>
                <w:rFonts w:hint="eastAsia" w:cs="Times New Roman"/>
                <w:snapToGrid w:val="0"/>
                <w:kern w:val="0"/>
                <w:sz w:val="24"/>
                <w:highlight w:val="none"/>
                <w:lang w:val="en-US" w:eastAsia="zh-CN"/>
              </w:rPr>
              <w:t>（1）</w:t>
            </w:r>
            <w:r>
              <w:rPr>
                <w:rFonts w:hint="eastAsia" w:ascii="Times New Roman" w:hAnsi="Times New Roman" w:eastAsia="宋体" w:cs="Times New Roman"/>
                <w:snapToGrid w:val="0"/>
                <w:kern w:val="0"/>
                <w:sz w:val="24"/>
                <w:highlight w:val="none"/>
                <w:lang w:val="en-US" w:eastAsia="zh-CN"/>
              </w:rPr>
              <w:t>施工期采取了</w:t>
            </w:r>
            <w:r>
              <w:rPr>
                <w:rFonts w:hint="eastAsia" w:ascii="Times New Roman" w:hAnsi="Times New Roman" w:eastAsia="宋体" w:cs="Times New Roman"/>
                <w:snapToGrid w:val="0"/>
                <w:kern w:val="0"/>
                <w:sz w:val="24"/>
                <w:highlight w:val="none"/>
              </w:rPr>
              <w:t>尽量减少占地、控制施工范围、减少扰动面积、分层开挖分层回填、</w:t>
            </w:r>
            <w:r>
              <w:rPr>
                <w:rFonts w:hint="eastAsia" w:ascii="Times New Roman" w:hAnsi="Times New Roman" w:eastAsia="宋体" w:cs="Times New Roman"/>
                <w:sz w:val="24"/>
                <w:highlight w:val="none"/>
              </w:rPr>
              <w:t>减少地表开挖裸露时间、避开雨季及大风天气施工及时进行迹地恢复等措施</w:t>
            </w:r>
            <w:r>
              <w:rPr>
                <w:rFonts w:hint="eastAsia" w:ascii="Times New Roman" w:hAnsi="Times New Roman" w:eastAsia="宋体" w:cs="Times New Roman"/>
                <w:sz w:val="24"/>
                <w:highlight w:val="none"/>
                <w:lang w:eastAsia="zh-CN"/>
              </w:rPr>
              <w:t>。</w:t>
            </w:r>
          </w:p>
          <w:p w14:paraId="5F9F5BE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lang w:eastAsia="zh-CN"/>
              </w:rPr>
            </w:pPr>
            <w:r>
              <w:rPr>
                <w:rFonts w:hint="eastAsia" w:cs="Times New Roman"/>
                <w:sz w:val="24"/>
                <w:highlight w:val="none"/>
                <w:lang w:val="en-US" w:eastAsia="zh-CN"/>
              </w:rPr>
              <w:t>（2）</w:t>
            </w:r>
            <w:r>
              <w:rPr>
                <w:rFonts w:hint="eastAsia" w:ascii="Times New Roman" w:hAnsi="Times New Roman" w:eastAsia="宋体" w:cs="Times New Roman"/>
                <w:sz w:val="24"/>
                <w:highlight w:val="none"/>
                <w:lang w:val="en-US" w:eastAsia="zh-CN"/>
              </w:rPr>
              <w:t>工程施工</w:t>
            </w:r>
            <w:r>
              <w:rPr>
                <w:rFonts w:hint="eastAsia" w:ascii="Times New Roman" w:hAnsi="Times New Roman" w:eastAsia="宋体" w:cs="Times New Roman"/>
                <w:sz w:val="24"/>
                <w:highlight w:val="none"/>
              </w:rPr>
              <w:t>避免</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大开挖，做到</w:t>
            </w:r>
            <w:r>
              <w:rPr>
                <w:rFonts w:hint="eastAsia" w:ascii="Times New Roman" w:hAnsi="Times New Roman" w:eastAsia="宋体" w:cs="Times New Roman"/>
                <w:sz w:val="24"/>
                <w:highlight w:val="none"/>
                <w:lang w:eastAsia="zh-CN"/>
              </w:rPr>
              <w:t>了</w:t>
            </w:r>
            <w:r>
              <w:rPr>
                <w:rFonts w:hint="eastAsia" w:ascii="Times New Roman" w:hAnsi="Times New Roman" w:eastAsia="宋体" w:cs="Times New Roman"/>
                <w:sz w:val="24"/>
                <w:highlight w:val="none"/>
              </w:rPr>
              <w:t>土石方平衡，</w:t>
            </w:r>
            <w:r>
              <w:rPr>
                <w:rFonts w:hint="eastAsia" w:ascii="Times New Roman" w:hAnsi="Times New Roman" w:eastAsia="宋体" w:cs="Times New Roman"/>
                <w:sz w:val="24"/>
                <w:highlight w:val="none"/>
                <w:lang w:val="en-US" w:eastAsia="zh-CN"/>
              </w:rPr>
              <w:t>无</w:t>
            </w:r>
            <w:r>
              <w:rPr>
                <w:rFonts w:hint="eastAsia" w:ascii="Times New Roman" w:hAnsi="Times New Roman" w:eastAsia="宋体" w:cs="Times New Roman"/>
                <w:sz w:val="24"/>
                <w:highlight w:val="none"/>
              </w:rPr>
              <w:t>弃土弃渣产生</w:t>
            </w:r>
            <w:r>
              <w:rPr>
                <w:rFonts w:hint="eastAsia" w:ascii="Times New Roman" w:hAnsi="Times New Roman" w:eastAsia="宋体" w:cs="Times New Roman"/>
                <w:sz w:val="24"/>
                <w:highlight w:val="none"/>
                <w:lang w:eastAsia="zh-CN"/>
              </w:rPr>
              <w:t>。</w:t>
            </w:r>
          </w:p>
          <w:p w14:paraId="09EE7D2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highlight w:val="none"/>
              </w:rPr>
            </w:pPr>
            <w:r>
              <w:rPr>
                <w:rFonts w:hint="eastAsia" w:cs="Times New Roman"/>
                <w:sz w:val="24"/>
                <w:highlight w:val="none"/>
                <w:lang w:val="en-US" w:eastAsia="zh-CN"/>
              </w:rPr>
              <w:t>（3）</w:t>
            </w:r>
            <w:r>
              <w:rPr>
                <w:rFonts w:hint="eastAsia" w:ascii="Times New Roman" w:hAnsi="Times New Roman" w:eastAsia="宋体" w:cs="Times New Roman"/>
                <w:sz w:val="24"/>
                <w:highlight w:val="none"/>
              </w:rPr>
              <w:t>剥离的表土和开挖出的土石方</w:t>
            </w:r>
            <w:r>
              <w:rPr>
                <w:rFonts w:hint="eastAsia" w:ascii="Times New Roman" w:hAnsi="Times New Roman" w:eastAsia="宋体" w:cs="Times New Roman"/>
                <w:spacing w:val="-10"/>
                <w:sz w:val="24"/>
                <w:highlight w:val="none"/>
              </w:rPr>
              <w:t>采取</w:t>
            </w:r>
            <w:r>
              <w:rPr>
                <w:rFonts w:hint="eastAsia" w:ascii="Times New Roman" w:hAnsi="Times New Roman" w:eastAsia="宋体" w:cs="Times New Roman"/>
                <w:spacing w:val="-10"/>
                <w:sz w:val="24"/>
                <w:highlight w:val="none"/>
                <w:lang w:eastAsia="zh-CN"/>
              </w:rPr>
              <w:t>了</w:t>
            </w:r>
            <w:r>
              <w:rPr>
                <w:rFonts w:hint="eastAsia" w:ascii="Times New Roman" w:hAnsi="Times New Roman" w:eastAsia="宋体" w:cs="Times New Roman"/>
                <w:sz w:val="24"/>
                <w:highlight w:val="none"/>
              </w:rPr>
              <w:t>四周拦挡，上铺下盖等挡护及苫盖</w:t>
            </w:r>
            <w:r>
              <w:rPr>
                <w:rFonts w:hint="eastAsia" w:ascii="Times New Roman" w:hAnsi="Times New Roman" w:eastAsia="宋体" w:cs="Times New Roman"/>
                <w:sz w:val="24"/>
                <w:highlight w:val="none"/>
                <w:lang w:val="en-US" w:eastAsia="zh-CN"/>
              </w:rPr>
              <w:t>等</w:t>
            </w:r>
            <w:r>
              <w:rPr>
                <w:rFonts w:hint="eastAsia" w:ascii="Times New Roman" w:hAnsi="Times New Roman" w:eastAsia="宋体" w:cs="Times New Roman"/>
                <w:sz w:val="24"/>
                <w:highlight w:val="none"/>
              </w:rPr>
              <w:t>措施妥善堆放。</w:t>
            </w:r>
          </w:p>
          <w:p w14:paraId="255E5A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b/>
                <w:bCs/>
                <w:color w:val="000000"/>
                <w:spacing w:val="0"/>
                <w:sz w:val="24"/>
                <w:szCs w:val="24"/>
                <w:highlight w:val="none"/>
                <w:lang w:val="en-US" w:eastAsia="zh-CN"/>
              </w:rPr>
            </w:pPr>
            <w:r>
              <w:rPr>
                <w:rFonts w:hint="eastAsia" w:ascii="Times New Roman" w:hAnsi="Times New Roman" w:eastAsia="宋体" w:cs="Times New Roman"/>
                <w:b/>
                <w:bCs/>
                <w:color w:val="000000"/>
                <w:kern w:val="2"/>
                <w:sz w:val="24"/>
                <w:szCs w:val="24"/>
                <w:highlight w:val="none"/>
                <w:lang w:val="en-US" w:eastAsia="zh-CN" w:bidi="ar-SA"/>
              </w:rPr>
              <w:t>5.</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2</w:t>
            </w:r>
            <w:r>
              <w:rPr>
                <w:rFonts w:hint="eastAsia" w:ascii="Times New Roman" w:hAnsi="Times New Roman" w:eastAsia="宋体" w:cs="Times New Roman"/>
                <w:b/>
                <w:bCs/>
                <w:color w:val="000000"/>
                <w:spacing w:val="0"/>
                <w:sz w:val="24"/>
                <w:szCs w:val="24"/>
                <w:highlight w:val="none"/>
                <w:lang w:val="en-US" w:eastAsia="zh-CN"/>
              </w:rPr>
              <w:t>施工扬尘防治措施</w:t>
            </w:r>
          </w:p>
          <w:p w14:paraId="30B670D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4"/>
                <w:highlight w:val="none"/>
              </w:rPr>
            </w:pPr>
            <w:r>
              <w:rPr>
                <w:rFonts w:hint="eastAsia" w:cs="Times New Roman"/>
                <w:bCs/>
                <w:color w:val="000000"/>
                <w:sz w:val="24"/>
                <w:szCs w:val="24"/>
                <w:highlight w:val="none"/>
                <w:lang w:val="en-US" w:eastAsia="zh-CN"/>
              </w:rPr>
              <w:t>（1）</w:t>
            </w:r>
            <w:r>
              <w:rPr>
                <w:rFonts w:hint="eastAsia" w:ascii="Times New Roman" w:hAnsi="Times New Roman" w:eastAsia="宋体" w:cs="Times New Roman"/>
                <w:color w:val="000000"/>
                <w:sz w:val="24"/>
                <w:szCs w:val="24"/>
                <w:highlight w:val="none"/>
              </w:rPr>
              <w:t>加强</w:t>
            </w:r>
            <w:r>
              <w:rPr>
                <w:rFonts w:hint="eastAsia" w:ascii="Times New Roman" w:hAnsi="Times New Roman" w:eastAsia="宋体" w:cs="Times New Roman"/>
                <w:color w:val="000000"/>
                <w:sz w:val="24"/>
                <w:szCs w:val="24"/>
                <w:highlight w:val="none"/>
                <w:lang w:eastAsia="zh-CN"/>
              </w:rPr>
              <w:t>了</w:t>
            </w:r>
            <w:r>
              <w:rPr>
                <w:rFonts w:hint="eastAsia" w:ascii="Times New Roman" w:hAnsi="Times New Roman" w:eastAsia="宋体" w:cs="Times New Roman"/>
                <w:color w:val="000000"/>
                <w:sz w:val="24"/>
                <w:szCs w:val="24"/>
                <w:highlight w:val="none"/>
              </w:rPr>
              <w:t>对施工现场和物料运输的管理，管控</w:t>
            </w:r>
            <w:r>
              <w:rPr>
                <w:rFonts w:hint="eastAsia" w:ascii="Times New Roman" w:hAnsi="Times New Roman" w:eastAsia="宋体" w:cs="Times New Roman"/>
                <w:color w:val="000000"/>
                <w:sz w:val="24"/>
                <w:szCs w:val="24"/>
                <w:highlight w:val="none"/>
                <w:lang w:eastAsia="zh-CN"/>
              </w:rPr>
              <w:t>了</w:t>
            </w:r>
            <w:r>
              <w:rPr>
                <w:rFonts w:hint="eastAsia" w:ascii="Times New Roman" w:hAnsi="Times New Roman" w:eastAsia="宋体" w:cs="Times New Roman"/>
                <w:color w:val="000000"/>
                <w:sz w:val="24"/>
                <w:szCs w:val="24"/>
                <w:highlight w:val="none"/>
              </w:rPr>
              <w:t>料堆和渣土堆放。</w:t>
            </w:r>
          </w:p>
          <w:p w14:paraId="2AE5027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4"/>
                <w:highlight w:val="none"/>
              </w:rPr>
            </w:pPr>
            <w:r>
              <w:rPr>
                <w:rFonts w:hint="eastAsia" w:cs="Times New Roman"/>
                <w:bCs/>
                <w:color w:val="000000"/>
                <w:sz w:val="24"/>
                <w:szCs w:val="24"/>
                <w:highlight w:val="none"/>
                <w:lang w:val="en-US" w:eastAsia="zh-CN"/>
              </w:rPr>
              <w:t>（2）</w:t>
            </w:r>
            <w:r>
              <w:rPr>
                <w:rFonts w:hint="eastAsia" w:ascii="Times New Roman" w:hAnsi="Times New Roman" w:eastAsia="宋体" w:cs="Times New Roman"/>
                <w:color w:val="000000"/>
                <w:sz w:val="24"/>
                <w:szCs w:val="24"/>
                <w:highlight w:val="none"/>
              </w:rPr>
              <w:t>对临时堆土、运输过程中的土石方等采取</w:t>
            </w:r>
            <w:r>
              <w:rPr>
                <w:rFonts w:hint="eastAsia" w:ascii="Times New Roman" w:hAnsi="Times New Roman" w:eastAsia="宋体" w:cs="Times New Roman"/>
                <w:color w:val="000000"/>
                <w:sz w:val="24"/>
                <w:szCs w:val="24"/>
                <w:highlight w:val="none"/>
                <w:lang w:eastAsia="zh-CN"/>
              </w:rPr>
              <w:t>了</w:t>
            </w:r>
            <w:r>
              <w:rPr>
                <w:rFonts w:hint="eastAsia" w:ascii="Times New Roman" w:hAnsi="Times New Roman" w:eastAsia="宋体" w:cs="Times New Roman"/>
                <w:color w:val="000000"/>
                <w:sz w:val="24"/>
                <w:szCs w:val="24"/>
                <w:highlight w:val="none"/>
              </w:rPr>
              <w:t>密闭式防尘布</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网</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进行苫盖。</w:t>
            </w:r>
          </w:p>
          <w:p w14:paraId="61A4868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szCs w:val="24"/>
                <w:highlight w:val="none"/>
              </w:rPr>
            </w:pPr>
            <w:r>
              <w:rPr>
                <w:rFonts w:hint="eastAsia" w:cs="Times New Roman"/>
                <w:bCs/>
                <w:color w:val="000000"/>
                <w:sz w:val="24"/>
                <w:szCs w:val="24"/>
                <w:highlight w:val="none"/>
                <w:lang w:val="en-US" w:eastAsia="zh-CN"/>
              </w:rPr>
              <w:t>（3）</w:t>
            </w:r>
            <w:r>
              <w:rPr>
                <w:rFonts w:hint="eastAsia" w:ascii="Times New Roman" w:hAnsi="Times New Roman" w:eastAsia="宋体" w:cs="Times New Roman"/>
                <w:color w:val="000000"/>
                <w:sz w:val="24"/>
                <w:szCs w:val="24"/>
                <w:highlight w:val="none"/>
              </w:rPr>
              <w:t>施工现场</w:t>
            </w:r>
            <w:r>
              <w:rPr>
                <w:rFonts w:hint="eastAsia" w:ascii="Times New Roman" w:hAnsi="Times New Roman" w:eastAsia="宋体" w:cs="Times New Roman"/>
                <w:color w:val="000000"/>
                <w:sz w:val="24"/>
                <w:szCs w:val="24"/>
                <w:highlight w:val="none"/>
                <w:lang w:val="en-US" w:eastAsia="zh-CN"/>
              </w:rPr>
              <w:t>未</w:t>
            </w:r>
            <w:r>
              <w:rPr>
                <w:rFonts w:hint="eastAsia" w:ascii="Times New Roman" w:hAnsi="Times New Roman" w:eastAsia="宋体" w:cs="Times New Roman"/>
                <w:color w:val="000000"/>
                <w:sz w:val="24"/>
                <w:szCs w:val="24"/>
                <w:highlight w:val="none"/>
              </w:rPr>
              <w:t>将包装物、可燃垃圾等固体废弃物就地焚烧。</w:t>
            </w:r>
          </w:p>
          <w:p w14:paraId="618B0808">
            <w:pPr>
              <w:keepNext w:val="0"/>
              <w:keepLines w:val="0"/>
              <w:suppressLineNumbers w:val="0"/>
              <w:adjustRightInd w:val="0"/>
              <w:snapToGrid w:val="0"/>
              <w:spacing w:before="0" w:beforeAutospacing="0" w:after="0" w:afterAutospacing="0" w:line="360" w:lineRule="auto"/>
              <w:ind w:left="0" w:right="0" w:firstLine="480" w:firstLineChars="200"/>
              <w:rPr>
                <w:rFonts w:hint="eastAsia"/>
                <w:lang w:val="en-US" w:eastAsia="zh-CN"/>
              </w:rPr>
            </w:pP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运输粉状建筑材料的运输车辆配置</w:t>
            </w:r>
            <w:r>
              <w:rPr>
                <w:rFonts w:hint="eastAsia" w:cs="Times New Roman"/>
                <w:color w:val="000000" w:themeColor="text1"/>
                <w:sz w:val="24"/>
                <w:szCs w:val="24"/>
                <w:highlight w:val="none"/>
                <w:lang w:val="en-US" w:eastAsia="zh-CN"/>
                <w14:textFill>
                  <w14:solidFill>
                    <w14:schemeClr w14:val="tx1"/>
                  </w14:solidFill>
                </w14:textFill>
              </w:rPr>
              <w:t>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防洒落装置，车辆装载</w:t>
            </w:r>
            <w:r>
              <w:rPr>
                <w:rFonts w:hint="eastAsia" w:cs="Times New Roman"/>
                <w:color w:val="000000" w:themeColor="text1"/>
                <w:sz w:val="24"/>
                <w:szCs w:val="24"/>
                <w:highlight w:val="none"/>
                <w:lang w:val="en-US" w:eastAsia="zh-CN"/>
                <w14:textFill>
                  <w14:solidFill>
                    <w14:schemeClr w14:val="tx1"/>
                  </w14:solidFill>
                </w14:textFill>
              </w:rPr>
              <w:t>量合理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避免</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运输过程中散落建筑材料。</w:t>
            </w:r>
          </w:p>
          <w:p w14:paraId="4A3F24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b/>
                <w:bCs/>
                <w:color w:val="000000"/>
                <w:spacing w:val="0"/>
                <w:sz w:val="24"/>
                <w:szCs w:val="24"/>
                <w:highlight w:val="none"/>
                <w:lang w:val="en-US" w:eastAsia="zh-CN"/>
              </w:rPr>
            </w:pPr>
            <w:r>
              <w:rPr>
                <w:rFonts w:hint="eastAsia" w:ascii="Times New Roman" w:hAnsi="Times New Roman" w:eastAsia="宋体" w:cs="Times New Roman"/>
                <w:b/>
                <w:bCs/>
                <w:color w:val="000000"/>
                <w:kern w:val="2"/>
                <w:sz w:val="24"/>
                <w:szCs w:val="24"/>
                <w:highlight w:val="none"/>
                <w:lang w:val="en-US" w:eastAsia="zh-CN" w:bidi="ar-SA"/>
              </w:rPr>
              <w:t>5.</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3</w:t>
            </w:r>
            <w:r>
              <w:rPr>
                <w:rFonts w:hint="eastAsia" w:ascii="Times New Roman" w:hAnsi="Times New Roman" w:eastAsia="宋体" w:cs="Times New Roman"/>
                <w:b/>
                <w:bCs/>
                <w:color w:val="000000"/>
                <w:spacing w:val="0"/>
                <w:sz w:val="24"/>
                <w:szCs w:val="24"/>
                <w:highlight w:val="none"/>
                <w:lang w:val="en-US" w:eastAsia="zh-CN"/>
              </w:rPr>
              <w:t>废水防治措施</w:t>
            </w:r>
          </w:p>
          <w:p w14:paraId="2C6E6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施工过程中产生的废水量较少，直接用施工场地及运输道路洒水降尘。施工人员产生的生活污水依托主体工程的</w:t>
            </w:r>
            <w:r>
              <w:rPr>
                <w:rFonts w:hint="default" w:ascii="Times New Roman" w:hAnsi="Times New Roman" w:eastAsia="宋体" w:cs="Times New Roman"/>
                <w:sz w:val="24"/>
                <w:szCs w:val="24"/>
              </w:rPr>
              <w:t>污水处理设施</w:t>
            </w:r>
            <w:r>
              <w:rPr>
                <w:rFonts w:hint="eastAsia" w:ascii="Times New Roman" w:hAnsi="Times New Roman" w:eastAsia="宋体" w:cs="Times New Roman"/>
                <w:color w:val="000000"/>
                <w:spacing w:val="0"/>
                <w:sz w:val="24"/>
                <w:szCs w:val="24"/>
                <w:highlight w:val="none"/>
                <w:lang w:val="en-US" w:eastAsia="zh-CN"/>
              </w:rPr>
              <w:t>处理。</w:t>
            </w:r>
            <w:r>
              <w:rPr>
                <w:rFonts w:hint="eastAsia" w:ascii="Times New Roman" w:hAnsi="Times New Roman" w:eastAsia="宋体" w:cs="Times New Roman"/>
                <w:b w:val="0"/>
                <w:bCs w:val="0"/>
                <w:color w:val="000000"/>
                <w:spacing w:val="0"/>
                <w:sz w:val="24"/>
                <w:szCs w:val="24"/>
                <w:highlight w:val="none"/>
                <w:lang w:val="en-US" w:eastAsia="zh-CN"/>
              </w:rPr>
              <w:t>施工期产生的废水得到了有效的处理，无废水外排，未对周边水环境产生大的影响。</w:t>
            </w:r>
          </w:p>
          <w:p w14:paraId="37C70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b/>
                <w:bCs/>
                <w:color w:val="000000"/>
                <w:spacing w:val="0"/>
                <w:sz w:val="24"/>
                <w:szCs w:val="24"/>
                <w:highlight w:val="none"/>
                <w:lang w:val="en-US" w:eastAsia="zh-CN"/>
              </w:rPr>
            </w:pPr>
            <w:r>
              <w:rPr>
                <w:rFonts w:hint="eastAsia" w:ascii="Times New Roman" w:hAnsi="Times New Roman" w:eastAsia="宋体" w:cs="Times New Roman"/>
                <w:b/>
                <w:bCs/>
                <w:color w:val="000000"/>
                <w:kern w:val="2"/>
                <w:sz w:val="24"/>
                <w:szCs w:val="24"/>
                <w:highlight w:val="none"/>
                <w:lang w:val="en-US" w:eastAsia="zh-CN" w:bidi="ar-SA"/>
              </w:rPr>
              <w:t>5.</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4</w:t>
            </w:r>
            <w:r>
              <w:rPr>
                <w:rFonts w:hint="eastAsia" w:ascii="Times New Roman" w:hAnsi="Times New Roman" w:eastAsia="宋体" w:cs="Times New Roman"/>
                <w:b/>
                <w:bCs/>
                <w:color w:val="000000"/>
                <w:spacing w:val="0"/>
                <w:sz w:val="24"/>
                <w:szCs w:val="24"/>
                <w:highlight w:val="none"/>
                <w:lang w:val="en-US" w:eastAsia="zh-CN"/>
              </w:rPr>
              <w:t>噪声防治措施</w:t>
            </w:r>
          </w:p>
          <w:p w14:paraId="043D006D">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baseline"/>
              <w:outlineLvl w:val="2"/>
              <w:rPr>
                <w:rFonts w:hint="eastAsia" w:ascii="Times New Roman" w:hAnsi="Times New Roman" w:eastAsia="宋体" w:cs="Times New Roman"/>
                <w:b w:val="0"/>
                <w:bCs w:val="0"/>
                <w:color w:val="000000"/>
                <w:spacing w:val="0"/>
                <w:kern w:val="2"/>
                <w:sz w:val="24"/>
                <w:szCs w:val="24"/>
                <w:highlight w:val="none"/>
                <w:lang w:val="en-US" w:eastAsia="zh-CN" w:bidi="ar-SA"/>
              </w:rPr>
            </w:pPr>
            <w:r>
              <w:rPr>
                <w:rFonts w:hint="eastAsia" w:cs="Times New Roman"/>
                <w:b w:val="0"/>
                <w:bCs w:val="0"/>
                <w:color w:val="000000"/>
                <w:spacing w:val="0"/>
                <w:kern w:val="2"/>
                <w:sz w:val="24"/>
                <w:szCs w:val="24"/>
                <w:highlight w:val="none"/>
                <w:lang w:val="en-US" w:eastAsia="zh-CN" w:bidi="ar-SA"/>
              </w:rPr>
              <w:t>（1）</w:t>
            </w:r>
            <w:r>
              <w:rPr>
                <w:rFonts w:hint="eastAsia" w:ascii="Times New Roman" w:hAnsi="Times New Roman" w:eastAsia="宋体" w:cs="Times New Roman"/>
                <w:b w:val="0"/>
                <w:bCs w:val="0"/>
                <w:color w:val="000000"/>
                <w:spacing w:val="0"/>
                <w:kern w:val="2"/>
                <w:sz w:val="24"/>
                <w:szCs w:val="24"/>
                <w:highlight w:val="none"/>
                <w:lang w:val="en-US" w:eastAsia="zh-CN" w:bidi="ar-SA"/>
              </w:rPr>
              <w:t>施工机械选择了低噪声设备，并对高噪声设备采取适当的</w:t>
            </w:r>
            <w:r>
              <w:rPr>
                <w:rFonts w:hint="eastAsia" w:cs="Times New Roman"/>
                <w:b w:val="0"/>
                <w:bCs w:val="0"/>
                <w:color w:val="000000"/>
                <w:spacing w:val="0"/>
                <w:kern w:val="2"/>
                <w:sz w:val="24"/>
                <w:szCs w:val="24"/>
                <w:highlight w:val="none"/>
                <w:lang w:val="en-US" w:eastAsia="zh-CN" w:bidi="ar-SA"/>
              </w:rPr>
              <w:t>减振</w:t>
            </w:r>
            <w:r>
              <w:rPr>
                <w:rFonts w:hint="eastAsia" w:ascii="Times New Roman" w:hAnsi="Times New Roman" w:eastAsia="宋体" w:cs="Times New Roman"/>
                <w:b w:val="0"/>
                <w:bCs w:val="0"/>
                <w:color w:val="000000"/>
                <w:spacing w:val="0"/>
                <w:kern w:val="2"/>
                <w:sz w:val="24"/>
                <w:szCs w:val="24"/>
                <w:highlight w:val="none"/>
                <w:lang w:val="en-US" w:eastAsia="zh-CN" w:bidi="ar-SA"/>
              </w:rPr>
              <w:t>降噪措施。</w:t>
            </w:r>
          </w:p>
          <w:p w14:paraId="4832C710">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baseline"/>
              <w:outlineLvl w:val="2"/>
              <w:rPr>
                <w:rFonts w:hint="eastAsia" w:ascii="Times New Roman" w:hAnsi="Times New Roman" w:eastAsia="宋体" w:cs="Times New Roman"/>
                <w:b w:val="0"/>
                <w:bCs w:val="0"/>
                <w:color w:val="000000"/>
                <w:spacing w:val="0"/>
                <w:kern w:val="2"/>
                <w:sz w:val="24"/>
                <w:szCs w:val="24"/>
                <w:highlight w:val="none"/>
                <w:lang w:val="en-US" w:eastAsia="zh-CN" w:bidi="ar-SA"/>
              </w:rPr>
            </w:pPr>
            <w:r>
              <w:rPr>
                <w:rFonts w:hint="eastAsia" w:cs="Times New Roman"/>
                <w:b w:val="0"/>
                <w:bCs w:val="0"/>
                <w:color w:val="000000"/>
                <w:spacing w:val="0"/>
                <w:kern w:val="2"/>
                <w:sz w:val="24"/>
                <w:szCs w:val="24"/>
                <w:highlight w:val="none"/>
                <w:lang w:val="en-US" w:eastAsia="zh-CN" w:bidi="ar-SA"/>
              </w:rPr>
              <w:t>（2）</w:t>
            </w:r>
            <w:r>
              <w:rPr>
                <w:rFonts w:hint="eastAsia" w:ascii="Times New Roman" w:hAnsi="Times New Roman" w:eastAsia="宋体" w:cs="Times New Roman"/>
                <w:b w:val="0"/>
                <w:bCs w:val="0"/>
                <w:color w:val="000000"/>
                <w:spacing w:val="0"/>
                <w:kern w:val="2"/>
                <w:sz w:val="24"/>
                <w:szCs w:val="24"/>
                <w:highlight w:val="none"/>
                <w:lang w:val="en-US" w:eastAsia="zh-CN" w:bidi="ar-SA"/>
              </w:rPr>
              <w:t>避免了夜间施工，未在夜间使用高噪声设备。</w:t>
            </w:r>
          </w:p>
          <w:p w14:paraId="1E3A6E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b/>
                <w:bCs/>
                <w:color w:val="000000"/>
                <w:spacing w:val="0"/>
                <w:sz w:val="24"/>
                <w:szCs w:val="24"/>
                <w:highlight w:val="none"/>
                <w:lang w:val="en-US" w:eastAsia="zh-CN"/>
              </w:rPr>
            </w:pPr>
            <w:r>
              <w:rPr>
                <w:rFonts w:hint="eastAsia" w:ascii="Times New Roman" w:hAnsi="Times New Roman" w:eastAsia="宋体" w:cs="Times New Roman"/>
                <w:b/>
                <w:bCs/>
                <w:color w:val="000000"/>
                <w:kern w:val="2"/>
                <w:sz w:val="24"/>
                <w:szCs w:val="24"/>
                <w:highlight w:val="none"/>
                <w:lang w:val="en-US" w:eastAsia="zh-CN" w:bidi="ar-SA"/>
              </w:rPr>
              <w:t>5.</w:t>
            </w:r>
            <w:r>
              <w:rPr>
                <w:rFonts w:hint="eastAsia" w:cs="Times New Roman"/>
                <w:b/>
                <w:bCs/>
                <w:color w:val="000000"/>
                <w:kern w:val="2"/>
                <w:sz w:val="24"/>
                <w:szCs w:val="24"/>
                <w:highlight w:val="none"/>
                <w:lang w:val="en-US" w:eastAsia="zh-CN" w:bidi="ar-SA"/>
              </w:rPr>
              <w:t>1.</w:t>
            </w:r>
            <w:r>
              <w:rPr>
                <w:rFonts w:hint="eastAsia" w:ascii="Times New Roman" w:hAnsi="Times New Roman" w:eastAsia="宋体" w:cs="Times New Roman"/>
                <w:b/>
                <w:bCs/>
                <w:color w:val="000000"/>
                <w:kern w:val="2"/>
                <w:sz w:val="24"/>
                <w:szCs w:val="24"/>
                <w:highlight w:val="none"/>
                <w:lang w:val="en-US" w:eastAsia="zh-CN" w:bidi="ar-SA"/>
              </w:rPr>
              <w:t>5</w:t>
            </w:r>
            <w:r>
              <w:rPr>
                <w:rFonts w:hint="eastAsia" w:ascii="Times New Roman" w:hAnsi="Times New Roman" w:eastAsia="宋体" w:cs="Times New Roman"/>
                <w:b/>
                <w:bCs/>
                <w:color w:val="000000"/>
                <w:spacing w:val="0"/>
                <w:sz w:val="24"/>
                <w:szCs w:val="24"/>
                <w:highlight w:val="none"/>
                <w:lang w:val="en-US" w:eastAsia="zh-CN"/>
              </w:rPr>
              <w:t>固体废物保护措施</w:t>
            </w:r>
          </w:p>
          <w:p w14:paraId="3251D54B">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color w:val="000000"/>
                <w:spacing w:val="-4"/>
                <w:sz w:val="24"/>
                <w:szCs w:val="24"/>
                <w:highlight w:val="none"/>
                <w:lang w:eastAsia="zh-CN"/>
              </w:rPr>
            </w:pPr>
            <w:r>
              <w:rPr>
                <w:rFonts w:hint="eastAsia" w:cs="Times New Roman"/>
                <w:color w:val="000000"/>
                <w:sz w:val="24"/>
                <w:szCs w:val="24"/>
                <w:highlight w:val="none"/>
                <w:lang w:val="en-US" w:eastAsia="zh-CN"/>
              </w:rPr>
              <w:t>（1）</w:t>
            </w:r>
            <w:r>
              <w:rPr>
                <w:rFonts w:hint="eastAsia" w:ascii="Times New Roman" w:hAnsi="Times New Roman" w:eastAsia="宋体" w:cs="Times New Roman"/>
                <w:color w:val="000000"/>
                <w:sz w:val="24"/>
                <w:szCs w:val="24"/>
                <w:highlight w:val="none"/>
                <w:lang w:val="en-US" w:eastAsia="zh-CN"/>
              </w:rPr>
              <w:t>土石方</w:t>
            </w:r>
            <w:r>
              <w:rPr>
                <w:rFonts w:hint="eastAsia" w:ascii="Times New Roman" w:hAnsi="Times New Roman" w:eastAsia="宋体" w:cs="Times New Roman"/>
                <w:color w:val="000000"/>
                <w:spacing w:val="-4"/>
                <w:sz w:val="24"/>
                <w:szCs w:val="24"/>
                <w:highlight w:val="none"/>
              </w:rPr>
              <w:t>用于塔基护坡或运至临近低洼处平整处理</w:t>
            </w:r>
            <w:r>
              <w:rPr>
                <w:rFonts w:hint="eastAsia" w:ascii="Times New Roman" w:hAnsi="Times New Roman" w:eastAsia="宋体" w:cs="Times New Roman"/>
                <w:color w:val="000000"/>
                <w:spacing w:val="-4"/>
                <w:sz w:val="24"/>
                <w:szCs w:val="24"/>
                <w:highlight w:val="none"/>
                <w:lang w:eastAsia="zh-CN"/>
              </w:rPr>
              <w:t>，</w:t>
            </w:r>
            <w:r>
              <w:rPr>
                <w:rFonts w:hint="eastAsia" w:ascii="Times New Roman" w:hAnsi="Times New Roman" w:eastAsia="宋体" w:cs="Times New Roman"/>
                <w:color w:val="000000"/>
                <w:spacing w:val="-4"/>
                <w:sz w:val="24"/>
                <w:szCs w:val="24"/>
                <w:highlight w:val="none"/>
                <w:lang w:val="en-US" w:eastAsia="zh-CN"/>
              </w:rPr>
              <w:t>无弃土弃渣。</w:t>
            </w:r>
          </w:p>
          <w:p w14:paraId="740E806E">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480" w:leftChars="200" w:right="0" w:rightChars="0"/>
              <w:jc w:val="both"/>
              <w:textAlignment w:val="auto"/>
              <w:outlineLvl w:val="9"/>
              <w:rPr>
                <w:rFonts w:hint="eastAsia" w:ascii="Times New Roman" w:hAnsi="Times New Roman" w:eastAsia="宋体" w:cs="Times New Roman"/>
                <w:color w:val="000000"/>
                <w:sz w:val="24"/>
                <w:szCs w:val="24"/>
                <w:highlight w:val="none"/>
              </w:rPr>
            </w:pP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2</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eastAsia="zh-CN"/>
              </w:rPr>
              <w:t>生活垃圾</w:t>
            </w:r>
            <w:r>
              <w:rPr>
                <w:rFonts w:hint="eastAsia" w:ascii="Times New Roman" w:hAnsi="Times New Roman" w:eastAsia="宋体" w:cs="Times New Roman"/>
                <w:color w:val="000000"/>
                <w:sz w:val="24"/>
                <w:szCs w:val="24"/>
                <w:highlight w:val="none"/>
              </w:rPr>
              <w:t>集中收集后</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spacing w:val="-3"/>
                <w:sz w:val="24"/>
              </w:rPr>
              <w:t>交由环卫部门统一清运</w:t>
            </w:r>
            <w:r>
              <w:rPr>
                <w:rFonts w:hint="eastAsia" w:ascii="Times New Roman" w:hAnsi="Times New Roman" w:eastAsia="宋体" w:cs="Times New Roman"/>
                <w:spacing w:val="-3"/>
                <w:sz w:val="24"/>
                <w:lang w:val="en-US" w:eastAsia="zh-CN"/>
              </w:rPr>
              <w:t>处理。</w:t>
            </w:r>
          </w:p>
          <w:p w14:paraId="6D56A7FD">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auto"/>
              <w:ind w:left="480" w:leftChars="200" w:right="0" w:rightChars="0"/>
              <w:jc w:val="both"/>
              <w:textAlignment w:val="auto"/>
              <w:outlineLvl w:val="9"/>
              <w:rPr>
                <w:rFonts w:hint="eastAsia" w:ascii="Times New Roman" w:hAnsi="Times New Roman" w:eastAsia="宋体" w:cs="Times New Roman"/>
                <w:color w:val="000000"/>
                <w:sz w:val="24"/>
                <w:szCs w:val="24"/>
                <w:highlight w:val="none"/>
              </w:rPr>
            </w:pP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3</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包装袋由施工单位统一回收，综合利用</w:t>
            </w:r>
            <w:r>
              <w:rPr>
                <w:rFonts w:hint="eastAsia" w:ascii="Times New Roman" w:hAnsi="Times New Roman" w:eastAsia="宋体" w:cs="Times New Roman"/>
                <w:color w:val="000000"/>
                <w:sz w:val="24"/>
                <w:szCs w:val="24"/>
                <w:highlight w:val="none"/>
                <w:lang w:eastAsia="zh-CN"/>
              </w:rPr>
              <w:t>。</w:t>
            </w:r>
          </w:p>
          <w:p w14:paraId="70141EC6">
            <w:pPr>
              <w:pStyle w:val="135"/>
              <w:keepNext w:val="0"/>
              <w:keepLines w:val="0"/>
              <w:suppressLineNumbers w:val="0"/>
              <w:spacing w:before="40" w:beforeAutospacing="0" w:after="0" w:afterAutospacing="0" w:line="355" w:lineRule="auto"/>
              <w:ind w:left="0" w:leftChars="0" w:right="17" w:firstLine="0" w:firstLineChars="0"/>
              <w:jc w:val="both"/>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b/>
                <w:bCs/>
                <w:color w:val="000000"/>
                <w:kern w:val="2"/>
                <w:sz w:val="24"/>
                <w:szCs w:val="24"/>
                <w:highlight w:val="none"/>
                <w:lang w:val="en-US" w:eastAsia="zh-CN" w:bidi="ar-SA"/>
              </w:rPr>
              <w:t>5.</w:t>
            </w:r>
            <w:r>
              <w:rPr>
                <w:rFonts w:hint="eastAsia" w:ascii="Times New Roman" w:hAnsi="Times New Roman" w:cs="Times New Roman"/>
                <w:b/>
                <w:bCs/>
                <w:color w:val="000000"/>
                <w:kern w:val="2"/>
                <w:sz w:val="24"/>
                <w:szCs w:val="24"/>
                <w:highlight w:val="none"/>
                <w:lang w:val="en-US" w:eastAsia="zh-CN" w:bidi="ar-SA"/>
              </w:rPr>
              <w:t>1.6</w:t>
            </w:r>
            <w:r>
              <w:rPr>
                <w:rFonts w:hint="eastAsia" w:ascii="Times New Roman" w:hAnsi="Times New Roman" w:eastAsia="宋体" w:cs="Times New Roman"/>
                <w:b/>
                <w:bCs/>
                <w:color w:val="000000"/>
                <w:spacing w:val="0"/>
                <w:kern w:val="2"/>
                <w:sz w:val="24"/>
                <w:szCs w:val="24"/>
                <w:highlight w:val="none"/>
                <w:lang w:val="en-US" w:eastAsia="zh-CN" w:bidi="ar-SA"/>
              </w:rPr>
              <w:t>防沙治沙措施</w:t>
            </w:r>
          </w:p>
          <w:p w14:paraId="550D6A3C">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cs="Times New Roman"/>
                <w:kern w:val="2"/>
                <w:sz w:val="24"/>
                <w:szCs w:val="24"/>
                <w:highlight w:val="none"/>
                <w:lang w:val="en-US" w:eastAsia="zh-CN" w:bidi="ar-SA"/>
              </w:rPr>
              <w:t>（1）</w:t>
            </w:r>
            <w:r>
              <w:rPr>
                <w:rFonts w:hint="eastAsia" w:ascii="Times New Roman" w:hAnsi="Times New Roman" w:eastAsia="宋体" w:cs="Times New Roman"/>
                <w:kern w:val="2"/>
                <w:sz w:val="24"/>
                <w:szCs w:val="24"/>
                <w:highlight w:val="none"/>
                <w:lang w:val="en-US" w:eastAsia="zh-CN" w:bidi="ar-SA"/>
              </w:rPr>
              <w:t>土方堆存过程中使用</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防尘网，并定期洒水抑尘；施工结束后</w:t>
            </w:r>
            <w:r>
              <w:rPr>
                <w:rFonts w:hint="eastAsia" w:ascii="Times New Roman" w:hAnsi="Times New Roman" w:cs="Times New Roman"/>
                <w:kern w:val="2"/>
                <w:sz w:val="24"/>
                <w:szCs w:val="24"/>
                <w:highlight w:val="none"/>
                <w:lang w:val="en-US" w:eastAsia="zh-CN" w:bidi="ar-SA"/>
              </w:rPr>
              <w:t>，</w:t>
            </w:r>
            <w:r>
              <w:rPr>
                <w:rFonts w:hint="eastAsia" w:ascii="Times New Roman" w:hAnsi="Times New Roman" w:eastAsia="宋体" w:cs="Times New Roman"/>
                <w:kern w:val="2"/>
                <w:sz w:val="24"/>
                <w:szCs w:val="24"/>
                <w:highlight w:val="none"/>
                <w:lang w:val="en-US" w:eastAsia="zh-CN" w:bidi="ar-SA"/>
              </w:rPr>
              <w:t>采用砾石压盖等措施</w:t>
            </w:r>
            <w:r>
              <w:rPr>
                <w:rFonts w:hint="eastAsia" w:ascii="Times New Roman" w:hAnsi="Times New Roman" w:cs="Times New Roman"/>
                <w:kern w:val="2"/>
                <w:sz w:val="24"/>
                <w:szCs w:val="24"/>
                <w:highlight w:val="none"/>
                <w:lang w:val="en-US" w:eastAsia="zh-CN" w:bidi="ar-SA"/>
              </w:rPr>
              <w:t>。</w:t>
            </w:r>
          </w:p>
          <w:p w14:paraId="188F1355">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sz w:val="24"/>
                <w:szCs w:val="24"/>
                <w:highlight w:val="none"/>
              </w:rPr>
            </w:pPr>
            <w:r>
              <w:rPr>
                <w:rFonts w:hint="eastAsia" w:ascii="Times New Roman" w:hAnsi="Times New Roman" w:cs="Times New Roman"/>
                <w:kern w:val="2"/>
                <w:sz w:val="24"/>
                <w:szCs w:val="24"/>
                <w:highlight w:val="none"/>
                <w:lang w:val="en-US" w:eastAsia="zh-CN" w:bidi="ar-SA"/>
              </w:rPr>
              <w:t>（2）</w:t>
            </w:r>
            <w:r>
              <w:rPr>
                <w:rFonts w:hint="eastAsia" w:ascii="Times New Roman" w:hAnsi="Times New Roman" w:eastAsia="宋体" w:cs="Times New Roman"/>
                <w:kern w:val="2"/>
                <w:sz w:val="24"/>
                <w:szCs w:val="24"/>
                <w:highlight w:val="none"/>
                <w:lang w:val="en-US" w:eastAsia="zh-CN" w:bidi="ar-SA"/>
              </w:rPr>
              <w:t>施工期间严格管理</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运输车辆及重型机械的运行线路和范围，</w:t>
            </w:r>
            <w:r>
              <w:rPr>
                <w:rFonts w:hint="eastAsia" w:ascii="Times New Roman" w:hAnsi="Times New Roman" w:cs="Times New Roman"/>
                <w:kern w:val="2"/>
                <w:sz w:val="24"/>
                <w:szCs w:val="24"/>
                <w:highlight w:val="none"/>
                <w:lang w:val="en-US" w:eastAsia="zh-CN" w:bidi="ar-SA"/>
              </w:rPr>
              <w:t>未</w:t>
            </w:r>
            <w:r>
              <w:rPr>
                <w:rFonts w:hint="eastAsia" w:ascii="Times New Roman" w:hAnsi="Times New Roman" w:eastAsia="宋体" w:cs="Times New Roman"/>
                <w:kern w:val="2"/>
                <w:sz w:val="24"/>
                <w:szCs w:val="24"/>
                <w:highlight w:val="none"/>
                <w:lang w:val="en-US" w:eastAsia="zh-CN" w:bidi="ar-SA"/>
              </w:rPr>
              <w:t>离开运输道路</w:t>
            </w:r>
            <w:r>
              <w:rPr>
                <w:rFonts w:hint="eastAsia" w:ascii="Times New Roman" w:hAnsi="Times New Roman" w:cs="Times New Roman"/>
                <w:kern w:val="2"/>
                <w:sz w:val="24"/>
                <w:szCs w:val="24"/>
                <w:highlight w:val="none"/>
                <w:lang w:val="en-US" w:eastAsia="zh-CN" w:bidi="ar-SA"/>
              </w:rPr>
              <w:t>，未</w:t>
            </w:r>
            <w:r>
              <w:rPr>
                <w:rFonts w:hint="eastAsia" w:ascii="Times New Roman" w:hAnsi="Times New Roman" w:eastAsia="宋体" w:cs="Times New Roman"/>
                <w:kern w:val="2"/>
                <w:sz w:val="24"/>
                <w:szCs w:val="24"/>
                <w:highlight w:val="none"/>
                <w:lang w:val="en-US" w:eastAsia="zh-CN" w:bidi="ar-SA"/>
              </w:rPr>
              <w:t>随意行驶，</w:t>
            </w:r>
            <w:r>
              <w:rPr>
                <w:rFonts w:hint="eastAsia" w:ascii="Times New Roman" w:hAnsi="Times New Roman" w:cs="Times New Roman"/>
                <w:kern w:val="2"/>
                <w:sz w:val="24"/>
                <w:szCs w:val="24"/>
                <w:highlight w:val="none"/>
                <w:lang w:val="en-US" w:eastAsia="zh-CN" w:bidi="ar-SA"/>
              </w:rPr>
              <w:t>减少了对</w:t>
            </w:r>
            <w:r>
              <w:rPr>
                <w:rFonts w:hint="eastAsia" w:ascii="Times New Roman" w:hAnsi="Times New Roman" w:eastAsia="宋体" w:cs="Times New Roman"/>
                <w:kern w:val="2"/>
                <w:sz w:val="24"/>
                <w:szCs w:val="24"/>
                <w:highlight w:val="none"/>
                <w:lang w:val="en-US" w:eastAsia="zh-CN" w:bidi="ar-SA"/>
              </w:rPr>
              <w:t>土壤和植被</w:t>
            </w:r>
            <w:r>
              <w:rPr>
                <w:rFonts w:hint="eastAsia" w:ascii="Times New Roman" w:hAnsi="Times New Roman" w:cs="Times New Roman"/>
                <w:kern w:val="2"/>
                <w:sz w:val="24"/>
                <w:szCs w:val="24"/>
                <w:highlight w:val="none"/>
                <w:lang w:val="en-US" w:eastAsia="zh-CN" w:bidi="ar-SA"/>
              </w:rPr>
              <w:t>的</w:t>
            </w:r>
            <w:r>
              <w:rPr>
                <w:rFonts w:hint="eastAsia" w:ascii="Times New Roman" w:hAnsi="Times New Roman" w:eastAsia="宋体" w:cs="Times New Roman"/>
                <w:kern w:val="2"/>
                <w:sz w:val="24"/>
                <w:szCs w:val="24"/>
                <w:highlight w:val="none"/>
                <w:lang w:val="en-US" w:eastAsia="zh-CN" w:bidi="ar-SA"/>
              </w:rPr>
              <w:t>破坏，</w:t>
            </w:r>
            <w:r>
              <w:rPr>
                <w:rFonts w:hint="eastAsia" w:ascii="Times New Roman" w:hAnsi="Times New Roman" w:cs="Times New Roman"/>
                <w:kern w:val="2"/>
                <w:sz w:val="24"/>
                <w:szCs w:val="24"/>
                <w:highlight w:val="none"/>
                <w:lang w:val="en-US" w:eastAsia="zh-CN" w:bidi="ar-SA"/>
              </w:rPr>
              <w:t>降低</w:t>
            </w:r>
            <w:r>
              <w:rPr>
                <w:rFonts w:hint="eastAsia" w:ascii="Times New Roman" w:hAnsi="Times New Roman" w:eastAsia="宋体" w:cs="Times New Roman"/>
                <w:kern w:val="2"/>
                <w:sz w:val="24"/>
                <w:szCs w:val="24"/>
                <w:highlight w:val="none"/>
                <w:lang w:val="en-US" w:eastAsia="zh-CN" w:bidi="ar-SA"/>
              </w:rPr>
              <w:t>土地荒漠化</w:t>
            </w:r>
            <w:r>
              <w:rPr>
                <w:rFonts w:hint="eastAsia" w:ascii="Times New Roman" w:hAnsi="Times New Roman" w:cs="Times New Roman"/>
                <w:kern w:val="2"/>
                <w:sz w:val="24"/>
                <w:szCs w:val="24"/>
                <w:highlight w:val="none"/>
                <w:lang w:val="en-US" w:eastAsia="zh-CN" w:bidi="ar-SA"/>
              </w:rPr>
              <w:t>可能性。</w:t>
            </w:r>
          </w:p>
          <w:p w14:paraId="4F268A9B">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sz w:val="24"/>
                <w:szCs w:val="24"/>
                <w:highlight w:val="none"/>
              </w:rPr>
            </w:pPr>
            <w:r>
              <w:rPr>
                <w:rFonts w:hint="eastAsia" w:ascii="Times New Roman" w:hAnsi="Times New Roman" w:cs="Times New Roman"/>
                <w:kern w:val="2"/>
                <w:sz w:val="24"/>
                <w:szCs w:val="24"/>
                <w:highlight w:val="none"/>
                <w:lang w:val="en-US" w:eastAsia="zh-CN" w:bidi="ar-SA"/>
              </w:rPr>
              <w:t>（3）</w:t>
            </w:r>
            <w:r>
              <w:rPr>
                <w:rFonts w:hint="eastAsia" w:ascii="Times New Roman" w:hAnsi="Times New Roman" w:eastAsia="宋体" w:cs="Times New Roman"/>
                <w:kern w:val="2"/>
                <w:sz w:val="24"/>
                <w:szCs w:val="24"/>
                <w:highlight w:val="none"/>
                <w:lang w:val="en-US" w:eastAsia="zh-CN" w:bidi="ar-SA"/>
              </w:rPr>
              <w:t>施工后及时清理</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现场，做到“工完、料尽、场清、整洁”，</w:t>
            </w:r>
            <w:r>
              <w:rPr>
                <w:rFonts w:hint="eastAsia" w:ascii="Times New Roman" w:hAnsi="Times New Roman" w:cs="Times New Roman"/>
                <w:kern w:val="2"/>
                <w:sz w:val="24"/>
                <w:szCs w:val="24"/>
                <w:highlight w:val="none"/>
                <w:lang w:val="en-US" w:eastAsia="zh-CN" w:bidi="ar-SA"/>
              </w:rPr>
              <w:t>为</w:t>
            </w:r>
            <w:r>
              <w:rPr>
                <w:rFonts w:hint="eastAsia" w:ascii="Times New Roman" w:hAnsi="Times New Roman" w:eastAsia="宋体" w:cs="Times New Roman"/>
                <w:kern w:val="2"/>
                <w:sz w:val="24"/>
                <w:szCs w:val="24"/>
                <w:highlight w:val="none"/>
                <w:lang w:val="en-US" w:eastAsia="zh-CN" w:bidi="ar-SA"/>
              </w:rPr>
              <w:t>恢复原有生态</w:t>
            </w:r>
            <w:r>
              <w:rPr>
                <w:rFonts w:hint="eastAsia" w:ascii="Times New Roman" w:hAnsi="Times New Roman" w:cs="Times New Roman"/>
                <w:kern w:val="2"/>
                <w:sz w:val="24"/>
                <w:szCs w:val="24"/>
                <w:highlight w:val="none"/>
                <w:lang w:val="en-US" w:eastAsia="zh-CN" w:bidi="ar-SA"/>
              </w:rPr>
              <w:t>打下基础。</w:t>
            </w:r>
          </w:p>
          <w:p w14:paraId="2E4A310C">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sz w:val="24"/>
                <w:szCs w:val="24"/>
                <w:highlight w:val="none"/>
              </w:rPr>
            </w:pPr>
            <w:r>
              <w:rPr>
                <w:rFonts w:hint="eastAsia" w:ascii="Times New Roman" w:hAnsi="Times New Roman" w:cs="Times New Roman"/>
                <w:kern w:val="2"/>
                <w:sz w:val="24"/>
                <w:szCs w:val="24"/>
                <w:highlight w:val="none"/>
                <w:lang w:val="en-US" w:eastAsia="zh-CN" w:bidi="ar-SA"/>
              </w:rPr>
              <w:t>（4）</w:t>
            </w:r>
            <w:r>
              <w:rPr>
                <w:rFonts w:hint="eastAsia" w:ascii="Times New Roman" w:hAnsi="Times New Roman" w:eastAsia="宋体" w:cs="Times New Roman"/>
                <w:kern w:val="2"/>
                <w:sz w:val="24"/>
                <w:szCs w:val="24"/>
                <w:highlight w:val="none"/>
                <w:lang w:val="en-US" w:eastAsia="zh-CN" w:bidi="ar-SA"/>
              </w:rPr>
              <w:t>合理规划</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临时工程的位置，减小</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扰动范围</w:t>
            </w:r>
            <w:r>
              <w:rPr>
                <w:rFonts w:hint="eastAsia" w:ascii="Times New Roman" w:hAnsi="Times New Roman" w:cs="Times New Roman"/>
                <w:kern w:val="2"/>
                <w:sz w:val="24"/>
                <w:szCs w:val="24"/>
                <w:highlight w:val="none"/>
                <w:lang w:val="en-US" w:eastAsia="zh-CN" w:bidi="ar-SA"/>
              </w:rPr>
              <w:t>。</w:t>
            </w:r>
          </w:p>
          <w:p w14:paraId="3D1C2C03">
            <w:pPr>
              <w:pStyle w:val="1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sz w:val="24"/>
                <w:szCs w:val="24"/>
                <w:highlight w:val="none"/>
              </w:rPr>
            </w:pPr>
            <w:r>
              <w:rPr>
                <w:rFonts w:hint="eastAsia" w:ascii="Times New Roman" w:hAnsi="Times New Roman" w:cs="Times New Roman"/>
                <w:kern w:val="2"/>
                <w:sz w:val="24"/>
                <w:szCs w:val="24"/>
                <w:highlight w:val="none"/>
                <w:lang w:val="en-US" w:eastAsia="zh-CN" w:bidi="ar-SA"/>
              </w:rPr>
              <w:t>（5）</w:t>
            </w:r>
            <w:r>
              <w:rPr>
                <w:rFonts w:hint="eastAsia" w:ascii="Times New Roman" w:hAnsi="Times New Roman" w:eastAsia="宋体" w:cs="Times New Roman"/>
                <w:kern w:val="2"/>
                <w:sz w:val="24"/>
                <w:szCs w:val="24"/>
                <w:highlight w:val="none"/>
                <w:lang w:val="en-US" w:eastAsia="zh-CN" w:bidi="ar-SA"/>
              </w:rPr>
              <w:t>临时施工</w:t>
            </w:r>
            <w:r>
              <w:rPr>
                <w:rFonts w:hint="eastAsia" w:ascii="Times New Roman" w:hAnsi="Times New Roman" w:cs="Times New Roman"/>
                <w:kern w:val="2"/>
                <w:sz w:val="24"/>
                <w:szCs w:val="24"/>
                <w:highlight w:val="none"/>
                <w:lang w:val="en-US" w:eastAsia="zh-CN" w:bidi="ar-SA"/>
              </w:rPr>
              <w:t>场地</w:t>
            </w:r>
            <w:r>
              <w:rPr>
                <w:rFonts w:hint="eastAsia" w:ascii="Times New Roman" w:hAnsi="Times New Roman" w:eastAsia="宋体" w:cs="Times New Roman"/>
                <w:kern w:val="2"/>
                <w:sz w:val="24"/>
                <w:szCs w:val="24"/>
                <w:highlight w:val="none"/>
                <w:lang w:val="en-US" w:eastAsia="zh-CN" w:bidi="ar-SA"/>
              </w:rPr>
              <w:t>在施工结束后及时清理</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施工垃圾，</w:t>
            </w:r>
            <w:r>
              <w:rPr>
                <w:rFonts w:hint="eastAsia" w:ascii="Times New Roman" w:hAnsi="Times New Roman" w:cs="Times New Roman"/>
                <w:kern w:val="2"/>
                <w:sz w:val="24"/>
                <w:szCs w:val="24"/>
                <w:highlight w:val="none"/>
                <w:lang w:val="en-US" w:eastAsia="zh-CN" w:bidi="ar-SA"/>
              </w:rPr>
              <w:t>并</w:t>
            </w:r>
            <w:r>
              <w:rPr>
                <w:rFonts w:hint="eastAsia" w:ascii="Times New Roman" w:hAnsi="Times New Roman" w:eastAsia="宋体" w:cs="Times New Roman"/>
                <w:kern w:val="2"/>
                <w:sz w:val="24"/>
                <w:szCs w:val="24"/>
                <w:highlight w:val="none"/>
                <w:lang w:val="en-US" w:eastAsia="zh-CN" w:bidi="ar-SA"/>
              </w:rPr>
              <w:t>对施工场地进行</w:t>
            </w:r>
            <w:r>
              <w:rPr>
                <w:rFonts w:hint="eastAsia" w:ascii="Times New Roman" w:hAnsi="Times New Roman" w:cs="Times New Roman"/>
                <w:kern w:val="2"/>
                <w:sz w:val="24"/>
                <w:szCs w:val="24"/>
                <w:highlight w:val="none"/>
                <w:lang w:val="en-US" w:eastAsia="zh-CN" w:bidi="ar-SA"/>
              </w:rPr>
              <w:t>了</w:t>
            </w:r>
            <w:r>
              <w:rPr>
                <w:rFonts w:hint="eastAsia" w:ascii="Times New Roman" w:hAnsi="Times New Roman" w:eastAsia="宋体" w:cs="Times New Roman"/>
                <w:kern w:val="2"/>
                <w:sz w:val="24"/>
                <w:szCs w:val="24"/>
                <w:highlight w:val="none"/>
                <w:lang w:val="en-US" w:eastAsia="zh-CN" w:bidi="ar-SA"/>
              </w:rPr>
              <w:t>平整、压实。</w:t>
            </w:r>
          </w:p>
          <w:p w14:paraId="1241AFAE">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宋体" w:hAnsi="宋体" w:cs="宋体"/>
                <w:b/>
                <w:bCs/>
                <w:sz w:val="24"/>
                <w:highlight w:val="none"/>
              </w:rPr>
            </w:pPr>
            <w:r>
              <w:rPr>
                <w:rFonts w:hint="eastAsia" w:cs="Times New Roman"/>
                <w:b/>
                <w:bCs/>
                <w:color w:val="000000"/>
                <w:kern w:val="2"/>
                <w:sz w:val="24"/>
                <w:szCs w:val="24"/>
                <w:highlight w:val="none"/>
                <w:lang w:val="en-US" w:eastAsia="zh-CN" w:bidi="ar-SA"/>
              </w:rPr>
              <w:t>5.1.7</w:t>
            </w:r>
            <w:r>
              <w:rPr>
                <w:rFonts w:hint="eastAsia" w:ascii="宋体" w:hAnsi="宋体" w:cs="宋体"/>
                <w:b/>
                <w:sz w:val="24"/>
                <w:highlight w:val="none"/>
                <w:lang w:val="en-US" w:eastAsia="zh-CN"/>
              </w:rPr>
              <w:t>施工期</w:t>
            </w:r>
            <w:r>
              <w:rPr>
                <w:rFonts w:hint="eastAsia" w:ascii="宋体" w:hAnsi="宋体" w:cs="宋体"/>
                <w:b/>
                <w:bCs/>
                <w:sz w:val="24"/>
                <w:highlight w:val="none"/>
              </w:rPr>
              <w:t>环境保护措施及效果</w:t>
            </w:r>
          </w:p>
          <w:p w14:paraId="44E07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jc w:val="both"/>
              <w:textAlignment w:val="auto"/>
              <w:rPr>
                <w:rFonts w:hint="eastAsia" w:ascii="Times New Roman" w:hAnsi="Times New Roman" w:eastAsia="宋体" w:cs="Times New Roman"/>
                <w:b/>
                <w:bCs/>
                <w:spacing w:val="-4"/>
                <w:kern w:val="2"/>
                <w:sz w:val="24"/>
                <w:szCs w:val="24"/>
                <w:shd w:val="clear" w:color="auto" w:fill="auto"/>
                <w:lang w:val="en-US" w:eastAsia="zh-CN" w:bidi="ar-SA"/>
              </w:rPr>
            </w:pPr>
            <w:r>
              <w:rPr>
                <w:rFonts w:hint="eastAsia"/>
                <w:sz w:val="24"/>
                <w:highlight w:val="none"/>
              </w:rPr>
              <w:t>本工程</w:t>
            </w:r>
            <w:r>
              <w:rPr>
                <w:rFonts w:hint="eastAsia"/>
                <w:sz w:val="24"/>
                <w:highlight w:val="none"/>
                <w:lang w:val="en-US" w:eastAsia="zh-CN"/>
              </w:rPr>
              <w:t>施工期</w:t>
            </w:r>
            <w:r>
              <w:rPr>
                <w:rFonts w:hint="eastAsia"/>
                <w:sz w:val="24"/>
                <w:highlight w:val="none"/>
              </w:rPr>
              <w:t>主要环境保护措施及效果见</w:t>
            </w:r>
            <w:r>
              <w:rPr>
                <w:rFonts w:hint="eastAsia"/>
                <w:sz w:val="24"/>
                <w:highlight w:val="none"/>
                <w:lang w:val="en-US" w:eastAsia="zh-CN"/>
              </w:rPr>
              <w:t>下</w:t>
            </w:r>
            <w:r>
              <w:rPr>
                <w:rFonts w:hint="eastAsia" w:ascii="宋体" w:hAnsi="宋体"/>
                <w:sz w:val="24"/>
                <w:highlight w:val="none"/>
              </w:rPr>
              <w:t>表</w:t>
            </w:r>
            <w:r>
              <w:rPr>
                <w:rFonts w:hint="eastAsia" w:ascii="宋体" w:hAnsi="宋体"/>
                <w:sz w:val="24"/>
                <w:highlight w:val="none"/>
                <w:lang w:eastAsia="zh-CN"/>
              </w:rPr>
              <w:t>。</w:t>
            </w:r>
          </w:p>
          <w:p w14:paraId="20A96D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lang w:val="en-US" w:eastAsia="zh-CN"/>
              </w:rPr>
            </w:pPr>
            <w:r>
              <w:rPr>
                <w:rFonts w:hint="default" w:ascii="Times New Roman" w:hAnsi="Times New Roman" w:eastAsia="宋体" w:cs="Times New Roman"/>
                <w:b/>
                <w:bCs/>
                <w:spacing w:val="-4"/>
                <w:kern w:val="2"/>
                <w:sz w:val="24"/>
                <w:szCs w:val="24"/>
                <w:shd w:val="clear" w:color="auto" w:fill="auto"/>
                <w:lang w:val="en-US" w:eastAsia="zh-CN" w:bidi="ar-SA"/>
              </w:rPr>
              <w:t>表</w:t>
            </w:r>
            <w:r>
              <w:rPr>
                <w:rFonts w:hint="eastAsia" w:ascii="Times New Roman" w:hAnsi="Times New Roman" w:cs="Times New Roman"/>
                <w:b/>
                <w:bCs/>
                <w:spacing w:val="-4"/>
                <w:kern w:val="2"/>
                <w:sz w:val="24"/>
                <w:szCs w:val="24"/>
                <w:shd w:val="clear" w:color="auto" w:fill="auto"/>
                <w:lang w:val="en-US" w:eastAsia="zh-CN" w:bidi="ar-SA"/>
              </w:rPr>
              <w:t xml:space="preserve">5-1 </w:t>
            </w:r>
            <w:r>
              <w:rPr>
                <w:rFonts w:hint="eastAsia" w:hAnsi="宋体" w:eastAsia="宋体"/>
                <w:b/>
                <w:bCs/>
                <w:color w:val="000000"/>
                <w:spacing w:val="0"/>
                <w:kern w:val="2"/>
                <w:sz w:val="24"/>
                <w:szCs w:val="24"/>
                <w:highlight w:val="none"/>
                <w:lang w:val="en-US" w:eastAsia="zh-CN" w:bidi="ar-SA"/>
              </w:rPr>
              <w:t>施工期环境保护措施及效果一览表</w:t>
            </w:r>
          </w:p>
        </w:tc>
      </w:tr>
      <w:tr w14:paraId="44DCC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73" w:type="dxa"/>
            <w:noWrap w:val="0"/>
            <w:tcMar>
              <w:left w:w="28" w:type="dxa"/>
              <w:right w:w="28" w:type="dxa"/>
            </w:tcMar>
            <w:vAlign w:val="center"/>
          </w:tcPr>
          <w:p w14:paraId="687F8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序号</w:t>
            </w:r>
          </w:p>
        </w:tc>
        <w:tc>
          <w:tcPr>
            <w:tcW w:w="3165" w:type="dxa"/>
            <w:gridSpan w:val="6"/>
            <w:noWrap w:val="0"/>
            <w:tcMar>
              <w:left w:w="28" w:type="dxa"/>
              <w:right w:w="28" w:type="dxa"/>
            </w:tcMar>
            <w:vAlign w:val="center"/>
          </w:tcPr>
          <w:p w14:paraId="68F395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生态保护措施要求</w:t>
            </w:r>
          </w:p>
        </w:tc>
        <w:tc>
          <w:tcPr>
            <w:tcW w:w="645" w:type="dxa"/>
            <w:noWrap w:val="0"/>
            <w:tcMar>
              <w:left w:w="28" w:type="dxa"/>
              <w:right w:w="28" w:type="dxa"/>
            </w:tcMar>
            <w:vAlign w:val="center"/>
          </w:tcPr>
          <w:p w14:paraId="25860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kern w:val="0"/>
                <w:sz w:val="21"/>
                <w:szCs w:val="21"/>
                <w:highlight w:val="none"/>
              </w:rPr>
            </w:pPr>
            <w:r>
              <w:rPr>
                <w:rFonts w:hint="eastAsia" w:ascii="Times New Roman" w:hAnsi="Times New Roman" w:eastAsia="宋体" w:cs="Times New Roman"/>
                <w:b w:val="0"/>
                <w:bCs/>
                <w:kern w:val="0"/>
                <w:sz w:val="21"/>
                <w:szCs w:val="21"/>
                <w:highlight w:val="none"/>
              </w:rPr>
              <w:t>实施</w:t>
            </w:r>
          </w:p>
          <w:p w14:paraId="565EA4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部位</w:t>
            </w:r>
          </w:p>
        </w:tc>
        <w:tc>
          <w:tcPr>
            <w:tcW w:w="810" w:type="dxa"/>
            <w:noWrap w:val="0"/>
            <w:tcMar>
              <w:left w:w="28" w:type="dxa"/>
              <w:right w:w="28" w:type="dxa"/>
            </w:tcMar>
            <w:vAlign w:val="center"/>
          </w:tcPr>
          <w:p w14:paraId="66D789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kern w:val="0"/>
                <w:sz w:val="21"/>
                <w:szCs w:val="21"/>
                <w:highlight w:val="none"/>
              </w:rPr>
            </w:pPr>
            <w:r>
              <w:rPr>
                <w:rFonts w:hint="eastAsia" w:ascii="Times New Roman" w:hAnsi="Times New Roman" w:eastAsia="宋体" w:cs="Times New Roman"/>
                <w:b w:val="0"/>
                <w:bCs/>
                <w:kern w:val="0"/>
                <w:sz w:val="21"/>
                <w:szCs w:val="21"/>
                <w:highlight w:val="none"/>
              </w:rPr>
              <w:t>实施</w:t>
            </w:r>
          </w:p>
          <w:p w14:paraId="0A27A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时间</w:t>
            </w:r>
          </w:p>
        </w:tc>
        <w:tc>
          <w:tcPr>
            <w:tcW w:w="630" w:type="dxa"/>
            <w:noWrap w:val="0"/>
            <w:tcMar>
              <w:left w:w="28" w:type="dxa"/>
              <w:right w:w="28" w:type="dxa"/>
            </w:tcMar>
            <w:vAlign w:val="center"/>
          </w:tcPr>
          <w:p w14:paraId="141DF8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kern w:val="0"/>
                <w:sz w:val="21"/>
                <w:szCs w:val="21"/>
                <w:highlight w:val="none"/>
              </w:rPr>
            </w:pPr>
            <w:r>
              <w:rPr>
                <w:rFonts w:hint="eastAsia" w:ascii="Times New Roman" w:hAnsi="Times New Roman" w:eastAsia="宋体" w:cs="Times New Roman"/>
                <w:b w:val="0"/>
                <w:bCs/>
                <w:kern w:val="0"/>
                <w:sz w:val="21"/>
                <w:szCs w:val="21"/>
                <w:highlight w:val="none"/>
              </w:rPr>
              <w:t>责任</w:t>
            </w:r>
          </w:p>
          <w:p w14:paraId="413ADF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主体</w:t>
            </w:r>
          </w:p>
        </w:tc>
        <w:tc>
          <w:tcPr>
            <w:tcW w:w="1410" w:type="dxa"/>
            <w:gridSpan w:val="2"/>
            <w:noWrap w:val="0"/>
            <w:tcMar>
              <w:left w:w="28" w:type="dxa"/>
              <w:right w:w="28" w:type="dxa"/>
            </w:tcMar>
            <w:vAlign w:val="center"/>
          </w:tcPr>
          <w:p w14:paraId="741697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实施保障</w:t>
            </w:r>
          </w:p>
        </w:tc>
        <w:tc>
          <w:tcPr>
            <w:tcW w:w="1977" w:type="dxa"/>
            <w:gridSpan w:val="2"/>
            <w:noWrap w:val="0"/>
            <w:tcMar>
              <w:left w:w="28" w:type="dxa"/>
              <w:right w:w="28" w:type="dxa"/>
            </w:tcMar>
            <w:vAlign w:val="center"/>
          </w:tcPr>
          <w:p w14:paraId="490BC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kern w:val="0"/>
                <w:sz w:val="21"/>
                <w:szCs w:val="21"/>
                <w:highlight w:val="none"/>
              </w:rPr>
              <w:t>实施效果</w:t>
            </w:r>
          </w:p>
        </w:tc>
      </w:tr>
      <w:tr w14:paraId="6D684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3767CA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165" w:type="dxa"/>
            <w:gridSpan w:val="6"/>
            <w:noWrap w:val="0"/>
            <w:tcMar>
              <w:left w:w="28" w:type="dxa"/>
              <w:right w:w="28" w:type="dxa"/>
            </w:tcMar>
            <w:vAlign w:val="center"/>
          </w:tcPr>
          <w:p w14:paraId="5F88C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合理规划、设计施工便道及场地，</w:t>
            </w:r>
            <w:r>
              <w:rPr>
                <w:rFonts w:hint="eastAsia" w:ascii="Times New Roman" w:hAnsi="Times New Roman" w:eastAsia="宋体" w:cs="Times New Roman"/>
                <w:sz w:val="21"/>
                <w:szCs w:val="21"/>
              </w:rPr>
              <w:t>尽量减少占地、控制施工范围</w:t>
            </w:r>
            <w:r>
              <w:rPr>
                <w:rFonts w:hint="eastAsia" w:ascii="Times New Roman" w:hAnsi="Times New Roman" w:eastAsia="宋体" w:cs="Times New Roman"/>
                <w:kern w:val="0"/>
                <w:sz w:val="21"/>
                <w:szCs w:val="21"/>
              </w:rPr>
              <w:t>，控制作业范围</w:t>
            </w:r>
            <w:r>
              <w:rPr>
                <w:rFonts w:hint="eastAsia" w:ascii="Times New Roman" w:hAnsi="Times New Roman" w:eastAsia="宋体" w:cs="Times New Roman"/>
                <w:kern w:val="0"/>
                <w:sz w:val="21"/>
                <w:szCs w:val="21"/>
                <w:lang w:eastAsia="zh-CN"/>
              </w:rPr>
              <w:t>。</w:t>
            </w:r>
          </w:p>
        </w:tc>
        <w:tc>
          <w:tcPr>
            <w:tcW w:w="645" w:type="dxa"/>
            <w:vMerge w:val="restart"/>
            <w:noWrap w:val="0"/>
            <w:tcMar>
              <w:left w:w="28" w:type="dxa"/>
              <w:right w:w="28" w:type="dxa"/>
            </w:tcMar>
            <w:vAlign w:val="center"/>
          </w:tcPr>
          <w:p w14:paraId="772F7E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工程施工场所、区域</w:t>
            </w:r>
          </w:p>
        </w:tc>
        <w:tc>
          <w:tcPr>
            <w:tcW w:w="810" w:type="dxa"/>
            <w:vMerge w:val="restart"/>
            <w:noWrap w:val="0"/>
            <w:tcMar>
              <w:left w:w="28" w:type="dxa"/>
              <w:right w:w="28" w:type="dxa"/>
            </w:tcMar>
            <w:vAlign w:val="center"/>
          </w:tcPr>
          <w:p w14:paraId="19CE0B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全部</w:t>
            </w:r>
          </w:p>
          <w:p w14:paraId="3E3A90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highlight w:val="none"/>
              </w:rPr>
              <w:t>施工期</w:t>
            </w:r>
          </w:p>
        </w:tc>
        <w:tc>
          <w:tcPr>
            <w:tcW w:w="630" w:type="dxa"/>
            <w:vMerge w:val="restart"/>
            <w:noWrap w:val="0"/>
            <w:tcMar>
              <w:left w:w="28" w:type="dxa"/>
              <w:right w:w="28" w:type="dxa"/>
            </w:tcMar>
            <w:vAlign w:val="center"/>
          </w:tcPr>
          <w:p w14:paraId="6E8FC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施工</w:t>
            </w:r>
          </w:p>
          <w:p w14:paraId="7F42C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单位</w:t>
            </w:r>
          </w:p>
        </w:tc>
        <w:tc>
          <w:tcPr>
            <w:tcW w:w="1410" w:type="dxa"/>
            <w:gridSpan w:val="2"/>
            <w:vMerge w:val="restart"/>
            <w:noWrap w:val="0"/>
            <w:tcMar>
              <w:left w:w="28" w:type="dxa"/>
              <w:right w:w="28" w:type="dxa"/>
            </w:tcMar>
            <w:vAlign w:val="center"/>
          </w:tcPr>
          <w:p w14:paraId="725731AB">
            <w:pPr>
              <w:keepNext w:val="0"/>
              <w:keepLines w:val="0"/>
              <w:pageBreakBefore w:val="0"/>
              <w:widowControl w:val="0"/>
              <w:suppressLineNumbers w:val="0"/>
              <w:kinsoku/>
              <w:wordWrap/>
              <w:overflowPunct/>
              <w:topLinePunct w:val="0"/>
              <w:autoSpaceDE/>
              <w:autoSpaceDN/>
              <w:bidi w:val="0"/>
              <w:spacing w:before="68" w:beforeAutospacing="0" w:after="0" w:afterAutospacing="0" w:line="360" w:lineRule="exact"/>
              <w:ind w:left="0" w:leftChars="0" w:right="93"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①建立环境管理机</w:t>
            </w:r>
            <w:r>
              <w:rPr>
                <w:rFonts w:hint="default" w:ascii="Times New Roman" w:hAnsi="Times New Roman" w:eastAsia="宋体" w:cs="Times New Roman"/>
                <w:spacing w:val="-17"/>
                <w:sz w:val="21"/>
                <w:szCs w:val="21"/>
              </w:rPr>
              <w:t>构，配备专</w:t>
            </w:r>
            <w:r>
              <w:rPr>
                <w:rFonts w:hint="default" w:ascii="Times New Roman" w:hAnsi="Times New Roman" w:eastAsia="宋体" w:cs="Times New Roman"/>
                <w:spacing w:val="5"/>
                <w:sz w:val="21"/>
                <w:szCs w:val="21"/>
              </w:rPr>
              <w:t>职或兼职环保管理</w:t>
            </w:r>
            <w:r>
              <w:rPr>
                <w:rFonts w:hint="default" w:ascii="Times New Roman" w:hAnsi="Times New Roman" w:eastAsia="宋体" w:cs="Times New Roman"/>
                <w:spacing w:val="-12"/>
                <w:sz w:val="21"/>
                <w:szCs w:val="21"/>
              </w:rPr>
              <w:t>人员；</w:t>
            </w:r>
            <w:r>
              <w:rPr>
                <w:rFonts w:hint="default" w:ascii="Times New Roman" w:hAnsi="Times New Roman" w:eastAsia="宋体" w:cs="Times New Roman"/>
                <w:spacing w:val="4"/>
                <w:sz w:val="21"/>
                <w:szCs w:val="21"/>
              </w:rPr>
              <w:t>②制定相</w:t>
            </w:r>
            <w:r>
              <w:rPr>
                <w:rFonts w:hint="default" w:ascii="Times New Roman" w:hAnsi="Times New Roman" w:eastAsia="宋体" w:cs="Times New Roman"/>
                <w:spacing w:val="5"/>
                <w:sz w:val="21"/>
                <w:szCs w:val="21"/>
              </w:rPr>
              <w:t>关方环境</w:t>
            </w:r>
            <w:r>
              <w:rPr>
                <w:rFonts w:hint="default" w:ascii="Times New Roman" w:hAnsi="Times New Roman" w:eastAsia="宋体" w:cs="Times New Roman"/>
                <w:spacing w:val="-8"/>
                <w:sz w:val="21"/>
                <w:szCs w:val="21"/>
              </w:rPr>
              <w:t>管理条例、</w:t>
            </w:r>
            <w:r>
              <w:rPr>
                <w:rFonts w:hint="default" w:ascii="Times New Roman" w:hAnsi="Times New Roman" w:eastAsia="宋体" w:cs="Times New Roman"/>
                <w:spacing w:val="5"/>
                <w:sz w:val="21"/>
                <w:szCs w:val="21"/>
              </w:rPr>
              <w:t>质量管理</w:t>
            </w:r>
            <w:r>
              <w:rPr>
                <w:rFonts w:hint="default" w:ascii="Times New Roman" w:hAnsi="Times New Roman" w:eastAsia="宋体" w:cs="Times New Roman"/>
                <w:spacing w:val="-13"/>
                <w:sz w:val="21"/>
                <w:szCs w:val="21"/>
              </w:rPr>
              <w:t>规定；</w:t>
            </w:r>
            <w:r>
              <w:rPr>
                <w:rFonts w:hint="default" w:ascii="Times New Roman" w:hAnsi="Times New Roman" w:eastAsia="宋体" w:cs="Times New Roman"/>
                <w:spacing w:val="5"/>
                <w:sz w:val="21"/>
                <w:szCs w:val="21"/>
              </w:rPr>
              <w:t>③加强环</w:t>
            </w:r>
            <w:r>
              <w:rPr>
                <w:rFonts w:hint="default" w:ascii="Times New Roman" w:hAnsi="Times New Roman" w:eastAsia="宋体" w:cs="Times New Roman"/>
                <w:spacing w:val="-17"/>
                <w:sz w:val="21"/>
                <w:szCs w:val="21"/>
              </w:rPr>
              <w:t>境监理，开</w:t>
            </w:r>
            <w:r>
              <w:rPr>
                <w:rFonts w:hint="default" w:ascii="Times New Roman" w:hAnsi="Times New Roman" w:eastAsia="宋体" w:cs="Times New Roman"/>
                <w:spacing w:val="5"/>
                <w:sz w:val="21"/>
                <w:szCs w:val="21"/>
              </w:rPr>
              <w:t>展经常性</w:t>
            </w:r>
            <w:r>
              <w:rPr>
                <w:rFonts w:hint="default" w:ascii="Times New Roman" w:hAnsi="Times New Roman" w:eastAsia="宋体" w:cs="Times New Roman"/>
                <w:spacing w:val="9"/>
                <w:sz w:val="21"/>
                <w:szCs w:val="21"/>
              </w:rPr>
              <w:t>检查、监</w:t>
            </w:r>
            <w:r>
              <w:rPr>
                <w:rFonts w:hint="default" w:ascii="Times New Roman" w:hAnsi="Times New Roman" w:eastAsia="宋体" w:cs="Times New Roman"/>
                <w:spacing w:val="-17"/>
                <w:sz w:val="21"/>
                <w:szCs w:val="21"/>
              </w:rPr>
              <w:t>督，发现问</w:t>
            </w:r>
            <w:r>
              <w:rPr>
                <w:rFonts w:hint="default" w:ascii="Times New Roman" w:hAnsi="Times New Roman" w:eastAsia="宋体" w:cs="Times New Roman"/>
                <w:spacing w:val="6"/>
                <w:sz w:val="21"/>
                <w:szCs w:val="21"/>
              </w:rPr>
              <w:t>题及时解</w:t>
            </w:r>
            <w:r>
              <w:rPr>
                <w:rFonts w:hint="default" w:ascii="Times New Roman" w:hAnsi="Times New Roman" w:eastAsia="宋体" w:cs="Times New Roman"/>
                <w:spacing w:val="-8"/>
                <w:sz w:val="21"/>
                <w:szCs w:val="21"/>
              </w:rPr>
              <w:t>决、纠正。</w:t>
            </w:r>
          </w:p>
        </w:tc>
        <w:tc>
          <w:tcPr>
            <w:tcW w:w="1977" w:type="dxa"/>
            <w:gridSpan w:val="2"/>
            <w:noWrap w:val="0"/>
            <w:tcMar>
              <w:left w:w="28" w:type="dxa"/>
              <w:right w:w="28" w:type="dxa"/>
            </w:tcMar>
            <w:vAlign w:val="center"/>
          </w:tcPr>
          <w:p w14:paraId="00B86D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划定</w:t>
            </w:r>
            <w:r>
              <w:rPr>
                <w:rFonts w:hint="eastAsia" w:ascii="Times New Roman" w:hAnsi="Times New Roman" w:eastAsia="宋体" w:cs="Times New Roman"/>
                <w:kern w:val="0"/>
                <w:sz w:val="21"/>
                <w:szCs w:val="21"/>
                <w:lang w:eastAsia="zh-CN"/>
              </w:rPr>
              <w:t>了</w:t>
            </w:r>
            <w:r>
              <w:rPr>
                <w:rFonts w:hint="eastAsia" w:ascii="Times New Roman" w:hAnsi="Times New Roman" w:eastAsia="宋体" w:cs="Times New Roman"/>
                <w:kern w:val="0"/>
                <w:sz w:val="21"/>
                <w:szCs w:val="21"/>
              </w:rPr>
              <w:t>施工作业范围，施工占地控制在最小范围</w:t>
            </w:r>
            <w:r>
              <w:rPr>
                <w:rFonts w:hint="eastAsia" w:ascii="Times New Roman" w:hAnsi="Times New Roman" w:eastAsia="宋体" w:cs="Times New Roman"/>
                <w:kern w:val="0"/>
                <w:sz w:val="21"/>
                <w:szCs w:val="21"/>
                <w:lang w:eastAsia="zh-CN"/>
              </w:rPr>
              <w:t>。</w:t>
            </w:r>
          </w:p>
        </w:tc>
      </w:tr>
      <w:tr w14:paraId="75490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709A8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3165" w:type="dxa"/>
            <w:gridSpan w:val="6"/>
            <w:noWrap w:val="0"/>
            <w:tcMar>
              <w:left w:w="28" w:type="dxa"/>
              <w:right w:w="28" w:type="dxa"/>
            </w:tcMar>
            <w:vAlign w:val="center"/>
          </w:tcPr>
          <w:p w14:paraId="68440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cs="Times New Roman"/>
                <w:color w:val="000000"/>
                <w:spacing w:val="0"/>
                <w:sz w:val="21"/>
                <w:szCs w:val="21"/>
                <w:highlight w:val="none"/>
                <w:lang w:val="en-US" w:eastAsia="zh-CN"/>
              </w:rPr>
              <w:t>地面</w:t>
            </w:r>
            <w:r>
              <w:rPr>
                <w:rFonts w:hint="eastAsia" w:ascii="Times New Roman" w:hAnsi="Times New Roman" w:eastAsia="宋体" w:cs="Times New Roman"/>
                <w:color w:val="000000"/>
                <w:spacing w:val="0"/>
                <w:sz w:val="21"/>
                <w:szCs w:val="21"/>
                <w:highlight w:val="none"/>
                <w:lang w:eastAsia="zh-CN"/>
              </w:rPr>
              <w:t>开挖时将表层熟土分装在编织袋内，堆放在临时堆土场的周围，</w:t>
            </w:r>
            <w:r>
              <w:rPr>
                <w:rFonts w:hint="eastAsia" w:ascii="Times New Roman" w:hAnsi="Times New Roman" w:eastAsia="宋体" w:cs="Times New Roman"/>
                <w:color w:val="000000"/>
                <w:spacing w:val="0"/>
                <w:sz w:val="21"/>
                <w:szCs w:val="21"/>
                <w:highlight w:val="none"/>
                <w:lang w:val="en-US" w:eastAsia="zh-CN"/>
              </w:rPr>
              <w:t>在</w:t>
            </w:r>
            <w:r>
              <w:rPr>
                <w:rFonts w:hint="eastAsia" w:ascii="Times New Roman" w:hAnsi="Times New Roman" w:eastAsia="宋体" w:cs="Times New Roman"/>
                <w:color w:val="000000"/>
                <w:spacing w:val="0"/>
                <w:sz w:val="21"/>
                <w:szCs w:val="21"/>
                <w:highlight w:val="none"/>
                <w:lang w:eastAsia="zh-CN"/>
              </w:rPr>
              <w:t>施工结束后回填</w:t>
            </w:r>
            <w:r>
              <w:rPr>
                <w:rFonts w:hint="eastAsia" w:ascii="Times New Roman" w:hAnsi="Times New Roman" w:eastAsia="宋体" w:cs="Times New Roman"/>
                <w:color w:val="000000"/>
                <w:spacing w:val="0"/>
                <w:sz w:val="21"/>
                <w:szCs w:val="21"/>
                <w:highlight w:val="none"/>
                <w:lang w:val="en-US" w:eastAsia="zh-CN"/>
              </w:rPr>
              <w:t>于</w:t>
            </w:r>
            <w:r>
              <w:rPr>
                <w:rFonts w:hint="eastAsia" w:ascii="Times New Roman" w:hAnsi="Times New Roman" w:eastAsia="宋体" w:cs="Times New Roman"/>
                <w:color w:val="000000"/>
                <w:spacing w:val="0"/>
                <w:sz w:val="21"/>
                <w:szCs w:val="21"/>
                <w:highlight w:val="none"/>
                <w:lang w:eastAsia="zh-CN"/>
              </w:rPr>
              <w:t>基坑</w:t>
            </w:r>
            <w:r>
              <w:rPr>
                <w:rFonts w:hint="eastAsia" w:ascii="Times New Roman" w:hAnsi="Times New Roman" w:eastAsia="宋体" w:cs="Times New Roman"/>
                <w:color w:val="000000"/>
                <w:spacing w:val="0"/>
                <w:sz w:val="21"/>
                <w:szCs w:val="21"/>
                <w:highlight w:val="none"/>
                <w:lang w:val="en-US" w:eastAsia="zh-CN"/>
              </w:rPr>
              <w:t>或</w:t>
            </w:r>
            <w:r>
              <w:rPr>
                <w:rFonts w:hint="eastAsia" w:ascii="Times New Roman" w:hAnsi="Times New Roman" w:eastAsia="宋体" w:cs="Times New Roman"/>
                <w:color w:val="000000"/>
                <w:spacing w:val="0"/>
                <w:sz w:val="21"/>
                <w:szCs w:val="21"/>
                <w:highlight w:val="none"/>
                <w:lang w:eastAsia="zh-CN"/>
              </w:rPr>
              <w:t>临近低洼处。</w:t>
            </w:r>
          </w:p>
        </w:tc>
        <w:tc>
          <w:tcPr>
            <w:tcW w:w="645" w:type="dxa"/>
            <w:vMerge w:val="continue"/>
            <w:noWrap w:val="0"/>
            <w:tcMar>
              <w:left w:w="28" w:type="dxa"/>
              <w:right w:w="28" w:type="dxa"/>
            </w:tcMar>
            <w:vAlign w:val="center"/>
          </w:tcPr>
          <w:p w14:paraId="14C343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64D12D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4ADFE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68D3F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vMerge w:val="restart"/>
            <w:noWrap w:val="0"/>
            <w:tcMar>
              <w:left w:w="28" w:type="dxa"/>
              <w:right w:w="28" w:type="dxa"/>
            </w:tcMar>
            <w:vAlign w:val="center"/>
          </w:tcPr>
          <w:p w14:paraId="75963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减少土壤养分的流失，</w:t>
            </w:r>
            <w:r>
              <w:rPr>
                <w:rFonts w:hint="eastAsia" w:ascii="Times New Roman" w:hAnsi="Times New Roman" w:eastAsia="宋体" w:cs="Times New Roman"/>
                <w:kern w:val="0"/>
                <w:sz w:val="21"/>
                <w:szCs w:val="21"/>
                <w:lang w:val="en-US" w:eastAsia="zh-CN"/>
              </w:rPr>
              <w:t>利于</w:t>
            </w:r>
            <w:r>
              <w:rPr>
                <w:rFonts w:hint="eastAsia" w:ascii="Times New Roman" w:hAnsi="Times New Roman" w:eastAsia="宋体" w:cs="Times New Roman"/>
                <w:kern w:val="0"/>
                <w:sz w:val="21"/>
                <w:szCs w:val="21"/>
              </w:rPr>
              <w:t>恢复土壤肥力和土壤理化性质，使土壤、植被受影响程度最低</w:t>
            </w:r>
            <w:r>
              <w:rPr>
                <w:rFonts w:hint="eastAsia" w:ascii="Times New Roman" w:hAnsi="Times New Roman" w:eastAsia="宋体" w:cs="Times New Roman"/>
                <w:kern w:val="0"/>
                <w:sz w:val="21"/>
                <w:szCs w:val="21"/>
                <w:lang w:eastAsia="zh-CN"/>
              </w:rPr>
              <w:t>。</w:t>
            </w:r>
          </w:p>
        </w:tc>
      </w:tr>
      <w:tr w14:paraId="68CB4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539285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3165" w:type="dxa"/>
            <w:gridSpan w:val="6"/>
            <w:noWrap w:val="0"/>
            <w:tcMar>
              <w:left w:w="28" w:type="dxa"/>
              <w:right w:w="28" w:type="dxa"/>
            </w:tcMar>
            <w:vAlign w:val="center"/>
          </w:tcPr>
          <w:p w14:paraId="67CE7B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highlight w:val="none"/>
              </w:rPr>
              <w:t>减少地表开挖裸露时间、避开雨季及大风天气施工及时进行迹地恢复等措施</w:t>
            </w:r>
            <w:r>
              <w:rPr>
                <w:rFonts w:hint="eastAsia" w:ascii="Times New Roman" w:hAnsi="Times New Roman" w:eastAsia="宋体" w:cs="Times New Roman"/>
                <w:sz w:val="21"/>
                <w:szCs w:val="21"/>
                <w:highlight w:val="none"/>
                <w:lang w:eastAsia="zh-CN"/>
              </w:rPr>
              <w:t>。</w:t>
            </w:r>
          </w:p>
        </w:tc>
        <w:tc>
          <w:tcPr>
            <w:tcW w:w="645" w:type="dxa"/>
            <w:vMerge w:val="continue"/>
            <w:noWrap w:val="0"/>
            <w:tcMar>
              <w:left w:w="28" w:type="dxa"/>
              <w:right w:w="28" w:type="dxa"/>
            </w:tcMar>
            <w:vAlign w:val="center"/>
          </w:tcPr>
          <w:p w14:paraId="3704F0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26B676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7B848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543459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vMerge w:val="continue"/>
            <w:noWrap w:val="0"/>
            <w:tcMar>
              <w:left w:w="28" w:type="dxa"/>
              <w:right w:w="28" w:type="dxa"/>
            </w:tcMar>
            <w:vAlign w:val="center"/>
          </w:tcPr>
          <w:p w14:paraId="57C2D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r>
      <w:tr w14:paraId="699B2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dxa"/>
            <w:noWrap w:val="0"/>
            <w:tcMar>
              <w:left w:w="28" w:type="dxa"/>
              <w:right w:w="28" w:type="dxa"/>
            </w:tcMar>
            <w:vAlign w:val="center"/>
          </w:tcPr>
          <w:p w14:paraId="086B57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3165" w:type="dxa"/>
            <w:gridSpan w:val="6"/>
            <w:noWrap w:val="0"/>
            <w:tcMar>
              <w:left w:w="28" w:type="dxa"/>
              <w:right w:w="28" w:type="dxa"/>
            </w:tcMar>
            <w:vAlign w:val="center"/>
          </w:tcPr>
          <w:p w14:paraId="4E383C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加强宣传教育，设置环保宣传牌。</w:t>
            </w:r>
          </w:p>
        </w:tc>
        <w:tc>
          <w:tcPr>
            <w:tcW w:w="645" w:type="dxa"/>
            <w:vMerge w:val="continue"/>
            <w:noWrap w:val="0"/>
            <w:tcMar>
              <w:left w:w="28" w:type="dxa"/>
              <w:right w:w="28" w:type="dxa"/>
            </w:tcMar>
            <w:vAlign w:val="center"/>
          </w:tcPr>
          <w:p w14:paraId="4BD834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12925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31AA1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1610B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noWrap w:val="0"/>
            <w:tcMar>
              <w:left w:w="28" w:type="dxa"/>
              <w:right w:w="28" w:type="dxa"/>
            </w:tcMar>
            <w:vAlign w:val="center"/>
          </w:tcPr>
          <w:p w14:paraId="24F0C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施工人员</w:t>
            </w:r>
            <w:r>
              <w:rPr>
                <w:rFonts w:hint="eastAsia" w:ascii="Times New Roman" w:hAnsi="Times New Roman" w:eastAsia="宋体" w:cs="Times New Roman"/>
                <w:sz w:val="21"/>
                <w:szCs w:val="21"/>
                <w:highlight w:val="none"/>
              </w:rPr>
              <w:t>环保意识</w:t>
            </w:r>
            <w:r>
              <w:rPr>
                <w:rFonts w:hint="eastAsia" w:ascii="Times New Roman" w:hAnsi="Times New Roman" w:eastAsia="宋体" w:cs="Times New Roman"/>
                <w:sz w:val="21"/>
                <w:szCs w:val="21"/>
                <w:highlight w:val="none"/>
                <w:lang w:val="en-US" w:eastAsia="zh-CN"/>
              </w:rPr>
              <w:t>提高，注意保护环境</w:t>
            </w:r>
          </w:p>
        </w:tc>
      </w:tr>
      <w:tr w14:paraId="40C83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124B6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3165" w:type="dxa"/>
            <w:gridSpan w:val="6"/>
            <w:noWrap w:val="0"/>
            <w:tcMar>
              <w:left w:w="28" w:type="dxa"/>
              <w:right w:w="28" w:type="dxa"/>
            </w:tcMar>
            <w:vAlign w:val="center"/>
          </w:tcPr>
          <w:p w14:paraId="5F31B0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采用低噪声设备，加强维护保养，严格操作规程，限制夜间施工。</w:t>
            </w:r>
          </w:p>
        </w:tc>
        <w:tc>
          <w:tcPr>
            <w:tcW w:w="645" w:type="dxa"/>
            <w:vMerge w:val="continue"/>
            <w:noWrap w:val="0"/>
            <w:tcMar>
              <w:left w:w="28" w:type="dxa"/>
              <w:right w:w="28" w:type="dxa"/>
            </w:tcMar>
            <w:vAlign w:val="center"/>
          </w:tcPr>
          <w:p w14:paraId="56829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3C34E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5C3756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6DE99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noWrap w:val="0"/>
            <w:tcMar>
              <w:left w:w="28" w:type="dxa"/>
              <w:right w:w="28" w:type="dxa"/>
            </w:tcMar>
            <w:vAlign w:val="center"/>
          </w:tcPr>
          <w:p w14:paraId="0C7F0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对周边声环境影响较小</w:t>
            </w:r>
            <w:r>
              <w:rPr>
                <w:rFonts w:hint="eastAsia" w:ascii="Times New Roman" w:hAnsi="Times New Roman" w:eastAsia="宋体" w:cs="Times New Roman"/>
                <w:sz w:val="21"/>
                <w:szCs w:val="21"/>
                <w:lang w:eastAsia="zh-CN"/>
              </w:rPr>
              <w:t>。</w:t>
            </w:r>
          </w:p>
        </w:tc>
      </w:tr>
      <w:tr w14:paraId="32CB0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1D0BA9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3165" w:type="dxa"/>
            <w:gridSpan w:val="6"/>
            <w:noWrap w:val="0"/>
            <w:tcMar>
              <w:left w:w="28" w:type="dxa"/>
              <w:right w:w="28" w:type="dxa"/>
            </w:tcMar>
            <w:vAlign w:val="center"/>
          </w:tcPr>
          <w:p w14:paraId="6D821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道路及施工面洒水降尘、物料运输篷布遮盖、土石方采用防尘布(网)苫盖、禁止焚烧可燃垃圾。</w:t>
            </w:r>
          </w:p>
        </w:tc>
        <w:tc>
          <w:tcPr>
            <w:tcW w:w="645" w:type="dxa"/>
            <w:vMerge w:val="continue"/>
            <w:noWrap w:val="0"/>
            <w:tcMar>
              <w:left w:w="28" w:type="dxa"/>
              <w:right w:w="28" w:type="dxa"/>
            </w:tcMar>
            <w:vAlign w:val="center"/>
          </w:tcPr>
          <w:p w14:paraId="5ECB94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72822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0879C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631C66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noWrap w:val="0"/>
            <w:tcMar>
              <w:left w:w="28" w:type="dxa"/>
              <w:right w:w="28" w:type="dxa"/>
            </w:tcMar>
            <w:vAlign w:val="center"/>
          </w:tcPr>
          <w:p w14:paraId="6D38D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对周边大气环境影响较小</w:t>
            </w:r>
            <w:r>
              <w:rPr>
                <w:rFonts w:hint="eastAsia" w:ascii="Times New Roman" w:hAnsi="Times New Roman" w:eastAsia="宋体" w:cs="Times New Roman"/>
                <w:sz w:val="21"/>
                <w:szCs w:val="21"/>
                <w:lang w:eastAsia="zh-CN"/>
              </w:rPr>
              <w:t>。</w:t>
            </w:r>
          </w:p>
        </w:tc>
      </w:tr>
      <w:tr w14:paraId="4597E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26CDD1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3165" w:type="dxa"/>
            <w:gridSpan w:val="6"/>
            <w:noWrap w:val="0"/>
            <w:tcMar>
              <w:left w:w="28" w:type="dxa"/>
              <w:right w:w="28" w:type="dxa"/>
            </w:tcMar>
            <w:vAlign w:val="center"/>
          </w:tcPr>
          <w:p w14:paraId="019B1E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color w:val="000000"/>
                <w:spacing w:val="0"/>
                <w:sz w:val="21"/>
                <w:szCs w:val="21"/>
                <w:highlight w:val="none"/>
                <w:lang w:val="en-US" w:eastAsia="zh-CN"/>
              </w:rPr>
              <w:t>施工过程中产生的废水量较少，直接用施工场地及运输道路洒水降尘。施工人员产生的生活污水依托主体工程的</w:t>
            </w:r>
            <w:r>
              <w:rPr>
                <w:rFonts w:hint="default" w:ascii="Times New Roman" w:hAnsi="Times New Roman" w:eastAsia="宋体" w:cs="Times New Roman"/>
                <w:sz w:val="21"/>
                <w:szCs w:val="21"/>
              </w:rPr>
              <w:t>污水处理设施</w:t>
            </w:r>
            <w:r>
              <w:rPr>
                <w:rFonts w:hint="eastAsia" w:ascii="Times New Roman" w:hAnsi="Times New Roman" w:eastAsia="宋体" w:cs="Times New Roman"/>
                <w:color w:val="000000"/>
                <w:spacing w:val="0"/>
                <w:sz w:val="21"/>
                <w:szCs w:val="21"/>
                <w:highlight w:val="none"/>
                <w:lang w:val="en-US" w:eastAsia="zh-CN"/>
              </w:rPr>
              <w:t>处理。</w:t>
            </w:r>
          </w:p>
        </w:tc>
        <w:tc>
          <w:tcPr>
            <w:tcW w:w="645" w:type="dxa"/>
            <w:vMerge w:val="continue"/>
            <w:noWrap w:val="0"/>
            <w:tcMar>
              <w:left w:w="28" w:type="dxa"/>
              <w:right w:w="28" w:type="dxa"/>
            </w:tcMar>
            <w:vAlign w:val="center"/>
          </w:tcPr>
          <w:p w14:paraId="15583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3D28E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116FC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651DB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noWrap w:val="0"/>
            <w:tcMar>
              <w:left w:w="28" w:type="dxa"/>
              <w:right w:w="28" w:type="dxa"/>
            </w:tcMar>
            <w:vAlign w:val="center"/>
          </w:tcPr>
          <w:p w14:paraId="3B564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color w:val="000000"/>
                <w:sz w:val="21"/>
                <w:szCs w:val="21"/>
                <w:highlight w:val="none"/>
                <w:lang w:val="en-US" w:eastAsia="zh-CN"/>
              </w:rPr>
              <w:t>施工期</w:t>
            </w:r>
            <w:r>
              <w:rPr>
                <w:rFonts w:hint="eastAsia" w:ascii="Times New Roman" w:hAnsi="Times New Roman" w:eastAsia="宋体" w:cs="Times New Roman"/>
                <w:b w:val="0"/>
                <w:bCs w:val="0"/>
                <w:color w:val="000000"/>
                <w:spacing w:val="0"/>
                <w:sz w:val="21"/>
                <w:szCs w:val="21"/>
                <w:highlight w:val="none"/>
                <w:lang w:val="en-US" w:eastAsia="zh-CN"/>
              </w:rPr>
              <w:t>无废水外排。</w:t>
            </w:r>
          </w:p>
        </w:tc>
      </w:tr>
      <w:tr w14:paraId="726D8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573" w:type="dxa"/>
            <w:noWrap w:val="0"/>
            <w:tcMar>
              <w:left w:w="28" w:type="dxa"/>
              <w:right w:w="28" w:type="dxa"/>
            </w:tcMar>
            <w:vAlign w:val="center"/>
          </w:tcPr>
          <w:p w14:paraId="0972FD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3165" w:type="dxa"/>
            <w:gridSpan w:val="6"/>
            <w:noWrap w:val="0"/>
            <w:tcMar>
              <w:left w:w="28" w:type="dxa"/>
              <w:right w:w="28" w:type="dxa"/>
            </w:tcMar>
            <w:vAlign w:val="center"/>
          </w:tcPr>
          <w:p w14:paraId="349842D8">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exact"/>
              <w:ind w:left="0" w:right="0" w:rightChars="0"/>
              <w:jc w:val="center"/>
              <w:textAlignment w:val="auto"/>
              <w:outlineLvl w:val="9"/>
              <w:rPr>
                <w:rFonts w:hint="eastAsia" w:ascii="Times New Roman" w:hAnsi="Times New Roman" w:eastAsia="宋体" w:cs="Times New Roman"/>
                <w:sz w:val="21"/>
                <w:szCs w:val="21"/>
              </w:rPr>
            </w:pPr>
            <w:r>
              <w:rPr>
                <w:rFonts w:hint="eastAsia" w:ascii="Times New Roman" w:hAnsi="Times New Roman" w:eastAsia="宋体" w:cs="Times New Roman"/>
                <w:color w:val="000000"/>
                <w:sz w:val="21"/>
                <w:szCs w:val="21"/>
                <w:highlight w:val="none"/>
                <w:lang w:eastAsia="zh-CN"/>
              </w:rPr>
              <w:t>生活垃圾</w:t>
            </w:r>
            <w:r>
              <w:rPr>
                <w:rFonts w:hint="eastAsia" w:ascii="Times New Roman" w:hAnsi="Times New Roman" w:eastAsia="宋体" w:cs="Times New Roman"/>
                <w:color w:val="000000"/>
                <w:sz w:val="21"/>
                <w:szCs w:val="21"/>
                <w:highlight w:val="none"/>
              </w:rPr>
              <w:t>集中收集后</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spacing w:val="-3"/>
                <w:sz w:val="21"/>
                <w:szCs w:val="21"/>
              </w:rPr>
              <w:t>交由环卫部门统一清运</w:t>
            </w:r>
            <w:r>
              <w:rPr>
                <w:rFonts w:hint="eastAsia" w:ascii="Times New Roman" w:hAnsi="Times New Roman" w:eastAsia="宋体" w:cs="Times New Roman"/>
                <w:spacing w:val="-3"/>
                <w:sz w:val="21"/>
                <w:szCs w:val="21"/>
                <w:lang w:val="en-US" w:eastAsia="zh-CN"/>
              </w:rPr>
              <w:t>处理；</w:t>
            </w:r>
            <w:r>
              <w:rPr>
                <w:rFonts w:hint="eastAsia" w:ascii="Times New Roman" w:hAnsi="Times New Roman" w:eastAsia="宋体" w:cs="Times New Roman"/>
                <w:color w:val="000000"/>
                <w:sz w:val="21"/>
                <w:szCs w:val="21"/>
                <w:highlight w:val="none"/>
              </w:rPr>
              <w:t>包装袋由施工单位统一回收，综合利用</w:t>
            </w:r>
            <w:r>
              <w:rPr>
                <w:rFonts w:hint="eastAsia" w:ascii="Times New Roman" w:hAnsi="Times New Roman" w:eastAsia="宋体" w:cs="Times New Roman"/>
                <w:color w:val="000000"/>
                <w:sz w:val="21"/>
                <w:szCs w:val="21"/>
                <w:highlight w:val="none"/>
                <w:lang w:eastAsia="zh-CN"/>
              </w:rPr>
              <w:t>。</w:t>
            </w:r>
          </w:p>
        </w:tc>
        <w:tc>
          <w:tcPr>
            <w:tcW w:w="645" w:type="dxa"/>
            <w:vMerge w:val="continue"/>
            <w:noWrap w:val="0"/>
            <w:tcMar>
              <w:left w:w="28" w:type="dxa"/>
              <w:right w:w="28" w:type="dxa"/>
            </w:tcMar>
            <w:vAlign w:val="center"/>
          </w:tcPr>
          <w:p w14:paraId="53649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vMerge w:val="continue"/>
            <w:noWrap w:val="0"/>
            <w:tcMar>
              <w:left w:w="28" w:type="dxa"/>
              <w:right w:w="28" w:type="dxa"/>
            </w:tcMar>
            <w:vAlign w:val="center"/>
          </w:tcPr>
          <w:p w14:paraId="39161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630" w:type="dxa"/>
            <w:vMerge w:val="continue"/>
            <w:noWrap w:val="0"/>
            <w:tcMar>
              <w:left w:w="28" w:type="dxa"/>
              <w:right w:w="28" w:type="dxa"/>
            </w:tcMar>
            <w:vAlign w:val="center"/>
          </w:tcPr>
          <w:p w14:paraId="5DA8F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558A5C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noWrap w:val="0"/>
            <w:tcMar>
              <w:left w:w="28" w:type="dxa"/>
              <w:right w:w="28" w:type="dxa"/>
            </w:tcMar>
            <w:vAlign w:val="center"/>
          </w:tcPr>
          <w:p w14:paraId="337AB9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固废得到有效处置，施工迹地恢复</w:t>
            </w:r>
            <w:r>
              <w:rPr>
                <w:rFonts w:hint="eastAsia" w:ascii="Times New Roman" w:hAnsi="Times New Roman" w:eastAsia="宋体" w:cs="Times New Roman"/>
                <w:sz w:val="21"/>
                <w:szCs w:val="21"/>
                <w:lang w:eastAsia="zh-CN"/>
              </w:rPr>
              <w:t>。</w:t>
            </w:r>
          </w:p>
        </w:tc>
      </w:tr>
      <w:tr w14:paraId="0D02B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3" w:type="dxa"/>
            <w:noWrap w:val="0"/>
            <w:tcMar>
              <w:left w:w="28" w:type="dxa"/>
              <w:right w:w="28" w:type="dxa"/>
            </w:tcMar>
            <w:vAlign w:val="center"/>
          </w:tcPr>
          <w:p w14:paraId="1D0FB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3165" w:type="dxa"/>
            <w:gridSpan w:val="6"/>
            <w:noWrap w:val="0"/>
            <w:tcMar>
              <w:left w:w="28" w:type="dxa"/>
              <w:right w:w="28" w:type="dxa"/>
            </w:tcMar>
            <w:vAlign w:val="center"/>
          </w:tcPr>
          <w:p w14:paraId="1714FB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占地范围内清理平整，</w:t>
            </w:r>
            <w:r>
              <w:rPr>
                <w:rFonts w:hint="eastAsia" w:ascii="Times New Roman" w:hAnsi="Times New Roman" w:eastAsia="宋体" w:cs="Times New Roman"/>
                <w:color w:val="000000"/>
                <w:sz w:val="21"/>
                <w:szCs w:val="21"/>
                <w:highlight w:val="none"/>
                <w:lang w:val="en-US" w:eastAsia="zh-CN"/>
              </w:rPr>
              <w:t>土石方</w:t>
            </w:r>
            <w:r>
              <w:rPr>
                <w:rFonts w:hint="eastAsia" w:ascii="Times New Roman" w:hAnsi="Times New Roman" w:eastAsia="宋体" w:cs="Times New Roman"/>
                <w:color w:val="000000"/>
                <w:spacing w:val="-4"/>
                <w:sz w:val="21"/>
                <w:szCs w:val="21"/>
                <w:highlight w:val="none"/>
              </w:rPr>
              <w:t>用于塔基护坡或运至临近低洼处平整处理</w:t>
            </w:r>
            <w:r>
              <w:rPr>
                <w:rFonts w:hint="eastAsia" w:ascii="Times New Roman" w:hAnsi="Times New Roman" w:eastAsia="宋体" w:cs="Times New Roman"/>
                <w:color w:val="000000"/>
                <w:spacing w:val="-4"/>
                <w:sz w:val="21"/>
                <w:szCs w:val="21"/>
                <w:highlight w:val="none"/>
                <w:lang w:eastAsia="zh-CN"/>
              </w:rPr>
              <w:t>，</w:t>
            </w:r>
            <w:r>
              <w:rPr>
                <w:rFonts w:hint="eastAsia" w:ascii="Times New Roman" w:hAnsi="Times New Roman" w:eastAsia="宋体" w:cs="Times New Roman"/>
                <w:kern w:val="0"/>
                <w:sz w:val="21"/>
                <w:szCs w:val="21"/>
              </w:rPr>
              <w:t>恢复地貌。</w:t>
            </w:r>
          </w:p>
        </w:tc>
        <w:tc>
          <w:tcPr>
            <w:tcW w:w="645" w:type="dxa"/>
            <w:vMerge w:val="continue"/>
            <w:noWrap w:val="0"/>
            <w:tcMar>
              <w:left w:w="28" w:type="dxa"/>
              <w:right w:w="28" w:type="dxa"/>
            </w:tcMar>
            <w:vAlign w:val="center"/>
          </w:tcPr>
          <w:p w14:paraId="45B79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810" w:type="dxa"/>
            <w:noWrap w:val="0"/>
            <w:tcMar>
              <w:left w:w="28" w:type="dxa"/>
              <w:right w:w="28" w:type="dxa"/>
            </w:tcMar>
            <w:vAlign w:val="center"/>
          </w:tcPr>
          <w:p w14:paraId="3D270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施工</w:t>
            </w:r>
          </w:p>
          <w:p w14:paraId="45800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rPr>
              <w:t>后期</w:t>
            </w:r>
          </w:p>
        </w:tc>
        <w:tc>
          <w:tcPr>
            <w:tcW w:w="630" w:type="dxa"/>
            <w:vMerge w:val="continue"/>
            <w:noWrap w:val="0"/>
            <w:tcMar>
              <w:left w:w="28" w:type="dxa"/>
              <w:right w:w="28" w:type="dxa"/>
            </w:tcMar>
            <w:vAlign w:val="center"/>
          </w:tcPr>
          <w:p w14:paraId="2F1FB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410" w:type="dxa"/>
            <w:gridSpan w:val="2"/>
            <w:vMerge w:val="continue"/>
            <w:noWrap w:val="0"/>
            <w:tcMar>
              <w:left w:w="28" w:type="dxa"/>
              <w:right w:w="28" w:type="dxa"/>
            </w:tcMar>
            <w:vAlign w:val="center"/>
          </w:tcPr>
          <w:p w14:paraId="6D87A7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p>
        </w:tc>
        <w:tc>
          <w:tcPr>
            <w:tcW w:w="1977" w:type="dxa"/>
            <w:gridSpan w:val="2"/>
            <w:noWrap w:val="0"/>
            <w:tcMar>
              <w:left w:w="28" w:type="dxa"/>
              <w:right w:w="28" w:type="dxa"/>
            </w:tcMar>
            <w:vAlign w:val="center"/>
          </w:tcPr>
          <w:p w14:paraId="58819B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kern w:val="0"/>
                <w:sz w:val="21"/>
                <w:szCs w:val="21"/>
              </w:rPr>
              <w:t>施工</w:t>
            </w:r>
            <w:r>
              <w:rPr>
                <w:rFonts w:hint="eastAsia" w:ascii="Times New Roman" w:hAnsi="Times New Roman" w:eastAsia="宋体" w:cs="Times New Roman"/>
                <w:kern w:val="0"/>
                <w:sz w:val="21"/>
                <w:szCs w:val="21"/>
                <w:lang w:val="en-US" w:eastAsia="zh-CN"/>
              </w:rPr>
              <w:t>已完成，</w:t>
            </w:r>
            <w:r>
              <w:rPr>
                <w:rFonts w:hint="eastAsia" w:ascii="Times New Roman" w:hAnsi="Times New Roman" w:eastAsia="宋体" w:cs="Times New Roman"/>
                <w:kern w:val="0"/>
                <w:sz w:val="21"/>
                <w:szCs w:val="21"/>
              </w:rPr>
              <w:t>做到</w:t>
            </w:r>
            <w:r>
              <w:rPr>
                <w:rFonts w:hint="eastAsia" w:ascii="Times New Roman" w:hAnsi="Times New Roman" w:eastAsia="宋体" w:cs="Times New Roman"/>
                <w:kern w:val="0"/>
                <w:sz w:val="21"/>
                <w:szCs w:val="21"/>
                <w:lang w:eastAsia="zh-CN"/>
              </w:rPr>
              <w:t>了</w:t>
            </w:r>
            <w:r>
              <w:rPr>
                <w:rFonts w:hint="eastAsia" w:ascii="Times New Roman" w:hAnsi="Times New Roman" w:eastAsia="宋体" w:cs="Times New Roman"/>
                <w:kern w:val="0"/>
                <w:sz w:val="21"/>
                <w:szCs w:val="21"/>
              </w:rPr>
              <w:t>工完料净场地清</w:t>
            </w:r>
            <w:r>
              <w:rPr>
                <w:rFonts w:hint="eastAsia" w:ascii="Times New Roman" w:hAnsi="Times New Roman" w:eastAsia="宋体" w:cs="Times New Roman"/>
                <w:color w:val="000000"/>
                <w:spacing w:val="-4"/>
                <w:sz w:val="21"/>
                <w:szCs w:val="21"/>
                <w:highlight w:val="none"/>
                <w:lang w:eastAsia="zh-CN"/>
              </w:rPr>
              <w:t>，</w:t>
            </w:r>
            <w:r>
              <w:rPr>
                <w:rFonts w:hint="eastAsia" w:ascii="Times New Roman" w:hAnsi="Times New Roman" w:eastAsia="宋体" w:cs="Times New Roman"/>
                <w:color w:val="000000"/>
                <w:spacing w:val="-4"/>
                <w:sz w:val="21"/>
                <w:szCs w:val="21"/>
                <w:highlight w:val="none"/>
                <w:lang w:val="en-US" w:eastAsia="zh-CN"/>
              </w:rPr>
              <w:t>无弃土弃渣。</w:t>
            </w:r>
          </w:p>
        </w:tc>
      </w:tr>
      <w:tr w14:paraId="562CB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tcMar>
              <w:left w:w="28" w:type="dxa"/>
              <w:right w:w="28" w:type="dxa"/>
            </w:tcMar>
            <w:vAlign w:val="center"/>
          </w:tcPr>
          <w:p w14:paraId="34D972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pPr>
          </w:p>
          <w:p w14:paraId="56CAC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jc w:val="both"/>
              <w:textAlignment w:val="auto"/>
              <w:rPr>
                <w:rFonts w:hint="eastAsia"/>
                <w:lang w:val="en-US" w:eastAsia="zh-CN"/>
              </w:rPr>
            </w:pPr>
            <w:r>
              <w:rPr>
                <w:rFonts w:hint="default" w:ascii="宋体" w:hAnsi="宋体" w:eastAsia="宋体" w:cs="宋体"/>
                <w:sz w:val="24"/>
                <w:szCs w:val="24"/>
              </w:rPr>
              <w:t>根据现场调查，本工程已建成并投入运行，</w:t>
            </w:r>
            <w:r>
              <w:rPr>
                <w:rFonts w:hint="eastAsia" w:ascii="宋体" w:hAnsi="宋体" w:cs="宋体"/>
                <w:sz w:val="24"/>
                <w:szCs w:val="24"/>
                <w:lang w:val="en-US" w:eastAsia="zh-CN"/>
              </w:rPr>
              <w:t>以上施工期环境保护措施都已一一落实，</w:t>
            </w:r>
            <w:r>
              <w:rPr>
                <w:rFonts w:hint="default" w:ascii="宋体" w:hAnsi="宋体" w:eastAsia="宋体" w:cs="宋体"/>
                <w:sz w:val="24"/>
                <w:szCs w:val="24"/>
              </w:rPr>
              <w:t>对生态、大气、</w:t>
            </w:r>
            <w:r>
              <w:rPr>
                <w:rFonts w:hint="eastAsia" w:ascii="宋体" w:hAnsi="宋体" w:cs="宋体"/>
                <w:sz w:val="24"/>
                <w:szCs w:val="24"/>
                <w:lang w:val="en-US" w:eastAsia="zh-CN"/>
              </w:rPr>
              <w:t>水</w:t>
            </w:r>
            <w:r>
              <w:rPr>
                <w:rFonts w:hint="default" w:ascii="宋体" w:hAnsi="宋体" w:eastAsia="宋体" w:cs="宋体"/>
                <w:sz w:val="24"/>
                <w:szCs w:val="24"/>
              </w:rPr>
              <w:t>、声环境影响较小</w:t>
            </w:r>
            <w:r>
              <w:rPr>
                <w:rFonts w:hint="eastAsia" w:ascii="宋体" w:hAnsi="宋体" w:cs="宋体"/>
                <w:sz w:val="24"/>
                <w:szCs w:val="24"/>
                <w:lang w:val="en-US" w:eastAsia="zh-CN"/>
              </w:rPr>
              <w:t>。</w:t>
            </w:r>
            <w:r>
              <w:rPr>
                <w:rFonts w:hint="eastAsia" w:ascii="宋体" w:hAnsi="宋体" w:eastAsia="宋体"/>
                <w:b w:val="0"/>
                <w:bCs w:val="0"/>
                <w:color w:val="000000"/>
                <w:spacing w:val="0"/>
                <w:kern w:val="2"/>
                <w:sz w:val="24"/>
                <w:szCs w:val="24"/>
                <w:highlight w:val="none"/>
                <w:lang w:val="en-US" w:eastAsia="zh-CN" w:bidi="ar-SA"/>
              </w:rPr>
              <w:t>本工程线路沿线</w:t>
            </w:r>
            <w:r>
              <w:rPr>
                <w:rFonts w:hint="eastAsia" w:ascii="宋体" w:hAnsi="宋体"/>
                <w:b w:val="0"/>
                <w:bCs w:val="0"/>
                <w:color w:val="000000"/>
                <w:spacing w:val="0"/>
                <w:kern w:val="2"/>
                <w:sz w:val="24"/>
                <w:szCs w:val="24"/>
                <w:highlight w:val="none"/>
                <w:lang w:val="en-US" w:eastAsia="zh-CN" w:bidi="ar-SA"/>
              </w:rPr>
              <w:t>野生动物正常生存活动已恢复；</w:t>
            </w:r>
            <w:r>
              <w:rPr>
                <w:rFonts w:hint="eastAsia" w:hAnsi="宋体" w:eastAsia="宋体"/>
                <w:b w:val="0"/>
                <w:bCs w:val="0"/>
                <w:color w:val="000000"/>
                <w:spacing w:val="0"/>
                <w:kern w:val="2"/>
                <w:sz w:val="24"/>
                <w:szCs w:val="24"/>
                <w:highlight w:val="none"/>
                <w:lang w:val="en-US" w:eastAsia="zh-CN" w:bidi="ar-SA"/>
              </w:rPr>
              <w:t>施工期</w:t>
            </w:r>
            <w:r>
              <w:rPr>
                <w:rFonts w:hint="eastAsia" w:hAnsi="宋体"/>
                <w:b w:val="0"/>
                <w:bCs w:val="0"/>
                <w:color w:val="000000"/>
                <w:spacing w:val="0"/>
                <w:kern w:val="2"/>
                <w:sz w:val="24"/>
                <w:szCs w:val="24"/>
                <w:highlight w:val="none"/>
                <w:lang w:val="en-US" w:eastAsia="zh-CN" w:bidi="ar-SA"/>
              </w:rPr>
              <w:t>各类</w:t>
            </w:r>
            <w:r>
              <w:rPr>
                <w:rFonts w:hint="eastAsia" w:hAnsi="宋体" w:eastAsia="宋体"/>
                <w:b w:val="0"/>
                <w:bCs w:val="0"/>
                <w:color w:val="000000"/>
                <w:spacing w:val="0"/>
                <w:kern w:val="2"/>
                <w:sz w:val="24"/>
                <w:szCs w:val="24"/>
                <w:highlight w:val="none"/>
                <w:lang w:val="en-US" w:eastAsia="zh-CN" w:bidi="ar-SA"/>
              </w:rPr>
              <w:t>固体废弃物均得到了合理处置，</w:t>
            </w:r>
            <w:r>
              <w:rPr>
                <w:rFonts w:hint="eastAsia" w:hAnsi="宋体"/>
                <w:b w:val="0"/>
                <w:bCs w:val="0"/>
                <w:color w:val="000000"/>
                <w:spacing w:val="0"/>
                <w:kern w:val="2"/>
                <w:sz w:val="24"/>
                <w:szCs w:val="24"/>
                <w:highlight w:val="none"/>
                <w:lang w:val="en-US" w:eastAsia="zh-CN" w:bidi="ar-SA"/>
              </w:rPr>
              <w:t>未对</w:t>
            </w:r>
            <w:r>
              <w:rPr>
                <w:rFonts w:hint="eastAsia" w:hAnsi="宋体" w:eastAsia="宋体"/>
                <w:b w:val="0"/>
                <w:bCs w:val="0"/>
                <w:color w:val="000000"/>
                <w:spacing w:val="0"/>
                <w:kern w:val="2"/>
                <w:sz w:val="24"/>
                <w:szCs w:val="24"/>
                <w:highlight w:val="none"/>
                <w:lang w:val="en-US" w:eastAsia="zh-CN" w:bidi="ar-SA"/>
              </w:rPr>
              <w:t>周边环境造成污染；施工废水</w:t>
            </w:r>
            <w:r>
              <w:rPr>
                <w:rFonts w:hint="eastAsia" w:hAnsi="宋体"/>
                <w:b w:val="0"/>
                <w:bCs w:val="0"/>
                <w:color w:val="000000"/>
                <w:spacing w:val="0"/>
                <w:kern w:val="2"/>
                <w:sz w:val="24"/>
                <w:szCs w:val="24"/>
                <w:highlight w:val="none"/>
                <w:lang w:val="en-US" w:eastAsia="zh-CN" w:bidi="ar-SA"/>
              </w:rPr>
              <w:t>未</w:t>
            </w:r>
            <w:r>
              <w:rPr>
                <w:rFonts w:hint="eastAsia" w:hAnsi="宋体" w:eastAsia="宋体"/>
                <w:b w:val="0"/>
                <w:bCs w:val="0"/>
                <w:color w:val="000000"/>
                <w:spacing w:val="0"/>
                <w:kern w:val="2"/>
                <w:sz w:val="24"/>
                <w:szCs w:val="24"/>
                <w:highlight w:val="none"/>
                <w:lang w:val="en-US" w:eastAsia="zh-CN" w:bidi="ar-SA"/>
              </w:rPr>
              <w:t>外排</w:t>
            </w:r>
            <w:r>
              <w:rPr>
                <w:rFonts w:hint="eastAsia" w:hAnsi="宋体"/>
                <w:b w:val="0"/>
                <w:bCs w:val="0"/>
                <w:color w:val="000000"/>
                <w:spacing w:val="0"/>
                <w:kern w:val="2"/>
                <w:sz w:val="24"/>
                <w:szCs w:val="24"/>
                <w:highlight w:val="none"/>
                <w:lang w:val="en-US" w:eastAsia="zh-CN" w:bidi="ar-SA"/>
              </w:rPr>
              <w:t>，未对水</w:t>
            </w:r>
            <w:r>
              <w:rPr>
                <w:rFonts w:hint="eastAsia" w:hAnsi="宋体" w:eastAsia="宋体"/>
                <w:b w:val="0"/>
                <w:bCs w:val="0"/>
                <w:color w:val="000000"/>
                <w:spacing w:val="0"/>
                <w:kern w:val="2"/>
                <w:sz w:val="24"/>
                <w:szCs w:val="24"/>
                <w:highlight w:val="none"/>
                <w:lang w:val="en-US" w:eastAsia="zh-CN" w:bidi="ar-SA"/>
              </w:rPr>
              <w:t>环境</w:t>
            </w:r>
            <w:r>
              <w:rPr>
                <w:rFonts w:hint="eastAsia" w:hAnsi="宋体"/>
                <w:b w:val="0"/>
                <w:bCs w:val="0"/>
                <w:color w:val="000000"/>
                <w:spacing w:val="0"/>
                <w:kern w:val="2"/>
                <w:sz w:val="24"/>
                <w:szCs w:val="24"/>
                <w:highlight w:val="none"/>
                <w:lang w:val="en-US" w:eastAsia="zh-CN" w:bidi="ar-SA"/>
              </w:rPr>
              <w:t>造成</w:t>
            </w:r>
            <w:r>
              <w:rPr>
                <w:rFonts w:hint="eastAsia" w:hAnsi="宋体" w:eastAsia="宋体"/>
                <w:b w:val="0"/>
                <w:bCs w:val="0"/>
                <w:color w:val="000000"/>
                <w:spacing w:val="0"/>
                <w:kern w:val="2"/>
                <w:sz w:val="24"/>
                <w:szCs w:val="24"/>
                <w:highlight w:val="none"/>
                <w:lang w:val="en-US" w:eastAsia="zh-CN" w:bidi="ar-SA"/>
              </w:rPr>
              <w:t>污染；</w:t>
            </w:r>
            <w:r>
              <w:rPr>
                <w:rFonts w:hint="eastAsia" w:ascii="宋体" w:hAnsi="宋体"/>
                <w:b w:val="0"/>
                <w:bCs w:val="0"/>
                <w:color w:val="000000"/>
                <w:spacing w:val="0"/>
                <w:kern w:val="2"/>
                <w:sz w:val="24"/>
                <w:szCs w:val="24"/>
                <w:highlight w:val="none"/>
                <w:lang w:val="en-US" w:eastAsia="zh-CN" w:bidi="ar-SA"/>
              </w:rPr>
              <w:t>项目</w:t>
            </w:r>
            <w:r>
              <w:rPr>
                <w:rFonts w:hint="eastAsia" w:ascii="宋体" w:hAnsi="宋体" w:eastAsia="宋体"/>
                <w:b w:val="0"/>
                <w:bCs w:val="0"/>
                <w:color w:val="000000"/>
                <w:spacing w:val="0"/>
                <w:kern w:val="2"/>
                <w:sz w:val="24"/>
                <w:szCs w:val="24"/>
                <w:highlight w:val="none"/>
                <w:lang w:val="en-US" w:eastAsia="zh-CN" w:bidi="ar-SA"/>
              </w:rPr>
              <w:t>周边较为空旷，施工设备产生的噪声通过落实</w:t>
            </w:r>
            <w:r>
              <w:rPr>
                <w:rFonts w:hint="eastAsia" w:ascii="宋体" w:hAnsi="宋体"/>
                <w:b w:val="0"/>
                <w:bCs w:val="0"/>
                <w:color w:val="000000"/>
                <w:spacing w:val="0"/>
                <w:kern w:val="2"/>
                <w:sz w:val="24"/>
                <w:szCs w:val="24"/>
                <w:highlight w:val="none"/>
                <w:lang w:val="en-US" w:eastAsia="zh-CN" w:bidi="ar-SA"/>
              </w:rPr>
              <w:t>防治</w:t>
            </w:r>
            <w:r>
              <w:rPr>
                <w:rFonts w:hint="eastAsia" w:ascii="宋体" w:hAnsi="宋体" w:eastAsia="宋体"/>
                <w:b w:val="0"/>
                <w:bCs w:val="0"/>
                <w:color w:val="000000"/>
                <w:spacing w:val="0"/>
                <w:kern w:val="2"/>
                <w:sz w:val="24"/>
                <w:szCs w:val="24"/>
                <w:highlight w:val="none"/>
                <w:lang w:val="en-US" w:eastAsia="zh-CN" w:bidi="ar-SA"/>
              </w:rPr>
              <w:t>措施后对周边环境影响较小，在可接受范围内</w:t>
            </w:r>
            <w:r>
              <w:rPr>
                <w:rFonts w:hint="eastAsia" w:ascii="宋体" w:hAnsi="宋体"/>
                <w:b w:val="0"/>
                <w:bCs w:val="0"/>
                <w:color w:val="000000"/>
                <w:spacing w:val="0"/>
                <w:kern w:val="2"/>
                <w:sz w:val="24"/>
                <w:szCs w:val="24"/>
                <w:highlight w:val="none"/>
                <w:lang w:val="en-US" w:eastAsia="zh-CN" w:bidi="ar-SA"/>
              </w:rPr>
              <w:t>；积极落实防沙治沙措施，未加剧土地沙化。</w:t>
            </w:r>
          </w:p>
        </w:tc>
      </w:tr>
      <w:tr w14:paraId="09854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tcMar>
              <w:left w:w="28" w:type="dxa"/>
              <w:right w:w="28" w:type="dxa"/>
            </w:tcMar>
            <w:vAlign w:val="center"/>
          </w:tcPr>
          <w:p w14:paraId="03E31036">
            <w:pPr>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default" w:ascii="宋体" w:hAnsi="宋体" w:cs="宋体"/>
                <w:bCs/>
                <w:spacing w:val="10"/>
                <w:szCs w:val="21"/>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运营期生态环境保护措施</w:t>
            </w:r>
          </w:p>
        </w:tc>
      </w:tr>
      <w:tr w14:paraId="29AA1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tcMar>
              <w:left w:w="28" w:type="dxa"/>
              <w:right w:w="28" w:type="dxa"/>
            </w:tcMar>
            <w:vAlign w:val="center"/>
          </w:tcPr>
          <w:p w14:paraId="31BBD905">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宋体"/>
                <w:b/>
                <w:bCs/>
                <w:color w:val="000000"/>
                <w:kern w:val="2"/>
                <w:sz w:val="24"/>
                <w:szCs w:val="24"/>
                <w:highlight w:val="none"/>
                <w:lang w:val="en-US" w:eastAsia="zh-CN" w:bidi="ar-SA"/>
              </w:rPr>
            </w:pPr>
            <w:r>
              <w:rPr>
                <w:rFonts w:hint="eastAsia" w:ascii="Times New Roman" w:hAnsi="Times New Roman" w:eastAsia="宋体" w:cs="宋体"/>
                <w:b/>
                <w:bCs/>
                <w:color w:val="000000"/>
                <w:kern w:val="2"/>
                <w:sz w:val="24"/>
                <w:szCs w:val="24"/>
                <w:highlight w:val="none"/>
                <w:lang w:val="en-US" w:eastAsia="zh-CN" w:bidi="ar-SA"/>
              </w:rPr>
              <w:t>5.</w:t>
            </w:r>
            <w:r>
              <w:rPr>
                <w:rFonts w:hint="eastAsia" w:cs="宋体"/>
                <w:b/>
                <w:bCs/>
                <w:color w:val="000000"/>
                <w:kern w:val="2"/>
                <w:sz w:val="24"/>
                <w:szCs w:val="24"/>
                <w:highlight w:val="none"/>
                <w:lang w:val="en-US" w:eastAsia="zh-CN" w:bidi="ar-SA"/>
              </w:rPr>
              <w:t>2</w:t>
            </w: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运营期生态环境保护措施</w:t>
            </w:r>
          </w:p>
          <w:p w14:paraId="7F5B685A">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宋体"/>
                <w:b/>
                <w:bCs/>
                <w:color w:val="000000"/>
                <w:kern w:val="2"/>
                <w:sz w:val="24"/>
                <w:szCs w:val="24"/>
                <w:highlight w:val="none"/>
                <w:lang w:val="en-US" w:eastAsia="zh-CN" w:bidi="ar-SA"/>
              </w:rPr>
            </w:pPr>
            <w:r>
              <w:rPr>
                <w:rFonts w:hint="eastAsia" w:cs="宋体"/>
                <w:b/>
                <w:bCs/>
                <w:color w:val="000000"/>
                <w:kern w:val="2"/>
                <w:sz w:val="24"/>
                <w:szCs w:val="24"/>
                <w:highlight w:val="none"/>
                <w:lang w:val="en-US" w:eastAsia="zh-CN" w:bidi="ar-SA"/>
              </w:rPr>
              <w:t>5.2.1</w:t>
            </w:r>
            <w:r>
              <w:rPr>
                <w:rFonts w:hint="eastAsia" w:ascii="Times New Roman" w:hAnsi="Times New Roman" w:eastAsia="宋体" w:cs="宋体"/>
                <w:b/>
                <w:bCs/>
                <w:color w:val="000000"/>
                <w:kern w:val="2"/>
                <w:sz w:val="24"/>
                <w:szCs w:val="24"/>
                <w:highlight w:val="none"/>
                <w:lang w:val="en-US" w:eastAsia="zh-CN" w:bidi="ar-SA"/>
              </w:rPr>
              <w:t>电磁环境保护措施</w:t>
            </w:r>
          </w:p>
          <w:p w14:paraId="50B7487B">
            <w:pPr>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宋体"/>
                <w:sz w:val="24"/>
                <w:szCs w:val="24"/>
                <w:lang w:val="en-US" w:eastAsia="zh-CN"/>
              </w:rPr>
            </w:pPr>
            <w:r>
              <w:rPr>
                <w:rFonts w:hint="default" w:ascii="Times New Roman" w:hAnsi="Times New Roman" w:eastAsia="宋体" w:cs="宋体"/>
                <w:sz w:val="24"/>
                <w:szCs w:val="24"/>
              </w:rPr>
              <w:t>通过现场监测，</w:t>
            </w:r>
            <w:r>
              <w:rPr>
                <w:rFonts w:hint="eastAsia" w:cs="宋体"/>
                <w:sz w:val="24"/>
                <w:szCs w:val="24"/>
                <w:lang w:val="en-US" w:eastAsia="zh-CN"/>
              </w:rPr>
              <w:t>本工程</w:t>
            </w:r>
            <w:r>
              <w:rPr>
                <w:rFonts w:hint="default" w:ascii="Times New Roman" w:hAnsi="Times New Roman" w:eastAsia="宋体" w:cs="宋体"/>
                <w:sz w:val="24"/>
                <w:szCs w:val="24"/>
              </w:rPr>
              <w:t>运行期间产生的工频电磁场均符合国家标准限值要求。后续加强对工作人员进行有关电磁环境知识的培训，定期检查设备，加强设备日常管理和维护，避免设备损坏。</w:t>
            </w:r>
            <w:r>
              <w:rPr>
                <w:rFonts w:hint="eastAsia" w:ascii="Times New Roman" w:hAnsi="Times New Roman" w:eastAsia="宋体" w:cs="宋体"/>
                <w:sz w:val="24"/>
                <w:szCs w:val="24"/>
                <w:lang w:val="en-US" w:eastAsia="zh-CN"/>
              </w:rPr>
              <w:t>具体</w:t>
            </w:r>
            <w:r>
              <w:rPr>
                <w:rFonts w:hint="default" w:ascii="Times New Roman" w:hAnsi="Times New Roman" w:eastAsia="宋体" w:cs="宋体"/>
                <w:spacing w:val="-1"/>
                <w:sz w:val="24"/>
              </w:rPr>
              <w:t>电磁环境保护措施见</w:t>
            </w:r>
            <w:r>
              <w:rPr>
                <w:rFonts w:hint="eastAsia" w:ascii="Times New Roman" w:hAnsi="Times New Roman" w:eastAsia="宋体" w:cs="宋体"/>
                <w:spacing w:val="-1"/>
                <w:sz w:val="24"/>
                <w:lang w:val="en-US" w:eastAsia="zh-CN"/>
              </w:rPr>
              <w:t>电磁专章。</w:t>
            </w:r>
          </w:p>
          <w:p w14:paraId="76C64CCE">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宋体"/>
                <w:b/>
                <w:bCs/>
                <w:sz w:val="24"/>
                <w:highlight w:val="none"/>
              </w:rPr>
            </w:pPr>
            <w:r>
              <w:rPr>
                <w:rFonts w:hint="default" w:ascii="Times New Roman" w:hAnsi="Times New Roman" w:eastAsia="宋体" w:cs="宋体"/>
                <w:b/>
                <w:bCs/>
                <w:sz w:val="24"/>
                <w:highlight w:val="none"/>
                <w:lang w:val="en-US" w:eastAsia="zh-CN"/>
              </w:rPr>
              <w:t>5.</w:t>
            </w:r>
            <w:r>
              <w:rPr>
                <w:rFonts w:hint="eastAsia" w:cs="宋体"/>
                <w:b/>
                <w:bCs/>
                <w:sz w:val="24"/>
                <w:highlight w:val="none"/>
                <w:lang w:val="en-US" w:eastAsia="zh-CN"/>
              </w:rPr>
              <w:t>2.2</w:t>
            </w:r>
            <w:r>
              <w:rPr>
                <w:rFonts w:hint="eastAsia" w:ascii="Times New Roman" w:hAnsi="Times New Roman" w:eastAsia="宋体" w:cs="宋体"/>
                <w:b/>
                <w:bCs/>
                <w:sz w:val="24"/>
                <w:highlight w:val="none"/>
              </w:rPr>
              <w:t>声环境保护措施</w:t>
            </w:r>
          </w:p>
          <w:p w14:paraId="1196CDF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15"/>
              <w:textAlignment w:val="auto"/>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项目对变压器基础进行减振处理</w:t>
            </w:r>
            <w:r>
              <w:rPr>
                <w:rFonts w:hint="eastAsia" w:ascii="Times New Roman" w:hAnsi="Times New Roman" w:cs="宋体"/>
                <w:kern w:val="2"/>
                <w:sz w:val="24"/>
                <w:szCs w:val="24"/>
                <w:lang w:val="en-US" w:eastAsia="zh-CN" w:bidi="ar-SA"/>
              </w:rPr>
              <w:t>；</w:t>
            </w:r>
            <w:r>
              <w:rPr>
                <w:rFonts w:hint="default" w:ascii="Times New Roman" w:hAnsi="Times New Roman" w:eastAsia="宋体" w:cs="宋体"/>
                <w:kern w:val="2"/>
                <w:sz w:val="24"/>
                <w:szCs w:val="24"/>
                <w:lang w:val="en-US" w:eastAsia="zh-CN" w:bidi="ar-SA"/>
              </w:rPr>
              <w:t>定期对站内电气设备进行检修，保证主变等运行良好</w:t>
            </w:r>
            <w:r>
              <w:rPr>
                <w:rFonts w:hint="eastAsia" w:ascii="Times New Roman" w:hAnsi="Times New Roman" w:eastAsia="宋体" w:cs="宋体"/>
                <w:kern w:val="2"/>
                <w:sz w:val="24"/>
                <w:szCs w:val="24"/>
                <w:lang w:val="en-US" w:eastAsia="zh-CN" w:bidi="ar-SA"/>
              </w:rPr>
              <w:t>。</w:t>
            </w:r>
            <w:r>
              <w:rPr>
                <w:rFonts w:hint="default" w:ascii="Times New Roman" w:hAnsi="Times New Roman" w:eastAsia="宋体" w:cs="宋体"/>
                <w:kern w:val="2"/>
                <w:sz w:val="24"/>
                <w:szCs w:val="24"/>
                <w:lang w:val="en-US" w:eastAsia="zh-CN" w:bidi="ar-SA"/>
              </w:rPr>
              <w:t>架空线路选用加工工艺水平高、表面光滑的导线减少电晕放电，</w:t>
            </w:r>
            <w:r>
              <w:rPr>
                <w:rFonts w:hint="default" w:ascii="Times New Roman" w:hAnsi="Times New Roman" w:eastAsia="宋体" w:cs="宋体"/>
                <w:spacing w:val="2"/>
                <w:sz w:val="24"/>
                <w:szCs w:val="24"/>
              </w:rPr>
              <w:t>导线质量应符合国家相关标准的要求</w:t>
            </w:r>
            <w:r>
              <w:rPr>
                <w:rFonts w:hint="eastAsia" w:ascii="Times New Roman" w:hAnsi="Times New Roman" w:cs="宋体"/>
                <w:spacing w:val="2"/>
                <w:sz w:val="24"/>
                <w:szCs w:val="24"/>
                <w:lang w:eastAsia="zh-CN"/>
              </w:rPr>
              <w:t>。</w:t>
            </w:r>
            <w:r>
              <w:rPr>
                <w:rFonts w:hint="default" w:ascii="Times New Roman" w:hAnsi="Times New Roman" w:eastAsia="宋体" w:cs="宋体"/>
                <w:spacing w:val="2"/>
                <w:sz w:val="24"/>
                <w:szCs w:val="24"/>
              </w:rPr>
              <w:t>建设项目运营</w:t>
            </w:r>
            <w:r>
              <w:rPr>
                <w:rFonts w:hint="eastAsia" w:ascii="Times New Roman" w:hAnsi="Times New Roman" w:cs="宋体"/>
                <w:spacing w:val="2"/>
                <w:sz w:val="24"/>
                <w:szCs w:val="24"/>
                <w:lang w:val="en-US" w:eastAsia="zh-CN"/>
              </w:rPr>
              <w:t>期</w:t>
            </w:r>
            <w:r>
              <w:rPr>
                <w:rFonts w:hint="default" w:ascii="Times New Roman" w:hAnsi="Times New Roman" w:eastAsia="宋体" w:cs="宋体"/>
                <w:spacing w:val="2"/>
                <w:sz w:val="24"/>
                <w:szCs w:val="24"/>
              </w:rPr>
              <w:t>产</w:t>
            </w:r>
            <w:r>
              <w:rPr>
                <w:rFonts w:hint="default" w:ascii="Times New Roman" w:hAnsi="Times New Roman" w:eastAsia="宋体" w:cs="宋体"/>
                <w:spacing w:val="-2"/>
                <w:sz w:val="24"/>
                <w:szCs w:val="24"/>
              </w:rPr>
              <w:t>生的电磁噪声对周边环境影响较小，在可接受范围内。</w:t>
            </w:r>
          </w:p>
          <w:p w14:paraId="6A52A08B">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宋体"/>
                <w:sz w:val="24"/>
                <w:szCs w:val="24"/>
                <w:lang w:eastAsia="zh-CN"/>
              </w:rPr>
            </w:pPr>
            <w:r>
              <w:rPr>
                <w:rFonts w:hint="default" w:ascii="Times New Roman" w:hAnsi="Times New Roman" w:eastAsia="宋体" w:cs="宋体"/>
                <w:b/>
                <w:bCs/>
                <w:sz w:val="24"/>
                <w:highlight w:val="none"/>
                <w:lang w:val="en-US" w:eastAsia="zh-CN"/>
              </w:rPr>
              <w:t>5.</w:t>
            </w:r>
            <w:r>
              <w:rPr>
                <w:rFonts w:hint="eastAsia" w:cs="宋体"/>
                <w:b/>
                <w:bCs/>
                <w:sz w:val="24"/>
                <w:highlight w:val="none"/>
                <w:lang w:val="en-US" w:eastAsia="zh-CN"/>
              </w:rPr>
              <w:t>2.3</w:t>
            </w:r>
            <w:r>
              <w:rPr>
                <w:rFonts w:hint="eastAsia" w:ascii="Times New Roman" w:hAnsi="Times New Roman" w:eastAsia="宋体" w:cs="宋体"/>
                <w:b/>
                <w:bCs/>
                <w:sz w:val="24"/>
                <w:highlight w:val="none"/>
              </w:rPr>
              <w:t>固体废弃物保护措施</w:t>
            </w:r>
          </w:p>
          <w:p w14:paraId="556BB738">
            <w:pPr>
              <w:keepNext w:val="0"/>
              <w:keepLines w:val="0"/>
              <w:suppressLineNumbers w:val="0"/>
              <w:adjustRightInd w:val="0"/>
              <w:snapToGrid w:val="0"/>
              <w:spacing w:before="0" w:beforeAutospacing="0" w:after="0" w:afterAutospacing="0" w:line="360" w:lineRule="auto"/>
              <w:ind w:left="0" w:leftChars="0" w:right="0"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（1）固体废弃物</w:t>
            </w:r>
          </w:p>
          <w:p w14:paraId="12AA505C">
            <w:pPr>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sz w:val="24"/>
                <w:lang w:val="en-US" w:eastAsia="zh-CN"/>
              </w:rPr>
            </w:pPr>
            <w:r>
              <w:rPr>
                <w:rFonts w:hint="eastAsia" w:cs="Times New Roman"/>
                <w:sz w:val="24"/>
                <w:lang w:val="en-US" w:eastAsia="zh-CN"/>
              </w:rPr>
              <w:t>①</w:t>
            </w:r>
            <w:r>
              <w:rPr>
                <w:rFonts w:hint="default" w:ascii="Times New Roman" w:hAnsi="Times New Roman" w:cs="Times New Roman"/>
                <w:sz w:val="24"/>
              </w:rPr>
              <w:t>一般固废</w:t>
            </w:r>
            <w:r>
              <w:rPr>
                <w:rFonts w:hint="default" w:ascii="Times New Roman" w:hAnsi="Times New Roman" w:cs="Times New Roman"/>
                <w:sz w:val="24"/>
                <w:lang w:val="en-US" w:eastAsia="zh-CN"/>
              </w:rPr>
              <w:t>及生活垃圾</w:t>
            </w:r>
          </w:p>
          <w:p w14:paraId="40845D53">
            <w:pPr>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sz w:val="24"/>
              </w:rPr>
              <w:t>线路检修时产生少量检修废弃物(如废导线、绝缘子、金具等)和人员生活垃圾，均为一般固废。</w:t>
            </w:r>
            <w:r>
              <w:rPr>
                <w:rFonts w:hint="default" w:ascii="Times New Roman" w:hAnsi="Times New Roman" w:eastAsia="宋体" w:cs="Times New Roman"/>
                <w:kern w:val="2"/>
                <w:sz w:val="24"/>
                <w:szCs w:val="24"/>
                <w:lang w:val="en-US" w:eastAsia="zh-CN" w:bidi="ar-SA"/>
              </w:rPr>
              <w:t>工作人员生活垃圾集中收集后，交由环卫部门处理；检修废弃物交旧退库回收处理，由公司物资管理部门按公司制度统一处置</w:t>
            </w:r>
            <w:r>
              <w:rPr>
                <w:rFonts w:hint="default" w:ascii="Times New Roman" w:hAnsi="Times New Roman" w:cs="Times New Roman"/>
                <w:kern w:val="2"/>
                <w:sz w:val="24"/>
                <w:szCs w:val="24"/>
                <w:lang w:val="en-US" w:eastAsia="zh-CN" w:bidi="ar-SA"/>
              </w:rPr>
              <w:t>。</w:t>
            </w:r>
          </w:p>
          <w:p w14:paraId="117410EA">
            <w:pPr>
              <w:pStyle w:val="14"/>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事故废油</w:t>
            </w:r>
          </w:p>
          <w:p w14:paraId="210FA0DE">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cs="Times New Roman"/>
                <w:color w:val="000000" w:themeColor="text1"/>
                <w:sz w:val="24"/>
                <w:highlight w:val="none"/>
                <w14:textFill>
                  <w14:solidFill>
                    <w14:schemeClr w14:val="tx1"/>
                  </w14:solidFill>
                </w14:textFill>
              </w:rPr>
              <w:t>站内的变压器等设备，为了绝缘和冷却的需要，在变压器外壳内装有变压器油，一般只有检修及事故情况下才会产生</w:t>
            </w:r>
            <w:r>
              <w:rPr>
                <w:rFonts w:hint="default" w:ascii="Times New Roman" w:hAnsi="Times New Roman" w:cs="Times New Roman"/>
                <w:color w:val="000000" w:themeColor="text1"/>
                <w:sz w:val="24"/>
                <w:highlight w:val="none"/>
                <w:lang w:val="en-US" w:eastAsia="zh-CN"/>
                <w14:textFill>
                  <w14:solidFill>
                    <w14:schemeClr w14:val="tx1"/>
                  </w14:solidFill>
                </w14:textFill>
              </w:rPr>
              <w:t>事故废油</w:t>
            </w:r>
            <w:r>
              <w:rPr>
                <w:rFonts w:hint="default" w:ascii="Times New Roman" w:hAnsi="Times New Roman" w:cs="Times New Roman"/>
                <w:color w:val="000000" w:themeColor="text1"/>
                <w:sz w:val="24"/>
                <w:highlight w:val="none"/>
                <w14:textFill>
                  <w14:solidFill>
                    <w14:schemeClr w14:val="tx1"/>
                  </w14:solidFill>
                </w14:textFill>
              </w:rPr>
              <w:t>。</w:t>
            </w:r>
          </w:p>
          <w:p w14:paraId="1436775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根据《火力发电厂与变电站设计防火标准》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w:t>
            </w:r>
            <w:r>
              <w:rPr>
                <w:rFonts w:hint="eastAsia"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50229-2019</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及《电力设备典型消防规程》</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DL5027-2015</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要求，户外单台油量为1000kg以上的电气设备，应设置储油或挡油设施，其容积宜按设备油量的20%设计，并能将事故油排至总事故贮油池。总事故贮油池的容量应按其接入的油量最大一台设备确定。</w:t>
            </w:r>
          </w:p>
          <w:p w14:paraId="0ECCBA37">
            <w:pPr>
              <w:keepNext w:val="0"/>
              <w:keepLines w:val="0"/>
              <w:suppressLineNumbers w:val="0"/>
              <w:spacing w:before="0" w:beforeAutospacing="0" w:after="0" w:afterAutospacing="0" w:line="360" w:lineRule="auto"/>
              <w:ind w:left="0" w:right="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w:t>
            </w:r>
            <w:r>
              <w:rPr>
                <w:rFonts w:hint="eastAsia"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cs="Times New Roman"/>
                <w:color w:val="000000" w:themeColor="text1"/>
                <w:sz w:val="24"/>
                <w:highlight w:val="none"/>
                <w14:textFill>
                  <w14:solidFill>
                    <w14:schemeClr w14:val="tx1"/>
                  </w14:solidFill>
                </w14:textFill>
              </w:rPr>
              <w:t>站内设计有</w:t>
            </w:r>
            <w:r>
              <w:rPr>
                <w:rFonts w:hint="default" w:ascii="Times New Roman" w:hAnsi="Times New Roman" w:cs="Times New Roman"/>
                <w:color w:val="000000" w:themeColor="text1"/>
                <w:sz w:val="24"/>
                <w:highlight w:val="none"/>
                <w:lang w:val="en-US" w:eastAsia="zh-CN"/>
                <w14:textFill>
                  <w14:solidFill>
                    <w14:schemeClr w14:val="tx1"/>
                  </w14:solidFill>
                </w14:textFill>
              </w:rPr>
              <w:t>挡油设施及</w:t>
            </w:r>
            <w:r>
              <w:rPr>
                <w:rFonts w:hint="default" w:ascii="Times New Roman" w:hAnsi="Times New Roman" w:cs="Times New Roman"/>
                <w:color w:val="000000" w:themeColor="text1"/>
                <w:sz w:val="24"/>
                <w:highlight w:val="none"/>
                <w14:textFill>
                  <w14:solidFill>
                    <w14:schemeClr w14:val="tx1"/>
                  </w14:solidFill>
                </w14:textFill>
              </w:rPr>
              <w:t>事故油池</w:t>
            </w:r>
            <w:r>
              <w:rPr>
                <w:rFonts w:hint="eastAsia" w:cs="Times New Roman"/>
                <w:color w:val="auto"/>
                <w:sz w:val="24"/>
                <w:highlight w:val="none"/>
                <w:lang w:eastAsia="zh-CN"/>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变压器底部设地下钢筋混凝土贮油坑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容积约11.4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eastAsia" w:ascii="Times New Roman" w:hAnsi="Times New Roman" w:eastAsia="宋体" w:cs="Times New Roman"/>
                <w:spacing w:val="-5"/>
                <w:kern w:val="2"/>
                <w:sz w:val="24"/>
                <w:szCs w:val="24"/>
                <w:lang w:val="en-US" w:eastAsia="zh-CN" w:bidi="ar-SA"/>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，容积大于主变压器油量的</w:t>
            </w:r>
            <w:r>
              <w:rPr>
                <w:rFonts w:hint="eastAsia"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%，贮油坑四周设挡油坎</w:t>
            </w:r>
            <w:r>
              <w:rPr>
                <w:rFonts w:hint="default" w:ascii="Times New Roman" w:hAnsi="Times New Roman" w:cs="Times New Roman"/>
                <w:color w:val="000000" w:themeColor="text1"/>
                <w:sz w:val="24"/>
                <w:highlight w:val="none"/>
                <w14:textFill>
                  <w14:solidFill>
                    <w14:schemeClr w14:val="tx1"/>
                  </w14:solidFill>
                </w14:textFill>
              </w:rPr>
              <w:t>，高出地面</w:t>
            </w:r>
            <w:r>
              <w:rPr>
                <w:rFonts w:hint="eastAsia" w:ascii="Times New Roman" w:hAnsi="Times New Roman" w:cs="Times New Roman"/>
                <w:color w:val="000000" w:themeColor="text1"/>
                <w:sz w:val="24"/>
                <w:highlight w:val="none"/>
                <w:lang w:val="en-US" w:eastAsia="zh-CN"/>
                <w14:textFill>
                  <w14:solidFill>
                    <w14:schemeClr w14:val="tx1"/>
                  </w14:solidFill>
                </w14:textFill>
              </w:rPr>
              <w:t>0.2</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。坑内铺设卵石，坑底设有排油管，能将事故油排至事故油池</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容积</w:t>
            </w:r>
            <w:r>
              <w:rPr>
                <w:rFonts w:hint="eastAsia" w:cs="Times New Roman"/>
                <w:color w:val="auto"/>
                <w:sz w:val="24"/>
                <w:highlight w:val="none"/>
                <w:lang w:val="en-US" w:eastAsia="zh-CN"/>
              </w:rPr>
              <w:t>23.5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lang w:eastAsia="zh-CN"/>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可使变压器在发生事故时，壳体内的油经过</w:t>
            </w:r>
            <w:r>
              <w:rPr>
                <w:rFonts w:hint="default" w:ascii="Times New Roman" w:hAnsi="Times New Roman" w:eastAsia="宋体" w:cs="Times New Roman"/>
                <w:color w:val="000000" w:themeColor="text1"/>
                <w:sz w:val="24"/>
                <w:szCs w:val="24"/>
                <w:highlight w:val="none"/>
                <w14:textFill>
                  <w14:solidFill>
                    <w14:schemeClr w14:val="tx1"/>
                  </w14:solidFill>
                </w14:textFill>
              </w:rPr>
              <w:t>排油管</w:t>
            </w:r>
            <w:r>
              <w:rPr>
                <w:rFonts w:hint="default" w:ascii="Times New Roman" w:hAnsi="Times New Roman" w:cs="Times New Roman"/>
                <w:color w:val="000000" w:themeColor="text1"/>
                <w:sz w:val="24"/>
                <w:highlight w:val="none"/>
                <w14:textFill>
                  <w14:solidFill>
                    <w14:schemeClr w14:val="tx1"/>
                  </w14:solidFill>
                </w14:textFill>
              </w:rPr>
              <w:t>排入事故油池，</w:t>
            </w:r>
            <w:r>
              <w:rPr>
                <w:rFonts w:hint="default" w:ascii="Times New Roman" w:hAnsi="Times New Roman" w:eastAsia="宋体" w:cs="Times New Roman"/>
                <w:spacing w:val="-5"/>
                <w:sz w:val="24"/>
                <w:szCs w:val="24"/>
              </w:rPr>
              <w:t>满足主变事故状态</w:t>
            </w:r>
            <w:r>
              <w:rPr>
                <w:rFonts w:hint="eastAsia" w:ascii="Times New Roman" w:hAnsi="Times New Roman" w:cs="Times New Roman"/>
                <w:spacing w:val="-5"/>
                <w:sz w:val="24"/>
                <w:szCs w:val="24"/>
                <w:lang w:val="en-US" w:eastAsia="zh-CN"/>
              </w:rPr>
              <w:t>下</w:t>
            </w:r>
            <w:r>
              <w:rPr>
                <w:rFonts w:hint="default" w:ascii="Times New Roman" w:hAnsi="Times New Roman" w:eastAsia="宋体" w:cs="Times New Roman"/>
                <w:spacing w:val="-5"/>
                <w:sz w:val="24"/>
                <w:szCs w:val="24"/>
              </w:rPr>
              <w:t>100%排油量要求</w:t>
            </w:r>
            <w:r>
              <w:rPr>
                <w:rFonts w:hint="eastAsia" w:ascii="Times New Roman" w:hAnsi="Times New Roman" w:eastAsia="宋体" w:cs="Times New Roman"/>
                <w:spacing w:val="-5"/>
                <w:sz w:val="24"/>
                <w:szCs w:val="24"/>
                <w:lang w:eastAsia="zh-CN"/>
              </w:rPr>
              <w:t>，</w:t>
            </w:r>
            <w:r>
              <w:rPr>
                <w:rFonts w:hint="default" w:ascii="Times New Roman" w:hAnsi="Times New Roman" w:cs="Times New Roman"/>
                <w:color w:val="000000" w:themeColor="text1"/>
                <w:sz w:val="24"/>
                <w:highlight w:val="none"/>
                <w14:textFill>
                  <w14:solidFill>
                    <w14:schemeClr w14:val="tx1"/>
                  </w14:solidFill>
                </w14:textFill>
              </w:rPr>
              <w:t>防止变压器油</w:t>
            </w:r>
            <w:r>
              <w:rPr>
                <w:rFonts w:hint="default" w:ascii="Times New Roman" w:hAnsi="Times New Roman" w:cs="Times New Roman"/>
                <w:color w:val="000000" w:themeColor="text1"/>
                <w:sz w:val="24"/>
                <w:highlight w:val="none"/>
                <w:lang w:val="en-US" w:eastAsia="zh-CN"/>
                <w14:textFill>
                  <w14:solidFill>
                    <w14:schemeClr w14:val="tx1"/>
                  </w14:solidFill>
                </w14:textFill>
              </w:rPr>
              <w:t>排放</w:t>
            </w:r>
            <w:r>
              <w:rPr>
                <w:rFonts w:hint="default" w:ascii="Times New Roman" w:hAnsi="Times New Roman" w:cs="Times New Roman"/>
                <w:color w:val="000000" w:themeColor="text1"/>
                <w:sz w:val="24"/>
                <w:highlight w:val="none"/>
                <w14:textFill>
                  <w14:solidFill>
                    <w14:schemeClr w14:val="tx1"/>
                  </w14:solidFill>
                </w14:textFill>
              </w:rPr>
              <w:t>对环境造成污染。</w:t>
            </w:r>
            <w:r>
              <w:rPr>
                <w:rFonts w:hint="default" w:ascii="Times New Roman" w:hAnsi="Times New Roman" w:cs="Times New Roman"/>
                <w:color w:val="000000" w:themeColor="text1"/>
                <w:kern w:val="0"/>
                <w:sz w:val="24"/>
                <w:highlight w:val="none"/>
                <w:lang w:eastAsia="zh-CN"/>
                <w14:textFill>
                  <w14:solidFill>
                    <w14:schemeClr w14:val="tx1"/>
                  </w14:solidFill>
                </w14:textFill>
              </w:rPr>
              <w:t>本项目</w:t>
            </w:r>
            <w:r>
              <w:rPr>
                <w:rFonts w:hint="default" w:ascii="Times New Roman" w:hAnsi="Times New Roman" w:cs="Times New Roman"/>
                <w:color w:val="000000" w:themeColor="text1"/>
                <w:kern w:val="0"/>
                <w:sz w:val="24"/>
                <w:highlight w:val="none"/>
                <w14:textFill>
                  <w14:solidFill>
                    <w14:schemeClr w14:val="tx1"/>
                  </w14:solidFill>
                </w14:textFill>
              </w:rPr>
              <w:t>变压器下的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挡油设施</w:t>
            </w:r>
            <w:r>
              <w:rPr>
                <w:rFonts w:hint="default" w:ascii="Times New Roman" w:hAnsi="Times New Roman" w:cs="Times New Roman"/>
                <w:color w:val="000000" w:themeColor="text1"/>
                <w:kern w:val="0"/>
                <w:sz w:val="24"/>
                <w:highlight w:val="none"/>
                <w14:textFill>
                  <w14:solidFill>
                    <w14:schemeClr w14:val="tx1"/>
                  </w14:solidFill>
                </w14:textFill>
              </w:rPr>
              <w:t>及事故油池建设满足上述规范要求。</w:t>
            </w:r>
          </w:p>
          <w:p w14:paraId="0F5C8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事故油池满足《危险废物贮存污染控制标准》（GB 18597-2023）要求。</w:t>
            </w:r>
            <w:r>
              <w:rPr>
                <w:rFonts w:hint="default" w:ascii="Times New Roman" w:hAnsi="Times New Roman" w:cs="Times New Roman"/>
                <w:color w:val="000000" w:themeColor="text1"/>
                <w:sz w:val="24"/>
                <w:highlight w:val="none"/>
                <w14:textFill>
                  <w14:solidFill>
                    <w14:schemeClr w14:val="tx1"/>
                  </w14:solidFill>
                </w14:textFill>
              </w:rPr>
              <w:t>变压器发生事故</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产生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事故废油</w:t>
            </w:r>
            <w:r>
              <w:rPr>
                <w:rFonts w:hint="eastAsia" w:cs="Times New Roman"/>
                <w:color w:val="000000" w:themeColor="text1"/>
                <w:kern w:val="2"/>
                <w:sz w:val="24"/>
                <w:szCs w:val="24"/>
                <w:highlight w:val="none"/>
                <w:lang w:val="en-US" w:eastAsia="zh-CN" w:bidi="ar-SA"/>
                <w14:textFill>
                  <w14:solidFill>
                    <w14:schemeClr w14:val="tx1"/>
                  </w14:solidFill>
                </w14:textFill>
              </w:rPr>
              <w:t>后</w:t>
            </w:r>
            <w:r>
              <w:rPr>
                <w:rFonts w:hint="default" w:ascii="Times New Roman" w:hAnsi="Times New Roman" w:cs="Times New Roman"/>
                <w:color w:val="000000" w:themeColor="text1"/>
                <w:sz w:val="24"/>
                <w:highlight w:val="none"/>
                <w14:textFill>
                  <w14:solidFill>
                    <w14:schemeClr w14:val="tx1"/>
                  </w14:solidFill>
                </w14:textFill>
              </w:rPr>
              <w:t>，将尽快交由有相关资质的单位进行回收处理</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变压器事故油池主要起临时收集贮存作用</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不在</w:t>
            </w:r>
            <w:r>
              <w:rPr>
                <w:rFonts w:hint="eastAsia"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cs="Times New Roman"/>
                <w:color w:val="000000" w:themeColor="text1"/>
                <w:sz w:val="24"/>
                <w:highlight w:val="none"/>
                <w14:textFill>
                  <w14:solidFill>
                    <w14:schemeClr w14:val="tx1"/>
                  </w14:solidFill>
                </w14:textFill>
              </w:rPr>
              <w:t>站内长时间储存。</w:t>
            </w:r>
            <w:r>
              <w:rPr>
                <w:rFonts w:hint="default" w:ascii="Times New Roman" w:hAnsi="Times New Roman" w:eastAsia="宋体" w:cs="Times New Roman"/>
                <w:color w:val="000000" w:themeColor="text1"/>
                <w:sz w:val="24"/>
                <w:highlight w:val="none"/>
                <w14:textFill>
                  <w14:solidFill>
                    <w14:schemeClr w14:val="tx1"/>
                  </w14:solidFill>
                </w14:textFill>
              </w:rPr>
              <w:t>通过采取相应污染防治措施后，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升压</w:t>
            </w:r>
            <w:r>
              <w:rPr>
                <w:rFonts w:hint="default" w:ascii="Times New Roman" w:hAnsi="Times New Roman" w:eastAsia="宋体" w:cs="Times New Roman"/>
                <w:color w:val="000000" w:themeColor="text1"/>
                <w:sz w:val="24"/>
                <w:highlight w:val="none"/>
                <w14:textFill>
                  <w14:solidFill>
                    <w14:schemeClr w14:val="tx1"/>
                  </w14:solidFill>
                </w14:textFill>
              </w:rPr>
              <w:t>站的事故排油对环境无不良影响。</w:t>
            </w:r>
          </w:p>
          <w:p w14:paraId="788172AD">
            <w:pPr>
              <w:pStyle w:val="14"/>
              <w:keepNext w:val="0"/>
              <w:keepLines w:val="0"/>
              <w:numPr>
                <w:ilvl w:val="0"/>
                <w:numId w:val="0"/>
              </w:numPr>
              <w:suppressLineNumbers w:val="0"/>
              <w:adjustRightInd w:val="0"/>
              <w:snapToGrid w:val="0"/>
              <w:spacing w:before="0" w:beforeAutospacing="0" w:after="0" w:afterAutospacing="0" w:line="360" w:lineRule="auto"/>
              <w:ind w:left="0" w:right="0" w:rightChars="0"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废旧电池</w:t>
            </w:r>
          </w:p>
          <w:p w14:paraId="0367768C">
            <w:pPr>
              <w:pStyle w:val="1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兆瓦能源110kV光伏升压站配备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104块SAA2-200（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00A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14:textFill>
                  <w14:solidFill>
                    <w14:schemeClr w14:val="tx1"/>
                  </w14:solidFill>
                </w14:textFill>
              </w:rPr>
              <w:t>/2V</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）密封式铅蓄电池以及</w:t>
            </w:r>
            <w:r>
              <w:rPr>
                <w:rFonts w:hint="default" w:ascii="Times New Roman" w:hAnsi="Times New Roman" w:eastAsia="宋体" w:cs="Times New Roman"/>
                <w:color w:val="000000" w:themeColor="text1"/>
                <w:sz w:val="24"/>
                <w:highlight w:val="none"/>
                <w14:textFill>
                  <w14:solidFill>
                    <w14:schemeClr w14:val="tx1"/>
                  </w14:solidFill>
                </w14:textFill>
              </w:rPr>
              <w:t>24只100A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14:textFill>
                  <w14:solidFill>
                    <w14:schemeClr w14:val="tx1"/>
                  </w14:solidFill>
                </w14:textFill>
              </w:rPr>
              <w:t>/2V铅蓄电池</w:t>
            </w:r>
            <w:r>
              <w:rPr>
                <w:rFonts w:hint="default" w:ascii="Times New Roman" w:hAnsi="Times New Roman" w:eastAsia="宋体" w:cs="Times New Roman"/>
                <w:color w:val="000000" w:themeColor="text1"/>
                <w:sz w:val="24"/>
                <w:szCs w:val="24"/>
                <w:highlight w:val="none"/>
                <w14:textFill>
                  <w14:solidFill>
                    <w14:schemeClr w14:val="tx1"/>
                  </w14:solidFill>
                </w14:textFill>
              </w:rPr>
              <w:t>，设计使用寿命10年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废旧铅蓄电池每10年产生量约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1468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w:t>
            </w:r>
            <w:r>
              <w:rPr>
                <w:rFonts w:hint="default" w:ascii="Times New Roman" w:hAnsi="Times New Roman" w:eastAsia="宋体" w:cs="Times New Roman"/>
                <w:color w:val="000000" w:themeColor="text1"/>
                <w:sz w:val="24"/>
                <w:szCs w:val="24"/>
                <w:highlight w:val="none"/>
                <w14:textFill>
                  <w14:solidFill>
                    <w14:schemeClr w14:val="tx1"/>
                  </w14:solidFill>
                </w14:textFill>
              </w:rPr>
              <w:t>。根据《国家危险废物名录（202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highlight w:val="none"/>
                <w14:textFill>
                  <w14:solidFill>
                    <w14:schemeClr w14:val="tx1"/>
                  </w14:solidFill>
                </w14:textFill>
              </w:rPr>
              <w:t>铅蓄电池</w:t>
            </w:r>
            <w:r>
              <w:rPr>
                <w:rFonts w:hint="default" w:ascii="Times New Roman" w:hAnsi="Times New Roman" w:eastAsia="宋体" w:cs="Times New Roman"/>
                <w:color w:val="000000" w:themeColor="text1"/>
                <w:sz w:val="24"/>
                <w:szCs w:val="24"/>
                <w:highlight w:val="none"/>
                <w14:textFill>
                  <w14:solidFill>
                    <w14:schemeClr w14:val="tx1"/>
                  </w14:solidFill>
                </w14:textFill>
              </w:rPr>
              <w:t>属于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HW31含铅废物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，废物代码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900-052-31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szCs w:val="24"/>
                <w:highlight w:val="none"/>
                <w14:textFill>
                  <w14:solidFill>
                    <w14:schemeClr w14:val="tx1"/>
                  </w14:solidFill>
                </w14:textFill>
              </w:rPr>
              <w:t>站用废旧铅蓄电池</w:t>
            </w:r>
            <w:r>
              <w:rPr>
                <w:rFonts w:hint="eastAsia" w:ascii="Times New Roman" w:hAnsi="Times New Roman" w:eastAsia="宋体" w:cs="Times New Roman"/>
                <w:strike w:val="0"/>
                <w:dstrike w:val="0"/>
                <w:color w:val="000000" w:themeColor="text1"/>
                <w:sz w:val="24"/>
                <w:szCs w:val="24"/>
                <w:highlight w:val="none"/>
                <w:lang w:val="en-US" w:eastAsia="zh-CN"/>
                <w14:textFill>
                  <w14:solidFill>
                    <w14:schemeClr w14:val="tx1"/>
                  </w14:solidFill>
                </w14:textFill>
              </w:rPr>
              <w:t>依托主体工程现有危废暂存间</w:t>
            </w:r>
            <w:r>
              <w:rPr>
                <w:rFonts w:hint="default" w:ascii="Times New Roman" w:hAnsi="Times New Roman" w:eastAsia="宋体" w:cs="Times New Roman"/>
                <w:color w:val="000000" w:themeColor="text1"/>
                <w:sz w:val="24"/>
                <w:szCs w:val="24"/>
                <w:highlight w:val="none"/>
                <w14:textFill>
                  <w14:solidFill>
                    <w14:schemeClr w14:val="tx1"/>
                  </w14:solidFill>
                </w14:textFill>
              </w:rPr>
              <w:t>暂存</w:t>
            </w:r>
            <w:r>
              <w:rPr>
                <w:rFonts w:hint="default" w:ascii="Times New Roman" w:hAnsi="Times New Roman" w:eastAsia="宋体" w:cs="Times New Roman"/>
                <w:strike w:val="0"/>
                <w:dstrike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szCs w:val="24"/>
                <w:highlight w:val="none"/>
                <w14:textFill>
                  <w14:solidFill>
                    <w14:schemeClr w14:val="tx1"/>
                  </w14:solidFill>
                </w14:textFill>
              </w:rPr>
              <w:t>及时委托有资质单位运走处置，由专业人员操作，搬运时轻装轻卸，防止</w:t>
            </w:r>
            <w:r>
              <w:rPr>
                <w:rFonts w:hint="default" w:ascii="Times New Roman" w:hAnsi="Times New Roman" w:eastAsia="宋体" w:cs="Times New Roman"/>
                <w:color w:val="000000" w:themeColor="text1"/>
                <w:sz w:val="24"/>
                <w:szCs w:val="24"/>
                <w:highlight w:val="none"/>
                <w14:textFill>
                  <w14:solidFill>
                    <w14:schemeClr w14:val="tx1"/>
                  </w14:solidFill>
                </w14:textFill>
              </w:rPr>
              <w:t>附件破损，防止有毒有害物质泄漏。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如有破损，及时放入耐腐蚀的应急箱中，及时运至有资质的单位处理，运输过程中采取必要的防风、防雨、防渗漏、防遗撒措施。</w:t>
            </w:r>
          </w:p>
          <w:p w14:paraId="5A5F195F">
            <w:pPr>
              <w:keepNext w:val="0"/>
              <w:keepLines w:val="0"/>
              <w:widowControl/>
              <w:suppressLineNumbers w:val="0"/>
              <w:spacing w:before="0" w:beforeAutospacing="0" w:after="0" w:afterAutospacing="0"/>
              <w:ind w:left="0" w:leftChars="0" w:right="0" w:firstLine="480" w:firstLineChars="200"/>
              <w:jc w:val="left"/>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lang w:val="en-US" w:eastAsia="zh-CN"/>
              </w:rPr>
              <w:t>主体工程现有</w:t>
            </w:r>
            <w:r>
              <w:rPr>
                <w:rFonts w:hint="eastAsia" w:cs="Times New Roman"/>
                <w:lang w:eastAsia="zh-CN"/>
              </w:rPr>
              <w:t>危废暂存间</w:t>
            </w:r>
            <w:r>
              <w:rPr>
                <w:rFonts w:hint="eastAsia" w:cs="Times New Roman"/>
                <w:lang w:val="en-US" w:eastAsia="zh-CN"/>
              </w:rPr>
              <w:t>已建成，</w:t>
            </w:r>
            <w:r>
              <w:rPr>
                <w:rFonts w:hint="eastAsia" w:eastAsia="宋体"/>
                <w:lang w:val="en-US" w:eastAsia="zh-CN"/>
              </w:rPr>
              <w:t>符合</w:t>
            </w:r>
            <w:r>
              <w:rPr>
                <w:rFonts w:hint="eastAsia" w:ascii="宋体" w:hAnsi="宋体" w:eastAsia="宋体" w:cs="宋体"/>
                <w:i w:val="0"/>
                <w:strike w:val="0"/>
                <w:color w:val="000000"/>
                <w:sz w:val="24"/>
                <w:szCs w:val="24"/>
                <w:highlight w:val="none"/>
                <w:u w:val="none"/>
              </w:rPr>
              <w:t>《危险废物贮存污染控制标准》(</w:t>
            </w:r>
            <w:r>
              <w:rPr>
                <w:rFonts w:hint="default" w:ascii="Times New Roman" w:hAnsi="Times New Roman" w:eastAsia="宋体" w:cs="Times New Roman"/>
                <w:i w:val="0"/>
                <w:strike w:val="0"/>
                <w:color w:val="000000"/>
                <w:sz w:val="24"/>
                <w:szCs w:val="24"/>
                <w:highlight w:val="none"/>
                <w:u w:val="none"/>
              </w:rPr>
              <w:t>GB</w:t>
            </w:r>
            <w:r>
              <w:rPr>
                <w:rFonts w:hint="default" w:ascii="Times New Roman" w:hAnsi="Times New Roman" w:eastAsia="宋体" w:cs="Times New Roman"/>
                <w:i w:val="0"/>
                <w:strike w:val="0"/>
                <w:color w:val="000000"/>
                <w:sz w:val="24"/>
                <w:szCs w:val="24"/>
                <w:highlight w:val="none"/>
                <w:u w:val="none"/>
                <w:lang w:val="en-US" w:eastAsia="zh-CN"/>
              </w:rPr>
              <w:t xml:space="preserve"> </w:t>
            </w:r>
            <w:r>
              <w:rPr>
                <w:rFonts w:hint="default" w:ascii="Times New Roman" w:hAnsi="Times New Roman" w:eastAsia="宋体" w:cs="Times New Roman"/>
                <w:i w:val="0"/>
                <w:strike w:val="0"/>
                <w:color w:val="000000"/>
                <w:sz w:val="24"/>
                <w:szCs w:val="24"/>
                <w:highlight w:val="none"/>
                <w:u w:val="none"/>
              </w:rPr>
              <w:t>18597</w:t>
            </w:r>
            <w:r>
              <w:rPr>
                <w:rFonts w:hint="eastAsia" w:ascii="Times New Roman" w:hAnsi="Times New Roman" w:eastAsia="宋体" w:cs="Times New Roman"/>
                <w:i w:val="0"/>
                <w:strike w:val="0"/>
                <w:color w:val="000000"/>
                <w:sz w:val="24"/>
                <w:szCs w:val="24"/>
                <w:highlight w:val="none"/>
                <w:u w:val="none"/>
                <w:lang w:val="en-US" w:eastAsia="zh-CN"/>
              </w:rPr>
              <w:t xml:space="preserve"> </w:t>
            </w:r>
            <w:r>
              <w:rPr>
                <w:rFonts w:hint="default" w:ascii="Times New Roman" w:hAnsi="Times New Roman" w:eastAsia="宋体" w:cs="Times New Roman"/>
                <w:i w:val="0"/>
                <w:strike w:val="0"/>
                <w:color w:val="000000"/>
                <w:sz w:val="24"/>
                <w:szCs w:val="24"/>
                <w:highlight w:val="none"/>
                <w:u w:val="none"/>
              </w:rPr>
              <w:t>-2023</w:t>
            </w:r>
            <w:r>
              <w:rPr>
                <w:rFonts w:hint="eastAsia" w:ascii="Times New Roman" w:hAnsi="Times New Roman" w:eastAsia="宋体" w:cs="Times New Roman"/>
                <w:i w:val="0"/>
                <w:strike w:val="0"/>
                <w:color w:val="000000"/>
                <w:sz w:val="24"/>
                <w:szCs w:val="24"/>
                <w:highlight w:val="none"/>
                <w:u w:val="none"/>
              </w:rPr>
              <w:t>)</w:t>
            </w:r>
            <w:r>
              <w:rPr>
                <w:rFonts w:hint="default" w:ascii="Times New Roman" w:hAnsi="Times New Roman" w:eastAsia="宋体" w:cs="Times New Roman"/>
                <w:sz w:val="24"/>
              </w:rPr>
              <w:t>要求</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并采取防风、防雨、防漏等措施，暂存能力满足</w:t>
            </w:r>
            <w:r>
              <w:rPr>
                <w:rFonts w:hint="eastAsia" w:ascii="Times New Roman" w:hAnsi="Times New Roman" w:cs="Times New Roman"/>
                <w:kern w:val="2"/>
                <w:sz w:val="24"/>
              </w:rPr>
              <w:t>本项目</w:t>
            </w:r>
            <w:r>
              <w:rPr>
                <w:rFonts w:hint="eastAsia" w:ascii="Times New Roman" w:hAnsi="Times New Roman" w:cs="Times New Roman"/>
                <w:kern w:val="2"/>
                <w:sz w:val="24"/>
                <w:lang w:val="en-US" w:eastAsia="zh-CN"/>
              </w:rPr>
              <w:t>需求</w:t>
            </w:r>
            <w:r>
              <w:rPr>
                <w:rFonts w:hint="eastAsia" w:ascii="Times New Roman" w:hAnsi="Times New Roman" w:eastAsia="宋体" w:cs="Times New Roman"/>
                <w:sz w:val="24"/>
                <w:lang w:eastAsia="zh-CN"/>
              </w:rPr>
              <w:t>。</w:t>
            </w:r>
          </w:p>
          <w:p w14:paraId="5BBC41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sz w:val="24"/>
                <w:highlight w:val="none"/>
                <w:lang w:val="en-US" w:eastAsia="zh-CN"/>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管理要求</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spacing w:val="1"/>
                <w:sz w:val="24"/>
              </w:rPr>
              <w:t>①建设单位应当建立危险废物台账，如实记载危险废</w:t>
            </w:r>
            <w:r>
              <w:rPr>
                <w:rFonts w:hint="default" w:ascii="Times New Roman" w:hAnsi="Times New Roman" w:cs="Times New Roman"/>
                <w:sz w:val="24"/>
              </w:rPr>
              <w:t>物的名称、</w:t>
            </w:r>
            <w:r>
              <w:rPr>
                <w:rFonts w:hint="default" w:ascii="Times New Roman" w:hAnsi="Times New Roman" w:cs="Times New Roman"/>
                <w:spacing w:val="1"/>
                <w:sz w:val="24"/>
              </w:rPr>
              <w:t>类别、产生的时间、数量以及去向等情况，并永久保存。②建设单位应当</w:t>
            </w:r>
            <w:r>
              <w:rPr>
                <w:rFonts w:hint="default" w:ascii="Times New Roman" w:hAnsi="Times New Roman" w:cs="Times New Roman"/>
                <w:sz w:val="24"/>
              </w:rPr>
              <w:t>与有资</w:t>
            </w:r>
            <w:r>
              <w:rPr>
                <w:rFonts w:hint="default" w:ascii="Times New Roman" w:hAnsi="Times New Roman" w:cs="Times New Roman"/>
                <w:spacing w:val="1"/>
                <w:sz w:val="24"/>
              </w:rPr>
              <w:t>质的危险废物处置单位签订危险废物处置合同，明确约定危险废物处置数</w:t>
            </w:r>
            <w:r>
              <w:rPr>
                <w:rFonts w:hint="default" w:ascii="Times New Roman" w:hAnsi="Times New Roman" w:cs="Times New Roman"/>
                <w:sz w:val="24"/>
              </w:rPr>
              <w:t>量、收</w:t>
            </w:r>
            <w:r>
              <w:rPr>
                <w:rFonts w:hint="default" w:ascii="Times New Roman" w:hAnsi="Times New Roman" w:cs="Times New Roman"/>
                <w:spacing w:val="-1"/>
                <w:sz w:val="24"/>
              </w:rPr>
              <w:t>集、运输、费用及安全责任等事项。</w:t>
            </w:r>
          </w:p>
          <w:p w14:paraId="344926C7">
            <w:pPr>
              <w:pStyle w:val="135"/>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3"/>
              <w:textAlignment w:val="auto"/>
              <w:rPr>
                <w:rFonts w:hint="default" w:ascii="Times New Roman" w:hAnsi="Times New Roman" w:eastAsia="宋体" w:cs="Times New Roman"/>
                <w:spacing w:val="-1"/>
                <w:kern w:val="2"/>
                <w:sz w:val="24"/>
                <w:szCs w:val="24"/>
                <w:lang w:val="en-US" w:eastAsia="zh-CN" w:bidi="ar-SA"/>
              </w:rPr>
            </w:pPr>
            <w:r>
              <w:rPr>
                <w:rFonts w:hint="default" w:ascii="Times New Roman" w:hAnsi="Times New Roman" w:eastAsia="宋体" w:cs="Times New Roman"/>
                <w:spacing w:val="-1"/>
                <w:kern w:val="2"/>
                <w:sz w:val="24"/>
                <w:szCs w:val="24"/>
                <w:lang w:val="en-US" w:eastAsia="zh-CN" w:bidi="ar-SA"/>
              </w:rPr>
              <w:t>危废转移要求：①建设单位在转移危险废物前，须按照国家有关规定报批危险废物转移计划；经批准后，应当向所在地生态环境主管部门申请领取联单，并在转移前三日内报告所在地生态环境主管部门，并同时将预期到达时间报告生态环境主管部门；②建设单位每转移一车危险废物，应当填写一份联单；③建设单位须如实填写联单中产生单位栏目，并加盖公章，经交付危险废物运输单位核实验收签字后，将联单第一联副联自留存档，将联单第二联交移给生态环境主管部门，联单第一联正联及其余各联交付运输单位随危险废物转移运行。</w:t>
            </w:r>
          </w:p>
          <w:p w14:paraId="21B7D390">
            <w:pPr>
              <w:keepNext w:val="0"/>
              <w:keepLines w:val="0"/>
              <w:suppressLineNumbers w:val="0"/>
              <w:adjustRightInd w:val="0"/>
              <w:snapToGrid w:val="0"/>
              <w:spacing w:before="0" w:beforeAutospacing="0" w:after="0" w:afterAutospacing="0" w:line="360" w:lineRule="auto"/>
              <w:ind w:left="0" w:leftChars="0" w:right="0" w:firstLine="484" w:firstLineChars="200"/>
              <w:rPr>
                <w:rFonts w:hint="eastAsia" w:ascii="Times New Roman" w:hAnsi="Times New Roman" w:eastAsia="宋体" w:cs="Times New Roman"/>
                <w:b/>
                <w:bCs/>
                <w:sz w:val="24"/>
                <w:highlight w:val="none"/>
                <w:lang w:val="en-US" w:eastAsia="zh-CN"/>
              </w:rPr>
            </w:pPr>
            <w:r>
              <w:rPr>
                <w:rFonts w:hint="default"/>
                <w:spacing w:val="1"/>
              </w:rPr>
              <w:t>运输要求：①废铅酸蓄电池公路运输车辆应按</w:t>
            </w:r>
            <w:r>
              <w:rPr>
                <w:rFonts w:hint="default" w:ascii="Times New Roman" w:hAnsi="Times New Roman" w:eastAsia="Times New Roman" w:cs="Times New Roman"/>
              </w:rPr>
              <w:t>GB</w:t>
            </w:r>
            <w:r>
              <w:rPr>
                <w:rFonts w:hint="default" w:ascii="Times New Roman" w:hAnsi="Times New Roman" w:eastAsia="Times New Roman" w:cs="Times New Roman"/>
                <w:spacing w:val="1"/>
              </w:rPr>
              <w:t>13392</w:t>
            </w:r>
            <w:r>
              <w:rPr>
                <w:rFonts w:hint="default"/>
                <w:spacing w:val="1"/>
              </w:rPr>
              <w:t>的规定悬挂相应标</w:t>
            </w:r>
            <w:r>
              <w:rPr>
                <w:rFonts w:hint="default"/>
                <w:spacing w:val="-5"/>
              </w:rPr>
              <w:t>志。</w:t>
            </w:r>
            <w:r>
              <w:rPr>
                <w:rFonts w:hint="default"/>
                <w:spacing w:val="1"/>
              </w:rPr>
              <w:t>②运输单位应具有危险货物运输资质和对危险废物包装发生破裂、泄漏或其他事故进行处理的能力。③运输车辆在公路上行驶应持有通行证。其上应</w:t>
            </w:r>
            <w:r>
              <w:rPr>
                <w:rFonts w:hint="eastAsia"/>
                <w:spacing w:val="1"/>
                <w:lang w:val="en-US" w:eastAsia="zh-CN"/>
              </w:rPr>
              <w:t>注明</w:t>
            </w:r>
            <w:r>
              <w:rPr>
                <w:rFonts w:hint="default"/>
                <w:spacing w:val="1"/>
              </w:rPr>
              <w:t>废物的来源、性质、运往地点，必要时须有单位人员负责押运工作。④废铅酸蓄电池运输单位应制定详细的运输方案及路线，并制定事故应急方案，配备事故应急及个人防护设备，以保证在收集、运输过程中发生事故时能有效地减少对环境的污染。⑤废铅酸蓄电池运输时应采取有效的包装措施，以防止电池中有害成分的泄漏污染，不得继续将废铅酸蓄电池破碎、粉碎，以防止电池中有害成分的泄漏污染。⑥废铅酸蓄电池运输车辆驾驶员和押运人员等必须</w:t>
            </w:r>
            <w:r>
              <w:rPr>
                <w:rFonts w:hint="default"/>
              </w:rPr>
              <w:t>经过危险废物和应急救援方面的培训，包括防火、防泄</w:t>
            </w:r>
            <w:r>
              <w:rPr>
                <w:rFonts w:hint="default"/>
                <w:spacing w:val="-1"/>
              </w:rPr>
              <w:t>漏以及应急联络等。</w:t>
            </w:r>
          </w:p>
          <w:p w14:paraId="5F8CCF21">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宋体"/>
                <w:b/>
                <w:bCs/>
                <w:sz w:val="24"/>
                <w:highlight w:val="none"/>
              </w:rPr>
            </w:pPr>
            <w:r>
              <w:rPr>
                <w:rFonts w:hint="eastAsia" w:ascii="Times New Roman" w:hAnsi="Times New Roman" w:eastAsia="宋体" w:cs="宋体"/>
                <w:b/>
                <w:bCs/>
                <w:sz w:val="24"/>
                <w:highlight w:val="none"/>
                <w:lang w:val="en-US" w:eastAsia="zh-CN"/>
              </w:rPr>
              <w:t>5.</w:t>
            </w:r>
            <w:r>
              <w:rPr>
                <w:rFonts w:hint="eastAsia" w:cs="宋体"/>
                <w:b/>
                <w:bCs/>
                <w:sz w:val="24"/>
                <w:highlight w:val="none"/>
                <w:lang w:val="en-US" w:eastAsia="zh-CN"/>
              </w:rPr>
              <w:t>2.4</w:t>
            </w:r>
            <w:r>
              <w:rPr>
                <w:rFonts w:hint="eastAsia" w:ascii="Times New Roman" w:hAnsi="Times New Roman" w:eastAsia="宋体" w:cs="宋体"/>
                <w:b/>
                <w:bCs/>
                <w:sz w:val="24"/>
                <w:highlight w:val="none"/>
              </w:rPr>
              <w:t>生态环境保护措施</w:t>
            </w:r>
          </w:p>
          <w:p w14:paraId="488B4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z w:val="24"/>
                <w:szCs w:val="24"/>
                <w:lang w:eastAsia="zh-CN"/>
              </w:rPr>
            </w:pPr>
            <w:r>
              <w:rPr>
                <w:rFonts w:hint="eastAsia" w:cs="宋体"/>
                <w:sz w:val="24"/>
                <w:szCs w:val="24"/>
                <w:lang w:val="en-US" w:eastAsia="zh-CN"/>
              </w:rPr>
              <w:t>（1）</w:t>
            </w:r>
            <w:r>
              <w:rPr>
                <w:rFonts w:hint="default" w:ascii="Times New Roman" w:hAnsi="Times New Roman" w:eastAsia="宋体" w:cs="宋体"/>
                <w:sz w:val="24"/>
                <w:szCs w:val="24"/>
              </w:rPr>
              <w:t>强化对设备检修维护人员的生态保护意识教育，加强管理，禁止滥采滥伐和捕猎野生动物，避免因此导致的沿线自然植被破坏和野生动物的影响</w:t>
            </w:r>
            <w:r>
              <w:rPr>
                <w:rFonts w:hint="eastAsia" w:ascii="Times New Roman" w:hAnsi="Times New Roman" w:eastAsia="宋体" w:cs="宋体"/>
                <w:sz w:val="24"/>
                <w:szCs w:val="24"/>
                <w:lang w:eastAsia="zh-CN"/>
              </w:rPr>
              <w:t>。</w:t>
            </w:r>
          </w:p>
          <w:p w14:paraId="11968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宋体"/>
                <w:spacing w:val="9"/>
                <w:sz w:val="24"/>
                <w:lang w:eastAsia="zh-CN"/>
              </w:rPr>
            </w:pPr>
            <w:r>
              <w:rPr>
                <w:rFonts w:hint="eastAsia" w:cs="宋体"/>
                <w:sz w:val="24"/>
                <w:szCs w:val="24"/>
                <w:lang w:val="en-US" w:eastAsia="zh-CN"/>
              </w:rPr>
              <w:t>（2）</w:t>
            </w:r>
            <w:r>
              <w:rPr>
                <w:rFonts w:hint="default" w:ascii="Times New Roman" w:hAnsi="Times New Roman" w:eastAsia="宋体" w:cs="宋体"/>
                <w:spacing w:val="11"/>
                <w:sz w:val="24"/>
              </w:rPr>
              <w:t>运行期做好环境保护设施的维护和运行管理，进行巡检和维护时</w:t>
            </w:r>
            <w:r>
              <w:rPr>
                <w:rFonts w:hint="default" w:ascii="Times New Roman" w:hAnsi="Times New Roman" w:eastAsia="宋体" w:cs="宋体"/>
                <w:spacing w:val="10"/>
                <w:sz w:val="24"/>
              </w:rPr>
              <w:t>，避免过多人员和车</w:t>
            </w:r>
            <w:r>
              <w:rPr>
                <w:rFonts w:hint="default" w:ascii="Times New Roman" w:hAnsi="Times New Roman" w:eastAsia="宋体" w:cs="宋体"/>
                <w:spacing w:val="9"/>
                <w:sz w:val="24"/>
              </w:rPr>
              <w:t>辆进入，以减少对当地地表土壤结构和植被的破坏</w:t>
            </w:r>
            <w:r>
              <w:rPr>
                <w:rFonts w:hint="eastAsia" w:ascii="Times New Roman" w:hAnsi="Times New Roman" w:eastAsia="宋体" w:cs="宋体"/>
                <w:spacing w:val="9"/>
                <w:sz w:val="24"/>
                <w:lang w:eastAsia="zh-CN"/>
              </w:rPr>
              <w:t>。</w:t>
            </w:r>
          </w:p>
          <w:p w14:paraId="4AA248A2">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b/>
                <w:bCs/>
                <w:spacing w:val="-3"/>
              </w:rPr>
            </w:pPr>
            <w:r>
              <w:rPr>
                <w:rFonts w:hint="eastAsia" w:ascii="Times New Roman" w:hAnsi="Times New Roman" w:eastAsia="宋体" w:cs="宋体"/>
                <w:b/>
                <w:bCs/>
                <w:sz w:val="24"/>
                <w:highlight w:val="none"/>
                <w:lang w:val="en-US" w:eastAsia="zh-CN"/>
              </w:rPr>
              <w:t>5.</w:t>
            </w:r>
            <w:r>
              <w:rPr>
                <w:rFonts w:hint="eastAsia" w:cs="宋体"/>
                <w:b/>
                <w:bCs/>
                <w:sz w:val="24"/>
                <w:highlight w:val="none"/>
                <w:lang w:val="en-US" w:eastAsia="zh-CN"/>
              </w:rPr>
              <w:t>2.5</w:t>
            </w:r>
            <w:r>
              <w:rPr>
                <w:rFonts w:hint="default"/>
                <w:b/>
                <w:bCs/>
                <w:spacing w:val="-3"/>
              </w:rPr>
              <w:t>环境风险防范措施</w:t>
            </w:r>
          </w:p>
          <w:p w14:paraId="064ED2D7">
            <w:pPr>
              <w:pStyle w:val="135"/>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eastAsia="宋体" w:cs="宋体"/>
                <w:spacing w:val="11"/>
                <w:kern w:val="2"/>
                <w:sz w:val="24"/>
                <w:szCs w:val="24"/>
                <w:lang w:val="en-US" w:eastAsia="zh-CN" w:bidi="ar-SA"/>
              </w:rPr>
            </w:pPr>
            <w:r>
              <w:rPr>
                <w:rFonts w:hint="eastAsia" w:ascii="Times New Roman" w:hAnsi="Times New Roman" w:cs="宋体"/>
                <w:spacing w:val="11"/>
                <w:kern w:val="2"/>
                <w:sz w:val="24"/>
                <w:szCs w:val="24"/>
                <w:lang w:val="en-US" w:eastAsia="zh-CN" w:bidi="ar-SA"/>
              </w:rPr>
              <w:t>（1）</w:t>
            </w:r>
            <w:r>
              <w:rPr>
                <w:rFonts w:hint="default" w:ascii="Times New Roman" w:hAnsi="Times New Roman" w:eastAsia="宋体" w:cs="宋体"/>
                <w:spacing w:val="11"/>
                <w:kern w:val="2"/>
                <w:sz w:val="24"/>
                <w:szCs w:val="24"/>
                <w:lang w:val="en-US" w:eastAsia="zh-CN" w:bidi="ar-SA"/>
              </w:rPr>
              <w:t>要求运维人员加强对事故油池及其排导系统进行定期巡查和维护，做好运行期间的管理工作；定期对事故油池的完好情况进行检查，确保无渗漏、无溢流。</w:t>
            </w:r>
          </w:p>
          <w:p w14:paraId="2A299E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eastAsia" w:ascii="Times New Roman" w:hAnsi="Times New Roman" w:eastAsia="宋体" w:cs="宋体"/>
                <w:spacing w:val="11"/>
                <w:kern w:val="2"/>
                <w:sz w:val="24"/>
                <w:szCs w:val="24"/>
                <w:lang w:val="en-US" w:eastAsia="zh-CN" w:bidi="ar-SA"/>
              </w:rPr>
            </w:pPr>
            <w:r>
              <w:rPr>
                <w:rFonts w:hint="eastAsia" w:cs="宋体"/>
                <w:spacing w:val="11"/>
                <w:kern w:val="2"/>
                <w:sz w:val="24"/>
                <w:szCs w:val="24"/>
                <w:lang w:val="en-US" w:eastAsia="zh-CN" w:bidi="ar-SA"/>
              </w:rPr>
              <w:t>（2）</w:t>
            </w:r>
            <w:r>
              <w:rPr>
                <w:rFonts w:hint="default" w:ascii="Times New Roman" w:hAnsi="Times New Roman" w:eastAsia="宋体" w:cs="宋体"/>
                <w:spacing w:val="11"/>
                <w:kern w:val="2"/>
                <w:sz w:val="24"/>
                <w:szCs w:val="24"/>
                <w:lang w:val="en-US" w:eastAsia="zh-CN" w:bidi="ar-SA"/>
              </w:rPr>
              <w:t>主变压器事故或检修过程中可能产生的变压器油经事故集油池收集后</w:t>
            </w:r>
            <w:r>
              <w:rPr>
                <w:rFonts w:hint="eastAsia" w:cs="宋体"/>
                <w:spacing w:val="11"/>
                <w:kern w:val="2"/>
                <w:sz w:val="24"/>
                <w:szCs w:val="24"/>
                <w:lang w:val="en-US" w:eastAsia="zh-CN" w:bidi="ar-SA"/>
              </w:rPr>
              <w:t>尽快</w:t>
            </w:r>
            <w:r>
              <w:rPr>
                <w:rFonts w:hint="default" w:ascii="Times New Roman" w:hAnsi="Times New Roman" w:eastAsia="宋体" w:cs="宋体"/>
                <w:spacing w:val="11"/>
                <w:kern w:val="2"/>
                <w:sz w:val="24"/>
                <w:szCs w:val="24"/>
                <w:lang w:val="en-US" w:eastAsia="zh-CN" w:bidi="ar-SA"/>
              </w:rPr>
              <w:t>交由有资质的单位进行处置</w:t>
            </w:r>
            <w:r>
              <w:rPr>
                <w:rFonts w:hint="eastAsia" w:cs="宋体"/>
                <w:spacing w:val="11"/>
                <w:kern w:val="2"/>
                <w:sz w:val="24"/>
                <w:szCs w:val="24"/>
                <w:lang w:val="en-US" w:eastAsia="zh-CN" w:bidi="ar-SA"/>
              </w:rPr>
              <w:t>。</w:t>
            </w:r>
            <w:r>
              <w:rPr>
                <w:rFonts w:hint="default" w:ascii="Times New Roman" w:hAnsi="Times New Roman" w:eastAsia="宋体" w:cs="宋体"/>
                <w:spacing w:val="11"/>
                <w:kern w:val="2"/>
                <w:sz w:val="24"/>
                <w:szCs w:val="24"/>
                <w:lang w:val="en-US" w:eastAsia="zh-CN" w:bidi="ar-SA"/>
              </w:rPr>
              <w:t>同时</w:t>
            </w:r>
            <w:r>
              <w:rPr>
                <w:rFonts w:hint="eastAsia" w:cs="宋体"/>
                <w:spacing w:val="11"/>
                <w:kern w:val="2"/>
                <w:sz w:val="24"/>
                <w:szCs w:val="24"/>
                <w:lang w:val="en-US" w:eastAsia="zh-CN" w:bidi="ar-SA"/>
              </w:rPr>
              <w:t>建设</w:t>
            </w:r>
            <w:r>
              <w:rPr>
                <w:rFonts w:hint="default" w:ascii="Times New Roman" w:hAnsi="Times New Roman" w:eastAsia="宋体" w:cs="宋体"/>
                <w:spacing w:val="11"/>
                <w:kern w:val="2"/>
                <w:sz w:val="24"/>
                <w:szCs w:val="24"/>
                <w:lang w:val="en-US" w:eastAsia="zh-CN" w:bidi="ar-SA"/>
              </w:rPr>
              <w:t>单位要按照《危险废物转移管理办法》，实施危险废物转移联单制度并按照规定制作标志标识。</w:t>
            </w:r>
          </w:p>
          <w:p w14:paraId="79D994A0">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lang w:val="en-US" w:eastAsia="zh-CN"/>
              </w:rPr>
            </w:pPr>
            <w:r>
              <w:rPr>
                <w:rFonts w:hint="eastAsia" w:ascii="Times New Roman" w:hAnsi="Times New Roman" w:eastAsia="宋体" w:cs="宋体"/>
                <w:b/>
                <w:bCs/>
                <w:sz w:val="24"/>
                <w:highlight w:val="none"/>
                <w:lang w:val="en-US" w:eastAsia="zh-CN"/>
              </w:rPr>
              <w:t>5.</w:t>
            </w:r>
            <w:r>
              <w:rPr>
                <w:rFonts w:hint="eastAsia" w:cs="宋体"/>
                <w:b/>
                <w:bCs/>
                <w:sz w:val="24"/>
                <w:highlight w:val="none"/>
                <w:lang w:val="en-US" w:eastAsia="zh-CN"/>
              </w:rPr>
              <w:t>2.6</w:t>
            </w:r>
            <w:r>
              <w:rPr>
                <w:rFonts w:hint="eastAsia" w:ascii="宋体" w:hAnsi="宋体" w:cs="宋体"/>
                <w:b/>
                <w:sz w:val="24"/>
                <w:highlight w:val="none"/>
                <w:lang w:val="en-US" w:eastAsia="zh-CN"/>
              </w:rPr>
              <w:t>运营期</w:t>
            </w:r>
            <w:r>
              <w:rPr>
                <w:rFonts w:hint="eastAsia" w:ascii="宋体" w:hAnsi="宋体" w:cs="宋体"/>
                <w:b/>
                <w:bCs/>
                <w:sz w:val="24"/>
                <w:highlight w:val="none"/>
              </w:rPr>
              <w:t>环境保护措施及</w:t>
            </w:r>
            <w:r>
              <w:rPr>
                <w:rFonts w:hint="eastAsia" w:ascii="宋体" w:hAnsi="宋体" w:cs="宋体"/>
                <w:b/>
                <w:bCs/>
                <w:sz w:val="24"/>
                <w:highlight w:val="none"/>
                <w:lang w:val="en-US" w:eastAsia="zh-CN"/>
              </w:rPr>
              <w:t>预期</w:t>
            </w:r>
            <w:r>
              <w:rPr>
                <w:rFonts w:hint="eastAsia" w:ascii="宋体" w:hAnsi="宋体" w:cs="宋体"/>
                <w:b/>
                <w:bCs/>
                <w:sz w:val="24"/>
                <w:highlight w:val="none"/>
              </w:rPr>
              <w:t>效果</w:t>
            </w:r>
          </w:p>
          <w:p w14:paraId="49D1E3FD">
            <w:pPr>
              <w:pStyle w:val="163"/>
              <w:keepNext w:val="0"/>
              <w:keepLines w:val="0"/>
              <w:suppressLineNumbers w:val="0"/>
              <w:bidi w:val="0"/>
              <w:spacing w:before="0" w:beforeAutospacing="0" w:after="0" w:afterAutospacing="0"/>
              <w:ind w:right="0"/>
              <w:rPr>
                <w:rFonts w:hint="default"/>
                <w:lang w:val="en-US" w:eastAsia="zh-CN"/>
              </w:rPr>
            </w:pPr>
            <w:r>
              <w:rPr>
                <w:rFonts w:hint="eastAsia"/>
                <w:lang w:val="en-US" w:eastAsia="zh-CN"/>
              </w:rPr>
              <w:t>本项目运营期主要生态环境保护措施及预期效果</w:t>
            </w:r>
            <w:r>
              <w:rPr>
                <w:rFonts w:hint="eastAsia"/>
                <w:highlight w:val="none"/>
                <w:lang w:val="en-US" w:eastAsia="zh-CN"/>
              </w:rPr>
              <w:t>见下表。</w:t>
            </w:r>
          </w:p>
          <w:p w14:paraId="36D042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spacing w:val="9"/>
                <w:sz w:val="24"/>
                <w:lang w:val="en-US" w:eastAsia="zh-CN"/>
              </w:rPr>
            </w:pPr>
            <w:r>
              <w:rPr>
                <w:rFonts w:hint="default" w:ascii="Times New Roman" w:hAnsi="Times New Roman" w:eastAsia="宋体" w:cs="Times New Roman"/>
                <w:b/>
                <w:bCs/>
                <w:spacing w:val="-4"/>
                <w:kern w:val="2"/>
                <w:sz w:val="24"/>
                <w:szCs w:val="24"/>
                <w:shd w:val="clear" w:color="auto" w:fill="auto"/>
                <w:lang w:val="en-US" w:eastAsia="zh-CN" w:bidi="ar-SA"/>
              </w:rPr>
              <w:t>表</w:t>
            </w:r>
            <w:r>
              <w:rPr>
                <w:rFonts w:hint="eastAsia" w:ascii="Times New Roman" w:hAnsi="Times New Roman" w:cs="Times New Roman"/>
                <w:b/>
                <w:bCs/>
                <w:spacing w:val="-4"/>
                <w:kern w:val="2"/>
                <w:sz w:val="24"/>
                <w:szCs w:val="24"/>
                <w:shd w:val="clear" w:color="auto" w:fill="auto"/>
                <w:lang w:val="en-US" w:eastAsia="zh-CN" w:bidi="ar-SA"/>
              </w:rPr>
              <w:t xml:space="preserve">5-2 </w:t>
            </w:r>
            <w:r>
              <w:rPr>
                <w:rFonts w:hint="eastAsia" w:hAnsi="宋体" w:eastAsia="宋体"/>
                <w:b/>
                <w:bCs/>
                <w:color w:val="000000"/>
                <w:spacing w:val="0"/>
                <w:kern w:val="2"/>
                <w:sz w:val="24"/>
                <w:szCs w:val="24"/>
                <w:highlight w:val="none"/>
                <w:lang w:val="en-US" w:eastAsia="zh-CN" w:bidi="ar-SA"/>
              </w:rPr>
              <w:t>运营期环境保护措施及预期效果一览表</w:t>
            </w:r>
          </w:p>
        </w:tc>
      </w:tr>
      <w:tr w14:paraId="65802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5CDD6A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序号</w:t>
            </w:r>
          </w:p>
        </w:tc>
        <w:tc>
          <w:tcPr>
            <w:tcW w:w="3015" w:type="dxa"/>
            <w:gridSpan w:val="4"/>
            <w:noWrap w:val="0"/>
            <w:tcMar>
              <w:left w:w="28" w:type="dxa"/>
              <w:right w:w="28" w:type="dxa"/>
            </w:tcMar>
            <w:vAlign w:val="center"/>
          </w:tcPr>
          <w:p w14:paraId="43A03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cs="Times New Roman"/>
                <w:b w:val="0"/>
                <w:bCs/>
                <w:kern w:val="0"/>
                <w:sz w:val="21"/>
                <w:szCs w:val="21"/>
                <w:lang w:val="en-US" w:eastAsia="zh-CN"/>
              </w:rPr>
              <w:t>环境</w:t>
            </w:r>
            <w:r>
              <w:rPr>
                <w:rFonts w:hint="eastAsia" w:ascii="Times New Roman" w:hAnsi="Times New Roman" w:eastAsia="宋体" w:cs="Times New Roman"/>
                <w:b w:val="0"/>
                <w:bCs/>
                <w:kern w:val="0"/>
                <w:sz w:val="21"/>
                <w:szCs w:val="21"/>
              </w:rPr>
              <w:t>保护措施要求</w:t>
            </w:r>
          </w:p>
        </w:tc>
        <w:tc>
          <w:tcPr>
            <w:tcW w:w="645" w:type="dxa"/>
            <w:noWrap w:val="0"/>
            <w:tcMar>
              <w:left w:w="28" w:type="dxa"/>
              <w:right w:w="28" w:type="dxa"/>
            </w:tcMar>
            <w:vAlign w:val="center"/>
          </w:tcPr>
          <w:p w14:paraId="1FDF53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kern w:val="0"/>
                <w:sz w:val="21"/>
                <w:szCs w:val="21"/>
              </w:rPr>
            </w:pPr>
            <w:r>
              <w:rPr>
                <w:rFonts w:hint="eastAsia" w:ascii="Times New Roman" w:hAnsi="Times New Roman" w:eastAsia="宋体" w:cs="Times New Roman"/>
                <w:b w:val="0"/>
                <w:bCs/>
                <w:kern w:val="0"/>
                <w:sz w:val="21"/>
                <w:szCs w:val="21"/>
              </w:rPr>
              <w:t>实施</w:t>
            </w:r>
          </w:p>
          <w:p w14:paraId="14EE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部位</w:t>
            </w:r>
          </w:p>
        </w:tc>
        <w:tc>
          <w:tcPr>
            <w:tcW w:w="810" w:type="dxa"/>
            <w:noWrap w:val="0"/>
            <w:tcMar>
              <w:left w:w="28" w:type="dxa"/>
              <w:right w:w="28" w:type="dxa"/>
            </w:tcMar>
            <w:vAlign w:val="center"/>
          </w:tcPr>
          <w:p w14:paraId="1EF2F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kern w:val="0"/>
                <w:sz w:val="21"/>
                <w:szCs w:val="21"/>
              </w:rPr>
            </w:pPr>
            <w:r>
              <w:rPr>
                <w:rFonts w:hint="eastAsia" w:ascii="Times New Roman" w:hAnsi="Times New Roman" w:eastAsia="宋体" w:cs="Times New Roman"/>
                <w:b w:val="0"/>
                <w:bCs/>
                <w:kern w:val="0"/>
                <w:sz w:val="21"/>
                <w:szCs w:val="21"/>
              </w:rPr>
              <w:t>实施</w:t>
            </w:r>
          </w:p>
          <w:p w14:paraId="21C132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时间</w:t>
            </w:r>
          </w:p>
        </w:tc>
        <w:tc>
          <w:tcPr>
            <w:tcW w:w="630" w:type="dxa"/>
            <w:noWrap w:val="0"/>
            <w:tcMar>
              <w:left w:w="28" w:type="dxa"/>
              <w:right w:w="28" w:type="dxa"/>
            </w:tcMar>
            <w:vAlign w:val="center"/>
          </w:tcPr>
          <w:p w14:paraId="6B220C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kern w:val="0"/>
                <w:sz w:val="21"/>
                <w:szCs w:val="21"/>
              </w:rPr>
            </w:pPr>
            <w:r>
              <w:rPr>
                <w:rFonts w:hint="eastAsia" w:ascii="Times New Roman" w:hAnsi="Times New Roman" w:eastAsia="宋体" w:cs="Times New Roman"/>
                <w:b w:val="0"/>
                <w:bCs/>
                <w:kern w:val="0"/>
                <w:sz w:val="21"/>
                <w:szCs w:val="21"/>
              </w:rPr>
              <w:t>责任</w:t>
            </w:r>
          </w:p>
          <w:p w14:paraId="6C69E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主体</w:t>
            </w:r>
          </w:p>
        </w:tc>
        <w:tc>
          <w:tcPr>
            <w:tcW w:w="1410" w:type="dxa"/>
            <w:gridSpan w:val="2"/>
            <w:noWrap w:val="0"/>
            <w:tcMar>
              <w:left w:w="28" w:type="dxa"/>
              <w:right w:w="28" w:type="dxa"/>
            </w:tcMar>
            <w:vAlign w:val="center"/>
          </w:tcPr>
          <w:p w14:paraId="620F06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实施保障</w:t>
            </w:r>
          </w:p>
        </w:tc>
        <w:tc>
          <w:tcPr>
            <w:tcW w:w="1977" w:type="dxa"/>
            <w:gridSpan w:val="2"/>
            <w:noWrap w:val="0"/>
            <w:tcMar>
              <w:left w:w="28" w:type="dxa"/>
              <w:right w:w="28" w:type="dxa"/>
            </w:tcMar>
            <w:vAlign w:val="center"/>
          </w:tcPr>
          <w:p w14:paraId="193142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实施效果</w:t>
            </w:r>
          </w:p>
        </w:tc>
      </w:tr>
      <w:tr w14:paraId="1CAC3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35EB4E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pacing w:val="-4"/>
                <w:kern w:val="2"/>
                <w:sz w:val="21"/>
                <w:szCs w:val="21"/>
                <w:shd w:val="clear" w:color="auto" w:fill="auto"/>
                <w:lang w:val="en-US" w:eastAsia="zh-CN" w:bidi="ar-SA"/>
              </w:rPr>
              <w:t>1</w:t>
            </w:r>
          </w:p>
        </w:tc>
        <w:tc>
          <w:tcPr>
            <w:tcW w:w="3015" w:type="dxa"/>
            <w:gridSpan w:val="4"/>
            <w:noWrap w:val="0"/>
            <w:tcMar>
              <w:left w:w="28" w:type="dxa"/>
              <w:right w:w="28" w:type="dxa"/>
            </w:tcMar>
            <w:vAlign w:val="center"/>
          </w:tcPr>
          <w:p w14:paraId="1446B6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z w:val="21"/>
                <w:szCs w:val="21"/>
              </w:rPr>
              <w:t>利用已有道路作为巡检道路。</w:t>
            </w:r>
          </w:p>
        </w:tc>
        <w:tc>
          <w:tcPr>
            <w:tcW w:w="645" w:type="dxa"/>
            <w:vMerge w:val="restart"/>
            <w:noWrap w:val="0"/>
            <w:tcMar>
              <w:left w:w="28" w:type="dxa"/>
              <w:right w:w="28" w:type="dxa"/>
            </w:tcMar>
            <w:vAlign w:val="center"/>
          </w:tcPr>
          <w:p w14:paraId="6ECE3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建设项目生产运营场所、区域</w:t>
            </w:r>
          </w:p>
        </w:tc>
        <w:tc>
          <w:tcPr>
            <w:tcW w:w="810" w:type="dxa"/>
            <w:vMerge w:val="restart"/>
            <w:noWrap w:val="0"/>
            <w:tcMar>
              <w:left w:w="28" w:type="dxa"/>
              <w:right w:w="28" w:type="dxa"/>
            </w:tcMar>
            <w:vAlign w:val="center"/>
          </w:tcPr>
          <w:p w14:paraId="19E591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运营期</w:t>
            </w:r>
          </w:p>
        </w:tc>
        <w:tc>
          <w:tcPr>
            <w:tcW w:w="630" w:type="dxa"/>
            <w:vMerge w:val="restart"/>
            <w:noWrap w:val="0"/>
            <w:tcMar>
              <w:left w:w="28" w:type="dxa"/>
              <w:right w:w="28" w:type="dxa"/>
            </w:tcMar>
            <w:vAlign w:val="center"/>
          </w:tcPr>
          <w:p w14:paraId="59B4EE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kern w:val="0"/>
                <w:sz w:val="21"/>
                <w:szCs w:val="21"/>
              </w:rPr>
            </w:pPr>
            <w:r>
              <w:rPr>
                <w:rFonts w:hint="eastAsia" w:ascii="Times New Roman" w:hAnsi="Times New Roman" w:eastAsia="宋体" w:cs="Times New Roman"/>
                <w:b w:val="0"/>
                <w:bCs/>
                <w:kern w:val="0"/>
                <w:sz w:val="21"/>
                <w:szCs w:val="21"/>
              </w:rPr>
              <w:t>建设</w:t>
            </w:r>
          </w:p>
          <w:p w14:paraId="46D1D5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单位</w:t>
            </w:r>
          </w:p>
        </w:tc>
        <w:tc>
          <w:tcPr>
            <w:tcW w:w="1410" w:type="dxa"/>
            <w:gridSpan w:val="2"/>
            <w:vMerge w:val="restart"/>
            <w:noWrap w:val="0"/>
            <w:tcMar>
              <w:left w:w="28" w:type="dxa"/>
              <w:right w:w="28" w:type="dxa"/>
            </w:tcMar>
            <w:vAlign w:val="center"/>
          </w:tcPr>
          <w:p w14:paraId="19481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0"/>
                <w:sz w:val="21"/>
                <w:szCs w:val="21"/>
              </w:rPr>
              <w:t>①建立环境管理机构，配备专职或兼职环保管理人员；②制定相关方环境管理条例、质量管理规定；③开展经常性检查、监督，发现问题及时解决、纠正。</w:t>
            </w:r>
          </w:p>
        </w:tc>
        <w:tc>
          <w:tcPr>
            <w:tcW w:w="1977" w:type="dxa"/>
            <w:gridSpan w:val="2"/>
            <w:noWrap w:val="0"/>
            <w:tcMar>
              <w:left w:w="28" w:type="dxa"/>
              <w:right w:w="28" w:type="dxa"/>
            </w:tcMar>
            <w:vAlign w:val="center"/>
          </w:tcPr>
          <w:p w14:paraId="0079D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z w:val="21"/>
                <w:szCs w:val="21"/>
              </w:rPr>
              <w:t>对</w:t>
            </w:r>
            <w:r>
              <w:rPr>
                <w:rFonts w:hint="eastAsia" w:cs="Times New Roman"/>
                <w:b w:val="0"/>
                <w:bCs/>
                <w:sz w:val="21"/>
                <w:szCs w:val="21"/>
                <w:lang w:val="en-US" w:eastAsia="zh-CN"/>
              </w:rPr>
              <w:t>项目周边</w:t>
            </w:r>
            <w:r>
              <w:rPr>
                <w:rFonts w:hint="eastAsia" w:ascii="Times New Roman" w:hAnsi="Times New Roman" w:eastAsia="宋体" w:cs="Times New Roman"/>
                <w:b w:val="0"/>
                <w:bCs/>
                <w:sz w:val="21"/>
                <w:szCs w:val="21"/>
              </w:rPr>
              <w:t>生态环境无明显影响</w:t>
            </w:r>
            <w:r>
              <w:rPr>
                <w:rFonts w:hint="eastAsia" w:ascii="Times New Roman" w:hAnsi="Times New Roman" w:eastAsia="宋体" w:cs="Times New Roman"/>
                <w:b w:val="0"/>
                <w:bCs/>
                <w:sz w:val="21"/>
                <w:szCs w:val="21"/>
                <w:lang w:eastAsia="zh-CN"/>
              </w:rPr>
              <w:t>。</w:t>
            </w:r>
          </w:p>
        </w:tc>
      </w:tr>
      <w:tr w14:paraId="00820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7C43EF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pacing w:val="-4"/>
                <w:kern w:val="2"/>
                <w:sz w:val="21"/>
                <w:szCs w:val="21"/>
                <w:shd w:val="clear" w:color="auto" w:fill="auto"/>
                <w:lang w:val="en-US" w:eastAsia="zh-CN" w:bidi="ar-SA"/>
              </w:rPr>
              <w:t>2</w:t>
            </w:r>
          </w:p>
        </w:tc>
        <w:tc>
          <w:tcPr>
            <w:tcW w:w="3015" w:type="dxa"/>
            <w:gridSpan w:val="4"/>
            <w:noWrap w:val="0"/>
            <w:tcMar>
              <w:left w:w="28" w:type="dxa"/>
              <w:right w:w="28" w:type="dxa"/>
            </w:tcMar>
            <w:vAlign w:val="center"/>
          </w:tcPr>
          <w:p w14:paraId="51F81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rPr>
              <w:t>制定安全操作规程，加强职工安全教育，加强电磁水平监测；</w:t>
            </w:r>
          </w:p>
          <w:p w14:paraId="04CF83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color w:val="000000"/>
                <w:sz w:val="21"/>
                <w:szCs w:val="21"/>
                <w:highlight w:val="none"/>
              </w:rPr>
              <w:t>对员工进行电磁辐射基础知识培训，在巡检带电维修过程中，尽可能减少暴露在电磁场中的时间；设立电磁防护安全警示标志，禁止无关人员靠近带电架构</w:t>
            </w:r>
            <w:r>
              <w:rPr>
                <w:rFonts w:hint="eastAsia" w:ascii="Times New Roman" w:hAnsi="Times New Roman" w:eastAsia="宋体" w:cs="Times New Roman"/>
                <w:b w:val="0"/>
                <w:bCs/>
                <w:color w:val="000000"/>
                <w:sz w:val="21"/>
                <w:szCs w:val="21"/>
                <w:highlight w:val="none"/>
                <w:lang w:val="en-US" w:eastAsia="zh-CN"/>
              </w:rPr>
              <w:t>等。</w:t>
            </w:r>
          </w:p>
        </w:tc>
        <w:tc>
          <w:tcPr>
            <w:tcW w:w="645" w:type="dxa"/>
            <w:vMerge w:val="continue"/>
            <w:noWrap w:val="0"/>
            <w:tcMar>
              <w:left w:w="28" w:type="dxa"/>
              <w:right w:w="28" w:type="dxa"/>
            </w:tcMar>
            <w:vAlign w:val="center"/>
          </w:tcPr>
          <w:p w14:paraId="22411C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70BDD6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471B2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4E94BD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noWrap w:val="0"/>
            <w:tcMar>
              <w:left w:w="28" w:type="dxa"/>
              <w:right w:w="28" w:type="dxa"/>
            </w:tcMar>
            <w:vAlign w:val="center"/>
          </w:tcPr>
          <w:p w14:paraId="672F2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color w:val="000000"/>
                <w:sz w:val="21"/>
                <w:szCs w:val="21"/>
                <w:highlight w:val="none"/>
              </w:rPr>
            </w:pPr>
            <w:r>
              <w:rPr>
                <w:rFonts w:hint="eastAsia" w:cs="Times New Roman"/>
                <w:b w:val="0"/>
                <w:bCs/>
                <w:color w:val="000000"/>
                <w:sz w:val="21"/>
                <w:szCs w:val="21"/>
                <w:highlight w:val="none"/>
                <w:lang w:val="en-US" w:eastAsia="zh-CN"/>
              </w:rPr>
              <w:t>项目</w:t>
            </w:r>
            <w:r>
              <w:rPr>
                <w:rFonts w:hint="eastAsia" w:ascii="Times New Roman" w:hAnsi="Times New Roman" w:eastAsia="宋体" w:cs="Times New Roman"/>
                <w:b w:val="0"/>
                <w:bCs/>
                <w:color w:val="000000"/>
                <w:sz w:val="21"/>
                <w:szCs w:val="21"/>
                <w:highlight w:val="none"/>
                <w:lang w:val="en-US" w:eastAsia="zh-CN"/>
              </w:rPr>
              <w:t>运行时产生的电磁满足</w:t>
            </w:r>
            <w:r>
              <w:rPr>
                <w:rFonts w:hint="eastAsia" w:ascii="Times New Roman" w:hAnsi="Times New Roman" w:eastAsia="宋体" w:cs="Times New Roman"/>
                <w:b w:val="0"/>
                <w:bCs/>
                <w:color w:val="000000"/>
                <w:sz w:val="21"/>
                <w:szCs w:val="21"/>
                <w:highlight w:val="none"/>
              </w:rPr>
              <w:t>《电磁环境控制限值》</w:t>
            </w:r>
          </w:p>
          <w:p w14:paraId="46E35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color w:val="000000"/>
                <w:sz w:val="21"/>
                <w:szCs w:val="21"/>
                <w:highlight w:val="none"/>
              </w:rPr>
              <w:t>(GB</w:t>
            </w:r>
            <w:r>
              <w:rPr>
                <w:rFonts w:hint="eastAsia" w:ascii="Times New Roman" w:hAnsi="Times New Roman" w:eastAsia="宋体" w:cs="Times New Roman"/>
                <w:b w:val="0"/>
                <w:bCs/>
                <w:color w:val="000000"/>
                <w:sz w:val="21"/>
                <w:szCs w:val="21"/>
                <w:highlight w:val="none"/>
                <w:lang w:val="en-US" w:eastAsia="zh-CN"/>
              </w:rPr>
              <w:t xml:space="preserve"> </w:t>
            </w:r>
            <w:r>
              <w:rPr>
                <w:rFonts w:hint="eastAsia" w:ascii="Times New Roman" w:hAnsi="Times New Roman" w:eastAsia="宋体" w:cs="Times New Roman"/>
                <w:b w:val="0"/>
                <w:bCs/>
                <w:color w:val="000000"/>
                <w:sz w:val="21"/>
                <w:szCs w:val="21"/>
                <w:highlight w:val="none"/>
              </w:rPr>
              <w:t>8702-2014)</w:t>
            </w:r>
            <w:r>
              <w:rPr>
                <w:rFonts w:hint="eastAsia" w:ascii="Times New Roman" w:hAnsi="Times New Roman" w:eastAsia="宋体" w:cs="Times New Roman"/>
                <w:b w:val="0"/>
                <w:bCs/>
                <w:color w:val="000000"/>
                <w:sz w:val="21"/>
                <w:szCs w:val="21"/>
                <w:highlight w:val="none"/>
                <w:lang w:val="en-US" w:eastAsia="zh-CN"/>
              </w:rPr>
              <w:t>要求。</w:t>
            </w:r>
          </w:p>
        </w:tc>
      </w:tr>
      <w:tr w14:paraId="46680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0CB340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pacing w:val="-4"/>
                <w:kern w:val="2"/>
                <w:sz w:val="21"/>
                <w:szCs w:val="21"/>
                <w:shd w:val="clear" w:color="auto" w:fill="auto"/>
                <w:lang w:val="en-US" w:eastAsia="zh-CN" w:bidi="ar-SA"/>
              </w:rPr>
              <w:t>3</w:t>
            </w:r>
          </w:p>
        </w:tc>
        <w:tc>
          <w:tcPr>
            <w:tcW w:w="3015" w:type="dxa"/>
            <w:gridSpan w:val="4"/>
            <w:noWrap w:val="0"/>
            <w:tcMar>
              <w:left w:w="28" w:type="dxa"/>
              <w:right w:w="28" w:type="dxa"/>
            </w:tcMar>
            <w:vAlign w:val="center"/>
          </w:tcPr>
          <w:p w14:paraId="152CA8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color w:val="000000"/>
                <w:sz w:val="21"/>
                <w:szCs w:val="21"/>
                <w:highlight w:val="none"/>
              </w:rPr>
              <w:t>优化导线特性</w:t>
            </w:r>
            <w:r>
              <w:rPr>
                <w:rFonts w:hint="eastAsia" w:ascii="Times New Roman" w:hAnsi="Times New Roman" w:eastAsia="宋体" w:cs="Times New Roman"/>
                <w:b w:val="0"/>
                <w:bCs/>
                <w:color w:val="000000"/>
                <w:sz w:val="21"/>
                <w:szCs w:val="21"/>
                <w:highlight w:val="none"/>
                <w:lang w:eastAsia="zh-CN"/>
              </w:rPr>
              <w:t>，</w:t>
            </w:r>
            <w:r>
              <w:rPr>
                <w:rFonts w:hint="eastAsia" w:ascii="Times New Roman" w:hAnsi="Times New Roman" w:eastAsia="宋体" w:cs="Times New Roman"/>
                <w:b w:val="0"/>
                <w:bCs/>
                <w:color w:val="000000"/>
                <w:kern w:val="0"/>
                <w:sz w:val="21"/>
                <w:szCs w:val="21"/>
                <w:highlight w:val="none"/>
              </w:rPr>
              <w:t>加强运行管理，保证噪声影响符合国家要求</w:t>
            </w:r>
            <w:r>
              <w:rPr>
                <w:rFonts w:hint="eastAsia" w:ascii="Times New Roman" w:hAnsi="Times New Roman" w:eastAsia="宋体" w:cs="Times New Roman"/>
                <w:b w:val="0"/>
                <w:bCs/>
                <w:color w:val="000000"/>
                <w:kern w:val="0"/>
                <w:sz w:val="21"/>
                <w:szCs w:val="21"/>
                <w:highlight w:val="none"/>
                <w:lang w:eastAsia="zh-CN"/>
              </w:rPr>
              <w:t>。</w:t>
            </w:r>
          </w:p>
        </w:tc>
        <w:tc>
          <w:tcPr>
            <w:tcW w:w="645" w:type="dxa"/>
            <w:vMerge w:val="continue"/>
            <w:noWrap w:val="0"/>
            <w:tcMar>
              <w:left w:w="28" w:type="dxa"/>
              <w:right w:w="28" w:type="dxa"/>
            </w:tcMar>
            <w:vAlign w:val="center"/>
          </w:tcPr>
          <w:p w14:paraId="55B5B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540CAC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0F5330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19D6EF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noWrap w:val="0"/>
            <w:tcMar>
              <w:left w:w="28" w:type="dxa"/>
              <w:right w:w="28" w:type="dxa"/>
            </w:tcMar>
            <w:vAlign w:val="center"/>
          </w:tcPr>
          <w:p w14:paraId="55D17A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color w:val="000000"/>
                <w:sz w:val="21"/>
                <w:szCs w:val="21"/>
                <w:highlight w:val="none"/>
              </w:rPr>
              <w:t>线路运行时</w:t>
            </w:r>
            <w:r>
              <w:rPr>
                <w:rFonts w:hint="eastAsia" w:ascii="Times New Roman" w:hAnsi="Times New Roman" w:eastAsia="宋体" w:cs="Times New Roman"/>
                <w:b w:val="0"/>
                <w:bCs/>
                <w:color w:val="000000"/>
                <w:sz w:val="21"/>
                <w:szCs w:val="21"/>
                <w:highlight w:val="none"/>
                <w:lang w:val="en-US" w:eastAsia="zh-CN"/>
              </w:rPr>
              <w:t>沿线</w:t>
            </w:r>
            <w:r>
              <w:rPr>
                <w:rFonts w:hint="eastAsia" w:ascii="Times New Roman" w:hAnsi="Times New Roman" w:eastAsia="宋体" w:cs="Times New Roman"/>
                <w:b w:val="0"/>
                <w:bCs/>
                <w:color w:val="000000"/>
                <w:sz w:val="21"/>
                <w:szCs w:val="21"/>
                <w:highlight w:val="none"/>
              </w:rPr>
              <w:t>声环境符合《声环境质量标准》(GB</w:t>
            </w:r>
            <w:r>
              <w:rPr>
                <w:rFonts w:hint="eastAsia" w:cs="Times New Roman"/>
                <w:b w:val="0"/>
                <w:bCs/>
                <w:color w:val="000000"/>
                <w:sz w:val="21"/>
                <w:szCs w:val="21"/>
                <w:highlight w:val="none"/>
                <w:lang w:val="en-US" w:eastAsia="zh-CN"/>
              </w:rPr>
              <w:t xml:space="preserve"> </w:t>
            </w:r>
            <w:r>
              <w:rPr>
                <w:rFonts w:hint="eastAsia" w:ascii="Times New Roman" w:hAnsi="Times New Roman" w:eastAsia="宋体" w:cs="Times New Roman"/>
                <w:b w:val="0"/>
                <w:bCs/>
                <w:color w:val="000000"/>
                <w:sz w:val="21"/>
                <w:szCs w:val="21"/>
                <w:highlight w:val="none"/>
              </w:rPr>
              <w:t>3096-2008)中的2类标准</w:t>
            </w:r>
            <w:r>
              <w:rPr>
                <w:rFonts w:hint="eastAsia" w:ascii="Times New Roman" w:hAnsi="Times New Roman" w:eastAsia="宋体" w:cs="Times New Roman"/>
                <w:b w:val="0"/>
                <w:bCs/>
                <w:color w:val="000000"/>
                <w:sz w:val="21"/>
                <w:szCs w:val="21"/>
                <w:highlight w:val="none"/>
                <w:lang w:eastAsia="zh-CN"/>
              </w:rPr>
              <w:t>。</w:t>
            </w:r>
          </w:p>
        </w:tc>
      </w:tr>
      <w:tr w14:paraId="6C08A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6E9ADB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cs="Times New Roman"/>
                <w:b w:val="0"/>
                <w:bCs/>
                <w:spacing w:val="-4"/>
                <w:kern w:val="2"/>
                <w:sz w:val="21"/>
                <w:szCs w:val="21"/>
                <w:shd w:val="clear" w:color="auto" w:fill="auto"/>
                <w:lang w:val="en-US" w:eastAsia="zh-CN" w:bidi="ar-SA"/>
              </w:rPr>
              <w:t>4</w:t>
            </w:r>
          </w:p>
        </w:tc>
        <w:tc>
          <w:tcPr>
            <w:tcW w:w="3015" w:type="dxa"/>
            <w:gridSpan w:val="4"/>
            <w:noWrap w:val="0"/>
            <w:tcMar>
              <w:left w:w="28" w:type="dxa"/>
              <w:right w:w="28" w:type="dxa"/>
            </w:tcMar>
            <w:vAlign w:val="center"/>
          </w:tcPr>
          <w:p w14:paraId="4F3DF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lang w:val="en-US" w:eastAsia="zh-CN"/>
              </w:rPr>
              <w:t>变压器基础进行减振处理</w:t>
            </w:r>
            <w:r>
              <w:rPr>
                <w:rFonts w:hint="eastAsia" w:ascii="Times New Roman" w:hAnsi="Times New Roman" w:eastAsia="宋体" w:cs="Times New Roman"/>
                <w:b w:val="0"/>
                <w:bCs/>
                <w:color w:val="000000"/>
                <w:sz w:val="21"/>
                <w:szCs w:val="21"/>
                <w:highlight w:val="none"/>
                <w:lang w:val="en-US" w:eastAsia="zh-CN"/>
              </w:rPr>
              <w:t>；</w:t>
            </w:r>
            <w:r>
              <w:rPr>
                <w:rFonts w:hint="default" w:ascii="Times New Roman" w:hAnsi="Times New Roman" w:eastAsia="宋体" w:cs="Times New Roman"/>
                <w:b w:val="0"/>
                <w:bCs/>
                <w:color w:val="000000"/>
                <w:sz w:val="21"/>
                <w:szCs w:val="21"/>
                <w:highlight w:val="none"/>
                <w:lang w:val="en-US" w:eastAsia="zh-CN"/>
              </w:rPr>
              <w:t>定期对站内电气设备进行检修，保证主变等运行良好</w:t>
            </w:r>
            <w:r>
              <w:rPr>
                <w:rFonts w:hint="eastAsia" w:ascii="Times New Roman" w:hAnsi="Times New Roman" w:eastAsia="宋体" w:cs="Times New Roman"/>
                <w:b w:val="0"/>
                <w:bCs/>
                <w:color w:val="000000"/>
                <w:sz w:val="21"/>
                <w:szCs w:val="21"/>
                <w:highlight w:val="none"/>
                <w:lang w:val="en-US" w:eastAsia="zh-CN"/>
              </w:rPr>
              <w:t>。</w:t>
            </w:r>
          </w:p>
        </w:tc>
        <w:tc>
          <w:tcPr>
            <w:tcW w:w="645" w:type="dxa"/>
            <w:vMerge w:val="continue"/>
            <w:noWrap w:val="0"/>
            <w:tcMar>
              <w:left w:w="28" w:type="dxa"/>
              <w:right w:w="28" w:type="dxa"/>
            </w:tcMar>
            <w:vAlign w:val="center"/>
          </w:tcPr>
          <w:p w14:paraId="6D4BC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4CE965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50B404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33815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noWrap w:val="0"/>
            <w:tcMar>
              <w:left w:w="28" w:type="dxa"/>
              <w:right w:w="28" w:type="dxa"/>
            </w:tcMar>
            <w:vAlign w:val="center"/>
          </w:tcPr>
          <w:p w14:paraId="77F9F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110kV</w:t>
            </w:r>
            <w:r>
              <w:rPr>
                <w:rFonts w:hint="eastAsia" w:ascii="Times New Roman" w:hAnsi="Times New Roman" w:eastAsia="宋体" w:cs="Times New Roman"/>
                <w:b w:val="0"/>
                <w:bCs/>
                <w:color w:val="000000"/>
                <w:sz w:val="21"/>
                <w:szCs w:val="21"/>
                <w:highlight w:val="none"/>
                <w:lang w:val="en-US" w:eastAsia="zh-CN"/>
              </w:rPr>
              <w:t>升压</w:t>
            </w:r>
            <w:r>
              <w:rPr>
                <w:rFonts w:hint="default" w:ascii="Times New Roman" w:hAnsi="Times New Roman" w:eastAsia="宋体" w:cs="Times New Roman"/>
                <w:b w:val="0"/>
                <w:bCs/>
                <w:color w:val="000000"/>
                <w:sz w:val="21"/>
                <w:szCs w:val="21"/>
                <w:highlight w:val="none"/>
              </w:rPr>
              <w:t>站站界</w:t>
            </w:r>
            <w:r>
              <w:rPr>
                <w:rFonts w:hint="eastAsia" w:ascii="Times New Roman" w:hAnsi="Times New Roman" w:eastAsia="宋体" w:cs="Times New Roman"/>
                <w:b w:val="0"/>
                <w:bCs/>
                <w:color w:val="000000"/>
                <w:sz w:val="21"/>
                <w:szCs w:val="21"/>
                <w:highlight w:val="none"/>
                <w:lang w:val="en-US" w:eastAsia="zh-CN"/>
              </w:rPr>
              <w:t>噪声</w:t>
            </w:r>
            <w:r>
              <w:rPr>
                <w:rFonts w:hint="eastAsia" w:ascii="Times New Roman" w:hAnsi="Times New Roman" w:eastAsia="宋体" w:cs="Times New Roman"/>
                <w:b w:val="0"/>
                <w:bCs/>
                <w:color w:val="000000"/>
                <w:sz w:val="21"/>
                <w:szCs w:val="21"/>
                <w:highlight w:val="none"/>
              </w:rPr>
              <w:t>符合</w:t>
            </w:r>
            <w:r>
              <w:rPr>
                <w:rFonts w:hint="default" w:ascii="Times New Roman" w:hAnsi="Times New Roman" w:eastAsia="宋体" w:cs="Times New Roman"/>
                <w:b w:val="0"/>
                <w:bCs/>
                <w:color w:val="000000"/>
                <w:sz w:val="21"/>
                <w:szCs w:val="21"/>
                <w:highlight w:val="none"/>
              </w:rPr>
              <w:t>《工业企业厂界环境噪声排放标准》（GB</w:t>
            </w:r>
            <w:r>
              <w:rPr>
                <w:rFonts w:hint="eastAsia" w:cs="Times New Roman"/>
                <w:b w:val="0"/>
                <w:bCs/>
                <w:color w:val="000000"/>
                <w:sz w:val="21"/>
                <w:szCs w:val="21"/>
                <w:highlight w:val="none"/>
                <w:lang w:val="en-US" w:eastAsia="zh-CN"/>
              </w:rPr>
              <w:t xml:space="preserve"> </w:t>
            </w:r>
            <w:r>
              <w:rPr>
                <w:rFonts w:hint="default" w:ascii="Times New Roman" w:hAnsi="Times New Roman" w:eastAsia="宋体" w:cs="Times New Roman"/>
                <w:b w:val="0"/>
                <w:bCs/>
                <w:color w:val="000000"/>
                <w:sz w:val="21"/>
                <w:szCs w:val="21"/>
                <w:highlight w:val="none"/>
              </w:rPr>
              <w:t>12348-2008）</w:t>
            </w:r>
            <w:r>
              <w:rPr>
                <w:rFonts w:hint="eastAsia" w:ascii="Times New Roman" w:hAnsi="Times New Roman" w:eastAsia="宋体" w:cs="Times New Roman"/>
                <w:b w:val="0"/>
                <w:bCs/>
                <w:color w:val="000000"/>
                <w:sz w:val="21"/>
                <w:szCs w:val="21"/>
                <w:highlight w:val="none"/>
                <w:lang w:val="en-US" w:eastAsia="zh-CN"/>
              </w:rPr>
              <w:t>2</w:t>
            </w:r>
            <w:r>
              <w:rPr>
                <w:rFonts w:hint="default" w:ascii="Times New Roman" w:hAnsi="Times New Roman" w:eastAsia="宋体" w:cs="Times New Roman"/>
                <w:b w:val="0"/>
                <w:bCs/>
                <w:color w:val="000000"/>
                <w:sz w:val="21"/>
                <w:szCs w:val="21"/>
                <w:highlight w:val="none"/>
              </w:rPr>
              <w:t>类标准</w:t>
            </w:r>
          </w:p>
        </w:tc>
      </w:tr>
      <w:tr w14:paraId="72BE4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76CC6C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cs="Times New Roman"/>
                <w:b w:val="0"/>
                <w:bCs/>
                <w:spacing w:val="-4"/>
                <w:kern w:val="2"/>
                <w:sz w:val="21"/>
                <w:szCs w:val="21"/>
                <w:shd w:val="clear" w:color="auto" w:fill="auto"/>
                <w:lang w:val="en-US" w:eastAsia="zh-CN" w:bidi="ar-SA"/>
              </w:rPr>
              <w:t>5</w:t>
            </w:r>
          </w:p>
        </w:tc>
        <w:tc>
          <w:tcPr>
            <w:tcW w:w="3015" w:type="dxa"/>
            <w:gridSpan w:val="4"/>
            <w:noWrap w:val="0"/>
            <w:tcMar>
              <w:left w:w="28" w:type="dxa"/>
              <w:right w:w="28" w:type="dxa"/>
            </w:tcMar>
            <w:vAlign w:val="center"/>
          </w:tcPr>
          <w:p w14:paraId="3B826A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kern w:val="2"/>
                <w:sz w:val="21"/>
                <w:szCs w:val="21"/>
                <w:lang w:val="en-US" w:eastAsia="zh-CN" w:bidi="ar-SA"/>
              </w:rPr>
              <w:t>工作人员</w:t>
            </w:r>
            <w:r>
              <w:rPr>
                <w:rFonts w:hint="default" w:ascii="Times New Roman" w:hAnsi="Times New Roman" w:eastAsia="宋体" w:cs="Times New Roman"/>
                <w:b w:val="0"/>
                <w:bCs/>
                <w:kern w:val="2"/>
                <w:sz w:val="21"/>
                <w:szCs w:val="21"/>
                <w:lang w:val="en-US" w:eastAsia="zh-CN" w:bidi="ar-SA"/>
              </w:rPr>
              <w:t>生活垃圾集中收集后，交由环卫部门处理</w:t>
            </w:r>
            <w:r>
              <w:rPr>
                <w:rFonts w:hint="eastAsia" w:ascii="Times New Roman" w:hAnsi="Times New Roman" w:eastAsia="宋体" w:cs="Times New Roman"/>
                <w:b w:val="0"/>
                <w:bCs/>
                <w:kern w:val="2"/>
                <w:sz w:val="21"/>
                <w:szCs w:val="21"/>
                <w:lang w:val="en-US" w:eastAsia="zh-CN" w:bidi="ar-SA"/>
              </w:rPr>
              <w:t>；检修废弃物交旧退库回收处理，由公司物资管理部门按公司制度统一处置。</w:t>
            </w:r>
          </w:p>
        </w:tc>
        <w:tc>
          <w:tcPr>
            <w:tcW w:w="645" w:type="dxa"/>
            <w:vMerge w:val="continue"/>
            <w:noWrap w:val="0"/>
            <w:tcMar>
              <w:left w:w="28" w:type="dxa"/>
              <w:right w:w="28" w:type="dxa"/>
            </w:tcMar>
            <w:vAlign w:val="center"/>
          </w:tcPr>
          <w:p w14:paraId="0C0607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39FA83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1E828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704352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vMerge w:val="restart"/>
            <w:noWrap w:val="0"/>
            <w:tcMar>
              <w:left w:w="28" w:type="dxa"/>
              <w:right w:w="28" w:type="dxa"/>
            </w:tcMar>
            <w:vAlign w:val="center"/>
          </w:tcPr>
          <w:p w14:paraId="76CFCE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z w:val="21"/>
                <w:szCs w:val="21"/>
              </w:rPr>
              <w:t>各类固体废弃物能够妥善处置。</w:t>
            </w:r>
          </w:p>
        </w:tc>
      </w:tr>
      <w:tr w14:paraId="6E85D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34F51F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cs="Times New Roman"/>
                <w:b w:val="0"/>
                <w:bCs/>
                <w:spacing w:val="-4"/>
                <w:kern w:val="2"/>
                <w:sz w:val="21"/>
                <w:szCs w:val="21"/>
                <w:shd w:val="clear" w:color="auto" w:fill="auto"/>
                <w:lang w:val="en-US" w:eastAsia="zh-CN" w:bidi="ar-SA"/>
              </w:rPr>
              <w:t>6</w:t>
            </w:r>
          </w:p>
        </w:tc>
        <w:tc>
          <w:tcPr>
            <w:tcW w:w="3015" w:type="dxa"/>
            <w:gridSpan w:val="4"/>
            <w:noWrap w:val="0"/>
            <w:tcMar>
              <w:left w:w="28" w:type="dxa"/>
              <w:right w:w="28" w:type="dxa"/>
            </w:tcMar>
            <w:vAlign w:val="center"/>
          </w:tcPr>
          <w:p w14:paraId="7DA1788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cs="Times New Roman"/>
                <w:b w:val="0"/>
                <w:bCs/>
                <w:sz w:val="21"/>
                <w:szCs w:val="21"/>
                <w:lang w:val="en-US" w:eastAsia="zh-CN"/>
              </w:rPr>
            </w:pPr>
            <w:r>
              <w:rPr>
                <w:rFonts w:hint="default" w:ascii="Times New Roman" w:hAnsi="Times New Roman" w:eastAsia="宋体" w:cs="Times New Roman"/>
                <w:b w:val="0"/>
                <w:bCs/>
                <w:kern w:val="2"/>
                <w:sz w:val="21"/>
                <w:szCs w:val="21"/>
                <w:lang w:val="en-US" w:eastAsia="zh-CN" w:bidi="ar-SA"/>
              </w:rPr>
              <w:t>事故</w:t>
            </w:r>
            <w:r>
              <w:rPr>
                <w:rFonts w:hint="eastAsia" w:ascii="Times New Roman" w:hAnsi="Times New Roman" w:eastAsia="宋体" w:cs="Times New Roman"/>
                <w:b w:val="0"/>
                <w:bCs/>
                <w:kern w:val="2"/>
                <w:sz w:val="21"/>
                <w:szCs w:val="21"/>
                <w:lang w:val="en-US" w:eastAsia="zh-CN" w:bidi="ar-SA"/>
              </w:rPr>
              <w:t>废</w:t>
            </w:r>
            <w:r>
              <w:rPr>
                <w:rFonts w:hint="default" w:ascii="Times New Roman" w:hAnsi="Times New Roman" w:eastAsia="宋体" w:cs="Times New Roman"/>
                <w:b w:val="0"/>
                <w:bCs/>
                <w:kern w:val="2"/>
                <w:sz w:val="21"/>
                <w:szCs w:val="21"/>
                <w:lang w:val="en-US" w:eastAsia="zh-CN" w:bidi="ar-SA"/>
              </w:rPr>
              <w:t>油临时收集贮存</w:t>
            </w:r>
            <w:r>
              <w:rPr>
                <w:rFonts w:hint="eastAsia" w:ascii="Times New Roman" w:hAnsi="Times New Roman" w:eastAsia="宋体" w:cs="Times New Roman"/>
                <w:b w:val="0"/>
                <w:bCs/>
                <w:kern w:val="2"/>
                <w:sz w:val="21"/>
                <w:szCs w:val="21"/>
                <w:lang w:val="en-US" w:eastAsia="zh-CN" w:bidi="ar-SA"/>
              </w:rPr>
              <w:t>于</w:t>
            </w:r>
            <w:r>
              <w:rPr>
                <w:rFonts w:hint="default" w:ascii="Times New Roman" w:hAnsi="Times New Roman" w:eastAsia="宋体" w:cs="Times New Roman"/>
                <w:b w:val="0"/>
                <w:bCs/>
                <w:kern w:val="2"/>
                <w:sz w:val="21"/>
                <w:szCs w:val="21"/>
                <w:lang w:val="en-US" w:eastAsia="zh-CN" w:bidi="ar-SA"/>
              </w:rPr>
              <w:t>事故油池，废油产生后将尽快交由有相关资质的单位进行回收处理</w:t>
            </w:r>
            <w:r>
              <w:rPr>
                <w:rFonts w:hint="eastAsia" w:ascii="Times New Roman" w:hAnsi="Times New Roman" w:eastAsia="宋体" w:cs="Times New Roman"/>
                <w:b w:val="0"/>
                <w:bCs/>
                <w:kern w:val="2"/>
                <w:sz w:val="21"/>
                <w:szCs w:val="21"/>
                <w:lang w:val="en-US" w:eastAsia="zh-CN" w:bidi="ar-SA"/>
              </w:rPr>
              <w:t>；废</w:t>
            </w:r>
            <w:r>
              <w:rPr>
                <w:rFonts w:hint="eastAsia" w:cs="Times New Roman"/>
                <w:b w:val="0"/>
                <w:bCs/>
                <w:kern w:val="2"/>
                <w:sz w:val="21"/>
                <w:szCs w:val="21"/>
                <w:lang w:val="en-US" w:eastAsia="zh-CN" w:bidi="ar-SA"/>
              </w:rPr>
              <w:t>旧</w:t>
            </w:r>
            <w:r>
              <w:rPr>
                <w:rFonts w:hint="default" w:ascii="Times New Roman" w:hAnsi="Times New Roman" w:eastAsia="宋体" w:cs="Times New Roman"/>
                <w:b w:val="0"/>
                <w:bCs/>
                <w:kern w:val="2"/>
                <w:sz w:val="21"/>
                <w:szCs w:val="21"/>
                <w:lang w:val="en-US" w:eastAsia="zh-CN" w:bidi="ar-SA"/>
              </w:rPr>
              <w:t>电池</w:t>
            </w:r>
            <w:r>
              <w:rPr>
                <w:rFonts w:hint="eastAsia"/>
                <w:spacing w:val="-1"/>
                <w:sz w:val="21"/>
                <w:szCs w:val="21"/>
                <w:lang w:val="en-US" w:eastAsia="zh-CN"/>
              </w:rPr>
              <w:t>依托主体工程现有</w:t>
            </w:r>
            <w:r>
              <w:rPr>
                <w:rFonts w:hint="eastAsia" w:cs="Times New Roman"/>
                <w:color w:val="000000" w:themeColor="text1"/>
                <w:kern w:val="0"/>
                <w:sz w:val="21"/>
                <w:szCs w:val="21"/>
                <w:shd w:val="clear" w:color="auto" w:fill="auto"/>
                <w:lang w:val="en-US" w:eastAsia="zh-CN" w:bidi="ar-SA"/>
                <w14:textFill>
                  <w14:solidFill>
                    <w14:schemeClr w14:val="tx1"/>
                  </w14:solidFill>
                </w14:textFill>
              </w:rPr>
              <w:t>危废暂存间</w:t>
            </w:r>
            <w:r>
              <w:rPr>
                <w:rFonts w:hint="default" w:ascii="Times New Roman" w:hAnsi="Times New Roman" w:eastAsia="宋体" w:cs="Times New Roman"/>
                <w:spacing w:val="-1"/>
                <w:sz w:val="21"/>
                <w:szCs w:val="21"/>
                <w:lang w:val="en-US" w:eastAsia="zh-CN"/>
              </w:rPr>
              <w:t>暂存</w:t>
            </w:r>
            <w:r>
              <w:rPr>
                <w:rFonts w:hint="default"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kern w:val="2"/>
                <w:sz w:val="21"/>
                <w:szCs w:val="21"/>
                <w:lang w:val="en-US" w:eastAsia="zh-CN" w:bidi="ar-SA"/>
              </w:rPr>
              <w:t>及时委托有资质单位运走处置</w:t>
            </w:r>
            <w:r>
              <w:rPr>
                <w:rFonts w:hint="eastAsia" w:ascii="Times New Roman" w:hAnsi="Times New Roman" w:eastAsia="宋体" w:cs="Times New Roman"/>
                <w:b w:val="0"/>
                <w:bCs/>
                <w:kern w:val="2"/>
                <w:sz w:val="21"/>
                <w:szCs w:val="21"/>
                <w:lang w:val="en-US" w:eastAsia="zh-CN" w:bidi="ar-SA"/>
              </w:rPr>
              <w:t>。</w:t>
            </w:r>
          </w:p>
        </w:tc>
        <w:tc>
          <w:tcPr>
            <w:tcW w:w="645" w:type="dxa"/>
            <w:vMerge w:val="continue"/>
            <w:noWrap w:val="0"/>
            <w:tcMar>
              <w:left w:w="28" w:type="dxa"/>
              <w:right w:w="28" w:type="dxa"/>
            </w:tcMar>
            <w:vAlign w:val="center"/>
          </w:tcPr>
          <w:p w14:paraId="6B127C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7304C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261CAB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5E394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vMerge w:val="continue"/>
            <w:noWrap w:val="0"/>
            <w:tcMar>
              <w:left w:w="28" w:type="dxa"/>
              <w:right w:w="28" w:type="dxa"/>
            </w:tcMar>
            <w:vAlign w:val="center"/>
          </w:tcPr>
          <w:p w14:paraId="67D92C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sz w:val="21"/>
                <w:szCs w:val="21"/>
              </w:rPr>
            </w:pPr>
          </w:p>
        </w:tc>
      </w:tr>
      <w:tr w14:paraId="07B1B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4D92D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r>
              <w:rPr>
                <w:rFonts w:hint="eastAsia" w:cs="Times New Roman"/>
                <w:b w:val="0"/>
                <w:bCs/>
                <w:spacing w:val="-4"/>
                <w:kern w:val="2"/>
                <w:sz w:val="21"/>
                <w:szCs w:val="21"/>
                <w:shd w:val="clear" w:color="auto" w:fill="auto"/>
                <w:lang w:val="en-US" w:eastAsia="zh-CN" w:bidi="ar-SA"/>
              </w:rPr>
              <w:t>7</w:t>
            </w:r>
          </w:p>
        </w:tc>
        <w:tc>
          <w:tcPr>
            <w:tcW w:w="3015" w:type="dxa"/>
            <w:gridSpan w:val="4"/>
            <w:noWrap w:val="0"/>
            <w:tcMar>
              <w:left w:w="28" w:type="dxa"/>
              <w:right w:w="28" w:type="dxa"/>
            </w:tcMar>
            <w:vAlign w:val="center"/>
          </w:tcPr>
          <w:p w14:paraId="6B22A7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spacing w:val="-4"/>
                <w:kern w:val="2"/>
                <w:sz w:val="21"/>
                <w:szCs w:val="21"/>
                <w:shd w:val="clear" w:color="auto" w:fill="auto"/>
                <w:lang w:val="en-US" w:eastAsia="zh-CN" w:bidi="ar-SA"/>
              </w:rPr>
            </w:pPr>
            <w:r>
              <w:rPr>
                <w:rFonts w:hint="eastAsia" w:cs="Times New Roman"/>
                <w:b w:val="0"/>
                <w:bCs/>
                <w:sz w:val="21"/>
                <w:szCs w:val="21"/>
                <w:lang w:val="en-US" w:eastAsia="zh-CN"/>
              </w:rPr>
              <w:t>工程</w:t>
            </w:r>
            <w:r>
              <w:rPr>
                <w:rFonts w:hint="eastAsia" w:ascii="Times New Roman" w:hAnsi="Times New Roman" w:eastAsia="宋体" w:cs="Times New Roman"/>
                <w:b w:val="0"/>
                <w:bCs/>
                <w:sz w:val="21"/>
                <w:szCs w:val="21"/>
              </w:rPr>
              <w:t>定期</w:t>
            </w:r>
            <w:r>
              <w:rPr>
                <w:rFonts w:hint="eastAsia" w:ascii="Times New Roman" w:hAnsi="Times New Roman" w:eastAsia="宋体" w:cs="Times New Roman"/>
                <w:b w:val="0"/>
                <w:bCs/>
                <w:color w:val="000000"/>
                <w:sz w:val="21"/>
                <w:szCs w:val="21"/>
                <w:highlight w:val="none"/>
                <w:lang w:val="en-US" w:eastAsia="zh-CN"/>
              </w:rPr>
              <w:t>进行电磁环境、声环境监测。</w:t>
            </w:r>
          </w:p>
        </w:tc>
        <w:tc>
          <w:tcPr>
            <w:tcW w:w="645" w:type="dxa"/>
            <w:vMerge w:val="continue"/>
            <w:noWrap w:val="0"/>
            <w:tcMar>
              <w:left w:w="28" w:type="dxa"/>
              <w:right w:w="28" w:type="dxa"/>
            </w:tcMar>
            <w:vAlign w:val="center"/>
          </w:tcPr>
          <w:p w14:paraId="515000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65B36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32D7D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364C22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noWrap w:val="0"/>
            <w:tcMar>
              <w:left w:w="28" w:type="dxa"/>
              <w:right w:w="28" w:type="dxa"/>
            </w:tcMar>
            <w:vAlign w:val="center"/>
          </w:tcPr>
          <w:p w14:paraId="024486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b w:val="0"/>
                <w:bCs/>
                <w:spacing w:val="-4"/>
                <w:kern w:val="2"/>
                <w:sz w:val="21"/>
                <w:szCs w:val="21"/>
                <w:shd w:val="clear" w:color="auto" w:fill="auto"/>
                <w:lang w:val="en-US" w:eastAsia="zh-CN" w:bidi="ar-SA"/>
              </w:rPr>
            </w:pPr>
            <w:r>
              <w:rPr>
                <w:rFonts w:hint="eastAsia" w:ascii="Times New Roman" w:hAnsi="Times New Roman" w:eastAsia="宋体" w:cs="Times New Roman"/>
                <w:b w:val="0"/>
                <w:bCs/>
                <w:sz w:val="21"/>
                <w:szCs w:val="21"/>
              </w:rPr>
              <w:t>监测结果达标</w:t>
            </w:r>
            <w:r>
              <w:rPr>
                <w:rFonts w:hint="eastAsia" w:ascii="Times New Roman" w:hAnsi="Times New Roman" w:eastAsia="宋体" w:cs="Times New Roman"/>
                <w:b w:val="0"/>
                <w:bCs/>
                <w:sz w:val="21"/>
                <w:szCs w:val="21"/>
                <w:lang w:eastAsia="zh-CN"/>
              </w:rPr>
              <w:t>。</w:t>
            </w:r>
          </w:p>
        </w:tc>
      </w:tr>
      <w:tr w14:paraId="5961A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23" w:type="dxa"/>
            <w:gridSpan w:val="3"/>
            <w:noWrap w:val="0"/>
            <w:tcMar>
              <w:left w:w="28" w:type="dxa"/>
              <w:right w:w="28" w:type="dxa"/>
            </w:tcMar>
            <w:vAlign w:val="center"/>
          </w:tcPr>
          <w:p w14:paraId="67E019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cs="Times New Roman"/>
                <w:b w:val="0"/>
                <w:bCs/>
                <w:spacing w:val="-4"/>
                <w:kern w:val="2"/>
                <w:sz w:val="21"/>
                <w:szCs w:val="21"/>
                <w:shd w:val="clear" w:color="auto" w:fill="auto"/>
                <w:lang w:val="en-US" w:eastAsia="zh-CN" w:bidi="ar-SA"/>
              </w:rPr>
            </w:pPr>
            <w:r>
              <w:rPr>
                <w:rFonts w:hint="eastAsia" w:cs="Times New Roman"/>
                <w:b w:val="0"/>
                <w:bCs/>
                <w:spacing w:val="-4"/>
                <w:kern w:val="2"/>
                <w:sz w:val="21"/>
                <w:szCs w:val="21"/>
                <w:shd w:val="clear" w:color="auto" w:fill="auto"/>
                <w:lang w:val="en-US" w:eastAsia="zh-CN" w:bidi="ar-SA"/>
              </w:rPr>
              <w:t>8</w:t>
            </w:r>
          </w:p>
        </w:tc>
        <w:tc>
          <w:tcPr>
            <w:tcW w:w="3015" w:type="dxa"/>
            <w:gridSpan w:val="4"/>
            <w:noWrap w:val="0"/>
            <w:tcMar>
              <w:left w:w="28" w:type="dxa"/>
              <w:right w:w="28" w:type="dxa"/>
            </w:tcMar>
            <w:vAlign w:val="center"/>
          </w:tcPr>
          <w:p w14:paraId="22016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cs="Times New Roman"/>
                <w:b w:val="0"/>
                <w:bCs/>
                <w:sz w:val="21"/>
                <w:szCs w:val="21"/>
                <w:lang w:val="en-US" w:eastAsia="zh-CN"/>
              </w:rPr>
            </w:pPr>
            <w:r>
              <w:rPr>
                <w:rFonts w:hint="default" w:ascii="Times New Roman" w:hAnsi="Times New Roman" w:eastAsia="宋体" w:cs="Times New Roman"/>
                <w:b w:val="0"/>
                <w:bCs/>
                <w:sz w:val="21"/>
                <w:szCs w:val="21"/>
                <w:lang w:val="en-US" w:eastAsia="zh-CN"/>
              </w:rPr>
              <w:t>事故油池及其排导系统进行定期巡查和维护</w:t>
            </w:r>
          </w:p>
        </w:tc>
        <w:tc>
          <w:tcPr>
            <w:tcW w:w="645" w:type="dxa"/>
            <w:vMerge w:val="continue"/>
            <w:noWrap w:val="0"/>
            <w:tcMar>
              <w:left w:w="28" w:type="dxa"/>
              <w:right w:w="28" w:type="dxa"/>
            </w:tcMar>
            <w:vAlign w:val="center"/>
          </w:tcPr>
          <w:p w14:paraId="716128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810" w:type="dxa"/>
            <w:vMerge w:val="continue"/>
            <w:noWrap w:val="0"/>
            <w:tcMar>
              <w:left w:w="28" w:type="dxa"/>
              <w:right w:w="28" w:type="dxa"/>
            </w:tcMar>
            <w:vAlign w:val="center"/>
          </w:tcPr>
          <w:p w14:paraId="7DDB2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630" w:type="dxa"/>
            <w:vMerge w:val="continue"/>
            <w:noWrap w:val="0"/>
            <w:tcMar>
              <w:left w:w="28" w:type="dxa"/>
              <w:right w:w="28" w:type="dxa"/>
            </w:tcMar>
            <w:vAlign w:val="center"/>
          </w:tcPr>
          <w:p w14:paraId="634CD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410" w:type="dxa"/>
            <w:gridSpan w:val="2"/>
            <w:vMerge w:val="continue"/>
            <w:noWrap w:val="0"/>
            <w:tcMar>
              <w:left w:w="28" w:type="dxa"/>
              <w:right w:w="28" w:type="dxa"/>
            </w:tcMar>
            <w:vAlign w:val="center"/>
          </w:tcPr>
          <w:p w14:paraId="7C1206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pacing w:val="-4"/>
                <w:kern w:val="2"/>
                <w:sz w:val="21"/>
                <w:szCs w:val="21"/>
                <w:shd w:val="clear" w:color="auto" w:fill="auto"/>
                <w:lang w:val="en-US" w:eastAsia="zh-CN" w:bidi="ar-SA"/>
              </w:rPr>
            </w:pPr>
          </w:p>
        </w:tc>
        <w:tc>
          <w:tcPr>
            <w:tcW w:w="1977" w:type="dxa"/>
            <w:gridSpan w:val="2"/>
            <w:noWrap w:val="0"/>
            <w:tcMar>
              <w:left w:w="28" w:type="dxa"/>
              <w:right w:w="28" w:type="dxa"/>
            </w:tcMar>
            <w:vAlign w:val="center"/>
          </w:tcPr>
          <w:p w14:paraId="79454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sz w:val="21"/>
                <w:szCs w:val="21"/>
                <w:lang w:val="en-US" w:eastAsia="zh-CN"/>
              </w:rPr>
              <w:t>事故油池及其排导系统</w:t>
            </w:r>
            <w:r>
              <w:rPr>
                <w:rFonts w:hint="eastAsia" w:cs="Times New Roman"/>
                <w:b w:val="0"/>
                <w:bCs/>
                <w:sz w:val="21"/>
                <w:szCs w:val="21"/>
                <w:lang w:val="en-US" w:eastAsia="zh-CN"/>
              </w:rPr>
              <w:t>状态良好</w:t>
            </w:r>
          </w:p>
        </w:tc>
      </w:tr>
      <w:tr w14:paraId="2B46A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10" w:type="dxa"/>
            <w:gridSpan w:val="14"/>
            <w:noWrap w:val="0"/>
            <w:vAlign w:val="center"/>
          </w:tcPr>
          <w:p w14:paraId="356F3405">
            <w:pPr>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eastAsia" w:ascii="Times New Roman" w:hAnsi="Times New Roman" w:eastAsia="宋体" w:cs="宋体"/>
                <w:b/>
                <w:bCs/>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宋体"/>
                <w:b/>
                <w:bCs/>
                <w:color w:val="000000" w:themeColor="text1"/>
                <w:kern w:val="2"/>
                <w:sz w:val="24"/>
                <w:szCs w:val="32"/>
                <w:highlight w:val="none"/>
                <w:lang w:val="en-US" w:eastAsia="zh-CN" w:bidi="ar-SA"/>
                <w14:textFill>
                  <w14:solidFill>
                    <w14:schemeClr w14:val="tx1"/>
                  </w14:solidFill>
                </w14:textFill>
              </w:rPr>
              <w:t>其他</w:t>
            </w:r>
          </w:p>
        </w:tc>
      </w:tr>
      <w:tr w14:paraId="5E3CC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vAlign w:val="center"/>
          </w:tcPr>
          <w:p w14:paraId="5704AF8C">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cs="宋体"/>
                <w:b/>
                <w:bCs/>
                <w:sz w:val="24"/>
                <w:highlight w:val="none"/>
                <w:lang w:val="en-US" w:eastAsia="zh-CN"/>
              </w:rPr>
            </w:pPr>
            <w:r>
              <w:rPr>
                <w:rFonts w:hint="eastAsia" w:ascii="Times New Roman" w:hAnsi="Times New Roman" w:eastAsia="宋体" w:cs="宋体"/>
                <w:b/>
                <w:bCs/>
                <w:sz w:val="24"/>
                <w:highlight w:val="none"/>
                <w:lang w:val="en-US" w:eastAsia="zh-CN"/>
              </w:rPr>
              <w:t>5.</w:t>
            </w:r>
            <w:r>
              <w:rPr>
                <w:rFonts w:hint="eastAsia" w:cs="宋体"/>
                <w:b/>
                <w:bCs/>
                <w:sz w:val="24"/>
                <w:highlight w:val="none"/>
                <w:lang w:val="en-US" w:eastAsia="zh-CN"/>
              </w:rPr>
              <w:t>3</w:t>
            </w:r>
            <w:r>
              <w:rPr>
                <w:rFonts w:hint="eastAsia" w:ascii="Times New Roman" w:hAnsi="Times New Roman" w:eastAsia="宋体" w:cs="宋体"/>
                <w:b/>
                <w:bCs/>
                <w:color w:val="000000" w:themeColor="text1"/>
                <w:kern w:val="2"/>
                <w:sz w:val="24"/>
                <w:szCs w:val="32"/>
                <w:highlight w:val="none"/>
                <w:lang w:val="en-US" w:eastAsia="zh-CN" w:bidi="ar-SA"/>
                <w14:textFill>
                  <w14:solidFill>
                    <w14:schemeClr w14:val="tx1"/>
                  </w14:solidFill>
                </w14:textFill>
              </w:rPr>
              <w:t>其他</w:t>
            </w:r>
          </w:p>
          <w:p w14:paraId="621839E9">
            <w:pPr>
              <w:keepNext w:val="0"/>
              <w:keepLines w:val="0"/>
              <w:suppressLineNumbers w:val="0"/>
              <w:adjustRightInd w:val="0"/>
              <w:snapToGrid w:val="0"/>
              <w:spacing w:before="0" w:beforeAutospacing="0" w:after="0" w:afterAutospacing="0" w:line="360" w:lineRule="auto"/>
              <w:ind w:left="0" w:leftChars="0" w:right="0" w:firstLine="0" w:firstLineChars="0"/>
              <w:rPr>
                <w:rFonts w:hint="eastAsia" w:ascii="Times New Roman" w:hAnsi="Times New Roman" w:eastAsia="宋体" w:cs="宋体"/>
                <w:b/>
                <w:bCs/>
                <w:sz w:val="24"/>
                <w:highlight w:val="none"/>
                <w:lang w:val="en-US" w:eastAsia="zh-CN"/>
              </w:rPr>
            </w:pPr>
            <w:r>
              <w:rPr>
                <w:rFonts w:hint="eastAsia" w:cs="宋体"/>
                <w:b/>
                <w:bCs/>
                <w:sz w:val="24"/>
                <w:highlight w:val="none"/>
                <w:lang w:val="en-US" w:eastAsia="zh-CN"/>
              </w:rPr>
              <w:t>5.3.1</w:t>
            </w:r>
            <w:r>
              <w:rPr>
                <w:rFonts w:hint="eastAsia" w:ascii="Times New Roman" w:hAnsi="Times New Roman" w:eastAsia="宋体" w:cs="宋体"/>
                <w:b/>
                <w:bCs/>
                <w:sz w:val="24"/>
                <w:highlight w:val="none"/>
              </w:rPr>
              <w:t>环境</w:t>
            </w:r>
            <w:r>
              <w:rPr>
                <w:rFonts w:hint="eastAsia" w:ascii="Times New Roman" w:hAnsi="Times New Roman" w:eastAsia="宋体" w:cs="宋体"/>
                <w:b/>
                <w:bCs/>
                <w:sz w:val="24"/>
                <w:highlight w:val="none"/>
                <w:lang w:val="en-US" w:eastAsia="zh-CN"/>
              </w:rPr>
              <w:t>管理</w:t>
            </w:r>
          </w:p>
          <w:p w14:paraId="2FC237DF">
            <w:pPr>
              <w:pStyle w:val="163"/>
              <w:keepNext w:val="0"/>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（1）为有效地进行环境管理工作，加强对输变电项目各项环境保护措施的监测、检查和验收。</w:t>
            </w:r>
          </w:p>
          <w:p w14:paraId="2CF82B0D">
            <w:pPr>
              <w:pStyle w:val="163"/>
              <w:keepNext w:val="0"/>
              <w:keepLines w:val="0"/>
              <w:suppressLineNumbers w:val="0"/>
              <w:bidi w:val="0"/>
              <w:spacing w:before="0" w:beforeAutospacing="0" w:after="0" w:afterAutospacing="0"/>
              <w:ind w:right="0"/>
              <w:rPr>
                <w:rFonts w:hint="default" w:ascii="Times New Roman" w:hAnsi="Times New Roman" w:eastAsia="宋体" w:cs="Times New Roman"/>
                <w:lang w:val="en-US" w:eastAsia="zh-CN"/>
              </w:rPr>
            </w:pPr>
            <w:r>
              <w:rPr>
                <w:rFonts w:hint="default" w:ascii="Times New Roman" w:hAnsi="Times New Roman" w:cs="Times New Roman"/>
                <w:lang w:val="en-US" w:eastAsia="zh-CN"/>
              </w:rPr>
              <w:t>（2）建设单位及运行单位应设1名兼职的环保工作人员，并着重做好环境管理工作，建立环境管理和环境监测技术文件，做好记录、建档工作，做到</w:t>
            </w:r>
            <w:r>
              <w:rPr>
                <w:rFonts w:hint="default" w:ascii="Times New Roman" w:hAnsi="Times New Roman" w:eastAsia="宋体" w:cs="Times New Roman"/>
                <w:sz w:val="24"/>
                <w:szCs w:val="24"/>
              </w:rPr>
              <w:t>有据可查、有责可究，提高企业管理水平</w:t>
            </w:r>
            <w:r>
              <w:rPr>
                <w:rFonts w:hint="default" w:ascii="Times New Roman" w:hAnsi="Times New Roman" w:eastAsia="宋体" w:cs="Times New Roman"/>
                <w:sz w:val="24"/>
                <w:szCs w:val="24"/>
                <w:lang w:eastAsia="zh-CN"/>
              </w:rPr>
              <w:t>。</w:t>
            </w:r>
          </w:p>
          <w:p w14:paraId="4BFBF8D4">
            <w:pPr>
              <w:pStyle w:val="163"/>
              <w:keepNext w:val="0"/>
              <w:keepLines w:val="0"/>
              <w:suppressLineNumbers w:val="0"/>
              <w:bidi w:val="0"/>
              <w:spacing w:before="0" w:beforeAutospacing="0" w:after="0" w:afterAutospacing="0"/>
              <w:ind w:right="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）组织落实各项环境监测计划、各项环境保护措施，积累环境资料，规范各项环境管理制度。</w:t>
            </w:r>
          </w:p>
          <w:p w14:paraId="5F109659">
            <w:pPr>
              <w:pStyle w:val="163"/>
              <w:keepNext w:val="0"/>
              <w:keepLines w:val="0"/>
              <w:suppressLineNumbers w:val="0"/>
              <w:bidi w:val="0"/>
              <w:spacing w:before="0" w:beforeAutospacing="0" w:after="0" w:afterAutospacing="0"/>
              <w:ind w:right="0"/>
              <w:rPr>
                <w:rFonts w:hint="eastAsia"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default" w:ascii="宋体" w:hAnsi="宋体" w:eastAsia="宋体" w:cs="宋体"/>
                <w:sz w:val="24"/>
                <w:szCs w:val="24"/>
              </w:rPr>
              <w:t>遵守国家及地方的有关环保方针政策、法令和条例，</w:t>
            </w:r>
            <w:r>
              <w:rPr>
                <w:rFonts w:hint="eastAsia" w:ascii="宋体" w:hAnsi="宋体" w:cs="宋体"/>
                <w:sz w:val="24"/>
                <w:szCs w:val="24"/>
                <w:lang w:eastAsia="zh-CN"/>
              </w:rPr>
              <w:t>做好</w:t>
            </w:r>
            <w:r>
              <w:rPr>
                <w:rFonts w:hint="default" w:ascii="宋体" w:hAnsi="宋体" w:eastAsia="宋体" w:cs="宋体"/>
                <w:sz w:val="24"/>
                <w:szCs w:val="24"/>
              </w:rPr>
              <w:t>环境教育和技术培训，提高公司员工的环保意识和技术水平，提高</w:t>
            </w:r>
            <w:r>
              <w:rPr>
                <w:rFonts w:hint="eastAsia" w:ascii="宋体" w:hAnsi="宋体" w:eastAsia="宋体" w:cs="宋体"/>
                <w:sz w:val="24"/>
                <w:szCs w:val="24"/>
                <w:lang w:val="en-US" w:eastAsia="zh-CN"/>
              </w:rPr>
              <w:t>环境保护</w:t>
            </w:r>
            <w:r>
              <w:rPr>
                <w:rFonts w:hint="default" w:ascii="宋体" w:hAnsi="宋体" w:eastAsia="宋体" w:cs="宋体"/>
                <w:sz w:val="24"/>
                <w:szCs w:val="24"/>
              </w:rPr>
              <w:t>责任心。对企业员工定期进行环保培训，提高全体员工的安全和环境保护意识</w:t>
            </w:r>
            <w:r>
              <w:rPr>
                <w:rFonts w:hint="eastAsia" w:cs="Times New Roman"/>
                <w:lang w:val="en-US" w:eastAsia="zh-CN"/>
              </w:rPr>
              <w:t>。</w:t>
            </w:r>
          </w:p>
          <w:p w14:paraId="3C10DC0D">
            <w:pPr>
              <w:pStyle w:val="163"/>
              <w:keepNext w:val="0"/>
              <w:keepLines w:val="0"/>
              <w:suppressLineNumbers w:val="0"/>
              <w:bidi w:val="0"/>
              <w:spacing w:before="0" w:beforeAutospacing="0" w:after="0" w:afterAutospacing="0"/>
              <w:ind w:right="0"/>
              <w:rPr>
                <w:rFonts w:hint="eastAsia" w:cs="Times New Roman"/>
                <w:lang w:val="en-US" w:eastAsia="zh-CN"/>
              </w:rPr>
            </w:pPr>
            <w:r>
              <w:rPr>
                <w:rFonts w:hint="eastAsia" w:cs="Times New Roman"/>
                <w:lang w:val="en-US" w:eastAsia="zh-CN"/>
              </w:rPr>
              <w:t>（5）</w:t>
            </w:r>
            <w:r>
              <w:rPr>
                <w:rFonts w:hint="default" w:ascii="Times New Roman" w:hAnsi="Times New Roman" w:cs="Times New Roman"/>
                <w:lang w:val="en-US" w:eastAsia="zh-CN"/>
              </w:rPr>
              <w:t>建设单位应</w:t>
            </w:r>
            <w:r>
              <w:rPr>
                <w:rFonts w:hint="default" w:ascii="Times New Roman" w:hAnsi="Times New Roman" w:eastAsia="宋体" w:cs="Times New Roman"/>
                <w:sz w:val="24"/>
                <w:szCs w:val="24"/>
              </w:rPr>
              <w:t>自觉落实环境保护主体责任，履行环境保护</w:t>
            </w:r>
            <w:r>
              <w:rPr>
                <w:rFonts w:hint="default" w:ascii="Times New Roman" w:hAnsi="Times New Roman" w:eastAsia="宋体" w:cs="Times New Roman"/>
                <w:sz w:val="24"/>
                <w:szCs w:val="24"/>
                <w:lang w:val="en-US" w:eastAsia="zh-CN"/>
              </w:rPr>
              <w:t>义务，</w:t>
            </w:r>
            <w:r>
              <w:rPr>
                <w:rFonts w:hint="default" w:ascii="宋体" w:hAnsi="宋体" w:eastAsia="宋体" w:cs="宋体"/>
                <w:sz w:val="24"/>
                <w:szCs w:val="24"/>
              </w:rPr>
              <w:t>应建立环境保护责任制度，明确单位负责人和相关人员的环境保护责任，不断提高污染治理和环境管理水平，</w:t>
            </w:r>
            <w:r>
              <w:rPr>
                <w:rFonts w:hint="default" w:ascii="Times New Roman" w:hAnsi="Times New Roman" w:eastAsia="宋体" w:cs="Times New Roman"/>
                <w:sz w:val="24"/>
                <w:szCs w:val="24"/>
              </w:rPr>
              <w:t>加强与当地环境管理部门沟通与联系，积极主动接受监察部门监督指导。</w:t>
            </w:r>
          </w:p>
          <w:p w14:paraId="0E3458D0">
            <w:pPr>
              <w:pStyle w:val="163"/>
              <w:keepNext w:val="0"/>
              <w:keepLines w:val="0"/>
              <w:suppressLineNumbers w:val="0"/>
              <w:bidi w:val="0"/>
              <w:spacing w:before="0" w:beforeAutospacing="0" w:after="0" w:afterAutospacing="0"/>
              <w:ind w:right="0"/>
              <w:rPr>
                <w:rFonts w:hint="default" w:ascii="宋体" w:hAnsi="宋体" w:eastAsia="宋体" w:cs="宋体"/>
                <w:sz w:val="24"/>
                <w:szCs w:val="24"/>
                <w:lang w:val="en-US" w:eastAsia="zh-CN"/>
              </w:rPr>
            </w:pPr>
            <w:r>
              <w:rPr>
                <w:rFonts w:hint="eastAsia" w:cs="Times New Roman"/>
                <w:lang w:val="en-US" w:eastAsia="zh-CN"/>
              </w:rPr>
              <w:t>（6）</w:t>
            </w:r>
            <w:r>
              <w:rPr>
                <w:rFonts w:hint="eastAsia" w:ascii="宋体" w:hAnsi="宋体" w:eastAsia="宋体" w:cs="宋体"/>
                <w:sz w:val="24"/>
                <w:szCs w:val="24"/>
                <w:lang w:val="en-US" w:eastAsia="zh-CN"/>
              </w:rPr>
              <w:t>强化管理，避免发生违规违法行为。</w:t>
            </w:r>
          </w:p>
          <w:p w14:paraId="6977B185">
            <w:pPr>
              <w:keepNext w:val="0"/>
              <w:keepLines w:val="0"/>
              <w:suppressLineNumbers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宋体"/>
                <w:b/>
                <w:bCs/>
                <w:sz w:val="24"/>
                <w:highlight w:val="none"/>
                <w:lang w:val="en-US" w:eastAsia="zh-CN"/>
              </w:rPr>
            </w:pPr>
            <w:r>
              <w:rPr>
                <w:rFonts w:hint="eastAsia" w:ascii="Times New Roman" w:hAnsi="Times New Roman" w:eastAsia="宋体" w:cs="宋体"/>
                <w:b/>
                <w:bCs/>
                <w:sz w:val="24"/>
                <w:highlight w:val="none"/>
                <w:lang w:val="en-US" w:eastAsia="zh-CN"/>
              </w:rPr>
              <w:t>5.</w:t>
            </w:r>
            <w:r>
              <w:rPr>
                <w:rFonts w:hint="eastAsia" w:cs="宋体"/>
                <w:b/>
                <w:bCs/>
                <w:sz w:val="24"/>
                <w:highlight w:val="none"/>
                <w:lang w:val="en-US" w:eastAsia="zh-CN"/>
              </w:rPr>
              <w:t>3.2</w:t>
            </w:r>
            <w:r>
              <w:rPr>
                <w:rFonts w:hint="eastAsia" w:ascii="Times New Roman" w:hAnsi="Times New Roman" w:cs="宋体"/>
                <w:b/>
                <w:bCs/>
                <w:sz w:val="24"/>
                <w:highlight w:val="none"/>
                <w:lang w:val="en-US" w:eastAsia="zh-CN"/>
              </w:rPr>
              <w:t>监测计划</w:t>
            </w:r>
          </w:p>
          <w:p w14:paraId="4BAB794C">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sz w:val="24"/>
                <w:highlight w:val="none"/>
              </w:rPr>
            </w:pPr>
            <w:r>
              <w:rPr>
                <w:rFonts w:hint="eastAsia" w:ascii="Times New Roman" w:hAnsi="Times New Roman" w:eastAsia="宋体"/>
                <w:sz w:val="24"/>
                <w:highlight w:val="none"/>
              </w:rPr>
              <w:t>为了及时了解工程运营过程中对生态环境产生影响的范围和程度，以便采取相应的减缓措施，对</w:t>
            </w:r>
            <w:r>
              <w:rPr>
                <w:rFonts w:hint="eastAsia" w:ascii="Times New Roman" w:hAnsi="Times New Roman" w:eastAsia="宋体"/>
                <w:sz w:val="24"/>
                <w:highlight w:val="none"/>
                <w:lang w:val="en-US" w:eastAsia="zh-CN"/>
              </w:rPr>
              <w:t>本工程</w:t>
            </w:r>
            <w:r>
              <w:rPr>
                <w:rFonts w:hint="eastAsia" w:ascii="Times New Roman" w:hAnsi="Times New Roman" w:eastAsia="宋体"/>
                <w:sz w:val="24"/>
                <w:highlight w:val="none"/>
              </w:rPr>
              <w:t>周围环境进行监测，见</w:t>
            </w:r>
            <w:r>
              <w:rPr>
                <w:rFonts w:hint="eastAsia" w:ascii="Times New Roman" w:hAnsi="Times New Roman" w:eastAsia="宋体"/>
                <w:sz w:val="24"/>
                <w:highlight w:val="none"/>
                <w:lang w:val="en-US" w:eastAsia="zh-CN"/>
              </w:rPr>
              <w:t>下</w:t>
            </w:r>
            <w:r>
              <w:rPr>
                <w:rFonts w:hint="eastAsia" w:ascii="Times New Roman" w:hAnsi="Times New Roman" w:eastAsia="宋体"/>
                <w:sz w:val="24"/>
                <w:highlight w:val="none"/>
              </w:rPr>
              <w:t>表。</w:t>
            </w:r>
          </w:p>
          <w:p w14:paraId="6E5095A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宋体"/>
                <w:spacing w:val="11"/>
                <w:sz w:val="24"/>
                <w:lang w:val="en-US"/>
              </w:rPr>
            </w:pPr>
            <w:r>
              <w:rPr>
                <w:rFonts w:hint="default" w:ascii="Times New Roman" w:hAnsi="Times New Roman" w:eastAsia="宋体" w:cs="Times New Roman"/>
                <w:b/>
                <w:bCs/>
                <w:spacing w:val="-4"/>
                <w:kern w:val="2"/>
                <w:sz w:val="24"/>
                <w:szCs w:val="24"/>
                <w:shd w:val="clear" w:color="auto" w:fill="auto"/>
                <w:lang w:val="en-US" w:eastAsia="zh-CN" w:bidi="ar-SA"/>
              </w:rPr>
              <w:t>表</w:t>
            </w:r>
            <w:r>
              <w:rPr>
                <w:rFonts w:hint="eastAsia" w:ascii="Times New Roman" w:hAnsi="Times New Roman" w:cs="Times New Roman"/>
                <w:b/>
                <w:bCs/>
                <w:spacing w:val="-4"/>
                <w:kern w:val="2"/>
                <w:sz w:val="24"/>
                <w:szCs w:val="24"/>
                <w:shd w:val="clear" w:color="auto" w:fill="auto"/>
                <w:lang w:val="en-US" w:eastAsia="zh-CN" w:bidi="ar-SA"/>
              </w:rPr>
              <w:t xml:space="preserve">5-3 </w:t>
            </w:r>
            <w:r>
              <w:rPr>
                <w:rFonts w:hint="default" w:ascii="Times New Roman" w:hAnsi="Times New Roman" w:eastAsia="宋体" w:cs="Times New Roman"/>
                <w:b/>
                <w:bCs/>
                <w:spacing w:val="-4"/>
                <w:kern w:val="2"/>
                <w:sz w:val="24"/>
                <w:szCs w:val="24"/>
                <w:shd w:val="clear" w:color="auto" w:fill="auto"/>
                <w:lang w:val="en-US" w:eastAsia="zh-CN" w:bidi="ar-SA"/>
              </w:rPr>
              <w:t>环境监测计划</w:t>
            </w:r>
            <w:r>
              <w:rPr>
                <w:rFonts w:hint="eastAsia" w:ascii="Times New Roman" w:hAnsi="Times New Roman" w:cs="Times New Roman"/>
                <w:b/>
                <w:bCs/>
                <w:spacing w:val="-4"/>
                <w:kern w:val="2"/>
                <w:sz w:val="24"/>
                <w:szCs w:val="24"/>
                <w:shd w:val="clear" w:color="auto" w:fill="auto"/>
                <w:lang w:val="en-US" w:eastAsia="zh-CN" w:bidi="ar-SA"/>
              </w:rPr>
              <w:t>表</w:t>
            </w:r>
          </w:p>
        </w:tc>
      </w:tr>
      <w:tr w14:paraId="5FA90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gridSpan w:val="2"/>
            <w:noWrap w:val="0"/>
            <w:vAlign w:val="center"/>
          </w:tcPr>
          <w:p w14:paraId="7A94D40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6"/>
                <w:sz w:val="21"/>
                <w:szCs w:val="21"/>
              </w:rPr>
              <w:t>监测</w:t>
            </w:r>
            <w:r>
              <w:rPr>
                <w:rFonts w:hint="default" w:ascii="Times New Roman" w:hAnsi="Times New Roman" w:eastAsia="宋体" w:cs="Times New Roman"/>
                <w:b w:val="0"/>
                <w:bCs w:val="0"/>
                <w:spacing w:val="-18"/>
                <w:sz w:val="21"/>
                <w:szCs w:val="21"/>
              </w:rPr>
              <w:t>内容</w:t>
            </w:r>
          </w:p>
        </w:tc>
        <w:tc>
          <w:tcPr>
            <w:tcW w:w="2399" w:type="dxa"/>
            <w:gridSpan w:val="3"/>
            <w:noWrap w:val="0"/>
            <w:vAlign w:val="center"/>
          </w:tcPr>
          <w:p w14:paraId="774002A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3"/>
                <w:sz w:val="21"/>
                <w:szCs w:val="21"/>
              </w:rPr>
              <w:t>监测因子、频率</w:t>
            </w:r>
          </w:p>
        </w:tc>
        <w:tc>
          <w:tcPr>
            <w:tcW w:w="3137" w:type="dxa"/>
            <w:gridSpan w:val="6"/>
            <w:noWrap w:val="0"/>
            <w:vAlign w:val="center"/>
          </w:tcPr>
          <w:p w14:paraId="07A0D22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2"/>
                <w:sz w:val="21"/>
                <w:szCs w:val="21"/>
              </w:rPr>
              <w:t>监测点位、监测要求、监管要求</w:t>
            </w:r>
          </w:p>
        </w:tc>
        <w:tc>
          <w:tcPr>
            <w:tcW w:w="3000" w:type="dxa"/>
            <w:gridSpan w:val="3"/>
            <w:noWrap w:val="0"/>
            <w:vAlign w:val="center"/>
          </w:tcPr>
          <w:p w14:paraId="4C4F4E8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2"/>
                <w:sz w:val="21"/>
                <w:szCs w:val="21"/>
                <w:lang w:val="en-US" w:eastAsia="zh-CN"/>
              </w:rPr>
            </w:pPr>
            <w:r>
              <w:rPr>
                <w:rFonts w:hint="eastAsia" w:ascii="Times New Roman" w:hAnsi="Times New Roman" w:cs="Times New Roman"/>
                <w:b w:val="0"/>
                <w:bCs w:val="0"/>
                <w:spacing w:val="-2"/>
                <w:sz w:val="21"/>
                <w:szCs w:val="21"/>
                <w:lang w:val="en-US" w:eastAsia="zh-CN"/>
              </w:rPr>
              <w:t>备注</w:t>
            </w:r>
          </w:p>
        </w:tc>
      </w:tr>
      <w:tr w14:paraId="302B2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gridSpan w:val="2"/>
            <w:noWrap w:val="0"/>
            <w:vAlign w:val="center"/>
          </w:tcPr>
          <w:p w14:paraId="6E39EF3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6"/>
                <w:sz w:val="21"/>
                <w:szCs w:val="21"/>
              </w:rPr>
              <w:t>声环</w:t>
            </w:r>
            <w:r>
              <w:rPr>
                <w:rFonts w:hint="default" w:ascii="Times New Roman" w:hAnsi="Times New Roman" w:eastAsia="宋体" w:cs="Times New Roman"/>
                <w:b w:val="0"/>
                <w:bCs w:val="0"/>
                <w:spacing w:val="-4"/>
                <w:sz w:val="21"/>
                <w:szCs w:val="21"/>
              </w:rPr>
              <w:t>境</w:t>
            </w:r>
            <w:r>
              <w:rPr>
                <w:rFonts w:hint="default" w:ascii="Times New Roman" w:hAnsi="Times New Roman" w:eastAsia="宋体" w:cs="Times New Roman"/>
                <w:b w:val="0"/>
                <w:bCs w:val="0"/>
                <w:spacing w:val="1"/>
                <w:sz w:val="21"/>
                <w:szCs w:val="21"/>
              </w:rPr>
              <w:t>监测</w:t>
            </w:r>
          </w:p>
        </w:tc>
        <w:tc>
          <w:tcPr>
            <w:tcW w:w="2399" w:type="dxa"/>
            <w:gridSpan w:val="3"/>
            <w:noWrap w:val="0"/>
            <w:vAlign w:val="center"/>
          </w:tcPr>
          <w:p w14:paraId="219D09D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监测因子：噪声</w:t>
            </w:r>
          </w:p>
          <w:p w14:paraId="5A00EE3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1"/>
                <w:sz w:val="21"/>
                <w:szCs w:val="21"/>
              </w:rPr>
              <w:t>监测频率：环保竣工验收监测一次，正常运行期间，建设单位应根据实际建设项目运行产生的环境影响情况或有群众反</w:t>
            </w:r>
            <w:r>
              <w:rPr>
                <w:rFonts w:hint="default" w:ascii="Times New Roman" w:hAnsi="Times New Roman" w:eastAsia="宋体" w:cs="Times New Roman"/>
                <w:b w:val="0"/>
                <w:bCs w:val="0"/>
                <w:spacing w:val="-2"/>
                <w:sz w:val="21"/>
                <w:szCs w:val="21"/>
              </w:rPr>
              <w:t>映相关环保问题时进行监测。</w:t>
            </w:r>
          </w:p>
        </w:tc>
        <w:tc>
          <w:tcPr>
            <w:tcW w:w="3137" w:type="dxa"/>
            <w:gridSpan w:val="6"/>
            <w:noWrap w:val="0"/>
            <w:vAlign w:val="center"/>
          </w:tcPr>
          <w:p w14:paraId="57A0514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3"/>
                <w:sz w:val="21"/>
                <w:szCs w:val="21"/>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升压</w:t>
            </w:r>
            <w:r>
              <w:rPr>
                <w:rFonts w:hint="default" w:ascii="Times New Roman" w:hAnsi="Times New Roman" w:eastAsia="宋体" w:cs="Times New Roman"/>
                <w:color w:val="000000" w:themeColor="text1"/>
                <w:sz w:val="21"/>
                <w:szCs w:val="21"/>
                <w:highlight w:val="none"/>
                <w14:textFill>
                  <w14:solidFill>
                    <w14:schemeClr w14:val="tx1"/>
                  </w14:solidFill>
                </w14:textFill>
              </w:rPr>
              <w:t>站进出线端厂界进行布点监测</w:t>
            </w:r>
            <w:r>
              <w:rPr>
                <w:rFonts w:hint="eastAsia" w:ascii="Times New Roman" w:hAnsi="Times New Roman" w:eastAsia="宋体" w:cs="Times New Roman"/>
                <w:b w:val="0"/>
                <w:bCs w:val="0"/>
                <w:spacing w:val="-5"/>
                <w:sz w:val="21"/>
                <w:szCs w:val="21"/>
                <w:lang w:eastAsia="zh-CN"/>
              </w:rPr>
              <w:t>；</w:t>
            </w:r>
            <w:r>
              <w:rPr>
                <w:rFonts w:hint="default" w:ascii="Times New Roman" w:hAnsi="Times New Roman" w:eastAsia="宋体" w:cs="Times New Roman"/>
                <w:b w:val="0"/>
                <w:bCs w:val="0"/>
                <w:spacing w:val="10"/>
                <w:sz w:val="21"/>
                <w:szCs w:val="21"/>
              </w:rPr>
              <w:t>输电线路沿线选择有代表性的点</w:t>
            </w:r>
            <w:r>
              <w:rPr>
                <w:rFonts w:hint="default" w:ascii="Times New Roman" w:hAnsi="Times New Roman" w:eastAsia="宋体" w:cs="Times New Roman"/>
                <w:b w:val="0"/>
                <w:bCs w:val="0"/>
                <w:spacing w:val="-5"/>
                <w:sz w:val="21"/>
                <w:szCs w:val="21"/>
              </w:rPr>
              <w:t>位进行监测</w:t>
            </w:r>
            <w:r>
              <w:rPr>
                <w:rFonts w:hint="eastAsia" w:ascii="Times New Roman" w:hAnsi="Times New Roman" w:cs="Times New Roman"/>
                <w:b w:val="0"/>
                <w:bCs w:val="0"/>
                <w:spacing w:val="-5"/>
                <w:sz w:val="21"/>
                <w:szCs w:val="21"/>
                <w:lang w:eastAsia="zh-CN"/>
              </w:rPr>
              <w:t>；</w:t>
            </w:r>
            <w:r>
              <w:rPr>
                <w:rFonts w:hint="default" w:ascii="Times New Roman" w:hAnsi="Times New Roman" w:eastAsia="宋体" w:cs="Times New Roman"/>
                <w:b w:val="0"/>
                <w:bCs w:val="0"/>
                <w:spacing w:val="-9"/>
                <w:sz w:val="21"/>
                <w:szCs w:val="21"/>
              </w:rPr>
              <w:t>声环境保护目标</w:t>
            </w:r>
            <w:r>
              <w:rPr>
                <w:rFonts w:hint="eastAsia" w:ascii="Times New Roman" w:hAnsi="Times New Roman" w:cs="Times New Roman"/>
                <w:b w:val="0"/>
                <w:bCs w:val="0"/>
                <w:spacing w:val="-9"/>
                <w:sz w:val="21"/>
                <w:szCs w:val="21"/>
                <w:lang w:val="en-US" w:eastAsia="zh-CN"/>
              </w:rPr>
              <w:t>增加</w:t>
            </w:r>
            <w:r>
              <w:rPr>
                <w:rFonts w:hint="default" w:ascii="Times New Roman" w:hAnsi="Times New Roman" w:eastAsia="宋体" w:cs="Times New Roman"/>
                <w:b w:val="0"/>
                <w:bCs w:val="0"/>
                <w:spacing w:val="-9"/>
                <w:sz w:val="21"/>
                <w:szCs w:val="21"/>
              </w:rPr>
              <w:t>布点；</w:t>
            </w:r>
            <w:r>
              <w:rPr>
                <w:rFonts w:hint="default" w:ascii="Times New Roman" w:hAnsi="Times New Roman" w:eastAsia="宋体" w:cs="Times New Roman"/>
                <w:b w:val="0"/>
                <w:bCs w:val="0"/>
                <w:spacing w:val="3"/>
                <w:sz w:val="21"/>
                <w:szCs w:val="21"/>
              </w:rPr>
              <w:t>监测点位及要求应满足</w:t>
            </w:r>
            <w:r>
              <w:rPr>
                <w:rFonts w:hint="default" w:ascii="Times New Roman" w:hAnsi="Times New Roman" w:eastAsia="宋体" w:cs="Times New Roman"/>
                <w:b w:val="0"/>
                <w:bCs w:val="0"/>
                <w:spacing w:val="-5"/>
                <w:sz w:val="21"/>
                <w:szCs w:val="21"/>
              </w:rPr>
              <w:t>《建设</w:t>
            </w:r>
            <w:r>
              <w:rPr>
                <w:rFonts w:hint="default" w:ascii="Times New Roman" w:hAnsi="Times New Roman" w:eastAsia="宋体" w:cs="Times New Roman"/>
                <w:b w:val="0"/>
                <w:bCs w:val="0"/>
                <w:spacing w:val="10"/>
                <w:sz w:val="21"/>
                <w:szCs w:val="21"/>
              </w:rPr>
              <w:t>项目竣工环境保护验收技术规范</w:t>
            </w:r>
            <w:r>
              <w:rPr>
                <w:rFonts w:hint="default" w:ascii="Times New Roman" w:hAnsi="Times New Roman" w:eastAsia="宋体" w:cs="Times New Roman"/>
                <w:b w:val="0"/>
                <w:bCs w:val="0"/>
                <w:spacing w:val="-1"/>
                <w:sz w:val="21"/>
                <w:szCs w:val="21"/>
              </w:rPr>
              <w:t>输变电》(HJ</w:t>
            </w:r>
            <w:r>
              <w:rPr>
                <w:rFonts w:hint="eastAsia" w:ascii="Times New Roman" w:hAnsi="Times New Roman" w:cs="Times New Roman"/>
                <w:b w:val="0"/>
                <w:bCs w:val="0"/>
                <w:spacing w:val="-1"/>
                <w:sz w:val="21"/>
                <w:szCs w:val="21"/>
                <w:lang w:val="en-US" w:eastAsia="zh-CN"/>
              </w:rPr>
              <w:t xml:space="preserve"> </w:t>
            </w:r>
            <w:r>
              <w:rPr>
                <w:rFonts w:hint="default" w:ascii="Times New Roman" w:hAnsi="Times New Roman" w:eastAsia="宋体" w:cs="Times New Roman"/>
                <w:b w:val="0"/>
                <w:bCs w:val="0"/>
                <w:spacing w:val="-1"/>
                <w:sz w:val="21"/>
                <w:szCs w:val="21"/>
              </w:rPr>
              <w:t>705-2020)。</w:t>
            </w:r>
          </w:p>
        </w:tc>
        <w:tc>
          <w:tcPr>
            <w:tcW w:w="3000" w:type="dxa"/>
            <w:gridSpan w:val="3"/>
            <w:noWrap w:val="0"/>
            <w:vAlign w:val="center"/>
          </w:tcPr>
          <w:p w14:paraId="5797C9D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b w:val="0"/>
                <w:bCs w:val="0"/>
                <w:spacing w:val="-1"/>
                <w:sz w:val="21"/>
                <w:szCs w:val="21"/>
                <w:lang w:eastAsia="zh-CN"/>
              </w:rPr>
            </w:pPr>
            <w:r>
              <w:rPr>
                <w:rFonts w:hint="default" w:ascii="Times New Roman" w:hAnsi="Times New Roman" w:eastAsia="宋体" w:cs="Times New Roman"/>
                <w:b w:val="0"/>
                <w:bCs w:val="0"/>
                <w:spacing w:val="10"/>
                <w:sz w:val="21"/>
                <w:szCs w:val="21"/>
              </w:rPr>
              <w:t>监测</w:t>
            </w:r>
            <w:r>
              <w:rPr>
                <w:rFonts w:hint="default" w:ascii="Times New Roman" w:hAnsi="Times New Roman" w:eastAsia="宋体" w:cs="Times New Roman"/>
                <w:b w:val="0"/>
                <w:bCs w:val="0"/>
                <w:spacing w:val="-1"/>
                <w:sz w:val="21"/>
                <w:szCs w:val="21"/>
              </w:rPr>
              <w:t>方法</w:t>
            </w:r>
            <w:r>
              <w:rPr>
                <w:rFonts w:hint="eastAsia" w:ascii="Times New Roman" w:hAnsi="Times New Roman" w:eastAsia="宋体" w:cs="Times New Roman"/>
                <w:b w:val="0"/>
                <w:bCs w:val="0"/>
                <w:spacing w:val="10"/>
                <w:sz w:val="21"/>
                <w:szCs w:val="21"/>
                <w:lang w:eastAsia="zh-CN"/>
              </w:rPr>
              <w:t>：</w:t>
            </w:r>
            <w:r>
              <w:rPr>
                <w:rFonts w:hint="default" w:ascii="Times New Roman" w:hAnsi="Times New Roman" w:eastAsia="宋体" w:cs="Times New Roman"/>
                <w:b w:val="0"/>
                <w:bCs w:val="0"/>
                <w:spacing w:val="10"/>
                <w:sz w:val="21"/>
                <w:szCs w:val="21"/>
              </w:rPr>
              <w:t>《声环境质量标准》（GB</w:t>
            </w:r>
            <w:r>
              <w:rPr>
                <w:rFonts w:hint="eastAsia" w:ascii="Times New Roman" w:hAnsi="Times New Roman" w:cs="Times New Roman"/>
                <w:b w:val="0"/>
                <w:bCs w:val="0"/>
                <w:spacing w:val="10"/>
                <w:sz w:val="21"/>
                <w:szCs w:val="21"/>
                <w:lang w:val="en-US" w:eastAsia="zh-CN"/>
              </w:rPr>
              <w:t xml:space="preserve"> </w:t>
            </w:r>
            <w:r>
              <w:rPr>
                <w:rFonts w:hint="default" w:ascii="Times New Roman" w:hAnsi="Times New Roman" w:eastAsia="宋体" w:cs="Times New Roman"/>
                <w:b w:val="0"/>
                <w:bCs w:val="0"/>
                <w:spacing w:val="10"/>
                <w:sz w:val="21"/>
                <w:szCs w:val="21"/>
              </w:rPr>
              <w:t>3096-2008）</w:t>
            </w:r>
            <w:r>
              <w:rPr>
                <w:rFonts w:hint="default" w:ascii="Times New Roman" w:hAnsi="Times New Roman" w:eastAsia="宋体" w:cs="Times New Roman"/>
                <w:b w:val="0"/>
                <w:bCs w:val="0"/>
                <w:spacing w:val="1"/>
                <w:sz w:val="21"/>
                <w:szCs w:val="21"/>
              </w:rPr>
              <w:t>、</w:t>
            </w:r>
            <w:r>
              <w:rPr>
                <w:rFonts w:hint="default" w:ascii="Times New Roman" w:hAnsi="Times New Roman" w:eastAsia="宋体" w:cs="Times New Roman"/>
                <w:b w:val="0"/>
                <w:bCs w:val="0"/>
                <w:spacing w:val="10"/>
                <w:sz w:val="21"/>
                <w:szCs w:val="21"/>
              </w:rPr>
              <w:t>《工业企业厂界环境噪声排放标准》（GB</w:t>
            </w:r>
            <w:r>
              <w:rPr>
                <w:rFonts w:hint="eastAsia" w:ascii="Times New Roman" w:hAnsi="Times New Roman" w:cs="Times New Roman"/>
                <w:b w:val="0"/>
                <w:bCs w:val="0"/>
                <w:spacing w:val="10"/>
                <w:sz w:val="21"/>
                <w:szCs w:val="21"/>
                <w:lang w:val="en-US" w:eastAsia="zh-CN"/>
              </w:rPr>
              <w:t xml:space="preserve"> </w:t>
            </w:r>
            <w:r>
              <w:rPr>
                <w:rFonts w:hint="default" w:ascii="Times New Roman" w:hAnsi="Times New Roman" w:eastAsia="宋体" w:cs="Times New Roman"/>
                <w:b w:val="0"/>
                <w:bCs w:val="0"/>
                <w:spacing w:val="10"/>
                <w:sz w:val="21"/>
                <w:szCs w:val="21"/>
              </w:rPr>
              <w:t>12348-2008）</w:t>
            </w:r>
            <w:r>
              <w:rPr>
                <w:rFonts w:hint="eastAsia" w:ascii="Times New Roman" w:hAnsi="Times New Roman" w:cs="Times New Roman"/>
                <w:b w:val="0"/>
                <w:bCs w:val="0"/>
                <w:spacing w:val="10"/>
                <w:sz w:val="21"/>
                <w:szCs w:val="21"/>
                <w:lang w:eastAsia="zh-CN"/>
              </w:rPr>
              <w:t>；</w:t>
            </w:r>
          </w:p>
          <w:p w14:paraId="1D11917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b w:val="0"/>
                <w:bCs w:val="0"/>
                <w:spacing w:val="10"/>
                <w:sz w:val="21"/>
                <w:szCs w:val="21"/>
                <w:lang w:eastAsia="zh-CN"/>
              </w:rPr>
            </w:pPr>
            <w:r>
              <w:rPr>
                <w:rFonts w:hint="eastAsia" w:ascii="Times New Roman" w:hAnsi="Times New Roman" w:eastAsia="宋体" w:cs="Times New Roman"/>
                <w:sz w:val="21"/>
                <w:szCs w:val="21"/>
              </w:rPr>
              <w:t>执行标准：《声环境质量标准》</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GB</w:t>
            </w:r>
            <w:r>
              <w:rPr>
                <w:rFonts w:hint="eastAsia" w:ascii="Times New Roman" w:hAnsi="Times New Roman" w:cs="Times New Roman"/>
                <w:sz w:val="21"/>
                <w:szCs w:val="21"/>
                <w:lang w:val="en-US" w:eastAsia="zh-CN"/>
              </w:rPr>
              <w:t xml:space="preserve"> </w:t>
            </w:r>
            <w:r>
              <w:rPr>
                <w:rFonts w:hint="eastAsia" w:ascii="Times New Roman" w:hAnsi="Times New Roman" w:eastAsia="宋体" w:cs="Times New Roman"/>
                <w:sz w:val="21"/>
                <w:szCs w:val="21"/>
              </w:rPr>
              <w:t>3096-2008</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中</w:t>
            </w:r>
            <w:r>
              <w:rPr>
                <w:rFonts w:hint="eastAsia" w:ascii="Times New Roman" w:hAnsi="Times New Roman" w:eastAsia="宋体" w:cs="Times New Roman"/>
                <w:sz w:val="21"/>
                <w:szCs w:val="21"/>
                <w:lang w:val="en-US" w:eastAsia="zh-CN"/>
              </w:rPr>
              <w:t>2类</w:t>
            </w:r>
            <w:r>
              <w:rPr>
                <w:rFonts w:hint="eastAsia" w:ascii="Times New Roman" w:hAnsi="Times New Roman" w:eastAsia="宋体" w:cs="Times New Roman"/>
                <w:sz w:val="21"/>
                <w:szCs w:val="21"/>
              </w:rPr>
              <w:t>要求</w:t>
            </w:r>
            <w:r>
              <w:rPr>
                <w:rFonts w:hint="default" w:ascii="Times New Roman" w:hAnsi="Times New Roman" w:eastAsia="宋体" w:cs="Times New Roman"/>
                <w:b w:val="0"/>
                <w:bCs w:val="0"/>
                <w:spacing w:val="1"/>
                <w:sz w:val="21"/>
                <w:szCs w:val="21"/>
              </w:rPr>
              <w:t>、</w:t>
            </w:r>
            <w:r>
              <w:rPr>
                <w:rFonts w:hint="default" w:ascii="Times New Roman" w:hAnsi="Times New Roman" w:eastAsia="宋体" w:cs="Times New Roman"/>
                <w:b w:val="0"/>
                <w:bCs w:val="0"/>
                <w:spacing w:val="10"/>
                <w:sz w:val="21"/>
                <w:szCs w:val="21"/>
              </w:rPr>
              <w:t>《工业企业厂界环境噪声排放标准》（GB</w:t>
            </w:r>
            <w:r>
              <w:rPr>
                <w:rFonts w:hint="eastAsia" w:ascii="Times New Roman" w:hAnsi="Times New Roman" w:cs="Times New Roman"/>
                <w:b w:val="0"/>
                <w:bCs w:val="0"/>
                <w:spacing w:val="10"/>
                <w:sz w:val="21"/>
                <w:szCs w:val="21"/>
                <w:lang w:val="en-US" w:eastAsia="zh-CN"/>
              </w:rPr>
              <w:t xml:space="preserve"> </w:t>
            </w:r>
            <w:r>
              <w:rPr>
                <w:rFonts w:hint="default" w:ascii="Times New Roman" w:hAnsi="Times New Roman" w:eastAsia="宋体" w:cs="Times New Roman"/>
                <w:b w:val="0"/>
                <w:bCs w:val="0"/>
                <w:spacing w:val="10"/>
                <w:sz w:val="21"/>
                <w:szCs w:val="21"/>
              </w:rPr>
              <w:t>12348-2008）</w:t>
            </w:r>
            <w:r>
              <w:rPr>
                <w:rFonts w:hint="eastAsia" w:ascii="Times New Roman" w:hAnsi="Times New Roman" w:eastAsia="宋体" w:cs="Times New Roman"/>
                <w:sz w:val="21"/>
                <w:szCs w:val="21"/>
                <w:lang w:val="en-US" w:eastAsia="zh-CN"/>
              </w:rPr>
              <w:t>2类</w:t>
            </w:r>
            <w:r>
              <w:rPr>
                <w:rFonts w:hint="eastAsia" w:ascii="Times New Roman" w:hAnsi="Times New Roman" w:eastAsia="宋体" w:cs="Times New Roman"/>
                <w:sz w:val="21"/>
                <w:szCs w:val="21"/>
              </w:rPr>
              <w:t>要求</w:t>
            </w:r>
          </w:p>
        </w:tc>
      </w:tr>
      <w:tr w14:paraId="0B4A3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gridSpan w:val="2"/>
            <w:noWrap w:val="0"/>
            <w:vAlign w:val="center"/>
          </w:tcPr>
          <w:p w14:paraId="66F33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sz w:val="21"/>
                <w:szCs w:val="21"/>
              </w:rPr>
            </w:pPr>
          </w:p>
          <w:p w14:paraId="28157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sz w:val="21"/>
                <w:szCs w:val="21"/>
              </w:rPr>
            </w:pPr>
          </w:p>
          <w:p w14:paraId="2A197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sz w:val="21"/>
                <w:szCs w:val="21"/>
              </w:rPr>
            </w:pPr>
          </w:p>
          <w:p w14:paraId="3E662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5"/>
                <w:sz w:val="21"/>
                <w:szCs w:val="21"/>
              </w:rPr>
              <w:t>电磁环境监测</w:t>
            </w:r>
          </w:p>
        </w:tc>
        <w:tc>
          <w:tcPr>
            <w:tcW w:w="2399" w:type="dxa"/>
            <w:gridSpan w:val="3"/>
            <w:noWrap w:val="0"/>
            <w:vAlign w:val="center"/>
          </w:tcPr>
          <w:p w14:paraId="6D7F3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b w:val="0"/>
                <w:bCs w:val="0"/>
                <w:spacing w:val="1"/>
                <w:sz w:val="21"/>
                <w:szCs w:val="21"/>
              </w:rPr>
            </w:pPr>
            <w:r>
              <w:rPr>
                <w:rFonts w:hint="default" w:ascii="Times New Roman" w:hAnsi="Times New Roman" w:eastAsia="宋体" w:cs="Times New Roman"/>
                <w:b w:val="0"/>
                <w:bCs w:val="0"/>
                <w:spacing w:val="1"/>
                <w:sz w:val="21"/>
                <w:szCs w:val="21"/>
              </w:rPr>
              <w:t>监测因子：工频电场、工频磁场</w:t>
            </w:r>
          </w:p>
          <w:p w14:paraId="6E728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1"/>
                <w:sz w:val="21"/>
                <w:szCs w:val="21"/>
              </w:rPr>
              <w:t>监测频率：环保竣工验收监测一次，建设单位应根据实际建设项目运行产生的环境影响情况或有群众反映相关环保问</w:t>
            </w:r>
            <w:r>
              <w:rPr>
                <w:rFonts w:hint="default" w:ascii="Times New Roman" w:hAnsi="Times New Roman" w:eastAsia="宋体" w:cs="Times New Roman"/>
                <w:b w:val="0"/>
                <w:bCs w:val="0"/>
                <w:spacing w:val="-3"/>
                <w:sz w:val="21"/>
                <w:szCs w:val="21"/>
              </w:rPr>
              <w:t>题时进行监测。</w:t>
            </w:r>
          </w:p>
        </w:tc>
        <w:tc>
          <w:tcPr>
            <w:tcW w:w="3137" w:type="dxa"/>
            <w:gridSpan w:val="6"/>
            <w:noWrap w:val="0"/>
            <w:vAlign w:val="center"/>
          </w:tcPr>
          <w:p w14:paraId="07A426C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对</w:t>
            </w:r>
            <w:r>
              <w:rPr>
                <w:rFonts w:hint="eastAsia" w:ascii="Times New Roman" w:hAnsi="Times New Roman" w:cs="Times New Roman"/>
                <w:color w:val="000000" w:themeColor="text1"/>
                <w:spacing w:val="8"/>
                <w:sz w:val="21"/>
                <w:szCs w:val="21"/>
                <w:highlight w:val="none"/>
                <w:lang w:val="en-US" w:eastAsia="zh-CN"/>
                <w14:textFill>
                  <w14:solidFill>
                    <w14:schemeClr w14:val="tx1"/>
                  </w14:solidFill>
                </w14:textFill>
              </w:rPr>
              <w:t>升压</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站进出线端厂界进行布点监测，并</w:t>
            </w: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对</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线路断面进行布点监测</w:t>
            </w:r>
            <w:r>
              <w:rPr>
                <w:rFonts w:hint="eastAsia" w:ascii="Times New Roman" w:hAnsi="Times New Roman" w:cs="Times New Roman"/>
                <w:color w:val="000000" w:themeColor="text1"/>
                <w:spacing w:val="8"/>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电</w:t>
            </w: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磁</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敏感点增加布点</w:t>
            </w:r>
            <w:r>
              <w:rPr>
                <w:rFonts w:hint="eastAsia" w:ascii="Times New Roman" w:hAnsi="Times New Roman" w:cs="Times New Roman"/>
                <w:color w:val="000000" w:themeColor="text1"/>
                <w:spacing w:val="8"/>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监测点位及要求应满</w:t>
            </w:r>
            <w:r>
              <w:rPr>
                <w:rFonts w:hint="default" w:ascii="Times New Roman" w:hAnsi="Times New Roman" w:eastAsia="宋体" w:cs="Times New Roman"/>
                <w:color w:val="000000" w:themeColor="text1"/>
                <w:spacing w:val="12"/>
                <w:sz w:val="21"/>
                <w:szCs w:val="21"/>
                <w:highlight w:val="none"/>
                <w14:textFill>
                  <w14:solidFill>
                    <w14:schemeClr w14:val="tx1"/>
                  </w14:solidFill>
                </w14:textFill>
              </w:rPr>
              <w:t>足</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《建设项目竣工环境保护验收技术规范</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输</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变电》</w:t>
            </w:r>
            <w:r>
              <w:rPr>
                <w:rFonts w:hint="eastAsia" w:ascii="Times New Roman" w:hAnsi="Times New Roman" w:eastAsia="宋体" w:cs="Times New Roman"/>
                <w:color w:val="000000" w:themeColor="text1"/>
                <w:spacing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705-2020</w:t>
            </w:r>
            <w:r>
              <w:rPr>
                <w:rFonts w:hint="eastAsia" w:ascii="Times New Roman" w:hAnsi="Times New Roman" w:eastAsia="宋体" w:cs="Times New Roman"/>
                <w:color w:val="000000" w:themeColor="text1"/>
                <w:spacing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及《交流输变电工</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程电磁环境监测方法</w:t>
            </w:r>
            <w:r>
              <w:rPr>
                <w:rFonts w:hint="default" w:ascii="Times New Roman" w:hAnsi="Times New Roman" w:eastAsia="宋体" w:cs="Times New Roman"/>
                <w:b w:val="0"/>
                <w:bCs w:val="0"/>
                <w:spacing w:val="-1"/>
                <w:sz w:val="21"/>
                <w:szCs w:val="21"/>
              </w:rPr>
              <w:t>(试行)</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681-2013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t>
            </w:r>
          </w:p>
        </w:tc>
        <w:tc>
          <w:tcPr>
            <w:tcW w:w="3000" w:type="dxa"/>
            <w:gridSpan w:val="3"/>
            <w:noWrap w:val="0"/>
            <w:vAlign w:val="center"/>
          </w:tcPr>
          <w:p w14:paraId="35376D9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pacing w:val="-1"/>
                <w:sz w:val="21"/>
                <w:szCs w:val="21"/>
                <w:lang w:eastAsia="zh-CN"/>
              </w:rPr>
            </w:pPr>
            <w:r>
              <w:rPr>
                <w:rFonts w:hint="default" w:ascii="Times New Roman" w:hAnsi="Times New Roman" w:eastAsia="宋体" w:cs="Times New Roman"/>
                <w:b w:val="0"/>
                <w:bCs w:val="0"/>
                <w:spacing w:val="10"/>
                <w:sz w:val="21"/>
                <w:szCs w:val="21"/>
              </w:rPr>
              <w:t>监测</w:t>
            </w:r>
            <w:r>
              <w:rPr>
                <w:rFonts w:hint="default" w:ascii="Times New Roman" w:hAnsi="Times New Roman" w:eastAsia="宋体" w:cs="Times New Roman"/>
                <w:b w:val="0"/>
                <w:bCs w:val="0"/>
                <w:spacing w:val="-1"/>
                <w:sz w:val="21"/>
                <w:szCs w:val="21"/>
              </w:rPr>
              <w:t>方法</w:t>
            </w:r>
            <w:r>
              <w:rPr>
                <w:rFonts w:hint="eastAsia" w:ascii="Times New Roman" w:hAnsi="Times New Roman" w:eastAsia="宋体" w:cs="Times New Roman"/>
                <w:b w:val="0"/>
                <w:bCs w:val="0"/>
                <w:spacing w:val="-1"/>
                <w:sz w:val="21"/>
                <w:szCs w:val="21"/>
                <w:lang w:eastAsia="zh-CN"/>
              </w:rPr>
              <w:t>：</w:t>
            </w:r>
            <w:r>
              <w:rPr>
                <w:rFonts w:hint="default" w:ascii="Times New Roman" w:hAnsi="Times New Roman" w:eastAsia="宋体" w:cs="Times New Roman"/>
                <w:b w:val="0"/>
                <w:bCs w:val="0"/>
                <w:spacing w:val="10"/>
                <w:sz w:val="21"/>
                <w:szCs w:val="21"/>
              </w:rPr>
              <w:t>《交流输变电工程电磁环境监测</w:t>
            </w:r>
            <w:r>
              <w:rPr>
                <w:rFonts w:hint="default" w:ascii="Times New Roman" w:hAnsi="Times New Roman" w:eastAsia="宋体" w:cs="Times New Roman"/>
                <w:b w:val="0"/>
                <w:bCs w:val="0"/>
                <w:spacing w:val="-1"/>
                <w:sz w:val="21"/>
                <w:szCs w:val="21"/>
              </w:rPr>
              <w:t>方法(试行)》(HJ</w:t>
            </w:r>
            <w:r>
              <w:rPr>
                <w:rFonts w:hint="eastAsia" w:ascii="Times New Roman" w:hAnsi="Times New Roman" w:cs="Times New Roman"/>
                <w:b w:val="0"/>
                <w:bCs w:val="0"/>
                <w:spacing w:val="-1"/>
                <w:sz w:val="21"/>
                <w:szCs w:val="21"/>
                <w:lang w:val="en-US" w:eastAsia="zh-CN"/>
              </w:rPr>
              <w:t xml:space="preserve"> </w:t>
            </w:r>
            <w:r>
              <w:rPr>
                <w:rFonts w:hint="default" w:ascii="Times New Roman" w:hAnsi="Times New Roman" w:eastAsia="宋体" w:cs="Times New Roman"/>
                <w:b w:val="0"/>
                <w:bCs w:val="0"/>
                <w:spacing w:val="-1"/>
                <w:sz w:val="21"/>
                <w:szCs w:val="21"/>
              </w:rPr>
              <w:t>681-2013)</w:t>
            </w:r>
            <w:r>
              <w:rPr>
                <w:rFonts w:hint="eastAsia" w:ascii="Times New Roman" w:hAnsi="Times New Roman" w:eastAsia="宋体" w:cs="Times New Roman"/>
                <w:b w:val="0"/>
                <w:bCs w:val="0"/>
                <w:spacing w:val="-1"/>
                <w:sz w:val="21"/>
                <w:szCs w:val="21"/>
                <w:lang w:eastAsia="zh-CN"/>
              </w:rPr>
              <w:t>；</w:t>
            </w:r>
          </w:p>
          <w:p w14:paraId="6516C89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0"/>
                <w:sz w:val="21"/>
                <w:szCs w:val="21"/>
              </w:rPr>
            </w:pPr>
            <w:r>
              <w:rPr>
                <w:rFonts w:hint="eastAsia" w:ascii="Times New Roman" w:hAnsi="Times New Roman" w:eastAsia="宋体" w:cs="Times New Roman"/>
                <w:sz w:val="21"/>
                <w:szCs w:val="21"/>
              </w:rPr>
              <w:t>执行标准：《电磁环境控制限值》(GB</w:t>
            </w:r>
            <w:r>
              <w:rPr>
                <w:rFonts w:hint="eastAsia" w:ascii="Times New Roman" w:hAnsi="Times New Roman" w:cs="Times New Roman"/>
                <w:sz w:val="21"/>
                <w:szCs w:val="21"/>
                <w:lang w:val="en-US" w:eastAsia="zh-CN"/>
              </w:rPr>
              <w:t xml:space="preserve"> </w:t>
            </w:r>
            <w:r>
              <w:rPr>
                <w:rFonts w:hint="eastAsia" w:ascii="Times New Roman" w:hAnsi="Times New Roman" w:eastAsia="宋体" w:cs="Times New Roman"/>
                <w:sz w:val="21"/>
                <w:szCs w:val="21"/>
              </w:rPr>
              <w:t>8702-2014)</w:t>
            </w:r>
          </w:p>
        </w:tc>
      </w:tr>
      <w:tr w14:paraId="5DDB1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gridSpan w:val="2"/>
            <w:noWrap w:val="0"/>
            <w:vAlign w:val="center"/>
          </w:tcPr>
          <w:p w14:paraId="4E7CF60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4"/>
                <w:sz w:val="21"/>
                <w:szCs w:val="21"/>
              </w:rPr>
              <w:t>生态恢复监管</w:t>
            </w:r>
          </w:p>
        </w:tc>
        <w:tc>
          <w:tcPr>
            <w:tcW w:w="2399" w:type="dxa"/>
            <w:gridSpan w:val="3"/>
            <w:noWrap w:val="0"/>
            <w:vAlign w:val="center"/>
          </w:tcPr>
          <w:p w14:paraId="755D87C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1"/>
                <w:sz w:val="21"/>
                <w:szCs w:val="21"/>
              </w:rPr>
              <w:t>生态系统及其生物因子、非生</w:t>
            </w:r>
            <w:r>
              <w:rPr>
                <w:rFonts w:hint="default" w:ascii="Times New Roman" w:hAnsi="Times New Roman" w:eastAsia="宋体" w:cs="Times New Roman"/>
                <w:b w:val="0"/>
                <w:bCs w:val="0"/>
                <w:spacing w:val="-2"/>
                <w:sz w:val="21"/>
                <w:szCs w:val="21"/>
              </w:rPr>
              <w:t>物因子</w:t>
            </w:r>
          </w:p>
        </w:tc>
        <w:tc>
          <w:tcPr>
            <w:tcW w:w="3137" w:type="dxa"/>
            <w:gridSpan w:val="6"/>
            <w:noWrap w:val="0"/>
            <w:vAlign w:val="center"/>
          </w:tcPr>
          <w:p w14:paraId="6120457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pacing w:val="11"/>
                <w:sz w:val="21"/>
                <w:szCs w:val="21"/>
              </w:rPr>
            </w:pPr>
            <w:r>
              <w:rPr>
                <w:rFonts w:hint="default" w:ascii="Times New Roman" w:hAnsi="Times New Roman" w:eastAsia="宋体" w:cs="Times New Roman"/>
                <w:b w:val="0"/>
                <w:bCs w:val="0"/>
                <w:spacing w:val="-1"/>
                <w:sz w:val="21"/>
                <w:szCs w:val="21"/>
              </w:rPr>
              <w:t>生态监管主要是定期对工程临时占地的水土流失沙化土地及控制情况进行调查统计，根据实际情况制定完善生态恢复计划，确保工程临时占地恢复原有地貌。</w:t>
            </w:r>
          </w:p>
        </w:tc>
        <w:tc>
          <w:tcPr>
            <w:tcW w:w="3000" w:type="dxa"/>
            <w:gridSpan w:val="3"/>
            <w:noWrap w:val="0"/>
            <w:vAlign w:val="center"/>
          </w:tcPr>
          <w:p w14:paraId="355AD02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pacing w:val="-1"/>
                <w:sz w:val="21"/>
                <w:szCs w:val="21"/>
                <w:lang w:val="en-US" w:eastAsia="zh-CN"/>
              </w:rPr>
            </w:pPr>
            <w:r>
              <w:rPr>
                <w:rFonts w:hint="eastAsia" w:ascii="Times New Roman" w:hAnsi="Times New Roman" w:cs="Times New Roman"/>
                <w:b w:val="0"/>
                <w:bCs w:val="0"/>
                <w:spacing w:val="-1"/>
                <w:sz w:val="21"/>
                <w:szCs w:val="21"/>
                <w:lang w:val="en-US" w:eastAsia="zh-CN"/>
              </w:rPr>
              <w:t>/</w:t>
            </w:r>
          </w:p>
        </w:tc>
      </w:tr>
      <w:tr w14:paraId="1997D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vAlign w:val="center"/>
          </w:tcPr>
          <w:p w14:paraId="60C45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textAlignment w:val="auto"/>
              <w:rPr>
                <w:rFonts w:hint="eastAsia" w:ascii="Times New Roman" w:hAnsi="Times New Roman" w:eastAsia="宋体" w:cs="宋体"/>
                <w:b/>
                <w:bCs/>
                <w:sz w:val="24"/>
                <w:highlight w:val="none"/>
                <w:lang w:val="en-US" w:eastAsia="zh-CN"/>
              </w:rPr>
            </w:pPr>
          </w:p>
          <w:p w14:paraId="10BC9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cs="宋体"/>
                <w:b/>
                <w:bCs/>
                <w:sz w:val="24"/>
                <w:highlight w:val="none"/>
                <w:lang w:val="en-US" w:eastAsia="zh-CN"/>
              </w:rPr>
            </w:pPr>
            <w:r>
              <w:rPr>
                <w:rFonts w:hint="eastAsia" w:ascii="Times New Roman" w:hAnsi="Times New Roman" w:eastAsia="宋体" w:cs="宋体"/>
                <w:b/>
                <w:bCs/>
                <w:sz w:val="24"/>
                <w:highlight w:val="none"/>
                <w:lang w:val="en-US" w:eastAsia="zh-CN"/>
              </w:rPr>
              <w:t>5.</w:t>
            </w:r>
            <w:r>
              <w:rPr>
                <w:rFonts w:hint="eastAsia" w:cs="宋体"/>
                <w:b/>
                <w:bCs/>
                <w:sz w:val="24"/>
                <w:highlight w:val="none"/>
                <w:lang w:val="en-US" w:eastAsia="zh-CN"/>
              </w:rPr>
              <w:t>3.3</w:t>
            </w:r>
            <w:r>
              <w:rPr>
                <w:rFonts w:hint="eastAsia" w:ascii="Times New Roman" w:hAnsi="Times New Roman" w:cs="宋体"/>
                <w:b/>
                <w:bCs/>
                <w:sz w:val="24"/>
                <w:highlight w:val="none"/>
                <w:lang w:val="en-US" w:eastAsia="zh-CN"/>
              </w:rPr>
              <w:t>环保验收</w:t>
            </w:r>
          </w:p>
          <w:p w14:paraId="2918FA4F">
            <w:pPr>
              <w:pStyle w:val="163"/>
              <w:keepNext w:val="0"/>
              <w:keepLines w:val="0"/>
              <w:suppressLineNumbers w:val="0"/>
              <w:bidi w:val="0"/>
              <w:spacing w:before="0" w:beforeAutospacing="0" w:after="0" w:afterAutospacing="0"/>
              <w:ind w:right="0"/>
              <w:rPr>
                <w:rFonts w:hint="default" w:ascii="Times New Roman" w:hAnsi="Times New Roman" w:eastAsia="宋体" w:cs="Times New Roman"/>
                <w:b w:val="0"/>
                <w:bCs w:val="0"/>
                <w:spacing w:val="-1"/>
                <w:sz w:val="21"/>
                <w:szCs w:val="21"/>
              </w:rPr>
            </w:pPr>
            <w:r>
              <w:rPr>
                <w:rFonts w:hint="default" w:ascii="Times New Roman" w:hAnsi="Times New Roman" w:eastAsia="宋体" w:cs="宋体"/>
                <w:sz w:val="24"/>
                <w:szCs w:val="24"/>
              </w:rPr>
              <w:t>根据《建设项目环境保护管理条例》规定，建设项目需要配套建设的环保设施，必须与主体工程同时设计、同时施工、同时投产使用。建设单位应根据《建设项目竣工环境保护验收暂行办法》（国环规环评〔2017〕4号）相关规定，按照《建设项目竣工环境保护验收技术规范</w:t>
            </w:r>
            <w:r>
              <w:rPr>
                <w:rFonts w:hint="eastAsia" w:cs="宋体"/>
                <w:sz w:val="24"/>
                <w:szCs w:val="24"/>
                <w:lang w:val="en-US" w:eastAsia="zh-CN"/>
              </w:rPr>
              <w:t xml:space="preserve"> </w:t>
            </w:r>
            <w:r>
              <w:rPr>
                <w:rFonts w:hint="default" w:ascii="Times New Roman" w:hAnsi="Times New Roman" w:eastAsia="宋体" w:cs="宋体"/>
                <w:sz w:val="24"/>
                <w:szCs w:val="24"/>
              </w:rPr>
              <w:t>输变电》（HJ</w:t>
            </w:r>
            <w:r>
              <w:rPr>
                <w:rFonts w:hint="eastAsia" w:cs="宋体"/>
                <w:sz w:val="24"/>
                <w:szCs w:val="24"/>
                <w:lang w:val="en-US" w:eastAsia="zh-CN"/>
              </w:rPr>
              <w:t xml:space="preserve"> </w:t>
            </w:r>
            <w:r>
              <w:rPr>
                <w:rFonts w:hint="default" w:ascii="Times New Roman" w:hAnsi="Times New Roman" w:eastAsia="宋体" w:cs="宋体"/>
                <w:sz w:val="24"/>
                <w:szCs w:val="24"/>
              </w:rPr>
              <w:t>705-2020）编制验收调查表，完成项目验收备案</w:t>
            </w:r>
            <w:r>
              <w:rPr>
                <w:rFonts w:hint="eastAsia" w:ascii="Times New Roman" w:hAnsi="Times New Roman" w:eastAsia="宋体" w:cs="宋体"/>
                <w:sz w:val="24"/>
                <w:szCs w:val="24"/>
                <w:lang w:eastAsia="zh-CN"/>
              </w:rPr>
              <w:t>。</w:t>
            </w:r>
            <w:r>
              <w:rPr>
                <w:rFonts w:hint="eastAsia"/>
                <w:color w:val="000000" w:themeColor="text1"/>
                <w:lang w:val="en-US" w:eastAsia="zh-CN"/>
                <w14:textFill>
                  <w14:solidFill>
                    <w14:schemeClr w14:val="tx1"/>
                  </w14:solidFill>
                </w14:textFill>
              </w:rPr>
              <w:t>项目在取得环评批复后，建设单位需进行本工程环境保护竣工验收工作。</w:t>
            </w:r>
          </w:p>
        </w:tc>
      </w:tr>
      <w:tr w14:paraId="12909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vAlign w:val="center"/>
          </w:tcPr>
          <w:p w14:paraId="6D0FB16A">
            <w:pPr>
              <w:keepNext w:val="0"/>
              <w:keepLines w:val="0"/>
              <w:pageBreakBefore w:val="0"/>
              <w:widowControl w:val="0"/>
              <w:suppressLineNumbers w:val="0"/>
              <w:kinsoku/>
              <w:wordWrap/>
              <w:overflowPunct/>
              <w:topLinePunct w:val="0"/>
              <w:autoSpaceDE/>
              <w:autoSpaceDN/>
              <w:bidi w:val="0"/>
              <w:adjustRightInd w:val="0"/>
              <w:snapToGrid w:val="0"/>
              <w:spacing w:before="60" w:beforeAutospacing="0" w:after="60" w:afterAutospacing="0" w:line="240" w:lineRule="auto"/>
              <w:ind w:left="0" w:right="0" w:firstLine="0" w:firstLineChars="0"/>
              <w:jc w:val="center"/>
              <w:textAlignment w:val="auto"/>
              <w:rPr>
                <w:rFonts w:hint="default" w:ascii="宋体" w:hAnsi="宋体" w:cs="宋体"/>
                <w:bCs/>
                <w:spacing w:val="10"/>
                <w:szCs w:val="21"/>
              </w:rPr>
            </w:pPr>
            <w:r>
              <w:rPr>
                <w:rFonts w:hint="eastAsia" w:ascii="Times New Roman" w:hAnsi="Times New Roman" w:eastAsia="宋体" w:cstheme="majorBidi"/>
                <w:b/>
                <w:bCs/>
                <w:color w:val="000000" w:themeColor="text1"/>
                <w:kern w:val="2"/>
                <w:sz w:val="24"/>
                <w:szCs w:val="32"/>
                <w:highlight w:val="none"/>
                <w:lang w:val="en-US" w:eastAsia="zh-CN" w:bidi="ar-SA"/>
                <w14:textFill>
                  <w14:solidFill>
                    <w14:schemeClr w14:val="tx1"/>
                  </w14:solidFill>
                </w14:textFill>
              </w:rPr>
              <w:t>环保投资</w:t>
            </w:r>
          </w:p>
        </w:tc>
      </w:tr>
      <w:tr w14:paraId="15763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9210" w:type="dxa"/>
            <w:gridSpan w:val="14"/>
            <w:noWrap w:val="0"/>
            <w:vAlign w:val="center"/>
          </w:tcPr>
          <w:p w14:paraId="6EF0D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Times New Roman" w:hAnsi="Times New Roman" w:eastAsia="宋体" w:cs="宋体"/>
                <w:color w:val="000000"/>
                <w:sz w:val="24"/>
                <w:szCs w:val="24"/>
                <w:highlight w:val="none"/>
              </w:rPr>
            </w:pPr>
            <w:r>
              <w:rPr>
                <w:rFonts w:hint="eastAsia" w:ascii="宋体" w:hAnsi="宋体" w:eastAsia="宋体" w:cs="宋体"/>
                <w:color w:val="000000"/>
                <w:sz w:val="24"/>
                <w:szCs w:val="24"/>
                <w:highlight w:val="none"/>
              </w:rPr>
              <w:t>本工程的总投资为</w:t>
            </w:r>
            <w:r>
              <w:rPr>
                <w:rFonts w:hint="eastAsia" w:ascii="Times New Roman" w:hAnsi="Times New Roman" w:cs="宋体"/>
                <w:color w:val="000000"/>
                <w:sz w:val="24"/>
                <w:szCs w:val="24"/>
                <w:highlight w:val="none"/>
                <w:lang w:val="en-US" w:eastAsia="zh-CN"/>
              </w:rPr>
              <w:t>517.96</w:t>
            </w:r>
            <w:r>
              <w:rPr>
                <w:rFonts w:hint="eastAsia" w:ascii="Times New Roman" w:hAnsi="Times New Roman" w:eastAsia="宋体" w:cs="宋体"/>
                <w:color w:val="auto"/>
                <w:sz w:val="24"/>
                <w:szCs w:val="24"/>
                <w:highlight w:val="none"/>
              </w:rPr>
              <w:t>万元</w:t>
            </w:r>
            <w:r>
              <w:rPr>
                <w:rFonts w:hint="eastAsia" w:ascii="Times New Roman" w:hAnsi="Times New Roman" w:eastAsia="宋体" w:cs="宋体"/>
                <w:color w:val="000000"/>
                <w:sz w:val="24"/>
                <w:szCs w:val="24"/>
                <w:highlight w:val="none"/>
              </w:rPr>
              <w:t>，其中环保投资约</w:t>
            </w:r>
            <w:r>
              <w:rPr>
                <w:rFonts w:hint="eastAsia" w:cs="宋体"/>
                <w:color w:val="000000"/>
                <w:sz w:val="24"/>
                <w:szCs w:val="24"/>
                <w:highlight w:val="none"/>
                <w:lang w:val="en-US" w:eastAsia="zh-CN"/>
              </w:rPr>
              <w:t>24.5</w:t>
            </w:r>
            <w:r>
              <w:rPr>
                <w:rFonts w:hint="eastAsia" w:ascii="Times New Roman" w:hAnsi="Times New Roman" w:eastAsia="宋体" w:cs="宋体"/>
                <w:color w:val="000000"/>
                <w:sz w:val="24"/>
                <w:szCs w:val="24"/>
                <w:highlight w:val="none"/>
              </w:rPr>
              <w:t>万元，占总投资额的</w:t>
            </w:r>
            <w:r>
              <w:rPr>
                <w:rFonts w:hint="eastAsia" w:cs="宋体"/>
                <w:color w:val="000000"/>
                <w:sz w:val="24"/>
                <w:szCs w:val="24"/>
                <w:highlight w:val="none"/>
                <w:lang w:val="en-US" w:eastAsia="zh-CN"/>
              </w:rPr>
              <w:t>4.7</w:t>
            </w:r>
            <w:r>
              <w:rPr>
                <w:rFonts w:hint="eastAsia" w:ascii="Times New Roman" w:hAnsi="Times New Roman" w:eastAsia="宋体" w:cs="宋体"/>
                <w:color w:val="000000"/>
                <w:sz w:val="24"/>
                <w:szCs w:val="24"/>
                <w:highlight w:val="none"/>
              </w:rPr>
              <w:t>%。环保投资明细见下表。</w:t>
            </w:r>
          </w:p>
          <w:p w14:paraId="5C3D0B7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宋体" w:hAnsi="宋体" w:eastAsia="宋体" w:cs="宋体"/>
                <w:color w:val="000000"/>
                <w:sz w:val="24"/>
                <w:szCs w:val="24"/>
                <w:highlight w:val="none"/>
              </w:rPr>
            </w:pPr>
            <w:r>
              <w:rPr>
                <w:rFonts w:hint="eastAsia" w:ascii="Times New Roman" w:hAnsi="Times New Roman" w:eastAsia="宋体" w:cs="宋体"/>
                <w:b/>
                <w:bCs/>
                <w:color w:val="000000"/>
                <w:sz w:val="24"/>
                <w:szCs w:val="24"/>
                <w:highlight w:val="none"/>
                <w:lang w:val="en-US" w:eastAsia="zh-CN"/>
              </w:rPr>
              <w:t>表</w:t>
            </w:r>
            <w:r>
              <w:rPr>
                <w:rFonts w:hint="eastAsia" w:ascii="Times New Roman" w:hAnsi="Times New Roman" w:cs="宋体"/>
                <w:b/>
                <w:bCs/>
                <w:color w:val="000000"/>
                <w:sz w:val="24"/>
                <w:szCs w:val="24"/>
                <w:highlight w:val="none"/>
                <w:lang w:val="en-US" w:eastAsia="zh-CN"/>
              </w:rPr>
              <w:t>5-</w:t>
            </w:r>
            <w:r>
              <w:rPr>
                <w:rFonts w:hint="eastAsia" w:cs="宋体"/>
                <w:b/>
                <w:bCs/>
                <w:color w:val="000000"/>
                <w:sz w:val="24"/>
                <w:szCs w:val="24"/>
                <w:highlight w:val="none"/>
                <w:lang w:val="en-US" w:eastAsia="zh-CN"/>
              </w:rPr>
              <w:t xml:space="preserve">4 </w:t>
            </w:r>
            <w:r>
              <w:rPr>
                <w:rFonts w:hint="eastAsia" w:ascii="宋体" w:hAnsi="宋体" w:eastAsia="宋体" w:cs="宋体"/>
                <w:b/>
                <w:bCs/>
                <w:color w:val="000000"/>
                <w:sz w:val="24"/>
                <w:szCs w:val="24"/>
                <w:highlight w:val="none"/>
              </w:rPr>
              <w:t>工程环保投资一览表</w:t>
            </w:r>
          </w:p>
        </w:tc>
      </w:tr>
      <w:tr w14:paraId="31904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4" w:type="dxa"/>
            <w:gridSpan w:val="4"/>
            <w:noWrap w:val="0"/>
            <w:vAlign w:val="center"/>
          </w:tcPr>
          <w:p w14:paraId="69F4B66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bookmarkStart w:id="17" w:name="_Toc8194"/>
            <w:r>
              <w:rPr>
                <w:rFonts w:hint="default" w:ascii="Times New Roman" w:hAnsi="Times New Roman" w:cs="Times New Roman"/>
                <w:b w:val="0"/>
                <w:bCs w:val="0"/>
                <w:color w:val="000000" w:themeColor="text1"/>
                <w:sz w:val="21"/>
                <w:szCs w:val="21"/>
                <w:highlight w:val="none"/>
                <w14:textFill>
                  <w14:solidFill>
                    <w14:schemeClr w14:val="tx1"/>
                  </w14:solidFill>
                </w14:textFill>
              </w:rPr>
              <w:t>工程实施时段</w:t>
            </w:r>
          </w:p>
        </w:tc>
        <w:tc>
          <w:tcPr>
            <w:tcW w:w="6055" w:type="dxa"/>
            <w:gridSpan w:val="9"/>
            <w:noWrap w:val="0"/>
            <w:vAlign w:val="center"/>
          </w:tcPr>
          <w:p w14:paraId="3C4AA96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环保设施</w:t>
            </w:r>
          </w:p>
        </w:tc>
        <w:tc>
          <w:tcPr>
            <w:tcW w:w="1581" w:type="dxa"/>
            <w:noWrap w:val="0"/>
            <w:vAlign w:val="center"/>
          </w:tcPr>
          <w:p w14:paraId="305361E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8"/>
                <w:sz w:val="21"/>
                <w:szCs w:val="21"/>
                <w14:textFill>
                  <w14:solidFill>
                    <w14:schemeClr w14:val="tx1"/>
                  </w14:solidFill>
                </w14:textFill>
              </w:rPr>
              <w:t>费用(万元)</w:t>
            </w:r>
          </w:p>
        </w:tc>
      </w:tr>
      <w:tr w14:paraId="4B8FE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574" w:type="dxa"/>
            <w:gridSpan w:val="4"/>
            <w:vMerge w:val="restart"/>
            <w:noWrap w:val="0"/>
            <w:vAlign w:val="center"/>
          </w:tcPr>
          <w:p w14:paraId="7717E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施工期</w:t>
            </w:r>
          </w:p>
        </w:tc>
        <w:tc>
          <w:tcPr>
            <w:tcW w:w="1568" w:type="dxa"/>
            <w:gridSpan w:val="2"/>
            <w:noWrap w:val="0"/>
            <w:vAlign w:val="center"/>
          </w:tcPr>
          <w:p w14:paraId="3B8BE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生态环境</w:t>
            </w:r>
          </w:p>
        </w:tc>
        <w:tc>
          <w:tcPr>
            <w:tcW w:w="4487" w:type="dxa"/>
            <w:gridSpan w:val="7"/>
            <w:noWrap w:val="0"/>
            <w:vAlign w:val="center"/>
          </w:tcPr>
          <w:p w14:paraId="6F12412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控制用地，减少弃土，表土保护，临时占地生态恢复、防沙固沙</w:t>
            </w:r>
          </w:p>
        </w:tc>
        <w:tc>
          <w:tcPr>
            <w:tcW w:w="1581" w:type="dxa"/>
            <w:noWrap w:val="0"/>
            <w:vAlign w:val="center"/>
          </w:tcPr>
          <w:p w14:paraId="7B9FD48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4.5</w:t>
            </w:r>
          </w:p>
        </w:tc>
      </w:tr>
      <w:tr w14:paraId="4350E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574" w:type="dxa"/>
            <w:gridSpan w:val="4"/>
            <w:vMerge w:val="continue"/>
            <w:noWrap w:val="0"/>
            <w:vAlign w:val="center"/>
          </w:tcPr>
          <w:p w14:paraId="70FE1A1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1568" w:type="dxa"/>
            <w:gridSpan w:val="2"/>
            <w:noWrap w:val="0"/>
            <w:vAlign w:val="center"/>
          </w:tcPr>
          <w:p w14:paraId="7606F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大气环境</w:t>
            </w:r>
          </w:p>
        </w:tc>
        <w:tc>
          <w:tcPr>
            <w:tcW w:w="4487" w:type="dxa"/>
            <w:gridSpan w:val="7"/>
            <w:noWrap w:val="0"/>
            <w:vAlign w:val="center"/>
          </w:tcPr>
          <w:p w14:paraId="34BDB42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施工场地扬尘治理</w:t>
            </w:r>
          </w:p>
        </w:tc>
        <w:tc>
          <w:tcPr>
            <w:tcW w:w="1581" w:type="dxa"/>
            <w:noWrap w:val="0"/>
            <w:vAlign w:val="center"/>
          </w:tcPr>
          <w:p w14:paraId="1A44B7A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w:t>
            </w:r>
          </w:p>
        </w:tc>
      </w:tr>
      <w:tr w14:paraId="5F895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574" w:type="dxa"/>
            <w:gridSpan w:val="4"/>
            <w:vMerge w:val="continue"/>
            <w:noWrap w:val="0"/>
            <w:vAlign w:val="center"/>
          </w:tcPr>
          <w:p w14:paraId="2ACE409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p>
        </w:tc>
        <w:tc>
          <w:tcPr>
            <w:tcW w:w="1568" w:type="dxa"/>
            <w:gridSpan w:val="2"/>
            <w:noWrap w:val="0"/>
            <w:vAlign w:val="center"/>
          </w:tcPr>
          <w:p w14:paraId="758E9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声环境</w:t>
            </w:r>
          </w:p>
        </w:tc>
        <w:tc>
          <w:tcPr>
            <w:tcW w:w="4487" w:type="dxa"/>
            <w:gridSpan w:val="7"/>
            <w:noWrap w:val="0"/>
            <w:vAlign w:val="center"/>
          </w:tcPr>
          <w:p w14:paraId="18F685C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低噪声设备、围挡</w:t>
            </w:r>
          </w:p>
        </w:tc>
        <w:tc>
          <w:tcPr>
            <w:tcW w:w="1581" w:type="dxa"/>
            <w:noWrap w:val="0"/>
            <w:vAlign w:val="center"/>
          </w:tcPr>
          <w:p w14:paraId="105A82F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w:t>
            </w:r>
          </w:p>
        </w:tc>
      </w:tr>
      <w:tr w14:paraId="79BA8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574" w:type="dxa"/>
            <w:gridSpan w:val="4"/>
            <w:vMerge w:val="continue"/>
            <w:noWrap w:val="0"/>
            <w:vAlign w:val="center"/>
          </w:tcPr>
          <w:p w14:paraId="358170F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p>
        </w:tc>
        <w:tc>
          <w:tcPr>
            <w:tcW w:w="1568" w:type="dxa"/>
            <w:gridSpan w:val="2"/>
            <w:noWrap w:val="0"/>
            <w:vAlign w:val="center"/>
          </w:tcPr>
          <w:p w14:paraId="151D6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固体废弃物</w:t>
            </w:r>
          </w:p>
        </w:tc>
        <w:tc>
          <w:tcPr>
            <w:tcW w:w="4487" w:type="dxa"/>
            <w:gridSpan w:val="7"/>
            <w:noWrap w:val="0"/>
            <w:vAlign w:val="center"/>
          </w:tcPr>
          <w:p w14:paraId="480836E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b w:val="0"/>
                <w:bCs w:val="0"/>
                <w:color w:val="000000" w:themeColor="text1"/>
                <w:spacing w:val="-3"/>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生活垃圾，建筑垃圾清运</w:t>
            </w:r>
          </w:p>
        </w:tc>
        <w:tc>
          <w:tcPr>
            <w:tcW w:w="1581" w:type="dxa"/>
            <w:noWrap w:val="0"/>
            <w:vAlign w:val="center"/>
          </w:tcPr>
          <w:p w14:paraId="61715A4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w:t>
            </w:r>
          </w:p>
        </w:tc>
      </w:tr>
      <w:tr w14:paraId="2E6F6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4" w:type="dxa"/>
            <w:gridSpan w:val="4"/>
            <w:vMerge w:val="restart"/>
            <w:noWrap w:val="0"/>
            <w:vAlign w:val="center"/>
          </w:tcPr>
          <w:p w14:paraId="35BE4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运营期</w:t>
            </w:r>
          </w:p>
        </w:tc>
        <w:tc>
          <w:tcPr>
            <w:tcW w:w="1568" w:type="dxa"/>
            <w:gridSpan w:val="2"/>
            <w:noWrap w:val="0"/>
            <w:vAlign w:val="center"/>
          </w:tcPr>
          <w:p w14:paraId="69CE1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生态环境</w:t>
            </w:r>
          </w:p>
        </w:tc>
        <w:tc>
          <w:tcPr>
            <w:tcW w:w="4487" w:type="dxa"/>
            <w:gridSpan w:val="7"/>
            <w:noWrap w:val="0"/>
            <w:vAlign w:val="center"/>
          </w:tcPr>
          <w:p w14:paraId="433548E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加强维护管理、其他（含环保警示标牌等费用）</w:t>
            </w:r>
          </w:p>
        </w:tc>
        <w:tc>
          <w:tcPr>
            <w:tcW w:w="1581" w:type="dxa"/>
            <w:noWrap w:val="0"/>
            <w:vAlign w:val="center"/>
          </w:tcPr>
          <w:p w14:paraId="6635385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w:t>
            </w:r>
          </w:p>
        </w:tc>
      </w:tr>
      <w:tr w14:paraId="4E531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4" w:type="dxa"/>
            <w:gridSpan w:val="4"/>
            <w:vMerge w:val="continue"/>
            <w:noWrap w:val="0"/>
            <w:vAlign w:val="center"/>
          </w:tcPr>
          <w:p w14:paraId="58AD8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568" w:type="dxa"/>
            <w:gridSpan w:val="2"/>
            <w:noWrap w:val="0"/>
            <w:vAlign w:val="center"/>
          </w:tcPr>
          <w:p w14:paraId="34F23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固体废弃物</w:t>
            </w:r>
          </w:p>
        </w:tc>
        <w:tc>
          <w:tcPr>
            <w:tcW w:w="4487" w:type="dxa"/>
            <w:gridSpan w:val="7"/>
            <w:noWrap w:val="0"/>
            <w:vAlign w:val="center"/>
          </w:tcPr>
          <w:p w14:paraId="035AA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事故油池、</w:t>
            </w:r>
            <w:r>
              <w:rPr>
                <w:rFonts w:hint="eastAsia" w:cs="Times New Roman"/>
                <w:b w:val="0"/>
                <w:bCs w:val="0"/>
                <w:color w:val="000000" w:themeColor="text1"/>
                <w:sz w:val="21"/>
                <w:szCs w:val="21"/>
                <w:highlight w:val="none"/>
                <w:lang w:val="en-US" w:eastAsia="zh-CN"/>
                <w14:textFill>
                  <w14:solidFill>
                    <w14:schemeClr w14:val="tx1"/>
                  </w14:solidFill>
                </w14:textFill>
              </w:rPr>
              <w:t>废旧电池</w:t>
            </w:r>
          </w:p>
        </w:tc>
        <w:tc>
          <w:tcPr>
            <w:tcW w:w="1581" w:type="dxa"/>
            <w:noWrap w:val="0"/>
            <w:vAlign w:val="center"/>
          </w:tcPr>
          <w:p w14:paraId="47A26DE8">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w:t>
            </w:r>
          </w:p>
        </w:tc>
      </w:tr>
      <w:tr w14:paraId="17490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4" w:type="dxa"/>
            <w:gridSpan w:val="4"/>
            <w:vMerge w:val="continue"/>
            <w:noWrap w:val="0"/>
            <w:vAlign w:val="center"/>
          </w:tcPr>
          <w:p w14:paraId="7FFF5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568" w:type="dxa"/>
            <w:gridSpan w:val="2"/>
            <w:noWrap w:val="0"/>
            <w:vAlign w:val="center"/>
          </w:tcPr>
          <w:p w14:paraId="616D8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环境管理</w:t>
            </w:r>
          </w:p>
        </w:tc>
        <w:tc>
          <w:tcPr>
            <w:tcW w:w="4487" w:type="dxa"/>
            <w:gridSpan w:val="7"/>
            <w:noWrap w:val="0"/>
            <w:vAlign w:val="center"/>
          </w:tcPr>
          <w:p w14:paraId="3325B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宋体" w:cs="Times New Roman"/>
                <w:b w:val="0"/>
                <w:bCs w:val="0"/>
                <w:color w:val="000000" w:themeColor="text1"/>
                <w:spacing w:val="2"/>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环评、验收、环境监理及环境监测</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电</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磁辐射、声环境监测</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14:textFill>
                  <w14:solidFill>
                    <w14:schemeClr w14:val="tx1"/>
                  </w14:solidFill>
                </w14:textFill>
              </w:rPr>
              <w:t>费用</w:t>
            </w:r>
          </w:p>
        </w:tc>
        <w:tc>
          <w:tcPr>
            <w:tcW w:w="1581" w:type="dxa"/>
            <w:noWrap w:val="0"/>
            <w:vAlign w:val="center"/>
          </w:tcPr>
          <w:p w14:paraId="48F321D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w:t>
            </w:r>
          </w:p>
        </w:tc>
      </w:tr>
      <w:tr w14:paraId="3E9F3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9" w:type="dxa"/>
            <w:gridSpan w:val="13"/>
            <w:noWrap w:val="0"/>
            <w:vAlign w:val="center"/>
          </w:tcPr>
          <w:p w14:paraId="3294B62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合计</w:t>
            </w:r>
          </w:p>
        </w:tc>
        <w:tc>
          <w:tcPr>
            <w:tcW w:w="1581" w:type="dxa"/>
            <w:noWrap w:val="0"/>
            <w:vAlign w:val="center"/>
          </w:tcPr>
          <w:p w14:paraId="6632EF5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24.5</w:t>
            </w:r>
          </w:p>
        </w:tc>
      </w:tr>
      <w:tr w14:paraId="630F0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0" w:type="dxa"/>
            <w:gridSpan w:val="14"/>
            <w:noWrap w:val="0"/>
            <w:vAlign w:val="center"/>
          </w:tcPr>
          <w:p w14:paraId="6925AEF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2EF1949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59ED93EE">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07A75D8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66614E5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7CC120F2">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宋体"/>
                <w:spacing w:val="-7"/>
                <w:sz w:val="21"/>
                <w:szCs w:val="21"/>
              </w:rPr>
            </w:pPr>
          </w:p>
          <w:p w14:paraId="21E904D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21C2743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宋体"/>
                <w:spacing w:val="-7"/>
                <w:sz w:val="21"/>
                <w:szCs w:val="21"/>
              </w:rPr>
            </w:pPr>
          </w:p>
          <w:p w14:paraId="4AB4FA9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3AB4478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0CB704A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22FCBC9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42FD661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34723EE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41B3C03F">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20C21D3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32C3644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42A8E2F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3EE0E0A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69CE294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1CF6FAE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753BE40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00D63E8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526DE9E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2C4E53B5">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22DC16B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4EBC214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1320F3B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p w14:paraId="12A35ACC">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spacing w:val="-7"/>
                <w:sz w:val="21"/>
                <w:szCs w:val="21"/>
              </w:rPr>
            </w:pPr>
          </w:p>
        </w:tc>
      </w:tr>
    </w:tbl>
    <w:p w14:paraId="2C0476D5">
      <w:pPr>
        <w:ind w:left="0" w:leftChars="0" w:firstLine="0" w:firstLineChars="0"/>
        <w:rPr>
          <w:rStyle w:val="42"/>
          <w:rFonts w:hint="eastAsia" w:eastAsia="黑体"/>
          <w:lang w:val="en-US" w:eastAsia="zh-CN"/>
        </w:rPr>
        <w:sectPr>
          <w:headerReference r:id="rId8" w:type="default"/>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C4C34B1">
      <w:pPr>
        <w:pStyle w:val="3"/>
        <w:numPr>
          <w:ilvl w:val="0"/>
          <w:numId w:val="8"/>
        </w:numPr>
        <w:bidi w:val="0"/>
        <w:rPr>
          <w:rFonts w:hint="eastAsia" w:ascii="黑体" w:hAnsi="黑体" w:eastAsia="黑体" w:cs="黑体"/>
          <w:spacing w:val="-2"/>
          <w:sz w:val="30"/>
          <w:szCs w:val="30"/>
          <w:lang w:val="en-US" w:eastAsia="zh-CN"/>
        </w:rPr>
      </w:pPr>
      <w:bookmarkStart w:id="18" w:name="_Toc20481"/>
      <w:r>
        <w:rPr>
          <w:rFonts w:hint="eastAsia"/>
          <w:lang w:val="en-US" w:eastAsia="zh-CN"/>
        </w:rPr>
        <w:t>生态环境保护措施监督检查清单</w:t>
      </w:r>
      <w:bookmarkEnd w:id="18"/>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3572"/>
        <w:gridCol w:w="2193"/>
        <w:gridCol w:w="3960"/>
        <w:gridCol w:w="2305"/>
      </w:tblGrid>
      <w:tr w14:paraId="69AAC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94" w:type="pct"/>
            <w:vMerge w:val="restart"/>
            <w:tcBorders>
              <w:tl2br w:val="single" w:color="auto" w:sz="4" w:space="0"/>
            </w:tcBorders>
            <w:noWrap w:val="0"/>
            <w:vAlign w:val="center"/>
          </w:tcPr>
          <w:p w14:paraId="7FE4F413">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outlineLvl w:val="0"/>
              <w:rPr>
                <w:rFonts w:hint="eastAsia" w:ascii="Times New Roman" w:hAnsi="Times New Roman" w:eastAsia="宋体" w:cs="Times New Roman"/>
                <w:kern w:val="2"/>
                <w:sz w:val="21"/>
                <w:szCs w:val="21"/>
                <w:lang w:val="en-US" w:eastAsia="zh-CN" w:bidi="ar-SA"/>
              </w:rPr>
            </w:pPr>
            <w:bookmarkStart w:id="19" w:name="_Toc1499"/>
            <w:bookmarkStart w:id="20" w:name="_Toc13901"/>
            <w:r>
              <w:rPr>
                <w:rFonts w:hint="eastAsia" w:ascii="Times New Roman" w:hAnsi="Times New Roman"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内容</w:t>
            </w:r>
            <w:bookmarkEnd w:id="19"/>
            <w:bookmarkEnd w:id="20"/>
          </w:p>
          <w:p w14:paraId="4D1E09B6">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outlineLvl w:val="0"/>
              <w:rPr>
                <w:rFonts w:hint="eastAsia" w:ascii="Times New Roman" w:hAnsi="Times New Roman" w:eastAsia="宋体" w:cs="Times New Roman"/>
                <w:kern w:val="2"/>
                <w:sz w:val="21"/>
                <w:szCs w:val="21"/>
                <w:lang w:val="en-US" w:eastAsia="zh-CN" w:bidi="ar-SA"/>
              </w:rPr>
            </w:pPr>
            <w:bookmarkStart w:id="21" w:name="_Toc26188"/>
            <w:bookmarkStart w:id="22" w:name="_Toc27147"/>
            <w:r>
              <w:rPr>
                <w:rFonts w:hint="eastAsia" w:ascii="Times New Roman" w:hAnsi="Times New Roman" w:eastAsia="宋体" w:cs="Times New Roman"/>
                <w:kern w:val="2"/>
                <w:sz w:val="21"/>
                <w:szCs w:val="21"/>
                <w:lang w:val="en-US" w:eastAsia="zh-CN" w:bidi="ar-SA"/>
              </w:rPr>
              <w:t>要素</w:t>
            </w:r>
            <w:bookmarkEnd w:id="21"/>
            <w:bookmarkEnd w:id="22"/>
          </w:p>
        </w:tc>
        <w:tc>
          <w:tcPr>
            <w:tcW w:w="2111" w:type="pct"/>
            <w:gridSpan w:val="2"/>
            <w:noWrap w:val="0"/>
            <w:vAlign w:val="center"/>
          </w:tcPr>
          <w:p w14:paraId="34648629">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outlineLvl w:val="0"/>
              <w:rPr>
                <w:rFonts w:hint="eastAsia" w:ascii="Times New Roman" w:hAnsi="Times New Roman" w:eastAsia="宋体" w:cs="Times New Roman"/>
                <w:kern w:val="2"/>
                <w:sz w:val="21"/>
                <w:szCs w:val="21"/>
                <w:lang w:val="en-US" w:eastAsia="zh-CN" w:bidi="ar-SA"/>
              </w:rPr>
            </w:pPr>
            <w:bookmarkStart w:id="23" w:name="_Toc872"/>
            <w:bookmarkStart w:id="24" w:name="_Toc23985"/>
            <w:r>
              <w:rPr>
                <w:rFonts w:hint="eastAsia" w:ascii="Times New Roman" w:hAnsi="Times New Roman" w:eastAsia="宋体" w:cs="Times New Roman"/>
                <w:kern w:val="2"/>
                <w:sz w:val="21"/>
                <w:szCs w:val="21"/>
                <w:lang w:val="en-US" w:eastAsia="zh-CN" w:bidi="ar-SA"/>
              </w:rPr>
              <w:t>施工期</w:t>
            </w:r>
            <w:bookmarkEnd w:id="23"/>
            <w:bookmarkEnd w:id="24"/>
          </w:p>
        </w:tc>
        <w:tc>
          <w:tcPr>
            <w:tcW w:w="2294" w:type="pct"/>
            <w:gridSpan w:val="2"/>
            <w:noWrap w:val="0"/>
            <w:vAlign w:val="center"/>
          </w:tcPr>
          <w:p w14:paraId="40D2A2D2">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outlineLvl w:val="0"/>
              <w:rPr>
                <w:rFonts w:hint="eastAsia" w:ascii="Times New Roman" w:hAnsi="Times New Roman" w:eastAsia="宋体" w:cs="Times New Roman"/>
                <w:kern w:val="2"/>
                <w:sz w:val="21"/>
                <w:szCs w:val="21"/>
                <w:lang w:val="en-US" w:eastAsia="zh-CN" w:bidi="ar-SA"/>
              </w:rPr>
            </w:pPr>
            <w:bookmarkStart w:id="25" w:name="_Toc17276"/>
            <w:bookmarkStart w:id="26" w:name="_Toc19914"/>
            <w:r>
              <w:rPr>
                <w:rFonts w:hint="eastAsia" w:ascii="Times New Roman" w:hAnsi="Times New Roman" w:eastAsia="宋体" w:cs="Times New Roman"/>
                <w:kern w:val="2"/>
                <w:sz w:val="21"/>
                <w:szCs w:val="21"/>
                <w:lang w:val="en-US" w:eastAsia="zh-CN" w:bidi="ar-SA"/>
              </w:rPr>
              <w:t>运营期</w:t>
            </w:r>
            <w:bookmarkEnd w:id="25"/>
            <w:bookmarkEnd w:id="26"/>
          </w:p>
        </w:tc>
      </w:tr>
      <w:tr w14:paraId="11822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94" w:type="pct"/>
            <w:vMerge w:val="continue"/>
            <w:noWrap w:val="0"/>
            <w:vAlign w:val="center"/>
          </w:tcPr>
          <w:p w14:paraId="41FBE513">
            <w:pPr>
              <w:pStyle w:val="2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outlineLvl w:val="0"/>
              <w:rPr>
                <w:rFonts w:hint="eastAsia" w:ascii="Times New Roman" w:hAnsi="Times New Roman" w:eastAsia="宋体" w:cs="Times New Roman"/>
                <w:kern w:val="2"/>
                <w:sz w:val="21"/>
                <w:szCs w:val="21"/>
                <w:lang w:val="en-US" w:eastAsia="zh-CN" w:bidi="ar-SA"/>
              </w:rPr>
            </w:pPr>
          </w:p>
        </w:tc>
        <w:tc>
          <w:tcPr>
            <w:tcW w:w="1308" w:type="pct"/>
            <w:noWrap w:val="0"/>
            <w:vAlign w:val="center"/>
          </w:tcPr>
          <w:p w14:paraId="020FA8BD">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outlineLvl w:val="0"/>
              <w:rPr>
                <w:rFonts w:hint="eastAsia" w:ascii="Times New Roman" w:hAnsi="Times New Roman" w:eastAsia="宋体" w:cs="Times New Roman"/>
                <w:kern w:val="2"/>
                <w:sz w:val="21"/>
                <w:szCs w:val="21"/>
                <w:lang w:val="en-US" w:eastAsia="zh-CN" w:bidi="ar-SA"/>
              </w:rPr>
            </w:pPr>
            <w:bookmarkStart w:id="27" w:name="_Toc22864"/>
            <w:bookmarkStart w:id="28" w:name="_Toc8438"/>
            <w:r>
              <w:rPr>
                <w:rFonts w:hint="eastAsia" w:ascii="Times New Roman" w:hAnsi="Times New Roman" w:eastAsia="宋体" w:cs="Times New Roman"/>
                <w:kern w:val="2"/>
                <w:sz w:val="21"/>
                <w:szCs w:val="21"/>
                <w:lang w:val="en-US" w:eastAsia="zh-CN" w:bidi="ar-SA"/>
              </w:rPr>
              <w:t>环境保护措施</w:t>
            </w:r>
            <w:bookmarkEnd w:id="27"/>
            <w:bookmarkEnd w:id="28"/>
          </w:p>
        </w:tc>
        <w:tc>
          <w:tcPr>
            <w:tcW w:w="803" w:type="pct"/>
            <w:noWrap w:val="0"/>
            <w:vAlign w:val="center"/>
          </w:tcPr>
          <w:p w14:paraId="5EBEDF7A">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outlineLvl w:val="0"/>
              <w:rPr>
                <w:rFonts w:hint="eastAsia" w:ascii="Times New Roman" w:hAnsi="Times New Roman" w:eastAsia="宋体" w:cs="Times New Roman"/>
                <w:kern w:val="2"/>
                <w:sz w:val="21"/>
                <w:szCs w:val="21"/>
                <w:lang w:val="en-US" w:eastAsia="zh-CN" w:bidi="ar-SA"/>
              </w:rPr>
            </w:pPr>
            <w:bookmarkStart w:id="29" w:name="_Toc11388"/>
            <w:bookmarkStart w:id="30" w:name="_Toc17299"/>
            <w:r>
              <w:rPr>
                <w:rFonts w:hint="eastAsia" w:ascii="Times New Roman" w:hAnsi="Times New Roman" w:eastAsia="宋体" w:cs="Times New Roman"/>
                <w:kern w:val="2"/>
                <w:sz w:val="21"/>
                <w:szCs w:val="21"/>
                <w:lang w:val="en-US" w:eastAsia="zh-CN" w:bidi="ar-SA"/>
              </w:rPr>
              <w:t>验收要求</w:t>
            </w:r>
            <w:bookmarkEnd w:id="29"/>
            <w:bookmarkEnd w:id="30"/>
          </w:p>
        </w:tc>
        <w:tc>
          <w:tcPr>
            <w:tcW w:w="1450" w:type="pct"/>
            <w:noWrap w:val="0"/>
            <w:vAlign w:val="center"/>
          </w:tcPr>
          <w:p w14:paraId="5C142A7F">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outlineLvl w:val="0"/>
              <w:rPr>
                <w:rFonts w:hint="eastAsia" w:ascii="Times New Roman" w:hAnsi="Times New Roman" w:eastAsia="宋体" w:cs="Times New Roman"/>
                <w:kern w:val="2"/>
                <w:sz w:val="21"/>
                <w:szCs w:val="21"/>
                <w:lang w:val="en-US" w:eastAsia="zh-CN" w:bidi="ar-SA"/>
              </w:rPr>
            </w:pPr>
            <w:bookmarkStart w:id="31" w:name="_Toc30254"/>
            <w:bookmarkStart w:id="32" w:name="_Toc11789"/>
            <w:r>
              <w:rPr>
                <w:rFonts w:hint="eastAsia" w:ascii="Times New Roman" w:hAnsi="Times New Roman" w:eastAsia="宋体" w:cs="Times New Roman"/>
                <w:kern w:val="2"/>
                <w:sz w:val="21"/>
                <w:szCs w:val="21"/>
                <w:lang w:val="en-US" w:eastAsia="zh-CN" w:bidi="ar-SA"/>
              </w:rPr>
              <w:t>环境保护措施</w:t>
            </w:r>
            <w:bookmarkEnd w:id="31"/>
            <w:bookmarkEnd w:id="32"/>
          </w:p>
        </w:tc>
        <w:tc>
          <w:tcPr>
            <w:tcW w:w="844" w:type="pct"/>
            <w:noWrap w:val="0"/>
            <w:vAlign w:val="center"/>
          </w:tcPr>
          <w:p w14:paraId="291052C0">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outlineLvl w:val="0"/>
              <w:rPr>
                <w:rFonts w:hint="eastAsia" w:ascii="Times New Roman" w:hAnsi="Times New Roman" w:eastAsia="宋体" w:cs="Times New Roman"/>
                <w:kern w:val="2"/>
                <w:sz w:val="21"/>
                <w:szCs w:val="21"/>
                <w:lang w:val="en-US" w:eastAsia="zh-CN" w:bidi="ar-SA"/>
              </w:rPr>
            </w:pPr>
            <w:bookmarkStart w:id="33" w:name="_Toc8745"/>
            <w:bookmarkStart w:id="34" w:name="_Toc11610"/>
            <w:r>
              <w:rPr>
                <w:rFonts w:hint="eastAsia" w:ascii="Times New Roman" w:hAnsi="Times New Roman" w:eastAsia="宋体" w:cs="Times New Roman"/>
                <w:kern w:val="2"/>
                <w:sz w:val="21"/>
                <w:szCs w:val="21"/>
                <w:lang w:val="en-US" w:eastAsia="zh-CN" w:bidi="ar-SA"/>
              </w:rPr>
              <w:t>验收要求</w:t>
            </w:r>
            <w:bookmarkEnd w:id="33"/>
            <w:bookmarkEnd w:id="34"/>
          </w:p>
        </w:tc>
      </w:tr>
      <w:tr w14:paraId="5C52F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594" w:type="pct"/>
            <w:noWrap w:val="0"/>
            <w:vAlign w:val="center"/>
          </w:tcPr>
          <w:p w14:paraId="28CF7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陆生生态</w:t>
            </w:r>
          </w:p>
        </w:tc>
        <w:tc>
          <w:tcPr>
            <w:tcW w:w="1308" w:type="pct"/>
            <w:noWrap w:val="0"/>
            <w:vAlign w:val="center"/>
          </w:tcPr>
          <w:p w14:paraId="2BFFA0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12"/>
                <w:sz w:val="21"/>
                <w:szCs w:val="21"/>
              </w:rPr>
              <w:t>严格按设计要求施工，</w:t>
            </w:r>
            <w:r>
              <w:rPr>
                <w:rFonts w:hint="default" w:ascii="Times New Roman" w:hAnsi="Times New Roman" w:eastAsia="宋体" w:cs="Times New Roman"/>
                <w:spacing w:val="10"/>
                <w:sz w:val="21"/>
                <w:szCs w:val="21"/>
              </w:rPr>
              <w:t>表土分层堆放，及时回填</w:t>
            </w:r>
            <w:r>
              <w:rPr>
                <w:rFonts w:hint="eastAsia" w:ascii="Times New Roman" w:hAnsi="Times New Roman" w:eastAsia="宋体" w:cs="Times New Roman"/>
                <w:spacing w:val="10"/>
                <w:sz w:val="21"/>
                <w:szCs w:val="21"/>
                <w:lang w:eastAsia="zh-CN"/>
              </w:rPr>
              <w:t>；</w:t>
            </w:r>
            <w:r>
              <w:rPr>
                <w:rFonts w:hint="eastAsia" w:ascii="Times New Roman" w:hAnsi="Times New Roman" w:eastAsia="宋体" w:cs="Times New Roman"/>
                <w:color w:val="000000"/>
                <w:spacing w:val="0"/>
                <w:sz w:val="21"/>
                <w:szCs w:val="21"/>
                <w:highlight w:val="none"/>
                <w:lang w:eastAsia="zh-CN"/>
              </w:rPr>
              <w:t>施工扰动区地表进行平整，以便自然植被的生长恢复</w:t>
            </w:r>
            <w:r>
              <w:rPr>
                <w:rFonts w:hint="default" w:ascii="Times New Roman" w:hAnsi="Times New Roman" w:eastAsia="宋体" w:cs="Times New Roman"/>
                <w:spacing w:val="10"/>
                <w:sz w:val="21"/>
                <w:szCs w:val="21"/>
              </w:rPr>
              <w:t>；物料集中堆放、施</w:t>
            </w:r>
            <w:r>
              <w:rPr>
                <w:rFonts w:hint="default" w:ascii="Times New Roman" w:hAnsi="Times New Roman" w:eastAsia="宋体" w:cs="Times New Roman"/>
                <w:spacing w:val="37"/>
                <w:sz w:val="21"/>
                <w:szCs w:val="21"/>
              </w:rPr>
              <w:t>工结束后及时清理现</w:t>
            </w:r>
            <w:r>
              <w:rPr>
                <w:rFonts w:hint="default" w:ascii="Times New Roman" w:hAnsi="Times New Roman" w:eastAsia="宋体" w:cs="Times New Roman"/>
                <w:spacing w:val="-8"/>
                <w:sz w:val="21"/>
                <w:szCs w:val="21"/>
              </w:rPr>
              <w:t>场；合理安排施工时间；</w:t>
            </w:r>
            <w:r>
              <w:rPr>
                <w:rFonts w:hint="default" w:ascii="Times New Roman" w:hAnsi="Times New Roman" w:eastAsia="宋体" w:cs="Times New Roman"/>
                <w:spacing w:val="37"/>
                <w:sz w:val="21"/>
                <w:szCs w:val="21"/>
              </w:rPr>
              <w:t>严禁随意开辟施工便</w:t>
            </w:r>
            <w:r>
              <w:rPr>
                <w:rFonts w:hint="default" w:ascii="Times New Roman" w:hAnsi="Times New Roman" w:eastAsia="宋体" w:cs="Times New Roman"/>
                <w:spacing w:val="10"/>
                <w:sz w:val="21"/>
                <w:szCs w:val="21"/>
              </w:rPr>
              <w:t>道</w:t>
            </w:r>
            <w:r>
              <w:rPr>
                <w:rFonts w:hint="eastAsia" w:cs="Times New Roman"/>
                <w:spacing w:val="10"/>
                <w:sz w:val="21"/>
                <w:szCs w:val="21"/>
                <w:lang w:eastAsia="zh-CN"/>
              </w:rPr>
              <w:t>。</w:t>
            </w:r>
          </w:p>
        </w:tc>
        <w:tc>
          <w:tcPr>
            <w:tcW w:w="803" w:type="pct"/>
            <w:noWrap w:val="0"/>
            <w:vAlign w:val="center"/>
          </w:tcPr>
          <w:p w14:paraId="5EB486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pacing w:val="0"/>
                <w:sz w:val="21"/>
                <w:szCs w:val="21"/>
                <w:highlight w:val="none"/>
                <w:lang w:eastAsia="zh-CN"/>
              </w:rPr>
              <w:t>避免因本工程建设造成</w:t>
            </w:r>
            <w:r>
              <w:rPr>
                <w:rFonts w:hint="eastAsia" w:ascii="Times New Roman" w:hAnsi="Times New Roman" w:eastAsia="宋体" w:cs="Times New Roman"/>
                <w:color w:val="000000"/>
                <w:spacing w:val="0"/>
                <w:sz w:val="21"/>
                <w:szCs w:val="21"/>
                <w:highlight w:val="none"/>
                <w:lang w:val="en-US" w:eastAsia="zh-CN"/>
              </w:rPr>
              <w:t>区域植被破坏，</w:t>
            </w:r>
            <w:r>
              <w:rPr>
                <w:rFonts w:hint="eastAsia" w:ascii="Times New Roman" w:hAnsi="Times New Roman" w:eastAsia="宋体" w:cs="Times New Roman"/>
                <w:color w:val="000000"/>
                <w:spacing w:val="0"/>
                <w:sz w:val="21"/>
                <w:szCs w:val="21"/>
                <w:highlight w:val="none"/>
                <w:lang w:eastAsia="zh-CN"/>
              </w:rPr>
              <w:t>水土流失。</w:t>
            </w:r>
          </w:p>
        </w:tc>
        <w:tc>
          <w:tcPr>
            <w:tcW w:w="1450" w:type="pct"/>
            <w:noWrap w:val="0"/>
            <w:vAlign w:val="center"/>
          </w:tcPr>
          <w:p w14:paraId="00037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强化对设备检修维护人员的生态保护意识教育，加强管理，禁止滥采滥伐和捕猎野生动物，避免因此导致的沿线自然植被破坏和野生动物的影响</w:t>
            </w:r>
            <w:r>
              <w:rPr>
                <w:rFonts w:hint="eastAsia" w:cs="Times New Roman"/>
                <w:sz w:val="21"/>
                <w:szCs w:val="21"/>
                <w:lang w:eastAsia="zh-CN"/>
              </w:rPr>
              <w:t>；</w:t>
            </w:r>
            <w:r>
              <w:rPr>
                <w:rFonts w:hint="default" w:ascii="Times New Roman" w:hAnsi="Times New Roman" w:eastAsia="宋体" w:cs="Times New Roman"/>
                <w:spacing w:val="11"/>
                <w:sz w:val="21"/>
                <w:szCs w:val="21"/>
              </w:rPr>
              <w:t>运行期做好环境保护设施的维护和运行管理，进行巡检和维护时</w:t>
            </w:r>
            <w:r>
              <w:rPr>
                <w:rFonts w:hint="default" w:ascii="Times New Roman" w:hAnsi="Times New Roman" w:eastAsia="宋体" w:cs="Times New Roman"/>
                <w:spacing w:val="10"/>
                <w:sz w:val="21"/>
                <w:szCs w:val="21"/>
              </w:rPr>
              <w:t>，避免过多人员和车</w:t>
            </w:r>
            <w:r>
              <w:rPr>
                <w:rFonts w:hint="default" w:ascii="Times New Roman" w:hAnsi="Times New Roman" w:eastAsia="宋体" w:cs="Times New Roman"/>
                <w:spacing w:val="9"/>
                <w:sz w:val="21"/>
                <w:szCs w:val="21"/>
              </w:rPr>
              <w:t>辆进入，以减少对当地地表土壤结构和植被的破坏</w:t>
            </w:r>
            <w:r>
              <w:rPr>
                <w:rFonts w:hint="eastAsia" w:ascii="Times New Roman" w:hAnsi="Times New Roman" w:eastAsia="宋体" w:cs="Times New Roman"/>
                <w:spacing w:val="9"/>
                <w:sz w:val="21"/>
                <w:szCs w:val="21"/>
                <w:lang w:eastAsia="zh-CN"/>
              </w:rPr>
              <w:t>。</w:t>
            </w:r>
          </w:p>
        </w:tc>
        <w:tc>
          <w:tcPr>
            <w:tcW w:w="844" w:type="pct"/>
            <w:noWrap w:val="0"/>
            <w:vAlign w:val="center"/>
          </w:tcPr>
          <w:p w14:paraId="27CAC6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spacing w:val="0"/>
                <w:sz w:val="21"/>
                <w:szCs w:val="21"/>
                <w:highlight w:val="none"/>
                <w:lang w:eastAsia="zh-CN"/>
              </w:rPr>
              <w:t>本工程对周边生态环境影响可得到有效减缓。</w:t>
            </w:r>
          </w:p>
        </w:tc>
      </w:tr>
      <w:tr w14:paraId="2E00B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73D0F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水生生态</w:t>
            </w:r>
          </w:p>
        </w:tc>
        <w:tc>
          <w:tcPr>
            <w:tcW w:w="1308" w:type="pct"/>
            <w:noWrap w:val="0"/>
            <w:vAlign w:val="center"/>
          </w:tcPr>
          <w:p w14:paraId="6689ED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03" w:type="pct"/>
            <w:noWrap w:val="0"/>
            <w:vAlign w:val="center"/>
          </w:tcPr>
          <w:p w14:paraId="2AF2BF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450" w:type="pct"/>
            <w:noWrap w:val="0"/>
            <w:vAlign w:val="center"/>
          </w:tcPr>
          <w:p w14:paraId="7783BD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844" w:type="pct"/>
            <w:noWrap w:val="0"/>
            <w:vAlign w:val="center"/>
          </w:tcPr>
          <w:p w14:paraId="1E9077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14:paraId="3C006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594" w:type="pct"/>
            <w:noWrap w:val="0"/>
            <w:vAlign w:val="center"/>
          </w:tcPr>
          <w:p w14:paraId="71D76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地表水环境</w:t>
            </w:r>
          </w:p>
        </w:tc>
        <w:tc>
          <w:tcPr>
            <w:tcW w:w="1308" w:type="pct"/>
            <w:noWrap w:val="0"/>
            <w:vAlign w:val="center"/>
          </w:tcPr>
          <w:p w14:paraId="2B06C2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pacing w:val="0"/>
                <w:sz w:val="21"/>
                <w:szCs w:val="21"/>
                <w:highlight w:val="none"/>
                <w:lang w:val="en-US" w:eastAsia="zh-CN"/>
              </w:rPr>
              <w:t>施工过程中产生的废水量较少，用</w:t>
            </w:r>
            <w:r>
              <w:rPr>
                <w:rFonts w:hint="eastAsia" w:cs="Times New Roman"/>
                <w:color w:val="000000"/>
                <w:spacing w:val="0"/>
                <w:sz w:val="21"/>
                <w:szCs w:val="21"/>
                <w:highlight w:val="none"/>
                <w:lang w:val="en-US" w:eastAsia="zh-CN"/>
              </w:rPr>
              <w:t>于</w:t>
            </w:r>
            <w:r>
              <w:rPr>
                <w:rFonts w:hint="eastAsia" w:ascii="Times New Roman" w:hAnsi="Times New Roman" w:eastAsia="宋体" w:cs="Times New Roman"/>
                <w:color w:val="000000"/>
                <w:spacing w:val="0"/>
                <w:sz w:val="21"/>
                <w:szCs w:val="21"/>
                <w:highlight w:val="none"/>
                <w:lang w:val="en-US" w:eastAsia="zh-CN"/>
              </w:rPr>
              <w:t>施工场地及运输道路洒水降尘。施工人员产生的生活污水依托主体工程的</w:t>
            </w:r>
            <w:r>
              <w:rPr>
                <w:rFonts w:hint="default" w:ascii="Times New Roman" w:hAnsi="Times New Roman" w:eastAsia="宋体" w:cs="Times New Roman"/>
                <w:sz w:val="21"/>
                <w:szCs w:val="21"/>
              </w:rPr>
              <w:t>污水处理设施</w:t>
            </w:r>
            <w:r>
              <w:rPr>
                <w:rFonts w:hint="eastAsia" w:ascii="Times New Roman" w:hAnsi="Times New Roman" w:eastAsia="宋体" w:cs="Times New Roman"/>
                <w:color w:val="000000"/>
                <w:spacing w:val="0"/>
                <w:sz w:val="21"/>
                <w:szCs w:val="21"/>
                <w:highlight w:val="none"/>
                <w:lang w:val="en-US" w:eastAsia="zh-CN"/>
              </w:rPr>
              <w:t>处理。</w:t>
            </w:r>
          </w:p>
        </w:tc>
        <w:tc>
          <w:tcPr>
            <w:tcW w:w="803" w:type="pct"/>
            <w:noWrap w:val="0"/>
            <w:vAlign w:val="center"/>
          </w:tcPr>
          <w:p w14:paraId="0E4316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highlight w:val="none"/>
                <w:lang w:val="en-US" w:eastAsia="zh-CN"/>
              </w:rPr>
              <w:t>施工期废水不外排</w:t>
            </w:r>
          </w:p>
        </w:tc>
        <w:tc>
          <w:tcPr>
            <w:tcW w:w="1450" w:type="pct"/>
            <w:noWrap w:val="0"/>
            <w:vAlign w:val="center"/>
          </w:tcPr>
          <w:p w14:paraId="7A81B6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844" w:type="pct"/>
            <w:noWrap w:val="0"/>
            <w:vAlign w:val="center"/>
          </w:tcPr>
          <w:p w14:paraId="6E91E9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44048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237B47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地下水及土壤环境</w:t>
            </w:r>
          </w:p>
        </w:tc>
        <w:tc>
          <w:tcPr>
            <w:tcW w:w="1308" w:type="pct"/>
            <w:noWrap w:val="0"/>
            <w:vAlign w:val="center"/>
          </w:tcPr>
          <w:p w14:paraId="50A11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803" w:type="pct"/>
            <w:noWrap w:val="0"/>
            <w:vAlign w:val="center"/>
          </w:tcPr>
          <w:p w14:paraId="32CF1A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10"/>
                <w:sz w:val="21"/>
                <w:szCs w:val="21"/>
              </w:rPr>
            </w:pPr>
            <w:r>
              <w:rPr>
                <w:rFonts w:hint="eastAsia" w:ascii="Times New Roman" w:hAnsi="Times New Roman" w:eastAsia="宋体" w:cs="Times New Roman"/>
                <w:spacing w:val="10"/>
                <w:sz w:val="21"/>
                <w:szCs w:val="21"/>
                <w:lang w:val="en-US" w:eastAsia="zh-CN"/>
              </w:rPr>
              <w:t>/</w:t>
            </w:r>
          </w:p>
        </w:tc>
        <w:tc>
          <w:tcPr>
            <w:tcW w:w="1450" w:type="pct"/>
            <w:noWrap w:val="0"/>
            <w:vAlign w:val="center"/>
          </w:tcPr>
          <w:p w14:paraId="4EA07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pacing w:val="10"/>
                <w:sz w:val="21"/>
                <w:szCs w:val="21"/>
              </w:rPr>
            </w:pPr>
            <w:r>
              <w:rPr>
                <w:rFonts w:hint="default" w:ascii="Times New Roman" w:hAnsi="Times New Roman" w:eastAsia="宋体" w:cs="Times New Roman"/>
                <w:spacing w:val="10"/>
                <w:sz w:val="21"/>
                <w:szCs w:val="21"/>
                <w:lang w:val="en-US" w:eastAsia="zh-CN"/>
              </w:rPr>
              <w:t>本项目</w:t>
            </w:r>
            <w:r>
              <w:rPr>
                <w:rFonts w:hint="eastAsia" w:ascii="Times New Roman" w:hAnsi="Times New Roman" w:eastAsia="宋体" w:cs="Times New Roman"/>
                <w:spacing w:val="10"/>
                <w:sz w:val="21"/>
                <w:szCs w:val="21"/>
                <w:lang w:val="en-US" w:eastAsia="zh-CN"/>
              </w:rPr>
              <w:t>已</w:t>
            </w:r>
            <w:r>
              <w:rPr>
                <w:rFonts w:hint="default" w:ascii="Times New Roman" w:hAnsi="Times New Roman" w:eastAsia="宋体" w:cs="Times New Roman"/>
                <w:spacing w:val="10"/>
                <w:sz w:val="21"/>
                <w:szCs w:val="21"/>
                <w:lang w:val="en-US" w:eastAsia="zh-CN"/>
              </w:rPr>
              <w:t>建一座</w:t>
            </w:r>
            <w:r>
              <w:rPr>
                <w:rFonts w:hint="eastAsia" w:ascii="Times New Roman" w:hAnsi="Times New Roman" w:eastAsia="宋体" w:cs="Times New Roman"/>
                <w:spacing w:val="10"/>
                <w:sz w:val="21"/>
                <w:szCs w:val="21"/>
                <w:lang w:val="en-US" w:eastAsia="zh-CN"/>
              </w:rPr>
              <w:t>23.5</w:t>
            </w:r>
            <w:r>
              <w:rPr>
                <w:rFonts w:hint="default" w:ascii="Times New Roman" w:hAnsi="Times New Roman" w:eastAsia="宋体" w:cs="Times New Roman"/>
                <w:spacing w:val="10"/>
                <w:sz w:val="21"/>
                <w:szCs w:val="21"/>
                <w:lang w:val="en-US" w:eastAsia="zh-CN"/>
              </w:rPr>
              <w:t>m³事故油池。</w:t>
            </w:r>
          </w:p>
        </w:tc>
        <w:tc>
          <w:tcPr>
            <w:tcW w:w="844" w:type="pct"/>
            <w:noWrap w:val="0"/>
            <w:vAlign w:val="center"/>
          </w:tcPr>
          <w:p w14:paraId="064899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spacing w:val="0"/>
                <w:sz w:val="21"/>
                <w:szCs w:val="21"/>
                <w:highlight w:val="none"/>
                <w:lang w:val="en-US" w:eastAsia="zh-CN"/>
              </w:rPr>
              <w:t>事故废油具备拦截、防渗功能。</w:t>
            </w:r>
          </w:p>
        </w:tc>
      </w:tr>
      <w:tr w14:paraId="452BF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7B7A9D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声环境</w:t>
            </w:r>
          </w:p>
        </w:tc>
        <w:tc>
          <w:tcPr>
            <w:tcW w:w="1308" w:type="pct"/>
            <w:noWrap w:val="0"/>
            <w:vAlign w:val="center"/>
          </w:tcPr>
          <w:p w14:paraId="605D45F3">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outlineLvl w:val="2"/>
              <w:rPr>
                <w:rFonts w:hint="eastAsia" w:ascii="Times New Roman" w:hAnsi="Times New Roman" w:eastAsia="宋体" w:cs="Times New Roman"/>
                <w:b w:val="0"/>
                <w:bCs w:val="0"/>
                <w:color w:val="000000"/>
                <w:spacing w:val="0"/>
                <w:kern w:val="2"/>
                <w:sz w:val="21"/>
                <w:szCs w:val="21"/>
                <w:highlight w:val="none"/>
                <w:lang w:val="en-US" w:eastAsia="zh-CN" w:bidi="ar-SA"/>
              </w:rPr>
            </w:pPr>
            <w:r>
              <w:rPr>
                <w:rFonts w:hint="eastAsia" w:ascii="Times New Roman" w:hAnsi="Times New Roman" w:eastAsia="宋体" w:cs="Times New Roman"/>
                <w:b w:val="0"/>
                <w:bCs w:val="0"/>
                <w:color w:val="000000"/>
                <w:spacing w:val="0"/>
                <w:kern w:val="2"/>
                <w:sz w:val="21"/>
                <w:szCs w:val="21"/>
                <w:highlight w:val="none"/>
                <w:lang w:val="en-US" w:eastAsia="zh-CN" w:bidi="ar-SA"/>
              </w:rPr>
              <w:t>施工机械选择了低噪声设备，并对高噪声设备采取适当的减震降噪措施；</w:t>
            </w:r>
          </w:p>
          <w:p w14:paraId="600936E7">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center"/>
              <w:textAlignment w:val="baseline"/>
              <w:outlineLvl w:val="2"/>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spacing w:val="0"/>
                <w:kern w:val="2"/>
                <w:sz w:val="21"/>
                <w:szCs w:val="21"/>
                <w:highlight w:val="none"/>
                <w:lang w:val="en-US" w:eastAsia="zh-CN" w:bidi="ar-SA"/>
              </w:rPr>
              <w:t>避免了夜间施工，未在夜间使用高噪声设备。</w:t>
            </w:r>
          </w:p>
        </w:tc>
        <w:tc>
          <w:tcPr>
            <w:tcW w:w="803" w:type="pct"/>
            <w:noWrap w:val="0"/>
            <w:vAlign w:val="center"/>
          </w:tcPr>
          <w:p w14:paraId="60E3CD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施工期噪声</w:t>
            </w:r>
            <w:r>
              <w:rPr>
                <w:rFonts w:hint="default" w:ascii="Times New Roman" w:hAnsi="Times New Roman" w:eastAsia="宋体" w:cs="Times New Roman"/>
                <w:spacing w:val="-1"/>
                <w:sz w:val="21"/>
                <w:szCs w:val="21"/>
              </w:rPr>
              <w:t>防治措施有</w:t>
            </w:r>
            <w:r>
              <w:rPr>
                <w:rFonts w:hint="default" w:ascii="Times New Roman" w:hAnsi="Times New Roman" w:eastAsia="宋体" w:cs="Times New Roman"/>
                <w:spacing w:val="-3"/>
                <w:sz w:val="21"/>
                <w:szCs w:val="21"/>
              </w:rPr>
              <w:t>效落实。</w:t>
            </w:r>
          </w:p>
        </w:tc>
        <w:tc>
          <w:tcPr>
            <w:tcW w:w="1450" w:type="pct"/>
            <w:noWrap w:val="0"/>
            <w:vAlign w:val="center"/>
          </w:tcPr>
          <w:p w14:paraId="6BD962C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bidi="ar-SA"/>
              </w:rPr>
              <w:t>架空线路选用加工工艺水平高、表面光滑的导线减少电晕放电，</w:t>
            </w:r>
            <w:r>
              <w:rPr>
                <w:rFonts w:hint="default" w:ascii="Times New Roman" w:hAnsi="Times New Roman" w:eastAsia="宋体" w:cs="Times New Roman"/>
                <w:spacing w:val="2"/>
                <w:sz w:val="21"/>
                <w:szCs w:val="21"/>
              </w:rPr>
              <w:t>导线质量符合国家相关标准的要求</w:t>
            </w:r>
            <w:r>
              <w:rPr>
                <w:rFonts w:hint="eastAsia" w:ascii="Times New Roman" w:hAnsi="Times New Roman" w:cs="Times New Roman"/>
                <w:spacing w:val="2"/>
                <w:sz w:val="21"/>
                <w:szCs w:val="21"/>
                <w:lang w:eastAsia="zh-CN"/>
              </w:rPr>
              <w:t>；</w:t>
            </w:r>
            <w:r>
              <w:rPr>
                <w:rFonts w:hint="default" w:ascii="Times New Roman" w:hAnsi="Times New Roman" w:eastAsia="宋体" w:cs="Times New Roman"/>
                <w:kern w:val="2"/>
                <w:sz w:val="21"/>
                <w:szCs w:val="21"/>
                <w:lang w:val="en-US" w:eastAsia="zh-CN" w:bidi="ar-SA"/>
              </w:rPr>
              <w:t>变压器基础进行减振处理</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定期对站内电气设备进行检修，保证主变等运行良好。</w:t>
            </w:r>
          </w:p>
        </w:tc>
        <w:tc>
          <w:tcPr>
            <w:tcW w:w="844" w:type="pct"/>
            <w:noWrap w:val="0"/>
            <w:vAlign w:val="center"/>
          </w:tcPr>
          <w:p w14:paraId="10CE84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噪声达标</w:t>
            </w:r>
          </w:p>
        </w:tc>
      </w:tr>
      <w:tr w14:paraId="0B61A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5ED2E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振动</w:t>
            </w:r>
          </w:p>
        </w:tc>
        <w:tc>
          <w:tcPr>
            <w:tcW w:w="1308" w:type="pct"/>
            <w:noWrap w:val="0"/>
            <w:vAlign w:val="center"/>
          </w:tcPr>
          <w:p w14:paraId="749DD8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03" w:type="pct"/>
            <w:noWrap w:val="0"/>
            <w:vAlign w:val="center"/>
          </w:tcPr>
          <w:p w14:paraId="250C7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450" w:type="pct"/>
            <w:noWrap w:val="0"/>
            <w:vAlign w:val="center"/>
          </w:tcPr>
          <w:p w14:paraId="312E2A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844" w:type="pct"/>
            <w:noWrap w:val="0"/>
            <w:vAlign w:val="center"/>
          </w:tcPr>
          <w:p w14:paraId="0CD014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14:paraId="2E71B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2886F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大气环境</w:t>
            </w:r>
          </w:p>
        </w:tc>
        <w:tc>
          <w:tcPr>
            <w:tcW w:w="1308" w:type="pct"/>
            <w:noWrap w:val="0"/>
            <w:vAlign w:val="center"/>
          </w:tcPr>
          <w:p w14:paraId="52013634">
            <w:pPr>
              <w:pStyle w:val="135"/>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加强对施工现场和物料运输的管</w:t>
            </w:r>
            <w:r>
              <w:rPr>
                <w:rFonts w:hint="default" w:ascii="Times New Roman" w:hAnsi="Times New Roman" w:eastAsia="宋体" w:cs="Times New Roman"/>
                <w:spacing w:val="-6"/>
                <w:sz w:val="21"/>
                <w:szCs w:val="21"/>
              </w:rPr>
              <w:t>理，保持道路清洁，管控料堆和渣土堆放；物料运输篷布遮盖、土石</w:t>
            </w:r>
            <w:r>
              <w:rPr>
                <w:rFonts w:hint="default" w:ascii="Times New Roman" w:hAnsi="Times New Roman" w:eastAsia="宋体" w:cs="Times New Roman"/>
                <w:spacing w:val="-1"/>
                <w:sz w:val="21"/>
                <w:szCs w:val="21"/>
              </w:rPr>
              <w:t>方采用防尘布(网)苫盖、禁止焚烧</w:t>
            </w:r>
            <w:r>
              <w:rPr>
                <w:rFonts w:hint="default" w:ascii="Times New Roman" w:hAnsi="Times New Roman" w:eastAsia="宋体" w:cs="Times New Roman"/>
                <w:spacing w:val="-5"/>
                <w:sz w:val="21"/>
                <w:szCs w:val="21"/>
              </w:rPr>
              <w:t>可燃垃圾。</w:t>
            </w:r>
          </w:p>
        </w:tc>
        <w:tc>
          <w:tcPr>
            <w:tcW w:w="803" w:type="pct"/>
            <w:noWrap w:val="0"/>
            <w:vAlign w:val="center"/>
          </w:tcPr>
          <w:p w14:paraId="1B5B195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施工期扬尘</w:t>
            </w:r>
            <w:r>
              <w:rPr>
                <w:rFonts w:hint="default" w:ascii="Times New Roman" w:hAnsi="Times New Roman" w:eastAsia="宋体" w:cs="Times New Roman"/>
                <w:spacing w:val="-1"/>
                <w:sz w:val="21"/>
                <w:szCs w:val="21"/>
              </w:rPr>
              <w:t>防治措施有</w:t>
            </w:r>
            <w:r>
              <w:rPr>
                <w:rFonts w:hint="default" w:ascii="Times New Roman" w:hAnsi="Times New Roman" w:eastAsia="宋体" w:cs="Times New Roman"/>
                <w:spacing w:val="-3"/>
                <w:sz w:val="21"/>
                <w:szCs w:val="21"/>
              </w:rPr>
              <w:t>效落实。</w:t>
            </w:r>
          </w:p>
        </w:tc>
        <w:tc>
          <w:tcPr>
            <w:tcW w:w="1450" w:type="pct"/>
            <w:noWrap w:val="0"/>
            <w:vAlign w:val="center"/>
          </w:tcPr>
          <w:p w14:paraId="139CD3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c>
          <w:tcPr>
            <w:tcW w:w="844" w:type="pct"/>
            <w:noWrap w:val="0"/>
            <w:vAlign w:val="center"/>
          </w:tcPr>
          <w:p w14:paraId="11A0BE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position w:val="1"/>
                <w:sz w:val="21"/>
                <w:szCs w:val="21"/>
              </w:rPr>
              <w:t>/</w:t>
            </w:r>
          </w:p>
        </w:tc>
      </w:tr>
      <w:tr w14:paraId="4BC5B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94" w:type="pct"/>
            <w:noWrap w:val="0"/>
            <w:vAlign w:val="center"/>
          </w:tcPr>
          <w:p w14:paraId="3BB7E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固体废物</w:t>
            </w:r>
          </w:p>
        </w:tc>
        <w:tc>
          <w:tcPr>
            <w:tcW w:w="1308" w:type="pct"/>
            <w:noWrap w:val="0"/>
            <w:vAlign w:val="center"/>
          </w:tcPr>
          <w:p w14:paraId="702F99F2">
            <w:pPr>
              <w:keepNext w:val="0"/>
              <w:keepLines w:val="0"/>
              <w:pageBreakBefore w:val="0"/>
              <w:widowControl w:val="0"/>
              <w:numPr>
                <w:ilvl w:val="0"/>
                <w:numId w:val="0"/>
              </w:numPr>
              <w:suppressLineNumbers w:val="0"/>
              <w:kinsoku/>
              <w:wordWrap/>
              <w:overflowPunct/>
              <w:topLinePunct w:val="0"/>
              <w:autoSpaceDE/>
              <w:autoSpaceDN/>
              <w:bidi w:val="0"/>
              <w:snapToGrid w:val="0"/>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highlight w:val="none"/>
                <w:lang w:val="en-US" w:eastAsia="zh-CN"/>
              </w:rPr>
              <w:t>土石方</w:t>
            </w:r>
            <w:r>
              <w:rPr>
                <w:rFonts w:hint="eastAsia" w:ascii="Times New Roman" w:hAnsi="Times New Roman" w:eastAsia="宋体" w:cs="Times New Roman"/>
                <w:color w:val="000000"/>
                <w:spacing w:val="-4"/>
                <w:sz w:val="21"/>
                <w:szCs w:val="21"/>
                <w:highlight w:val="none"/>
              </w:rPr>
              <w:t>用于塔基护坡或运至临近低洼处平整处理</w:t>
            </w:r>
            <w:r>
              <w:rPr>
                <w:rFonts w:hint="eastAsia" w:ascii="Times New Roman" w:hAnsi="Times New Roman" w:eastAsia="宋体" w:cs="Times New Roman"/>
                <w:color w:val="000000"/>
                <w:spacing w:val="-4"/>
                <w:sz w:val="21"/>
                <w:szCs w:val="21"/>
                <w:highlight w:val="none"/>
                <w:lang w:eastAsia="zh-CN"/>
              </w:rPr>
              <w:t>，</w:t>
            </w:r>
            <w:r>
              <w:rPr>
                <w:rFonts w:hint="eastAsia" w:ascii="Times New Roman" w:hAnsi="Times New Roman" w:eastAsia="宋体" w:cs="Times New Roman"/>
                <w:color w:val="000000"/>
                <w:spacing w:val="-4"/>
                <w:sz w:val="21"/>
                <w:szCs w:val="21"/>
                <w:highlight w:val="none"/>
                <w:lang w:val="en-US" w:eastAsia="zh-CN"/>
              </w:rPr>
              <w:t>无弃土弃渣；</w:t>
            </w:r>
            <w:r>
              <w:rPr>
                <w:rFonts w:hint="eastAsia" w:ascii="Times New Roman" w:hAnsi="Times New Roman" w:eastAsia="宋体" w:cs="Times New Roman"/>
                <w:color w:val="000000"/>
                <w:sz w:val="21"/>
                <w:szCs w:val="21"/>
                <w:highlight w:val="none"/>
                <w:lang w:eastAsia="zh-CN"/>
              </w:rPr>
              <w:t>生活垃圾</w:t>
            </w:r>
            <w:r>
              <w:rPr>
                <w:rFonts w:hint="eastAsia" w:ascii="Times New Roman" w:hAnsi="Times New Roman" w:eastAsia="宋体" w:cs="Times New Roman"/>
                <w:color w:val="000000"/>
                <w:sz w:val="21"/>
                <w:szCs w:val="21"/>
                <w:highlight w:val="none"/>
              </w:rPr>
              <w:t>集中收集后</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spacing w:val="-3"/>
                <w:sz w:val="21"/>
                <w:szCs w:val="21"/>
              </w:rPr>
              <w:t>交由环卫部门统一清运</w:t>
            </w:r>
            <w:r>
              <w:rPr>
                <w:rFonts w:hint="eastAsia" w:ascii="Times New Roman" w:hAnsi="Times New Roman" w:eastAsia="宋体" w:cs="Times New Roman"/>
                <w:spacing w:val="-3"/>
                <w:sz w:val="21"/>
                <w:szCs w:val="21"/>
                <w:lang w:val="en-US" w:eastAsia="zh-CN"/>
              </w:rPr>
              <w:t>处理；</w:t>
            </w:r>
            <w:r>
              <w:rPr>
                <w:rFonts w:hint="eastAsia" w:ascii="Times New Roman" w:hAnsi="Times New Roman" w:eastAsia="宋体" w:cs="Times New Roman"/>
                <w:color w:val="000000"/>
                <w:sz w:val="21"/>
                <w:szCs w:val="21"/>
                <w:highlight w:val="none"/>
              </w:rPr>
              <w:t>包装袋由施工单位统一回收，综合利用</w:t>
            </w:r>
            <w:r>
              <w:rPr>
                <w:rFonts w:hint="eastAsia" w:ascii="Times New Roman" w:hAnsi="Times New Roman" w:eastAsia="宋体" w:cs="Times New Roman"/>
                <w:color w:val="000000"/>
                <w:sz w:val="21"/>
                <w:szCs w:val="21"/>
                <w:highlight w:val="none"/>
                <w:lang w:eastAsia="zh-CN"/>
              </w:rPr>
              <w:t>。</w:t>
            </w:r>
          </w:p>
        </w:tc>
        <w:tc>
          <w:tcPr>
            <w:tcW w:w="803" w:type="pct"/>
            <w:noWrap w:val="0"/>
            <w:vAlign w:val="center"/>
          </w:tcPr>
          <w:p w14:paraId="16EE12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施工现场无遗留固体废</w:t>
            </w:r>
            <w:r>
              <w:rPr>
                <w:rFonts w:hint="default" w:ascii="Times New Roman" w:hAnsi="Times New Roman" w:eastAsia="宋体" w:cs="Times New Roman"/>
                <w:spacing w:val="-2"/>
                <w:sz w:val="21"/>
                <w:szCs w:val="21"/>
              </w:rPr>
              <w:t>弃物。</w:t>
            </w:r>
          </w:p>
        </w:tc>
        <w:tc>
          <w:tcPr>
            <w:tcW w:w="1450" w:type="pct"/>
            <w:noWrap w:val="0"/>
            <w:vAlign w:val="center"/>
          </w:tcPr>
          <w:p w14:paraId="63EC83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spacing w:val="2"/>
                <w:kern w:val="2"/>
                <w:sz w:val="21"/>
                <w:szCs w:val="21"/>
                <w:lang w:val="en-US" w:eastAsia="zh-CN" w:bidi="ar-SA"/>
              </w:rPr>
              <w:t>工作人员</w:t>
            </w:r>
            <w:r>
              <w:rPr>
                <w:rFonts w:hint="default" w:ascii="Times New Roman" w:hAnsi="Times New Roman" w:eastAsia="宋体" w:cs="Times New Roman"/>
                <w:spacing w:val="2"/>
                <w:kern w:val="2"/>
                <w:sz w:val="21"/>
                <w:szCs w:val="21"/>
                <w:lang w:val="en-US" w:eastAsia="zh-CN" w:bidi="ar-SA"/>
              </w:rPr>
              <w:t>生活垃圾集中收集后，交由环卫部门处理</w:t>
            </w:r>
            <w:r>
              <w:rPr>
                <w:rFonts w:hint="eastAsia" w:ascii="Times New Roman" w:hAnsi="Times New Roman" w:eastAsia="宋体" w:cs="Times New Roman"/>
                <w:spacing w:val="2"/>
                <w:kern w:val="2"/>
                <w:sz w:val="21"/>
                <w:szCs w:val="21"/>
                <w:lang w:val="en-US" w:eastAsia="zh-CN" w:bidi="ar-SA"/>
              </w:rPr>
              <w:t>；检修废弃物交旧退库回收处理，由公司物资管理部门按公司制度统一处置</w:t>
            </w:r>
            <w:r>
              <w:rPr>
                <w:rFonts w:hint="eastAsia" w:cs="Times New Roman"/>
                <w:spacing w:val="2"/>
                <w:kern w:val="2"/>
                <w:sz w:val="21"/>
                <w:szCs w:val="21"/>
                <w:lang w:val="en-US" w:eastAsia="zh-CN" w:bidi="ar-SA"/>
              </w:rPr>
              <w:t>；</w:t>
            </w:r>
            <w:r>
              <w:rPr>
                <w:rFonts w:hint="default" w:ascii="Times New Roman" w:hAnsi="Times New Roman" w:eastAsia="宋体" w:cs="Times New Roman"/>
                <w:b w:val="0"/>
                <w:bCs/>
                <w:kern w:val="2"/>
                <w:sz w:val="21"/>
                <w:szCs w:val="21"/>
                <w:lang w:val="en-US" w:eastAsia="zh-CN" w:bidi="ar-SA"/>
              </w:rPr>
              <w:t>事故</w:t>
            </w:r>
            <w:r>
              <w:rPr>
                <w:rFonts w:hint="eastAsia" w:ascii="Times New Roman" w:hAnsi="Times New Roman" w:eastAsia="宋体" w:cs="Times New Roman"/>
                <w:b w:val="0"/>
                <w:bCs/>
                <w:kern w:val="2"/>
                <w:sz w:val="21"/>
                <w:szCs w:val="21"/>
                <w:lang w:val="en-US" w:eastAsia="zh-CN" w:bidi="ar-SA"/>
              </w:rPr>
              <w:t>废</w:t>
            </w:r>
            <w:r>
              <w:rPr>
                <w:rFonts w:hint="default" w:ascii="Times New Roman" w:hAnsi="Times New Roman" w:eastAsia="宋体" w:cs="Times New Roman"/>
                <w:b w:val="0"/>
                <w:bCs/>
                <w:kern w:val="2"/>
                <w:sz w:val="21"/>
                <w:szCs w:val="21"/>
                <w:lang w:val="en-US" w:eastAsia="zh-CN" w:bidi="ar-SA"/>
              </w:rPr>
              <w:t>油临时收集贮存</w:t>
            </w:r>
            <w:r>
              <w:rPr>
                <w:rFonts w:hint="eastAsia" w:ascii="Times New Roman" w:hAnsi="Times New Roman" w:eastAsia="宋体" w:cs="Times New Roman"/>
                <w:b w:val="0"/>
                <w:bCs/>
                <w:kern w:val="2"/>
                <w:sz w:val="21"/>
                <w:szCs w:val="21"/>
                <w:lang w:val="en-US" w:eastAsia="zh-CN" w:bidi="ar-SA"/>
              </w:rPr>
              <w:t>于</w:t>
            </w:r>
            <w:r>
              <w:rPr>
                <w:rFonts w:hint="default" w:ascii="Times New Roman" w:hAnsi="Times New Roman" w:eastAsia="宋体" w:cs="Times New Roman"/>
                <w:b w:val="0"/>
                <w:bCs/>
                <w:kern w:val="2"/>
                <w:sz w:val="21"/>
                <w:szCs w:val="21"/>
                <w:lang w:val="en-US" w:eastAsia="zh-CN" w:bidi="ar-SA"/>
              </w:rPr>
              <w:t>事故油池，废油产生后将尽快交由有相关资质的单位进行回收处理</w:t>
            </w:r>
            <w:r>
              <w:rPr>
                <w:rFonts w:hint="eastAsia" w:ascii="Times New Roman" w:hAnsi="Times New Roman" w:eastAsia="宋体" w:cs="Times New Roman"/>
                <w:b w:val="0"/>
                <w:bCs/>
                <w:kern w:val="2"/>
                <w:sz w:val="21"/>
                <w:szCs w:val="21"/>
                <w:lang w:val="en-US" w:eastAsia="zh-CN" w:bidi="ar-SA"/>
              </w:rPr>
              <w:t>；废</w:t>
            </w:r>
            <w:r>
              <w:rPr>
                <w:rFonts w:hint="eastAsia" w:cs="Times New Roman"/>
                <w:b w:val="0"/>
                <w:bCs/>
                <w:kern w:val="2"/>
                <w:sz w:val="21"/>
                <w:szCs w:val="21"/>
                <w:lang w:val="en-US" w:eastAsia="zh-CN" w:bidi="ar-SA"/>
              </w:rPr>
              <w:t>旧</w:t>
            </w:r>
            <w:r>
              <w:rPr>
                <w:rFonts w:hint="default" w:ascii="Times New Roman" w:hAnsi="Times New Roman" w:eastAsia="宋体" w:cs="Times New Roman"/>
                <w:b w:val="0"/>
                <w:bCs/>
                <w:kern w:val="2"/>
                <w:sz w:val="21"/>
                <w:szCs w:val="21"/>
                <w:lang w:val="en-US" w:eastAsia="zh-CN" w:bidi="ar-SA"/>
              </w:rPr>
              <w:t>电池</w:t>
            </w:r>
            <w:r>
              <w:rPr>
                <w:rFonts w:hint="eastAsia"/>
                <w:spacing w:val="-1"/>
                <w:sz w:val="21"/>
                <w:szCs w:val="21"/>
                <w:lang w:val="en-US" w:eastAsia="zh-CN"/>
              </w:rPr>
              <w:t>依托主体工程现有</w:t>
            </w:r>
            <w:r>
              <w:rPr>
                <w:rFonts w:hint="eastAsia" w:cs="Times New Roman"/>
                <w:color w:val="000000" w:themeColor="text1"/>
                <w:kern w:val="0"/>
                <w:sz w:val="21"/>
                <w:szCs w:val="21"/>
                <w:shd w:val="clear" w:color="auto" w:fill="auto"/>
                <w:lang w:val="en-US" w:eastAsia="zh-CN" w:bidi="ar-SA"/>
                <w14:textFill>
                  <w14:solidFill>
                    <w14:schemeClr w14:val="tx1"/>
                  </w14:solidFill>
                </w14:textFill>
              </w:rPr>
              <w:t>危废暂存间</w:t>
            </w:r>
            <w:r>
              <w:rPr>
                <w:rFonts w:hint="default" w:ascii="Times New Roman" w:hAnsi="Times New Roman" w:eastAsia="宋体" w:cs="Times New Roman"/>
                <w:spacing w:val="-1"/>
                <w:sz w:val="21"/>
                <w:szCs w:val="21"/>
                <w:lang w:val="en-US" w:eastAsia="zh-CN"/>
              </w:rPr>
              <w:t>暂存</w:t>
            </w:r>
            <w:r>
              <w:rPr>
                <w:rFonts w:hint="default" w:ascii="Times New Roman" w:hAnsi="Times New Roman" w:eastAsia="宋体" w:cs="Times New Roman"/>
                <w:color w:val="000000" w:themeColor="text1"/>
                <w:kern w:val="0"/>
                <w:sz w:val="21"/>
                <w:szCs w:val="21"/>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kern w:val="2"/>
                <w:sz w:val="21"/>
                <w:szCs w:val="21"/>
                <w:lang w:val="en-US" w:eastAsia="zh-CN" w:bidi="ar-SA"/>
              </w:rPr>
              <w:t>及时委托有资质单位运走处置</w:t>
            </w:r>
            <w:r>
              <w:rPr>
                <w:rFonts w:hint="eastAsia" w:ascii="Times New Roman" w:hAnsi="Times New Roman" w:eastAsia="宋体" w:cs="Times New Roman"/>
                <w:b w:val="0"/>
                <w:bCs/>
                <w:kern w:val="2"/>
                <w:sz w:val="21"/>
                <w:szCs w:val="21"/>
                <w:lang w:val="en-US" w:eastAsia="zh-CN" w:bidi="ar-SA"/>
              </w:rPr>
              <w:t>。</w:t>
            </w:r>
          </w:p>
        </w:tc>
        <w:tc>
          <w:tcPr>
            <w:tcW w:w="844" w:type="pct"/>
            <w:noWrap w:val="0"/>
            <w:vAlign w:val="center"/>
          </w:tcPr>
          <w:p w14:paraId="70A7A9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固体废物能够妥</w:t>
            </w:r>
            <w:r>
              <w:rPr>
                <w:rFonts w:hint="default" w:ascii="Times New Roman" w:hAnsi="Times New Roman" w:eastAsia="宋体" w:cs="Times New Roman"/>
                <w:spacing w:val="-2"/>
                <w:sz w:val="21"/>
                <w:szCs w:val="21"/>
              </w:rPr>
              <w:t>善处置。</w:t>
            </w:r>
          </w:p>
        </w:tc>
      </w:tr>
      <w:tr w14:paraId="563E1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4F2DC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电磁环境</w:t>
            </w:r>
          </w:p>
        </w:tc>
        <w:tc>
          <w:tcPr>
            <w:tcW w:w="1308" w:type="pct"/>
            <w:noWrap w:val="0"/>
            <w:vAlign w:val="center"/>
          </w:tcPr>
          <w:p w14:paraId="63A90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03" w:type="pct"/>
            <w:noWrap w:val="0"/>
            <w:vAlign w:val="center"/>
          </w:tcPr>
          <w:p w14:paraId="176BF9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450" w:type="pct"/>
            <w:noWrap w:val="0"/>
            <w:vAlign w:val="center"/>
          </w:tcPr>
          <w:p w14:paraId="735C0C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加强对工作人员进行有关电磁环境知识的培训，定期检查设备，加强设备日常管理和维护，避免设备损坏。</w:t>
            </w:r>
          </w:p>
        </w:tc>
        <w:tc>
          <w:tcPr>
            <w:tcW w:w="844" w:type="pct"/>
            <w:noWrap w:val="0"/>
            <w:vAlign w:val="center"/>
          </w:tcPr>
          <w:p w14:paraId="733953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cs="Times New Roman"/>
                <w:spacing w:val="17"/>
                <w:sz w:val="21"/>
                <w:szCs w:val="21"/>
                <w:lang w:val="en-US" w:eastAsia="zh-CN"/>
              </w:rPr>
              <w:t>项目</w:t>
            </w:r>
            <w:r>
              <w:rPr>
                <w:rFonts w:hint="default" w:ascii="Times New Roman" w:hAnsi="Times New Roman" w:eastAsia="宋体" w:cs="Times New Roman"/>
                <w:spacing w:val="17"/>
                <w:sz w:val="21"/>
                <w:szCs w:val="21"/>
              </w:rPr>
              <w:t>运行时产生</w:t>
            </w:r>
            <w:r>
              <w:rPr>
                <w:rFonts w:hint="default" w:ascii="Times New Roman" w:hAnsi="Times New Roman" w:eastAsia="宋体" w:cs="Times New Roman"/>
                <w:spacing w:val="-11"/>
                <w:sz w:val="21"/>
                <w:szCs w:val="21"/>
              </w:rPr>
              <w:t>的电磁满足《电磁</w:t>
            </w:r>
            <w:r>
              <w:rPr>
                <w:rFonts w:hint="default" w:ascii="Times New Roman" w:hAnsi="Times New Roman" w:eastAsia="宋体" w:cs="Times New Roman"/>
                <w:spacing w:val="16"/>
                <w:sz w:val="21"/>
                <w:szCs w:val="21"/>
              </w:rPr>
              <w:t>环境控制限值》</w:t>
            </w:r>
            <w:r>
              <w:rPr>
                <w:rFonts w:hint="default" w:ascii="Times New Roman" w:hAnsi="Times New Roman" w:eastAsia="宋体" w:cs="Times New Roman"/>
                <w:spacing w:val="-1"/>
                <w:sz w:val="21"/>
                <w:szCs w:val="21"/>
              </w:rPr>
              <w:t>(GB</w:t>
            </w:r>
            <w:r>
              <w:rPr>
                <w:rFonts w:hint="eastAsia" w:cs="Times New Roman"/>
                <w:spacing w:val="-1"/>
                <w:sz w:val="21"/>
                <w:szCs w:val="21"/>
                <w:lang w:val="en-US" w:eastAsia="zh-CN"/>
              </w:rPr>
              <w:t xml:space="preserve"> </w:t>
            </w:r>
            <w:r>
              <w:rPr>
                <w:rFonts w:hint="default" w:ascii="Times New Roman" w:hAnsi="Times New Roman" w:eastAsia="宋体" w:cs="Times New Roman"/>
                <w:spacing w:val="-1"/>
                <w:sz w:val="21"/>
                <w:szCs w:val="21"/>
              </w:rPr>
              <w:t>8702-2014)</w:t>
            </w:r>
            <w:r>
              <w:rPr>
                <w:rFonts w:hint="default" w:ascii="Times New Roman" w:hAnsi="Times New Roman" w:eastAsia="宋体" w:cs="Times New Roman"/>
                <w:spacing w:val="-8"/>
                <w:sz w:val="21"/>
                <w:szCs w:val="21"/>
              </w:rPr>
              <w:t>要求。</w:t>
            </w:r>
          </w:p>
        </w:tc>
      </w:tr>
      <w:tr w14:paraId="28C69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19F2DA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环境风险</w:t>
            </w:r>
          </w:p>
        </w:tc>
        <w:tc>
          <w:tcPr>
            <w:tcW w:w="1308" w:type="pct"/>
            <w:noWrap w:val="0"/>
            <w:vAlign w:val="center"/>
          </w:tcPr>
          <w:p w14:paraId="75C868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03" w:type="pct"/>
            <w:noWrap w:val="0"/>
            <w:vAlign w:val="center"/>
          </w:tcPr>
          <w:p w14:paraId="6D2FA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450" w:type="pct"/>
            <w:noWrap w:val="0"/>
            <w:vAlign w:val="center"/>
          </w:tcPr>
          <w:p w14:paraId="60B37D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设事故油池1座</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定期对事故油池进行检查，确保完好有效</w:t>
            </w:r>
          </w:p>
        </w:tc>
        <w:tc>
          <w:tcPr>
            <w:tcW w:w="844" w:type="pct"/>
            <w:noWrap w:val="0"/>
            <w:vAlign w:val="center"/>
          </w:tcPr>
          <w:p w14:paraId="701330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合理处置</w:t>
            </w:r>
          </w:p>
        </w:tc>
      </w:tr>
      <w:tr w14:paraId="26DF6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7AD7B6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环境监测</w:t>
            </w:r>
          </w:p>
        </w:tc>
        <w:tc>
          <w:tcPr>
            <w:tcW w:w="1308" w:type="pct"/>
            <w:noWrap w:val="0"/>
            <w:vAlign w:val="center"/>
          </w:tcPr>
          <w:p w14:paraId="72C1F7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803" w:type="pct"/>
            <w:noWrap w:val="0"/>
            <w:vAlign w:val="center"/>
          </w:tcPr>
          <w:p w14:paraId="42FF5B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450" w:type="pct"/>
            <w:noWrap w:val="0"/>
            <w:vAlign w:val="center"/>
          </w:tcPr>
          <w:p w14:paraId="3EF5F229">
            <w:pPr>
              <w:pStyle w:val="135"/>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按照监测计划</w:t>
            </w:r>
            <w:r>
              <w:rPr>
                <w:rFonts w:hint="default" w:ascii="Times New Roman" w:hAnsi="Times New Roman" w:eastAsia="宋体" w:cs="Times New Roman"/>
                <w:spacing w:val="-4"/>
                <w:sz w:val="21"/>
                <w:szCs w:val="21"/>
              </w:rPr>
              <w:t>进行</w:t>
            </w:r>
          </w:p>
        </w:tc>
        <w:tc>
          <w:tcPr>
            <w:tcW w:w="844" w:type="pct"/>
            <w:noWrap w:val="0"/>
            <w:vAlign w:val="center"/>
          </w:tcPr>
          <w:p w14:paraId="00A9C337">
            <w:pPr>
              <w:pStyle w:val="135"/>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监测结果符合相应控制</w:t>
            </w:r>
            <w:r>
              <w:rPr>
                <w:rFonts w:hint="default" w:ascii="Times New Roman" w:hAnsi="Times New Roman" w:eastAsia="宋体" w:cs="Times New Roman"/>
                <w:spacing w:val="-6"/>
                <w:sz w:val="21"/>
                <w:szCs w:val="21"/>
              </w:rPr>
              <w:t>标准</w:t>
            </w:r>
          </w:p>
        </w:tc>
      </w:tr>
      <w:tr w14:paraId="790C7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pct"/>
            <w:noWrap w:val="0"/>
            <w:vAlign w:val="center"/>
          </w:tcPr>
          <w:p w14:paraId="692E3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其他</w:t>
            </w:r>
          </w:p>
        </w:tc>
        <w:tc>
          <w:tcPr>
            <w:tcW w:w="1308" w:type="pct"/>
            <w:noWrap w:val="0"/>
            <w:vAlign w:val="center"/>
          </w:tcPr>
          <w:p w14:paraId="300121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03" w:type="pct"/>
            <w:noWrap w:val="0"/>
            <w:vAlign w:val="center"/>
          </w:tcPr>
          <w:p w14:paraId="6110FA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1450" w:type="pct"/>
            <w:noWrap w:val="0"/>
            <w:vAlign w:val="center"/>
          </w:tcPr>
          <w:p w14:paraId="1477B5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844" w:type="pct"/>
            <w:noWrap w:val="0"/>
            <w:vAlign w:val="center"/>
          </w:tcPr>
          <w:p w14:paraId="6B9344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bl>
    <w:p w14:paraId="6E13906E">
      <w:pPr>
        <w:widowControl w:val="0"/>
        <w:numPr>
          <w:ilvl w:val="0"/>
          <w:numId w:val="0"/>
        </w:numPr>
        <w:spacing w:line="360" w:lineRule="auto"/>
        <w:jc w:val="center"/>
        <w:rPr>
          <w:rFonts w:hint="eastAsia" w:ascii="黑体" w:hAnsi="黑体" w:eastAsia="黑体" w:cs="黑体"/>
          <w:spacing w:val="-2"/>
          <w:sz w:val="30"/>
          <w:szCs w:val="30"/>
          <w:lang w:val="en-US" w:eastAsia="zh-CN"/>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4D551CF5">
      <w:pPr>
        <w:pStyle w:val="25"/>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center"/>
        <w:textAlignment w:val="auto"/>
        <w:outlineLvl w:val="0"/>
        <w:rPr>
          <w:rStyle w:val="42"/>
        </w:rPr>
      </w:pPr>
      <w:bookmarkStart w:id="35" w:name="_Toc19189"/>
      <w:r>
        <w:rPr>
          <w:rStyle w:val="42"/>
          <w:rFonts w:hint="eastAsia" w:eastAsia="黑体"/>
          <w:lang w:val="en-US" w:eastAsia="zh-CN"/>
        </w:rPr>
        <w:t>七</w:t>
      </w:r>
      <w:r>
        <w:rPr>
          <w:rStyle w:val="42"/>
          <w:rFonts w:hint="eastAsia"/>
        </w:rPr>
        <w:t>、结论</w:t>
      </w:r>
      <w:bookmarkEnd w:id="35"/>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C883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14:paraId="69726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宋体" w:hAnsi="宋体" w:eastAsia="宋体" w:cs="宋体"/>
                <w:color w:val="FF0000"/>
                <w:sz w:val="24"/>
                <w:szCs w:val="24"/>
              </w:rPr>
            </w:pPr>
            <w:r>
              <w:rPr>
                <w:rFonts w:hint="default" w:ascii="宋体" w:hAnsi="宋体" w:eastAsia="宋体" w:cs="宋体"/>
                <w:sz w:val="24"/>
                <w:szCs w:val="24"/>
              </w:rPr>
              <w:t>本工程的建设具有良好的经济效益和社会效益，符合国家产业政策，符合电网发展规划。</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从环境保护角度</w:t>
            </w:r>
            <w:r>
              <w:rPr>
                <w:rFonts w:hint="eastAsia" w:cs="Times New Roman"/>
                <w:color w:val="000000" w:themeColor="text1"/>
                <w:kern w:val="0"/>
                <w:sz w:val="24"/>
                <w:szCs w:val="24"/>
                <w:lang w:val="en-US" w:eastAsia="zh-CN" w:bidi="ar"/>
                <w14:textFill>
                  <w14:solidFill>
                    <w14:schemeClr w14:val="tx1"/>
                  </w14:solidFill>
                </w14:textFill>
              </w:rPr>
              <w:t>分析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本项目属于《产业结构调整指导目录（2024年本）》中的鼓励类，</w:t>
            </w:r>
            <w:r>
              <w:rPr>
                <w:rFonts w:hint="eastAsia" w:cs="Times New Roman"/>
                <w:color w:val="000000" w:themeColor="text1"/>
                <w:kern w:val="0"/>
                <w:sz w:val="24"/>
                <w:szCs w:val="24"/>
                <w:lang w:val="en-US" w:eastAsia="zh-CN" w:bidi="ar"/>
                <w14:textFill>
                  <w14:solidFill>
                    <w14:schemeClr w14:val="tx1"/>
                  </w14:solidFill>
                </w14:textFill>
              </w:rPr>
              <w:t>选址选线合理。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建设单位在严格执行</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三同时</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制度、在建设及运行过程采取工程措施、临时防护措施相结合的综合防治体系，对各项污染防治措施切实逐项予以落实、并加强运营期管理的前提下，本项目对周围环境质量影响较小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宋体" w:hAnsi="宋体" w:eastAsia="宋体" w:cs="宋体"/>
                <w:color w:val="000000" w:themeColor="text1"/>
                <w:sz w:val="24"/>
                <w:szCs w:val="24"/>
                <w14:textFill>
                  <w14:solidFill>
                    <w14:schemeClr w14:val="tx1"/>
                  </w14:solidFill>
                </w14:textFill>
              </w:rPr>
              <w:t>满足国家相应标准的要求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，建设项目可行。</w:t>
            </w:r>
          </w:p>
          <w:p w14:paraId="14701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宋体" w:hAnsi="宋体" w:eastAsia="宋体" w:cs="宋体"/>
                <w:sz w:val="24"/>
                <w:szCs w:val="24"/>
              </w:rPr>
            </w:pPr>
          </w:p>
          <w:p w14:paraId="69CBE5B1">
            <w:pPr>
              <w:keepNext w:val="0"/>
              <w:keepLines w:val="0"/>
              <w:suppressLineNumbers w:val="0"/>
              <w:spacing w:before="0" w:beforeAutospacing="0" w:after="0" w:afterAutospacing="0" w:line="360" w:lineRule="auto"/>
              <w:ind w:left="0" w:leftChars="0" w:right="0" w:firstLine="0" w:firstLineChars="0"/>
              <w:rPr>
                <w:rFonts w:hint="eastAsia" w:cs="Times New Roman"/>
                <w:color w:val="000000" w:themeColor="text1"/>
                <w:sz w:val="24"/>
                <w14:textFill>
                  <w14:solidFill>
                    <w14:schemeClr w14:val="tx1"/>
                  </w14:solidFill>
                </w14:textFill>
              </w:rPr>
            </w:pPr>
          </w:p>
          <w:p w14:paraId="4A40BA6D">
            <w:pPr>
              <w:keepNext w:val="0"/>
              <w:keepLines w:val="0"/>
              <w:suppressLineNumbers w:val="0"/>
              <w:spacing w:before="0" w:beforeAutospacing="0" w:after="0" w:afterAutospacing="0" w:line="360" w:lineRule="auto"/>
              <w:ind w:left="0" w:right="0" w:firstLine="480" w:firstLineChars="200"/>
              <w:rPr>
                <w:rFonts w:hint="eastAsia" w:cs="Times New Roman"/>
                <w:color w:val="000000"/>
                <w:sz w:val="24"/>
              </w:rPr>
            </w:pPr>
          </w:p>
          <w:p w14:paraId="5DED2019">
            <w:pPr>
              <w:keepNext w:val="0"/>
              <w:keepLines w:val="0"/>
              <w:suppressLineNumbers w:val="0"/>
              <w:spacing w:before="0" w:beforeAutospacing="0" w:after="0" w:afterAutospacing="0" w:line="360" w:lineRule="auto"/>
              <w:ind w:left="0" w:right="0" w:firstLine="480" w:firstLineChars="200"/>
              <w:rPr>
                <w:rFonts w:hint="eastAsia" w:cs="Times New Roman"/>
                <w:color w:val="000000"/>
                <w:sz w:val="24"/>
              </w:rPr>
            </w:pPr>
          </w:p>
          <w:p w14:paraId="6807D989">
            <w:pPr>
              <w:keepNext w:val="0"/>
              <w:keepLines w:val="0"/>
              <w:suppressLineNumbers w:val="0"/>
              <w:spacing w:before="0" w:beforeAutospacing="0" w:after="0" w:afterAutospacing="0" w:line="360" w:lineRule="auto"/>
              <w:ind w:left="0" w:right="0" w:firstLine="480" w:firstLineChars="200"/>
              <w:rPr>
                <w:rFonts w:hint="eastAsia" w:cs="Times New Roman"/>
                <w:color w:val="000000"/>
                <w:sz w:val="24"/>
              </w:rPr>
            </w:pPr>
          </w:p>
          <w:p w14:paraId="5360C36F">
            <w:pPr>
              <w:pStyle w:val="55"/>
              <w:keepNext w:val="0"/>
              <w:keepLines w:val="0"/>
              <w:suppressLineNumbers w:val="0"/>
              <w:spacing w:before="0" w:beforeAutospacing="0" w:after="0" w:afterAutospacing="0"/>
              <w:ind w:left="0" w:right="0"/>
              <w:rPr>
                <w:rFonts w:hint="eastAsia" w:cs="Times New Roman"/>
                <w:color w:val="000000"/>
                <w:sz w:val="24"/>
                <w:szCs w:val="24"/>
              </w:rPr>
            </w:pPr>
          </w:p>
          <w:p w14:paraId="390768BB">
            <w:pPr>
              <w:pStyle w:val="55"/>
              <w:keepNext w:val="0"/>
              <w:keepLines w:val="0"/>
              <w:suppressLineNumbers w:val="0"/>
              <w:spacing w:before="0" w:beforeAutospacing="0" w:after="0" w:afterAutospacing="0"/>
              <w:ind w:left="0" w:right="0"/>
              <w:rPr>
                <w:rFonts w:hint="eastAsia" w:cs="Times New Roman"/>
                <w:color w:val="000000"/>
                <w:sz w:val="24"/>
                <w:szCs w:val="24"/>
              </w:rPr>
            </w:pPr>
          </w:p>
          <w:p w14:paraId="40A6A85D">
            <w:pPr>
              <w:pStyle w:val="55"/>
              <w:keepNext w:val="0"/>
              <w:keepLines w:val="0"/>
              <w:suppressLineNumbers w:val="0"/>
              <w:spacing w:before="0" w:beforeAutospacing="0" w:after="0" w:afterAutospacing="0"/>
              <w:ind w:left="0" w:right="0"/>
              <w:rPr>
                <w:rFonts w:hint="eastAsia" w:cs="Times New Roman"/>
                <w:color w:val="000000"/>
                <w:sz w:val="24"/>
                <w:szCs w:val="24"/>
              </w:rPr>
            </w:pPr>
          </w:p>
          <w:p w14:paraId="21970D1B">
            <w:pPr>
              <w:pStyle w:val="55"/>
              <w:keepNext w:val="0"/>
              <w:keepLines w:val="0"/>
              <w:suppressLineNumbers w:val="0"/>
              <w:spacing w:before="0" w:beforeAutospacing="0" w:after="0" w:afterAutospacing="0"/>
              <w:ind w:left="0" w:right="0"/>
              <w:rPr>
                <w:rFonts w:hint="eastAsia" w:cs="Times New Roman"/>
                <w:color w:val="000000"/>
                <w:sz w:val="24"/>
                <w:szCs w:val="24"/>
              </w:rPr>
            </w:pPr>
          </w:p>
          <w:p w14:paraId="46DF2ED0">
            <w:pPr>
              <w:pStyle w:val="55"/>
              <w:keepNext w:val="0"/>
              <w:keepLines w:val="0"/>
              <w:suppressLineNumbers w:val="0"/>
              <w:spacing w:before="0" w:beforeAutospacing="0" w:after="0" w:afterAutospacing="0"/>
              <w:ind w:left="0" w:right="0"/>
              <w:rPr>
                <w:rFonts w:hint="eastAsia" w:cs="Times New Roman"/>
                <w:color w:val="000000"/>
                <w:sz w:val="24"/>
                <w:szCs w:val="24"/>
              </w:rPr>
            </w:pPr>
          </w:p>
          <w:p w14:paraId="2FCBE962">
            <w:pPr>
              <w:keepNext w:val="0"/>
              <w:keepLines w:val="0"/>
              <w:suppressLineNumbers w:val="0"/>
              <w:spacing w:before="0" w:beforeAutospacing="0" w:after="0" w:afterAutospacing="0" w:line="360" w:lineRule="auto"/>
              <w:ind w:left="0" w:leftChars="0" w:right="0" w:firstLine="0" w:firstLineChars="0"/>
              <w:rPr>
                <w:rFonts w:hint="eastAsia" w:cs="Times New Roman"/>
                <w:color w:val="000000"/>
                <w:sz w:val="24"/>
              </w:rPr>
            </w:pPr>
          </w:p>
          <w:p w14:paraId="02061191">
            <w:pPr>
              <w:keepNext w:val="0"/>
              <w:keepLines w:val="0"/>
              <w:suppressLineNumbers w:val="0"/>
              <w:spacing w:before="0" w:beforeAutospacing="0" w:after="0" w:afterAutospacing="0" w:line="360" w:lineRule="auto"/>
              <w:ind w:left="0" w:leftChars="0" w:right="0" w:firstLine="0" w:firstLineChars="0"/>
              <w:rPr>
                <w:rFonts w:hint="eastAsia" w:cs="Times New Roman"/>
                <w:color w:val="000000"/>
                <w:sz w:val="24"/>
              </w:rPr>
            </w:pPr>
          </w:p>
          <w:p w14:paraId="707F803B">
            <w:pPr>
              <w:keepNext w:val="0"/>
              <w:keepLines w:val="0"/>
              <w:suppressLineNumbers w:val="0"/>
              <w:spacing w:before="0" w:beforeAutospacing="0" w:after="0" w:afterAutospacing="0" w:line="360" w:lineRule="auto"/>
              <w:ind w:left="0" w:leftChars="0" w:right="0" w:firstLine="0" w:firstLineChars="0"/>
              <w:rPr>
                <w:rFonts w:hint="eastAsia" w:cs="Times New Roman"/>
                <w:color w:val="000000"/>
                <w:sz w:val="24"/>
              </w:rPr>
            </w:pPr>
          </w:p>
          <w:p w14:paraId="75635DBA">
            <w:pPr>
              <w:keepNext w:val="0"/>
              <w:keepLines w:val="0"/>
              <w:suppressLineNumbers w:val="0"/>
              <w:spacing w:before="0" w:beforeAutospacing="0" w:after="0" w:afterAutospacing="0" w:line="360" w:lineRule="auto"/>
              <w:ind w:left="0" w:leftChars="0" w:right="0" w:firstLine="0" w:firstLineChars="0"/>
              <w:rPr>
                <w:rFonts w:hint="eastAsia" w:cs="Times New Roman"/>
                <w:color w:val="000000"/>
                <w:sz w:val="24"/>
              </w:rPr>
            </w:pPr>
          </w:p>
          <w:p w14:paraId="180C28D0">
            <w:pPr>
              <w:keepNext w:val="0"/>
              <w:keepLines w:val="0"/>
              <w:suppressLineNumbers w:val="0"/>
              <w:spacing w:before="0" w:beforeAutospacing="0" w:after="0" w:afterAutospacing="0" w:line="360" w:lineRule="auto"/>
              <w:ind w:left="0" w:right="0"/>
              <w:rPr>
                <w:rFonts w:hint="default" w:cs="宋体"/>
                <w:color w:val="000000"/>
                <w:sz w:val="24"/>
              </w:rPr>
            </w:pPr>
          </w:p>
          <w:p w14:paraId="23721475">
            <w:pPr>
              <w:pStyle w:val="11"/>
              <w:keepNext w:val="0"/>
              <w:keepLines w:val="0"/>
              <w:suppressLineNumbers w:val="0"/>
              <w:spacing w:beforeAutospacing="0" w:afterAutospacing="0"/>
              <w:ind w:left="0"/>
              <w:rPr>
                <w:rFonts w:hint="default" w:cs="Times New Roman"/>
                <w:color w:val="000000"/>
              </w:rPr>
            </w:pPr>
          </w:p>
          <w:p w14:paraId="6F678F70">
            <w:pPr>
              <w:keepNext w:val="0"/>
              <w:keepLines w:val="0"/>
              <w:suppressLineNumbers w:val="0"/>
              <w:spacing w:before="0" w:beforeAutospacing="0" w:after="0" w:afterAutospacing="0"/>
              <w:ind w:left="0" w:right="0"/>
              <w:rPr>
                <w:rFonts w:hint="default" w:cs="Times New Roman"/>
                <w:color w:val="000000"/>
              </w:rPr>
            </w:pPr>
          </w:p>
          <w:p w14:paraId="60DA8D48">
            <w:pPr>
              <w:keepNext w:val="0"/>
              <w:keepLines w:val="0"/>
              <w:suppressLineNumbers w:val="0"/>
              <w:spacing w:before="0" w:beforeAutospacing="0" w:after="0" w:afterAutospacing="0"/>
              <w:ind w:left="0" w:leftChars="0" w:right="0" w:firstLine="0" w:firstLineChars="0"/>
              <w:rPr>
                <w:rFonts w:hint="eastAsia" w:cs="Times New Roman"/>
                <w:color w:val="000000"/>
              </w:rPr>
            </w:pPr>
          </w:p>
        </w:tc>
      </w:tr>
    </w:tbl>
    <w:p w14:paraId="41331162">
      <w:pPr>
        <w:rPr>
          <w:rFonts w:hint="eastAsia" w:ascii="Times New Roman" w:hAnsi="Times New Roman" w:eastAsia="宋体" w:cs="Times New Roman"/>
          <w:bCs w:val="0"/>
          <w:color w:val="000000"/>
          <w:kern w:val="2"/>
          <w:sz w:val="24"/>
          <w:szCs w:val="24"/>
          <w:lang w:val="en-US" w:eastAsia="zh-CN" w:bidi="ar-SA"/>
        </w:rPr>
      </w:pPr>
      <w:r>
        <w:rPr>
          <w:rFonts w:hint="eastAsia" w:ascii="Times New Roman" w:hAnsi="Times New Roman" w:eastAsia="宋体" w:cs="Times New Roman"/>
          <w:bCs w:val="0"/>
          <w:color w:val="000000"/>
          <w:kern w:val="2"/>
          <w:sz w:val="24"/>
          <w:szCs w:val="24"/>
          <w:lang w:val="en-US" w:eastAsia="zh-CN" w:bidi="ar-SA"/>
        </w:rPr>
        <w:br w:type="page"/>
      </w:r>
    </w:p>
    <w:p w14:paraId="0FC147DD">
      <w:pPr>
        <w:bidi w:val="0"/>
        <w:ind w:left="0" w:leftChars="0" w:firstLine="0" w:firstLineChars="0"/>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博湖县兆瓦能源科技有</w:t>
      </w:r>
      <w:r>
        <w:rPr>
          <w:rFonts w:hint="eastAsia" w:ascii="Times New Roman" w:hAnsi="Times New Roman" w:eastAsia="黑体" w:cs="黑体"/>
          <w:b/>
          <w:bCs/>
          <w:sz w:val="44"/>
          <w:szCs w:val="44"/>
          <w:lang w:val="en-US" w:eastAsia="zh-CN"/>
        </w:rPr>
        <w:t>限公司20MWp并网太阳能光伏电站项目</w:t>
      </w:r>
      <w:r>
        <w:rPr>
          <w:rFonts w:hint="eastAsia" w:eastAsia="黑体" w:cs="黑体"/>
          <w:b/>
          <w:bCs/>
          <w:sz w:val="44"/>
          <w:szCs w:val="44"/>
          <w:lang w:val="en-US" w:eastAsia="zh-CN"/>
        </w:rPr>
        <w:t>配套输变电</w:t>
      </w:r>
      <w:r>
        <w:rPr>
          <w:rFonts w:hint="eastAsia" w:ascii="黑体" w:hAnsi="黑体" w:eastAsia="黑体" w:cs="黑体"/>
          <w:b/>
          <w:bCs/>
          <w:sz w:val="44"/>
          <w:szCs w:val="44"/>
          <w:lang w:val="en-US" w:eastAsia="zh-CN"/>
        </w:rPr>
        <w:t>工程</w:t>
      </w:r>
    </w:p>
    <w:p w14:paraId="47E282AC">
      <w:pPr>
        <w:pStyle w:val="3"/>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jc w:val="center"/>
        <w:textAlignment w:val="auto"/>
        <w:rPr>
          <w:rFonts w:hint="eastAsia"/>
          <w:sz w:val="44"/>
          <w:szCs w:val="44"/>
          <w:lang w:val="en-US" w:eastAsia="zh-CN"/>
        </w:rPr>
      </w:pPr>
      <w:bookmarkStart w:id="36" w:name="_Toc12938"/>
      <w:r>
        <w:rPr>
          <w:rFonts w:hint="eastAsia"/>
          <w:sz w:val="44"/>
          <w:szCs w:val="44"/>
          <w:lang w:val="en-US" w:eastAsia="zh-CN"/>
        </w:rPr>
        <w:t>电磁环境影响专题评价</w:t>
      </w:r>
      <w:bookmarkEnd w:id="36"/>
    </w:p>
    <w:p w14:paraId="72E3CC58">
      <w:pPr>
        <w:ind w:left="0" w:leftChars="0" w:firstLine="0" w:firstLineChars="0"/>
        <w:rPr>
          <w:rFonts w:hint="eastAsia" w:ascii="Times New Roman" w:hAnsi="Times New Roman" w:eastAsia="宋体" w:cs="Times New Roman"/>
          <w:bCs w:val="0"/>
          <w:color w:val="000000"/>
          <w:kern w:val="2"/>
          <w:sz w:val="24"/>
          <w:szCs w:val="24"/>
          <w:lang w:val="en-US" w:eastAsia="zh-CN" w:bidi="ar-SA"/>
        </w:rPr>
      </w:pPr>
      <w:r>
        <w:rPr>
          <w:rFonts w:hint="eastAsia" w:ascii="Times New Roman" w:hAnsi="Times New Roman" w:eastAsia="宋体" w:cs="Times New Roman"/>
          <w:bCs w:val="0"/>
          <w:color w:val="000000"/>
          <w:kern w:val="2"/>
          <w:sz w:val="24"/>
          <w:szCs w:val="24"/>
          <w:lang w:val="en-US" w:eastAsia="zh-CN" w:bidi="ar-SA"/>
        </w:rPr>
        <w:br w:type="page"/>
      </w:r>
    </w:p>
    <w:p w14:paraId="2842857E">
      <w:pPr>
        <w:pStyle w:val="3"/>
        <w:keepNext/>
        <w:keepLines/>
        <w:pageBreakBefore w:val="0"/>
        <w:widowControl w:val="0"/>
        <w:tabs>
          <w:tab w:val="left" w:pos="425"/>
        </w:tabs>
        <w:kinsoku/>
        <w:wordWrap/>
        <w:topLinePunct w:val="0"/>
        <w:autoSpaceDE/>
        <w:autoSpaceDN/>
        <w:bidi w:val="0"/>
        <w:adjustRightInd w:val="0"/>
        <w:snapToGrid w:val="0"/>
        <w:spacing w:before="0" w:after="0" w:line="360" w:lineRule="auto"/>
        <w:ind w:left="0" w:leftChars="0" w:firstLine="0" w:firstLineChars="0"/>
        <w:jc w:val="both"/>
        <w:textAlignment w:val="auto"/>
        <w:rPr>
          <w:rFonts w:hint="eastAsia" w:ascii="Times New Roman" w:hAnsi="Times New Roman" w:eastAsia="宋体" w:cs="Times New Roman"/>
          <w:b/>
          <w:bCs w:val="0"/>
          <w:color w:val="000000"/>
          <w:kern w:val="0"/>
          <w:sz w:val="24"/>
          <w:szCs w:val="24"/>
          <w:lang w:val="en-US" w:eastAsia="zh-CN" w:bidi="ar-SA"/>
        </w:rPr>
      </w:pPr>
      <w:bookmarkStart w:id="37" w:name="_Toc23882"/>
      <w:r>
        <w:rPr>
          <w:rFonts w:hint="eastAsia" w:ascii="Times New Roman" w:hAnsi="Times New Roman" w:eastAsia="宋体" w:cs="Times New Roman"/>
          <w:b/>
          <w:bCs w:val="0"/>
          <w:color w:val="000000"/>
          <w:kern w:val="0"/>
          <w:sz w:val="24"/>
          <w:szCs w:val="24"/>
          <w:lang w:val="en-US" w:eastAsia="zh-CN" w:bidi="ar-SA"/>
        </w:rPr>
        <w:t>1总则</w:t>
      </w:r>
      <w:bookmarkEnd w:id="37"/>
    </w:p>
    <w:p w14:paraId="6A489C1C">
      <w:pPr>
        <w:pStyle w:val="4"/>
        <w:keepNext/>
        <w:keepLines/>
        <w:pageBreakBefore w:val="0"/>
        <w:widowControl w:val="0"/>
        <w:kinsoku/>
        <w:wordWrap/>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bCs w:val="0"/>
          <w:color w:val="000000"/>
          <w:kern w:val="0"/>
          <w:sz w:val="24"/>
          <w:szCs w:val="24"/>
          <w:lang w:val="en-US" w:eastAsia="zh-CN" w:bidi="ar-SA"/>
        </w:rPr>
      </w:pPr>
      <w:bookmarkStart w:id="38" w:name="_Toc7781"/>
      <w:bookmarkStart w:id="39" w:name="_Toc22624"/>
      <w:r>
        <w:rPr>
          <w:rFonts w:hint="eastAsia" w:ascii="Times New Roman" w:hAnsi="Times New Roman" w:eastAsia="宋体" w:cs="Times New Roman"/>
          <w:b/>
          <w:bCs w:val="0"/>
          <w:color w:val="000000"/>
          <w:kern w:val="0"/>
          <w:sz w:val="24"/>
          <w:szCs w:val="24"/>
          <w:lang w:val="en-US" w:eastAsia="zh-CN" w:bidi="ar-SA"/>
        </w:rPr>
        <w:t>1.1项目规模</w:t>
      </w:r>
      <w:bookmarkEnd w:id="38"/>
      <w:bookmarkEnd w:id="39"/>
    </w:p>
    <w:p w14:paraId="2B2E20B3">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1"/>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博湖县兆瓦能源科技有限公司20MWp并网太阳能光伏电站项目</w:t>
      </w:r>
      <w:r>
        <w:rPr>
          <w:rFonts w:hint="eastAsia" w:ascii="Times New Roman" w:hAnsi="Times New Roman" w:cs="Times New Roman"/>
          <w:color w:val="000000"/>
          <w:kern w:val="2"/>
          <w:sz w:val="24"/>
          <w:szCs w:val="24"/>
          <w:highlight w:val="none"/>
          <w:lang w:val="en-US" w:eastAsia="zh-CN" w:bidi="ar-SA"/>
        </w:rPr>
        <w:t>配套</w:t>
      </w:r>
      <w:r>
        <w:rPr>
          <w:rFonts w:hint="eastAsia" w:ascii="Times New Roman" w:hAnsi="Times New Roman" w:eastAsia="宋体" w:cs="Times New Roman"/>
          <w:color w:val="000000"/>
          <w:kern w:val="2"/>
          <w:sz w:val="24"/>
          <w:szCs w:val="24"/>
          <w:highlight w:val="none"/>
          <w:lang w:val="en-US" w:eastAsia="zh-CN" w:bidi="ar-SA"/>
        </w:rPr>
        <w:t>工程主要建设内容包括：兆瓦能源110kV光伏升压站-种植园110kV变电站单回110kV线路工程，线路长度约2.98</w:t>
      </w:r>
      <w:r>
        <w:rPr>
          <w:rFonts w:hint="eastAsia" w:ascii="Times New Roman" w:hAnsi="Times New Roman" w:cs="Times New Roman"/>
          <w:color w:val="000000"/>
          <w:kern w:val="2"/>
          <w:sz w:val="24"/>
          <w:szCs w:val="24"/>
          <w:highlight w:val="none"/>
          <w:lang w:val="en-US" w:eastAsia="zh-CN" w:bidi="ar-SA"/>
        </w:rPr>
        <w:t>千米</w:t>
      </w:r>
      <w:r>
        <w:rPr>
          <w:rFonts w:hint="eastAsia" w:ascii="Times New Roman" w:hAnsi="Times New Roman" w:eastAsia="宋体" w:cs="Times New Roman"/>
          <w:color w:val="000000"/>
          <w:kern w:val="2"/>
          <w:sz w:val="24"/>
          <w:szCs w:val="24"/>
          <w:highlight w:val="none"/>
          <w:lang w:val="en-US" w:eastAsia="zh-CN" w:bidi="ar-SA"/>
        </w:rPr>
        <w:t>，全线单回路架设，导线</w:t>
      </w:r>
      <w:r>
        <w:rPr>
          <w:rFonts w:hint="default" w:ascii="Times New Roman" w:hAnsi="Times New Roman" w:eastAsia="宋体" w:cs="Times New Roman"/>
          <w:color w:val="000000"/>
          <w:kern w:val="2"/>
          <w:sz w:val="24"/>
          <w:szCs w:val="24"/>
          <w:highlight w:val="none"/>
          <w:lang w:val="en-US" w:eastAsia="zh-CN" w:bidi="ar-SA"/>
        </w:rPr>
        <w:t>采用</w:t>
      </w:r>
      <w:r>
        <w:rPr>
          <w:rFonts w:hint="eastAsia" w:ascii="Times New Roman" w:hAnsi="Times New Roman" w:eastAsia="宋体" w:cs="Times New Roman"/>
          <w:color w:val="000000"/>
          <w:kern w:val="2"/>
          <w:sz w:val="24"/>
          <w:szCs w:val="24"/>
          <w:highlight w:val="none"/>
          <w:lang w:val="en-US" w:eastAsia="zh-CN" w:bidi="ar-SA"/>
        </w:rPr>
        <w:t>LGJ-300/25钢芯铝纹线，共布设1</w:t>
      </w:r>
      <w:r>
        <w:rPr>
          <w:rFonts w:hint="eastAsia" w:ascii="Times New Roman" w:hAnsi="Times New Roman" w:cs="Times New Roman"/>
          <w:color w:val="000000"/>
          <w:kern w:val="2"/>
          <w:sz w:val="24"/>
          <w:szCs w:val="24"/>
          <w:highlight w:val="none"/>
          <w:lang w:val="en-US" w:eastAsia="zh-CN" w:bidi="ar-SA"/>
        </w:rPr>
        <w:t>2</w:t>
      </w:r>
      <w:r>
        <w:rPr>
          <w:rFonts w:hint="eastAsia" w:ascii="Times New Roman" w:hAnsi="Times New Roman" w:eastAsia="宋体" w:cs="Times New Roman"/>
          <w:color w:val="000000"/>
          <w:kern w:val="2"/>
          <w:sz w:val="24"/>
          <w:szCs w:val="24"/>
          <w:highlight w:val="none"/>
          <w:lang w:val="en-US" w:eastAsia="zh-CN" w:bidi="ar-SA"/>
        </w:rPr>
        <w:t>座杆塔</w:t>
      </w:r>
      <w:r>
        <w:rPr>
          <w:rFonts w:hint="eastAsia" w:ascii="Times New Roman" w:hAnsi="Times New Roman" w:cs="Times New Roman"/>
          <w:color w:val="000000"/>
          <w:kern w:val="2"/>
          <w:sz w:val="24"/>
          <w:szCs w:val="24"/>
          <w:highlight w:val="none"/>
          <w:lang w:val="en-US" w:eastAsia="zh-CN" w:bidi="ar-SA"/>
        </w:rPr>
        <w:t>；</w:t>
      </w:r>
      <w:r>
        <w:rPr>
          <w:rFonts w:hint="eastAsia" w:cs="宋体"/>
          <w:b w:val="0"/>
          <w:bCs w:val="0"/>
          <w:color w:val="000000"/>
          <w:kern w:val="2"/>
          <w:sz w:val="24"/>
          <w:szCs w:val="24"/>
          <w:highlight w:val="none"/>
          <w:lang w:val="en-US" w:eastAsia="zh-CN" w:bidi="ar-SA"/>
        </w:rPr>
        <w:t>建设</w:t>
      </w:r>
      <w:r>
        <w:rPr>
          <w:rFonts w:hint="eastAsia" w:cs="Times New Roman"/>
          <w:b w:val="0"/>
          <w:bCs w:val="0"/>
          <w:color w:val="000000"/>
          <w:kern w:val="2"/>
          <w:sz w:val="24"/>
          <w:szCs w:val="24"/>
          <w:highlight w:val="none"/>
          <w:lang w:val="en-US" w:eastAsia="zh-CN" w:bidi="ar-SA"/>
        </w:rPr>
        <w:t>一座</w:t>
      </w:r>
      <w:r>
        <w:rPr>
          <w:rFonts w:hint="eastAsia"/>
          <w:b w:val="0"/>
          <w:bCs w:val="0"/>
          <w:color w:val="000000" w:themeColor="text1"/>
          <w:kern w:val="0"/>
          <w:sz w:val="24"/>
          <w:szCs w:val="24"/>
          <w:lang w:val="en-US" w:eastAsia="zh-CN"/>
          <w14:textFill>
            <w14:solidFill>
              <w14:schemeClr w14:val="tx1"/>
            </w14:solidFill>
          </w14:textFill>
        </w:rPr>
        <w:t>兆瓦能源110</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kV</w:t>
      </w:r>
      <w:r>
        <w:rPr>
          <w:rFonts w:hint="eastAsia"/>
          <w:b w:val="0"/>
          <w:bCs w:val="0"/>
          <w:color w:val="000000" w:themeColor="text1"/>
          <w:kern w:val="0"/>
          <w:sz w:val="24"/>
          <w:szCs w:val="24"/>
          <w:lang w:val="en-US" w:eastAsia="zh-CN"/>
          <w14:textFill>
            <w14:solidFill>
              <w14:schemeClr w14:val="tx1"/>
            </w14:solidFill>
          </w14:textFill>
        </w:rPr>
        <w:t>光伏升压站。</w:t>
      </w:r>
    </w:p>
    <w:p w14:paraId="716CCDFE">
      <w:pPr>
        <w:pStyle w:val="4"/>
        <w:keepNext/>
        <w:keepLines/>
        <w:pageBreakBefore w:val="0"/>
        <w:widowControl w:val="0"/>
        <w:kinsoku/>
        <w:wordWrap/>
        <w:overflowPunct/>
        <w:topLinePunct w:val="0"/>
        <w:autoSpaceDE/>
        <w:autoSpaceDN/>
        <w:bidi w:val="0"/>
        <w:adjustRightInd w:val="0"/>
        <w:snapToGrid w:val="0"/>
        <w:spacing w:before="0" w:after="0"/>
        <w:ind w:left="0" w:leftChars="0" w:firstLine="0" w:firstLineChars="0"/>
        <w:textAlignment w:val="auto"/>
        <w:rPr>
          <w:rFonts w:hint="eastAsia" w:ascii="Times New Roman" w:hAnsi="Times New Roman" w:eastAsia="宋体" w:cs="Times New Roman"/>
          <w:b/>
          <w:bCs w:val="0"/>
          <w:color w:val="000000"/>
          <w:kern w:val="0"/>
          <w:sz w:val="24"/>
          <w:szCs w:val="24"/>
          <w:lang w:val="en-US" w:eastAsia="zh-CN" w:bidi="ar-SA"/>
        </w:rPr>
      </w:pPr>
      <w:bookmarkStart w:id="40" w:name="_Toc17794"/>
      <w:bookmarkStart w:id="41" w:name="_Toc20519"/>
      <w:r>
        <w:rPr>
          <w:rFonts w:hint="eastAsia" w:ascii="Times New Roman" w:hAnsi="Times New Roman" w:eastAsia="宋体" w:cs="Times New Roman"/>
          <w:b/>
          <w:bCs w:val="0"/>
          <w:color w:val="000000"/>
          <w:kern w:val="0"/>
          <w:sz w:val="24"/>
          <w:szCs w:val="24"/>
          <w:lang w:val="en-US" w:eastAsia="zh-CN" w:bidi="ar-SA"/>
        </w:rPr>
        <w:t>1.2评价目的</w:t>
      </w:r>
      <w:bookmarkEnd w:id="40"/>
      <w:bookmarkEnd w:id="41"/>
    </w:p>
    <w:p w14:paraId="12B79CD4">
      <w:pPr>
        <w:pageBreakBefore w:val="0"/>
        <w:widowControl w:val="0"/>
        <w:kinsoku/>
        <w:wordWrap/>
        <w:topLinePunct w:val="0"/>
        <w:autoSpaceDE w:val="0"/>
        <w:autoSpaceDN w:val="0"/>
        <w:bidi w:val="0"/>
        <w:adjustRightInd w:val="0"/>
        <w:snapToGrid w:val="0"/>
        <w:spacing w:line="360" w:lineRule="auto"/>
        <w:ind w:firstLine="480" w:firstLineChars="200"/>
        <w:jc w:val="left"/>
        <w:textAlignment w:val="auto"/>
        <w:rPr>
          <w:rFonts w:hint="eastAsia" w:ascii="宋体" w:hAnsi="宋体"/>
          <w:color w:val="000000"/>
          <w:kern w:val="0"/>
          <w:sz w:val="24"/>
          <w:highlight w:val="none"/>
        </w:rPr>
      </w:pPr>
      <w:r>
        <w:rPr>
          <w:rFonts w:hint="eastAsia" w:ascii="宋体" w:hAnsi="宋体"/>
          <w:color w:val="000000"/>
          <w:sz w:val="24"/>
          <w:highlight w:val="none"/>
        </w:rPr>
        <w:t>根据《中华人民共和国环境保护法</w:t>
      </w:r>
      <w:r>
        <w:rPr>
          <w:rFonts w:hint="eastAsia" w:ascii="宋体" w:hAnsi="宋体"/>
          <w:color w:val="000000"/>
          <w:sz w:val="24"/>
          <w:highlight w:val="none"/>
          <w:lang w:eastAsia="zh-CN"/>
        </w:rPr>
        <w:t>》《</w:t>
      </w:r>
      <w:r>
        <w:rPr>
          <w:rFonts w:hint="eastAsia" w:ascii="宋体" w:hAnsi="宋体"/>
          <w:color w:val="000000"/>
          <w:sz w:val="24"/>
          <w:highlight w:val="none"/>
        </w:rPr>
        <w:t>中华人民共和国环境影响评价法</w:t>
      </w:r>
      <w:r>
        <w:rPr>
          <w:rFonts w:hint="eastAsia" w:ascii="宋体" w:hAnsi="宋体"/>
          <w:color w:val="000000"/>
          <w:sz w:val="24"/>
          <w:highlight w:val="none"/>
          <w:lang w:eastAsia="zh-CN"/>
        </w:rPr>
        <w:t>》《</w:t>
      </w:r>
      <w:r>
        <w:rPr>
          <w:rFonts w:hint="eastAsia" w:ascii="宋体" w:hAnsi="宋体"/>
          <w:color w:val="000000"/>
          <w:sz w:val="24"/>
          <w:highlight w:val="none"/>
        </w:rPr>
        <w:t>建设项目环境保护管理条例》等有关法律法规，为切实做好项目的环境保护工作，使输变电事业与环境保护协调发展，控制电磁环境污染、避害扬利、保障公众健康，</w:t>
      </w:r>
      <w:r>
        <w:rPr>
          <w:rFonts w:hint="eastAsia" w:ascii="Times New Roman" w:hAnsi="Times New Roman" w:eastAsia="宋体" w:cs="宋体"/>
          <w:b w:val="0"/>
          <w:bCs/>
          <w:color w:val="000000" w:themeColor="text1"/>
          <w:sz w:val="24"/>
          <w:szCs w:val="24"/>
          <w:lang w:val="en-US" w:eastAsia="zh-CN"/>
          <w14:textFill>
            <w14:solidFill>
              <w14:schemeClr w14:val="tx1"/>
            </w14:solidFill>
          </w14:textFill>
        </w:rPr>
        <w:t>博湖县兆瓦能源科技有限公司</w:t>
      </w:r>
      <w:r>
        <w:rPr>
          <w:rFonts w:hint="eastAsia" w:ascii="宋体" w:hAnsi="宋体"/>
          <w:color w:val="000000"/>
          <w:sz w:val="24"/>
          <w:highlight w:val="none"/>
        </w:rPr>
        <w:t>委托我单位</w:t>
      </w:r>
      <w:r>
        <w:rPr>
          <w:rFonts w:hint="eastAsia" w:ascii="宋体" w:hAnsi="宋体"/>
          <w:color w:val="000000"/>
          <w:kern w:val="0"/>
          <w:sz w:val="24"/>
          <w:highlight w:val="none"/>
        </w:rPr>
        <w:t>承担本工程的电磁环境影响评价工作，分析说明输变电工程建设运行后电磁环境影响的情况。</w:t>
      </w:r>
    </w:p>
    <w:p w14:paraId="04F16F79">
      <w:pPr>
        <w:pStyle w:val="4"/>
        <w:pageBreakBefore w:val="0"/>
        <w:widowControl w:val="0"/>
        <w:kinsoku/>
        <w:wordWrap/>
        <w:topLinePunct w:val="0"/>
        <w:bidi w:val="0"/>
        <w:adjustRightInd w:val="0"/>
        <w:snapToGrid w:val="0"/>
        <w:spacing w:before="0" w:after="0"/>
        <w:ind w:left="0" w:leftChars="0" w:firstLine="0" w:firstLineChars="0"/>
        <w:textAlignment w:val="auto"/>
        <w:rPr>
          <w:rFonts w:hint="eastAsia" w:ascii="Times New Roman" w:hAnsi="Times New Roman" w:eastAsia="宋体" w:cs="Times New Roman"/>
          <w:b/>
          <w:bCs w:val="0"/>
          <w:color w:val="000000"/>
          <w:kern w:val="0"/>
          <w:sz w:val="24"/>
          <w:szCs w:val="24"/>
          <w:lang w:val="en-US" w:eastAsia="zh-CN" w:bidi="ar-SA"/>
        </w:rPr>
      </w:pPr>
      <w:bookmarkStart w:id="42" w:name="_Toc9586"/>
      <w:bookmarkStart w:id="43" w:name="_Toc13322"/>
      <w:bookmarkStart w:id="44" w:name="_Toc27346"/>
      <w:r>
        <w:rPr>
          <w:rFonts w:hint="eastAsia" w:ascii="Times New Roman" w:hAnsi="Times New Roman" w:eastAsia="宋体" w:cs="Times New Roman"/>
          <w:b/>
          <w:bCs w:val="0"/>
          <w:color w:val="000000"/>
          <w:kern w:val="0"/>
          <w:sz w:val="24"/>
          <w:szCs w:val="24"/>
          <w:lang w:val="en-US" w:eastAsia="zh-CN" w:bidi="ar-SA"/>
        </w:rPr>
        <w:t>1.3评价依据</w:t>
      </w:r>
      <w:bookmarkEnd w:id="42"/>
      <w:bookmarkEnd w:id="43"/>
    </w:p>
    <w:p w14:paraId="3190AC61">
      <w:pPr>
        <w:pStyle w:val="5"/>
        <w:pageBreakBefore w:val="0"/>
        <w:widowControl w:val="0"/>
        <w:kinsoku/>
        <w:wordWrap/>
        <w:topLinePunct w:val="0"/>
        <w:bidi w:val="0"/>
        <w:adjustRightInd w:val="0"/>
        <w:snapToGrid w:val="0"/>
        <w:spacing w:before="0" w:after="0"/>
        <w:ind w:left="0" w:leftChars="0" w:firstLine="0" w:firstLineChars="0"/>
        <w:textAlignment w:val="auto"/>
        <w:rPr>
          <w:rFonts w:hint="eastAsia" w:ascii="Times New Roman" w:hAnsi="Times New Roman" w:eastAsia="宋体" w:cs="Times New Roman"/>
          <w:b/>
          <w:bCs w:val="0"/>
          <w:color w:val="000000"/>
          <w:kern w:val="0"/>
          <w:sz w:val="24"/>
          <w:szCs w:val="24"/>
          <w:lang w:val="en-US" w:eastAsia="zh-CN" w:bidi="ar-SA"/>
        </w:rPr>
      </w:pPr>
      <w:bookmarkStart w:id="45" w:name="_Toc3868"/>
      <w:r>
        <w:rPr>
          <w:rFonts w:hint="eastAsia" w:ascii="Times New Roman" w:hAnsi="Times New Roman" w:eastAsia="宋体" w:cs="Times New Roman"/>
          <w:b/>
          <w:bCs w:val="0"/>
          <w:color w:val="000000"/>
          <w:kern w:val="0"/>
          <w:sz w:val="24"/>
          <w:szCs w:val="24"/>
          <w:lang w:val="en-US" w:eastAsia="zh-CN" w:bidi="ar-SA"/>
        </w:rPr>
        <w:t>1.3.1国家</w:t>
      </w:r>
      <w:r>
        <w:rPr>
          <w:rFonts w:hint="eastAsia" w:cs="Times New Roman"/>
          <w:b/>
          <w:bCs w:val="0"/>
          <w:color w:val="000000"/>
          <w:kern w:val="0"/>
          <w:sz w:val="24"/>
          <w:szCs w:val="24"/>
          <w:lang w:val="en-US" w:eastAsia="zh-CN" w:bidi="ar-SA"/>
        </w:rPr>
        <w:t>法律法规</w:t>
      </w:r>
      <w:r>
        <w:rPr>
          <w:rFonts w:hint="eastAsia" w:ascii="Times New Roman" w:hAnsi="Times New Roman" w:eastAsia="宋体" w:cs="Times New Roman"/>
          <w:b/>
          <w:bCs w:val="0"/>
          <w:color w:val="000000"/>
          <w:kern w:val="0"/>
          <w:sz w:val="24"/>
          <w:szCs w:val="24"/>
          <w:lang w:val="en-US" w:eastAsia="zh-CN" w:bidi="ar-SA"/>
        </w:rPr>
        <w:t>及相关规范</w:t>
      </w:r>
      <w:bookmarkEnd w:id="45"/>
    </w:p>
    <w:p w14:paraId="7AB77870">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(1)《中华人民共和国环境保护法》(2014年4月24日修订，2015年1月1日起施行)；</w:t>
      </w:r>
    </w:p>
    <w:p w14:paraId="0F5B3571">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(2)《中华人民共和国环境影响评价法》(2018年12月29日起修订版实施)；</w:t>
      </w:r>
    </w:p>
    <w:p w14:paraId="31BB7418">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(3)《中华人民共和国电力法》(2018年12月29日修订并实施)；</w:t>
      </w:r>
    </w:p>
    <w:p w14:paraId="55651605">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(4)《建设项目环境保护管理条例》，国务院令第682号(2017年10月1日起施行)；</w:t>
      </w:r>
    </w:p>
    <w:p w14:paraId="6195F908">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(5)</w:t>
      </w:r>
      <w:r>
        <w:rPr>
          <w:rFonts w:hint="eastAsia" w:ascii="Times New Roman" w:hAnsi="Times New Roman" w:eastAsia="宋体"/>
          <w:color w:val="000000"/>
          <w:sz w:val="24"/>
          <w:highlight w:val="none"/>
        </w:rPr>
        <w:t>《建设项目环境影响评价分类管理名录</w:t>
      </w:r>
      <w:r>
        <w:rPr>
          <w:rFonts w:hint="eastAsia" w:ascii="Times New Roman" w:hAnsi="Times New Roman" w:eastAsia="宋体"/>
          <w:color w:val="000000"/>
          <w:sz w:val="24"/>
          <w:highlight w:val="none"/>
          <w:lang w:val="en-US" w:eastAsia="zh-CN"/>
        </w:rPr>
        <w:t>(2021年版)</w:t>
      </w:r>
      <w:r>
        <w:rPr>
          <w:rFonts w:hint="eastAsia" w:ascii="Times New Roman" w:hAnsi="Times New Roman" w:eastAsia="宋体"/>
          <w:color w:val="000000"/>
          <w:sz w:val="24"/>
          <w:highlight w:val="none"/>
        </w:rPr>
        <w:t>》</w:t>
      </w:r>
      <w:r>
        <w:rPr>
          <w:rFonts w:ascii="Times New Roman" w:hAnsi="Times New Roman" w:eastAsia="宋体"/>
          <w:color w:val="000000"/>
          <w:sz w:val="24"/>
          <w:highlight w:val="none"/>
        </w:rPr>
        <w:t>(</w:t>
      </w:r>
      <w:r>
        <w:rPr>
          <w:rFonts w:hint="eastAsia" w:ascii="Times New Roman" w:hAnsi="Times New Roman" w:eastAsia="宋体"/>
          <w:color w:val="000000"/>
          <w:sz w:val="24"/>
          <w:highlight w:val="none"/>
          <w:lang w:val="en-US" w:eastAsia="zh-CN"/>
        </w:rPr>
        <w:t>2021年1月1日起</w:t>
      </w:r>
      <w:r>
        <w:rPr>
          <w:rFonts w:hint="eastAsia" w:ascii="Times New Roman" w:hAnsi="Times New Roman" w:eastAsia="宋体"/>
          <w:color w:val="000000"/>
          <w:sz w:val="24"/>
          <w:highlight w:val="none"/>
        </w:rPr>
        <w:t>实施)</w:t>
      </w:r>
      <w:r>
        <w:rPr>
          <w:rFonts w:hint="eastAsia" w:ascii="Times New Roman" w:hAnsi="Times New Roman" w:eastAsia="宋体"/>
          <w:color w:val="000000"/>
          <w:sz w:val="24"/>
          <w:szCs w:val="24"/>
          <w:highlight w:val="none"/>
        </w:rPr>
        <w:t>；</w:t>
      </w:r>
    </w:p>
    <w:p w14:paraId="2833AC85">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bCs/>
          <w:color w:val="000000" w:themeColor="text1"/>
          <w:sz w:val="24"/>
          <w:highlight w:val="none"/>
          <w14:textFill>
            <w14:solidFill>
              <w14:schemeClr w14:val="tx1"/>
            </w14:solidFill>
          </w14:textFill>
        </w:rPr>
        <w:t>《产业结构调整指导目录(20</w:t>
      </w:r>
      <w:r>
        <w:rPr>
          <w:rFonts w:hint="eastAsia" w:ascii="Times New Roman"/>
          <w:bCs/>
          <w:color w:val="000000" w:themeColor="text1"/>
          <w:sz w:val="24"/>
          <w:highlight w:val="none"/>
          <w:lang w:val="en-US" w:eastAsia="zh-CN"/>
          <w14:textFill>
            <w14:solidFill>
              <w14:schemeClr w14:val="tx1"/>
            </w14:solidFill>
          </w14:textFill>
        </w:rPr>
        <w:t>24</w:t>
      </w:r>
      <w:r>
        <w:rPr>
          <w:rFonts w:hint="eastAsia" w:ascii="Times New Roman" w:hAnsi="Times New Roman" w:eastAsia="宋体"/>
          <w:bCs/>
          <w:color w:val="000000" w:themeColor="text1"/>
          <w:sz w:val="24"/>
          <w:highlight w:val="none"/>
          <w14:textFill>
            <w14:solidFill>
              <w14:schemeClr w14:val="tx1"/>
            </w14:solidFill>
          </w14:textFill>
        </w:rPr>
        <w:t>年本)》</w:t>
      </w:r>
      <w:r>
        <w:rPr>
          <w:rFonts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20</w:t>
      </w:r>
      <w:r>
        <w:rPr>
          <w:rFonts w:hint="eastAsia" w:ascii="Times New Roman" w:hAnsi="Times New Roman" w:eastAsia="宋体"/>
          <w:color w:val="000000" w:themeColor="text1"/>
          <w:sz w:val="24"/>
          <w:highlight w:val="none"/>
          <w:lang w:val="en-US" w:eastAsia="zh-CN"/>
          <w14:textFill>
            <w14:solidFill>
              <w14:schemeClr w14:val="tx1"/>
            </w14:solidFill>
          </w14:textFill>
        </w:rPr>
        <w:t>2</w:t>
      </w:r>
      <w:r>
        <w:rPr>
          <w:rFonts w:hint="eastAsia" w:ascii="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olor w:val="000000" w:themeColor="text1"/>
          <w:sz w:val="24"/>
          <w:highlight w:val="none"/>
          <w14:textFill>
            <w14:solidFill>
              <w14:schemeClr w14:val="tx1"/>
            </w14:solidFill>
          </w14:textFill>
        </w:rPr>
        <w:t>年</w:t>
      </w:r>
      <w:r>
        <w:rPr>
          <w:rFonts w:hint="eastAsia" w:ascii="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月1日</w:t>
      </w:r>
      <w:r>
        <w:rPr>
          <w:rFonts w:ascii="Times New Roman" w:hAnsi="Times New Roman" w:eastAsia="宋体"/>
          <w:color w:val="000000" w:themeColor="text1"/>
          <w:sz w:val="24"/>
          <w:highlight w:val="none"/>
          <w14:textFill>
            <w14:solidFill>
              <w14:schemeClr w14:val="tx1"/>
            </w14:solidFill>
          </w14:textFill>
        </w:rPr>
        <w:t>起施行)</w:t>
      </w:r>
      <w:r>
        <w:rPr>
          <w:rFonts w:hint="eastAsia" w:ascii="Times New Roman" w:hAnsi="Times New Roman" w:eastAsia="宋体"/>
          <w:color w:val="000000" w:themeColor="text1"/>
          <w:sz w:val="24"/>
          <w:highlight w:val="none"/>
          <w14:textFill>
            <w14:solidFill>
              <w14:schemeClr w14:val="tx1"/>
            </w14:solidFill>
          </w14:textFill>
        </w:rPr>
        <w:t>；</w:t>
      </w:r>
    </w:p>
    <w:p w14:paraId="47CCDB17">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lang w:val="en-US" w:eastAsia="zh-CN"/>
        </w:rPr>
        <w:t>7</w:t>
      </w:r>
      <w:r>
        <w:rPr>
          <w:rFonts w:hint="eastAsia" w:ascii="Times New Roman" w:hAnsi="Times New Roman" w:eastAsia="宋体"/>
          <w:color w:val="000000"/>
          <w:sz w:val="24"/>
          <w:szCs w:val="24"/>
          <w:highlight w:val="none"/>
        </w:rPr>
        <w:t>)《新疆维吾尔自治区环境保护条例》2018年9月21日，新疆维吾尔自治区十三届人民代表大会常务委员会第六次会议审议第二次修正；</w:t>
      </w:r>
    </w:p>
    <w:p w14:paraId="1DBE6264">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lang w:val="en-US" w:eastAsia="zh-CN"/>
        </w:rPr>
        <w:t>8</w:t>
      </w:r>
      <w:r>
        <w:rPr>
          <w:rFonts w:hint="eastAsia" w:ascii="Times New Roman" w:hAnsi="Times New Roman" w:eastAsia="宋体"/>
          <w:color w:val="000000"/>
          <w:sz w:val="24"/>
          <w:szCs w:val="24"/>
          <w:highlight w:val="none"/>
        </w:rPr>
        <w:t>)《新疆维吾尔自治区辐射污染防治办法》(政府令192号，2015年7月1日实施)。</w:t>
      </w:r>
    </w:p>
    <w:p w14:paraId="304D7578">
      <w:pPr>
        <w:pStyle w:val="5"/>
        <w:adjustRightInd w:val="0"/>
        <w:snapToGrid w:val="0"/>
        <w:spacing w:before="0" w:beforeLines="0" w:after="0" w:afterLines="0"/>
        <w:ind w:left="0" w:leftChars="0" w:firstLine="0" w:firstLineChars="0"/>
        <w:rPr>
          <w:rFonts w:hint="eastAsia" w:ascii="Times New Roman" w:hAnsi="Times New Roman" w:eastAsia="宋体" w:cs="Times New Roman"/>
          <w:b/>
          <w:bCs w:val="0"/>
          <w:color w:val="000000"/>
          <w:kern w:val="0"/>
          <w:sz w:val="24"/>
          <w:szCs w:val="24"/>
          <w:lang w:val="en-US" w:eastAsia="zh-CN" w:bidi="ar-SA"/>
        </w:rPr>
      </w:pPr>
      <w:bookmarkStart w:id="46" w:name="_Toc30506"/>
      <w:r>
        <w:rPr>
          <w:rFonts w:hint="eastAsia" w:ascii="Times New Roman" w:hAnsi="Times New Roman" w:eastAsia="宋体" w:cs="Times New Roman"/>
          <w:b/>
          <w:bCs w:val="0"/>
          <w:color w:val="000000"/>
          <w:kern w:val="0"/>
          <w:sz w:val="24"/>
          <w:szCs w:val="24"/>
          <w:lang w:val="en-US" w:eastAsia="zh-CN" w:bidi="ar-SA"/>
        </w:rPr>
        <w:t>1.3.2相关技术规范、导则</w:t>
      </w:r>
      <w:bookmarkEnd w:id="46"/>
    </w:p>
    <w:p w14:paraId="2D1926E1">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(1)《建设项目环境影响评价技术导则</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总纲》(HJ</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2.1-2016)；</w:t>
      </w:r>
    </w:p>
    <w:p w14:paraId="09B4F10D">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(2)《环境影响评价技术导则</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输变电》(HJ</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24-20</w:t>
      </w:r>
      <w:r>
        <w:rPr>
          <w:rFonts w:hint="eastAsia" w:ascii="Times New Roman" w:hAnsi="Times New Roman" w:eastAsia="宋体"/>
          <w:color w:val="000000"/>
          <w:sz w:val="24"/>
          <w:szCs w:val="24"/>
          <w:highlight w:val="none"/>
          <w:lang w:val="en-US" w:eastAsia="zh-CN"/>
        </w:rPr>
        <w:t>20</w:t>
      </w:r>
      <w:r>
        <w:rPr>
          <w:rFonts w:hint="eastAsia" w:ascii="Times New Roman" w:hAnsi="Times New Roman" w:eastAsia="宋体"/>
          <w:color w:val="000000"/>
          <w:sz w:val="24"/>
          <w:szCs w:val="24"/>
          <w:highlight w:val="none"/>
        </w:rPr>
        <w:t>)；</w:t>
      </w:r>
    </w:p>
    <w:p w14:paraId="381EFF67">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(3)《电磁环境控制限值》(GB</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8702-2014)；</w:t>
      </w:r>
    </w:p>
    <w:p w14:paraId="3D819353">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(4)《交流输变电工程电磁环境监测方法(试行)》(HJ</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681-2013)；</w:t>
      </w:r>
    </w:p>
    <w:p w14:paraId="1F19214B">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(5)《建设项目竣工环境保护验收暂行办法》(国环规环评</w:t>
      </w:r>
      <w:r>
        <w:rPr>
          <w:rFonts w:hint="eastAsia" w:ascii="Times New Roman"/>
          <w:color w:val="000000"/>
          <w:sz w:val="24"/>
          <w:szCs w:val="24"/>
          <w:highlight w:val="none"/>
          <w:lang w:eastAsia="zh-CN"/>
        </w:rPr>
        <w:t>〔2017〕4号</w:t>
      </w:r>
      <w:r>
        <w:rPr>
          <w:rFonts w:hint="eastAsia" w:ascii="Times New Roman" w:hAnsi="Times New Roman" w:eastAsia="宋体"/>
          <w:color w:val="000000"/>
          <w:sz w:val="24"/>
          <w:szCs w:val="24"/>
          <w:highlight w:val="none"/>
        </w:rPr>
        <w:t>)；</w:t>
      </w:r>
    </w:p>
    <w:p w14:paraId="3945713F">
      <w:pPr>
        <w:pStyle w:val="8"/>
        <w:pageBreakBefore w:val="0"/>
        <w:widowControl w:val="0"/>
        <w:kinsoku/>
        <w:wordWrap/>
        <w:overflowPunct/>
        <w:topLinePunct w:val="0"/>
        <w:bidi w:val="0"/>
        <w:adjustRightInd w:val="0"/>
        <w:snapToGrid w:val="0"/>
        <w:spacing w:line="360" w:lineRule="auto"/>
        <w:ind w:right="0" w:rightChars="0" w:firstLine="480"/>
        <w:textAlignment w:val="auto"/>
        <w:rPr>
          <w:rFonts w:hint="eastAsia"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(6)《建设项目竣工环境保护验收技术规范</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输变电》(HJ</w:t>
      </w:r>
      <w:r>
        <w:rPr>
          <w:rFonts w:hint="eastAsia" w:ascii="Times New Roman"/>
          <w:color w:val="000000"/>
          <w:sz w:val="24"/>
          <w:szCs w:val="24"/>
          <w:highlight w:val="none"/>
          <w:lang w:val="en-US" w:eastAsia="zh-CN"/>
        </w:rPr>
        <w:t xml:space="preserve"> </w:t>
      </w:r>
      <w:r>
        <w:rPr>
          <w:rFonts w:hint="eastAsia" w:ascii="Times New Roman" w:hAnsi="Times New Roman" w:eastAsia="宋体"/>
          <w:color w:val="000000"/>
          <w:sz w:val="24"/>
          <w:szCs w:val="24"/>
          <w:highlight w:val="none"/>
        </w:rPr>
        <w:t>705-20</w:t>
      </w:r>
      <w:r>
        <w:rPr>
          <w:rFonts w:hint="eastAsia" w:ascii="Times New Roman" w:hAnsi="Times New Roman" w:eastAsia="宋体"/>
          <w:color w:val="000000"/>
          <w:sz w:val="24"/>
          <w:szCs w:val="24"/>
          <w:highlight w:val="none"/>
          <w:lang w:val="en-US" w:eastAsia="zh-CN"/>
        </w:rPr>
        <w:t>20</w:t>
      </w:r>
      <w:r>
        <w:rPr>
          <w:rFonts w:hint="eastAsia"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lang w:eastAsia="zh-CN"/>
        </w:rPr>
        <w:t>。</w:t>
      </w:r>
    </w:p>
    <w:bookmarkEnd w:id="44"/>
    <w:p w14:paraId="3849F7D7">
      <w:pPr>
        <w:adjustRightInd w:val="0"/>
        <w:snapToGrid w:val="0"/>
        <w:spacing w:line="360" w:lineRule="auto"/>
        <w:ind w:left="0" w:leftChars="0" w:firstLine="0" w:firstLineChars="0"/>
        <w:outlineLvl w:val="1"/>
        <w:rPr>
          <w:rFonts w:hint="eastAsia" w:ascii="Times New Roman" w:hAnsi="Times New Roman" w:eastAsia="宋体" w:cs="Times New Roman"/>
          <w:b/>
          <w:bCs w:val="0"/>
          <w:color w:val="000000"/>
          <w:kern w:val="0"/>
          <w:sz w:val="24"/>
          <w:szCs w:val="24"/>
          <w:lang w:val="en-US" w:eastAsia="zh-CN" w:bidi="ar-SA"/>
        </w:rPr>
      </w:pPr>
      <w:bookmarkStart w:id="47" w:name="_Toc2182"/>
      <w:bookmarkStart w:id="48" w:name="_Toc30868"/>
      <w:r>
        <w:rPr>
          <w:rFonts w:hint="eastAsia" w:ascii="Times New Roman" w:hAnsi="Times New Roman" w:eastAsia="宋体" w:cs="Times New Roman"/>
          <w:b/>
          <w:bCs w:val="0"/>
          <w:color w:val="000000"/>
          <w:kern w:val="0"/>
          <w:sz w:val="24"/>
          <w:szCs w:val="24"/>
          <w:lang w:val="en-US" w:eastAsia="zh-CN" w:bidi="ar-SA"/>
        </w:rPr>
        <w:t>1.4评价因子、评价等级、评价范围</w:t>
      </w:r>
      <w:bookmarkEnd w:id="47"/>
    </w:p>
    <w:p w14:paraId="56A3F5EA">
      <w:pPr>
        <w:pStyle w:val="8"/>
        <w:adjustRightInd w:val="0"/>
        <w:snapToGrid w:val="0"/>
        <w:spacing w:line="360" w:lineRule="auto"/>
        <w:ind w:firstLine="480"/>
        <w:rPr>
          <w:rFonts w:hint="eastAsia" w:ascii="Times New Roman" w:hAnsi="Times New Roman"/>
          <w:color w:val="000000"/>
          <w:sz w:val="24"/>
          <w:highlight w:val="none"/>
        </w:rPr>
      </w:pPr>
      <w:r>
        <w:rPr>
          <w:rFonts w:hint="eastAsia" w:ascii="Times New Roman" w:hAnsi="Times New Roman"/>
          <w:color w:val="000000"/>
          <w:sz w:val="24"/>
          <w:highlight w:val="none"/>
        </w:rPr>
        <w:t>(1)评价因子</w:t>
      </w:r>
    </w:p>
    <w:p w14:paraId="332ACDEF">
      <w:pPr>
        <w:pStyle w:val="8"/>
        <w:adjustRightInd w:val="0"/>
        <w:snapToGrid w:val="0"/>
        <w:spacing w:line="360" w:lineRule="auto"/>
        <w:ind w:firstLine="480"/>
        <w:rPr>
          <w:rFonts w:hint="eastAsia" w:ascii="Times New Roman" w:hAnsi="Times New Roman"/>
          <w:color w:val="000000"/>
          <w:sz w:val="24"/>
          <w:highlight w:val="none"/>
        </w:rPr>
      </w:pPr>
      <w:r>
        <w:rPr>
          <w:rFonts w:hint="eastAsia" w:ascii="Times New Roman" w:hAnsi="Times New Roman"/>
          <w:color w:val="000000"/>
          <w:sz w:val="24"/>
          <w:highlight w:val="none"/>
        </w:rPr>
        <w:t>本工程为电压等级</w:t>
      </w:r>
      <w:r>
        <w:rPr>
          <w:rFonts w:hint="eastAsia" w:ascii="Times New Roman" w:hAnsi="Times New Roman"/>
          <w:color w:val="000000"/>
          <w:sz w:val="24"/>
          <w:highlight w:val="none"/>
          <w:lang w:val="en-US" w:eastAsia="zh-CN"/>
        </w:rPr>
        <w:t>110</w:t>
      </w:r>
      <w:r>
        <w:rPr>
          <w:rFonts w:hint="eastAsia" w:ascii="Times New Roman" w:hAnsi="Times New Roman"/>
          <w:color w:val="000000"/>
          <w:sz w:val="24"/>
          <w:highlight w:val="none"/>
        </w:rPr>
        <w:t>kV的输变电类项目，运行过程中会对周围电磁环境产生影响，其主要污染因子为工频电场和工频磁场，因此，选择工频电场和工频磁场作为本专题评价因子。</w:t>
      </w:r>
    </w:p>
    <w:p w14:paraId="69A936B4">
      <w:pPr>
        <w:pStyle w:val="8"/>
        <w:adjustRightInd w:val="0"/>
        <w:snapToGrid w:val="0"/>
        <w:spacing w:line="360" w:lineRule="auto"/>
        <w:ind w:firstLine="480"/>
        <w:rPr>
          <w:rFonts w:hint="eastAsia" w:ascii="Times New Roman" w:hAnsi="Times New Roman"/>
          <w:color w:val="000000"/>
          <w:sz w:val="24"/>
          <w:highlight w:val="none"/>
        </w:rPr>
      </w:pPr>
      <w:r>
        <w:rPr>
          <w:rFonts w:hint="eastAsia" w:ascii="Times New Roman" w:hAnsi="Times New Roman"/>
          <w:color w:val="000000"/>
          <w:sz w:val="24"/>
          <w:highlight w:val="none"/>
        </w:rPr>
        <w:t>(2)评价等级</w:t>
      </w:r>
    </w:p>
    <w:p w14:paraId="7CBC5AD5">
      <w:pPr>
        <w:pStyle w:val="8"/>
        <w:adjustRightInd w:val="0"/>
        <w:snapToGrid w:val="0"/>
        <w:spacing w:line="360" w:lineRule="auto"/>
        <w:ind w:firstLine="480"/>
        <w:rPr>
          <w:rFonts w:hint="eastAsia" w:ascii="Times New Roman" w:hAnsi="Times New Roman"/>
          <w:color w:val="000000"/>
          <w:sz w:val="24"/>
          <w:highlight w:val="none"/>
        </w:rPr>
      </w:pPr>
      <w:r>
        <w:rPr>
          <w:rFonts w:hint="eastAsia" w:ascii="Times New Roman" w:hAnsi="Times New Roman"/>
          <w:color w:val="000000"/>
          <w:sz w:val="24"/>
          <w:highlight w:val="none"/>
        </w:rPr>
        <w:t>本工程为</w:t>
      </w:r>
      <w:r>
        <w:rPr>
          <w:rFonts w:hint="eastAsia" w:ascii="Times New Roman" w:hAnsi="Times New Roman"/>
          <w:color w:val="000000"/>
          <w:sz w:val="24"/>
          <w:highlight w:val="none"/>
          <w:lang w:val="en-US" w:eastAsia="zh-CN"/>
        </w:rPr>
        <w:t>110</w:t>
      </w:r>
      <w:r>
        <w:rPr>
          <w:rFonts w:hint="eastAsia" w:ascii="Times New Roman" w:hAnsi="Times New Roman"/>
          <w:color w:val="000000"/>
          <w:sz w:val="24"/>
          <w:highlight w:val="none"/>
        </w:rPr>
        <w:t>kV电压等级的输变电类项目，根据《环境影响评价技术导则</w:t>
      </w:r>
      <w:r>
        <w:rPr>
          <w:rFonts w:hint="eastAsia" w:ascii="Times New Roman"/>
          <w:color w:val="000000"/>
          <w:sz w:val="24"/>
          <w:highlight w:val="none"/>
          <w:lang w:val="en-US" w:eastAsia="zh-CN"/>
        </w:rPr>
        <w:t xml:space="preserve"> </w:t>
      </w:r>
      <w:r>
        <w:rPr>
          <w:rFonts w:hint="eastAsia" w:ascii="Times New Roman" w:hAnsi="Times New Roman"/>
          <w:color w:val="000000"/>
          <w:sz w:val="24"/>
          <w:szCs w:val="24"/>
          <w:highlight w:val="none"/>
        </w:rPr>
        <w:t>输变电》(HJ</w:t>
      </w:r>
      <w:r>
        <w:rPr>
          <w:rFonts w:hint="eastAsia" w:ascii="Times New Roman"/>
          <w:color w:val="000000"/>
          <w:sz w:val="24"/>
          <w:szCs w:val="24"/>
          <w:highlight w:val="none"/>
          <w:lang w:val="en-US" w:eastAsia="zh-CN"/>
        </w:rPr>
        <w:t xml:space="preserve"> </w:t>
      </w:r>
      <w:r>
        <w:rPr>
          <w:rFonts w:hint="eastAsia" w:ascii="Times New Roman" w:hAnsi="Times New Roman"/>
          <w:color w:val="000000"/>
          <w:sz w:val="24"/>
          <w:szCs w:val="24"/>
          <w:highlight w:val="none"/>
        </w:rPr>
        <w:t>24-20</w:t>
      </w:r>
      <w:r>
        <w:rPr>
          <w:rFonts w:hint="eastAsia" w:ascii="Times New Roman" w:hAnsi="Times New Roman"/>
          <w:color w:val="000000"/>
          <w:sz w:val="24"/>
          <w:szCs w:val="24"/>
          <w:highlight w:val="none"/>
          <w:lang w:val="en-US" w:eastAsia="zh-CN"/>
        </w:rPr>
        <w:t>20</w:t>
      </w:r>
      <w:r>
        <w:rPr>
          <w:rFonts w:hint="eastAsia" w:ascii="Times New Roman" w:hAnsi="Times New Roman"/>
          <w:color w:val="000000"/>
          <w:sz w:val="24"/>
          <w:szCs w:val="24"/>
          <w:highlight w:val="none"/>
        </w:rPr>
        <w:t>)</w:t>
      </w:r>
      <w:r>
        <w:rPr>
          <w:rFonts w:hint="eastAsia" w:ascii="Times New Roman" w:hAnsi="Times New Roman"/>
          <w:color w:val="000000"/>
          <w:sz w:val="24"/>
          <w:highlight w:val="none"/>
        </w:rPr>
        <w:t>评价工作等级划分原则，确定本工程工作等级，详见</w:t>
      </w:r>
      <w:r>
        <w:rPr>
          <w:rFonts w:hint="eastAsia" w:ascii="Times New Roman" w:hAnsi="Times New Roman"/>
          <w:color w:val="000000"/>
          <w:sz w:val="24"/>
          <w:highlight w:val="none"/>
          <w:lang w:val="en-US" w:eastAsia="zh-CN"/>
        </w:rPr>
        <w:t>下</w:t>
      </w:r>
      <w:r>
        <w:rPr>
          <w:rFonts w:hint="eastAsia" w:ascii="Times New Roman" w:hAnsi="Times New Roman"/>
          <w:color w:val="000000"/>
          <w:sz w:val="24"/>
          <w:highlight w:val="none"/>
        </w:rPr>
        <w:t>表。</w:t>
      </w:r>
    </w:p>
    <w:p w14:paraId="6B7CD5A9">
      <w:pPr>
        <w:adjustRightInd w:val="0"/>
        <w:snapToGrid w:val="0"/>
        <w:ind w:left="0" w:leftChars="0" w:firstLine="0" w:firstLineChars="0"/>
        <w:jc w:val="center"/>
        <w:rPr>
          <w:rFonts w:hint="eastAsia" w:ascii="Times New Roman" w:hAnsi="Times New Roman"/>
          <w:color w:val="000000"/>
          <w:sz w:val="24"/>
          <w:highlight w:val="none"/>
        </w:rPr>
      </w:pPr>
      <w:r>
        <w:rPr>
          <w:rFonts w:hint="eastAsia" w:ascii="Times New Roman" w:hAnsi="Times New Roman" w:eastAsia="黑体" w:cs="Times New Roman"/>
          <w:b/>
          <w:bCs/>
          <w:color w:val="000000" w:themeColor="text1"/>
          <w:kern w:val="2"/>
          <w:sz w:val="24"/>
          <w:szCs w:val="24"/>
          <w:lang w:val="en-US" w:eastAsia="zh-CN" w:bidi="ar-SA"/>
          <w14:textFill>
            <w14:solidFill>
              <w14:schemeClr w14:val="tx1"/>
            </w14:solidFill>
          </w14:textFill>
        </w:rPr>
        <w:t>表1.4-1</w:t>
      </w:r>
      <w:r>
        <w:rPr>
          <w:rFonts w:hint="eastAsia" w:eastAsia="黑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黑体" w:cs="Times New Roman"/>
          <w:b/>
          <w:bCs/>
          <w:color w:val="000000" w:themeColor="text1"/>
          <w:kern w:val="2"/>
          <w:sz w:val="24"/>
          <w:szCs w:val="24"/>
          <w:lang w:val="en-US" w:eastAsia="zh-CN" w:bidi="ar-SA"/>
          <w14:textFill>
            <w14:solidFill>
              <w14:schemeClr w14:val="tx1"/>
            </w14:solidFill>
          </w14:textFill>
        </w:rPr>
        <w:t>电磁环境影响评价工作等级划分</w:t>
      </w:r>
    </w:p>
    <w:tbl>
      <w:tblPr>
        <w:tblStyle w:val="2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18"/>
        <w:gridCol w:w="705"/>
        <w:gridCol w:w="1122"/>
        <w:gridCol w:w="2250"/>
        <w:gridCol w:w="775"/>
        <w:gridCol w:w="2213"/>
        <w:gridCol w:w="597"/>
      </w:tblGrid>
      <w:tr w14:paraId="188C2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618" w:type="dxa"/>
            <w:vMerge w:val="restart"/>
            <w:noWrap w:val="0"/>
            <w:vAlign w:val="center"/>
          </w:tcPr>
          <w:p w14:paraId="4015E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分类</w:t>
            </w:r>
          </w:p>
        </w:tc>
        <w:tc>
          <w:tcPr>
            <w:tcW w:w="705" w:type="dxa"/>
            <w:vMerge w:val="restart"/>
            <w:noWrap w:val="0"/>
            <w:vAlign w:val="center"/>
          </w:tcPr>
          <w:p w14:paraId="3AE1B1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电压</w:t>
            </w:r>
          </w:p>
          <w:p w14:paraId="43FA0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等级</w:t>
            </w:r>
          </w:p>
        </w:tc>
        <w:tc>
          <w:tcPr>
            <w:tcW w:w="1122" w:type="dxa"/>
            <w:vMerge w:val="restart"/>
            <w:noWrap w:val="0"/>
            <w:vAlign w:val="center"/>
          </w:tcPr>
          <w:p w14:paraId="32FEA0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工程</w:t>
            </w:r>
          </w:p>
        </w:tc>
        <w:tc>
          <w:tcPr>
            <w:tcW w:w="2250" w:type="dxa"/>
            <w:vMerge w:val="restart"/>
            <w:noWrap w:val="0"/>
            <w:vAlign w:val="center"/>
          </w:tcPr>
          <w:p w14:paraId="5EF61A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条件</w:t>
            </w:r>
          </w:p>
        </w:tc>
        <w:tc>
          <w:tcPr>
            <w:tcW w:w="775" w:type="dxa"/>
            <w:vMerge w:val="restart"/>
            <w:noWrap w:val="0"/>
            <w:vAlign w:val="center"/>
          </w:tcPr>
          <w:p w14:paraId="744F3C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评价工</w:t>
            </w:r>
          </w:p>
          <w:p w14:paraId="5F84E5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作等级</w:t>
            </w:r>
          </w:p>
        </w:tc>
        <w:tc>
          <w:tcPr>
            <w:tcW w:w="2810" w:type="dxa"/>
            <w:gridSpan w:val="2"/>
            <w:noWrap w:val="0"/>
            <w:vAlign w:val="center"/>
          </w:tcPr>
          <w:p w14:paraId="45EB9F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本工程</w:t>
            </w:r>
          </w:p>
        </w:tc>
      </w:tr>
      <w:tr w14:paraId="27398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5" w:hRule="atLeast"/>
          <w:jc w:val="center"/>
        </w:trPr>
        <w:tc>
          <w:tcPr>
            <w:tcW w:w="618" w:type="dxa"/>
            <w:vMerge w:val="continue"/>
            <w:noWrap w:val="0"/>
            <w:vAlign w:val="center"/>
          </w:tcPr>
          <w:p w14:paraId="1335C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705" w:type="dxa"/>
            <w:vMerge w:val="continue"/>
            <w:noWrap w:val="0"/>
            <w:vAlign w:val="center"/>
          </w:tcPr>
          <w:p w14:paraId="7C413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1122" w:type="dxa"/>
            <w:vMerge w:val="continue"/>
            <w:noWrap w:val="0"/>
            <w:vAlign w:val="center"/>
          </w:tcPr>
          <w:p w14:paraId="70F15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2250" w:type="dxa"/>
            <w:vMerge w:val="continue"/>
            <w:noWrap w:val="0"/>
            <w:vAlign w:val="center"/>
          </w:tcPr>
          <w:p w14:paraId="451A18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775" w:type="dxa"/>
            <w:vMerge w:val="continue"/>
            <w:noWrap w:val="0"/>
            <w:vAlign w:val="center"/>
          </w:tcPr>
          <w:p w14:paraId="77D135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2213" w:type="dxa"/>
            <w:noWrap w:val="0"/>
            <w:vAlign w:val="center"/>
          </w:tcPr>
          <w:p w14:paraId="67029D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条件</w:t>
            </w:r>
          </w:p>
        </w:tc>
        <w:tc>
          <w:tcPr>
            <w:tcW w:w="597" w:type="dxa"/>
            <w:noWrap w:val="0"/>
            <w:vAlign w:val="center"/>
          </w:tcPr>
          <w:p w14:paraId="56B3C2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工作</w:t>
            </w:r>
          </w:p>
          <w:p w14:paraId="53B7E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等级</w:t>
            </w:r>
          </w:p>
        </w:tc>
      </w:tr>
      <w:tr w14:paraId="437A6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2" w:hRule="atLeast"/>
          <w:jc w:val="center"/>
        </w:trPr>
        <w:tc>
          <w:tcPr>
            <w:tcW w:w="618" w:type="dxa"/>
            <w:vMerge w:val="restart"/>
            <w:noWrap w:val="0"/>
            <w:vAlign w:val="center"/>
          </w:tcPr>
          <w:p w14:paraId="5234EC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交流</w:t>
            </w:r>
          </w:p>
        </w:tc>
        <w:tc>
          <w:tcPr>
            <w:tcW w:w="705" w:type="dxa"/>
            <w:vMerge w:val="restart"/>
            <w:noWrap w:val="0"/>
            <w:vAlign w:val="center"/>
          </w:tcPr>
          <w:p w14:paraId="5E7B5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110</w:t>
            </w:r>
            <w:r>
              <w:rPr>
                <w:rFonts w:hint="eastAsia" w:ascii="Times New Roman" w:hAnsi="Times New Roman" w:eastAsia="宋体" w:cs="Times New Roman"/>
                <w:color w:val="000000"/>
                <w:sz w:val="21"/>
                <w:szCs w:val="21"/>
                <w:highlight w:val="none"/>
              </w:rPr>
              <w:t>kV</w:t>
            </w:r>
          </w:p>
        </w:tc>
        <w:tc>
          <w:tcPr>
            <w:tcW w:w="1122" w:type="dxa"/>
            <w:vMerge w:val="restart"/>
            <w:noWrap w:val="0"/>
            <w:vAlign w:val="center"/>
          </w:tcPr>
          <w:p w14:paraId="5864AC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兆瓦能源110kV光伏升压站</w:t>
            </w:r>
          </w:p>
        </w:tc>
        <w:tc>
          <w:tcPr>
            <w:tcW w:w="2250" w:type="dxa"/>
            <w:noWrap w:val="0"/>
            <w:vAlign w:val="center"/>
          </w:tcPr>
          <w:p w14:paraId="6175B2A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户内式、地下式</w:t>
            </w:r>
          </w:p>
        </w:tc>
        <w:tc>
          <w:tcPr>
            <w:tcW w:w="775" w:type="dxa"/>
            <w:noWrap w:val="0"/>
            <w:vAlign w:val="center"/>
          </w:tcPr>
          <w:p w14:paraId="56153C5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2213" w:type="dxa"/>
            <w:noWrap w:val="0"/>
            <w:vAlign w:val="center"/>
          </w:tcPr>
          <w:p w14:paraId="14EEF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97" w:type="dxa"/>
            <w:noWrap w:val="0"/>
            <w:vAlign w:val="center"/>
          </w:tcPr>
          <w:p w14:paraId="6C571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34EB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18" w:type="dxa"/>
            <w:vMerge w:val="continue"/>
            <w:noWrap w:val="0"/>
            <w:vAlign w:val="center"/>
          </w:tcPr>
          <w:p w14:paraId="7311A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705" w:type="dxa"/>
            <w:vMerge w:val="continue"/>
            <w:noWrap w:val="0"/>
            <w:vAlign w:val="center"/>
          </w:tcPr>
          <w:p w14:paraId="00192B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1122" w:type="dxa"/>
            <w:vMerge w:val="continue"/>
            <w:noWrap w:val="0"/>
            <w:vAlign w:val="center"/>
          </w:tcPr>
          <w:p w14:paraId="6AE17A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z w:val="21"/>
                <w:szCs w:val="21"/>
              </w:rPr>
            </w:pPr>
          </w:p>
        </w:tc>
        <w:tc>
          <w:tcPr>
            <w:tcW w:w="2250" w:type="dxa"/>
            <w:noWrap w:val="0"/>
            <w:vAlign w:val="center"/>
          </w:tcPr>
          <w:p w14:paraId="265442A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户外式</w:t>
            </w:r>
          </w:p>
        </w:tc>
        <w:tc>
          <w:tcPr>
            <w:tcW w:w="775" w:type="dxa"/>
            <w:noWrap w:val="0"/>
            <w:vAlign w:val="center"/>
          </w:tcPr>
          <w:p w14:paraId="6BA06A8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2213" w:type="dxa"/>
            <w:noWrap w:val="0"/>
            <w:vAlign w:val="center"/>
          </w:tcPr>
          <w:p w14:paraId="298F1A8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户外式</w:t>
            </w:r>
          </w:p>
        </w:tc>
        <w:tc>
          <w:tcPr>
            <w:tcW w:w="597" w:type="dxa"/>
            <w:noWrap w:val="0"/>
            <w:vAlign w:val="center"/>
          </w:tcPr>
          <w:p w14:paraId="0FDDA32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二级</w:t>
            </w:r>
          </w:p>
        </w:tc>
      </w:tr>
      <w:tr w14:paraId="7023E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9" w:hRule="atLeast"/>
          <w:jc w:val="center"/>
        </w:trPr>
        <w:tc>
          <w:tcPr>
            <w:tcW w:w="618" w:type="dxa"/>
            <w:vMerge w:val="continue"/>
            <w:noWrap w:val="0"/>
            <w:vAlign w:val="center"/>
          </w:tcPr>
          <w:p w14:paraId="71D229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705" w:type="dxa"/>
            <w:vMerge w:val="continue"/>
            <w:noWrap w:val="0"/>
            <w:vAlign w:val="center"/>
          </w:tcPr>
          <w:p w14:paraId="55C683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p>
        </w:tc>
        <w:tc>
          <w:tcPr>
            <w:tcW w:w="1122" w:type="dxa"/>
            <w:noWrap w:val="0"/>
            <w:vAlign w:val="center"/>
          </w:tcPr>
          <w:p w14:paraId="47E72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输电</w:t>
            </w:r>
          </w:p>
          <w:p w14:paraId="71D19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线路</w:t>
            </w:r>
          </w:p>
        </w:tc>
        <w:tc>
          <w:tcPr>
            <w:tcW w:w="2250" w:type="dxa"/>
            <w:noWrap w:val="0"/>
            <w:vAlign w:val="center"/>
          </w:tcPr>
          <w:p w14:paraId="1AF90E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rPr>
              <w:t>1.地下电缆</w:t>
            </w:r>
          </w:p>
          <w:p w14:paraId="2762E1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rPr>
              <w:t>2.边导线地面投影外两侧各10m范围内无电磁环境敏感目标的架空线</w:t>
            </w:r>
          </w:p>
        </w:tc>
        <w:tc>
          <w:tcPr>
            <w:tcW w:w="775" w:type="dxa"/>
            <w:noWrap w:val="0"/>
            <w:vAlign w:val="center"/>
          </w:tcPr>
          <w:p w14:paraId="0DA72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eastAsia="zh-CN"/>
              </w:rPr>
              <w:t>三</w:t>
            </w:r>
            <w:r>
              <w:rPr>
                <w:rFonts w:hint="eastAsia" w:ascii="Times New Roman" w:hAnsi="Times New Roman" w:eastAsia="宋体" w:cs="Times New Roman"/>
                <w:color w:val="000000"/>
                <w:sz w:val="21"/>
                <w:szCs w:val="21"/>
                <w:highlight w:val="none"/>
              </w:rPr>
              <w:t>级</w:t>
            </w:r>
          </w:p>
        </w:tc>
        <w:tc>
          <w:tcPr>
            <w:tcW w:w="2213" w:type="dxa"/>
            <w:noWrap w:val="0"/>
            <w:vAlign w:val="center"/>
          </w:tcPr>
          <w:p w14:paraId="58C689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rPr>
              <w:t>边导线地面投影外两侧各10m范围内无电磁环境敏感目标的架空线</w:t>
            </w:r>
          </w:p>
        </w:tc>
        <w:tc>
          <w:tcPr>
            <w:tcW w:w="597" w:type="dxa"/>
            <w:noWrap w:val="0"/>
            <w:vAlign w:val="center"/>
          </w:tcPr>
          <w:p w14:paraId="2258AE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eastAsia="zh-CN"/>
              </w:rPr>
              <w:t>三</w:t>
            </w:r>
            <w:r>
              <w:rPr>
                <w:rFonts w:hint="eastAsia" w:ascii="Times New Roman" w:hAnsi="Times New Roman" w:eastAsia="宋体" w:cs="Times New Roman"/>
                <w:color w:val="000000"/>
                <w:sz w:val="21"/>
                <w:szCs w:val="21"/>
                <w:highlight w:val="none"/>
              </w:rPr>
              <w:t>级</w:t>
            </w:r>
          </w:p>
        </w:tc>
      </w:tr>
    </w:tbl>
    <w:p w14:paraId="7D089DE6">
      <w:pPr>
        <w:pStyle w:val="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宋体" w:hAnsi="宋体"/>
          <w:color w:val="000000"/>
          <w:sz w:val="24"/>
          <w:highlight w:val="none"/>
        </w:rPr>
      </w:pPr>
    </w:p>
    <w:p w14:paraId="76C568F9">
      <w:pPr>
        <w:pStyle w:val="8"/>
        <w:adjustRightInd w:val="0"/>
        <w:snapToGrid w:val="0"/>
        <w:spacing w:line="360" w:lineRule="auto"/>
        <w:ind w:firstLine="480"/>
        <w:rPr>
          <w:rFonts w:hint="eastAsia" w:ascii="Times New Roman" w:hAnsi="Times New Roman" w:eastAsia="宋体"/>
          <w:color w:val="000000"/>
          <w:sz w:val="24"/>
          <w:highlight w:val="none"/>
        </w:rPr>
      </w:pPr>
      <w:r>
        <w:rPr>
          <w:rFonts w:hint="eastAsia" w:ascii="Times New Roman" w:hAnsi="Times New Roman" w:eastAsia="宋体"/>
          <w:color w:val="000000"/>
          <w:sz w:val="24"/>
          <w:highlight w:val="none"/>
        </w:rPr>
        <w:t>(3)评价范围</w:t>
      </w:r>
    </w:p>
    <w:p w14:paraId="784C09BB">
      <w:pPr>
        <w:pStyle w:val="8"/>
        <w:adjustRightInd w:val="0"/>
        <w:snapToGrid w:val="0"/>
        <w:spacing w:line="360" w:lineRule="auto"/>
        <w:ind w:firstLine="480"/>
        <w:rPr>
          <w:rFonts w:hint="eastAsia" w:ascii="Times New Roman" w:hAnsi="Times New Roman" w:eastAsia="宋体"/>
          <w:color w:val="000000"/>
          <w:sz w:val="24"/>
          <w:highlight w:val="none"/>
          <w:lang w:val="en-US" w:eastAsia="zh-CN"/>
        </w:rPr>
      </w:pPr>
      <w:r>
        <w:rPr>
          <w:rFonts w:hint="eastAsia" w:ascii="Times New Roman" w:hAnsi="Times New Roman" w:eastAsia="宋体"/>
          <w:color w:val="000000"/>
          <w:sz w:val="24"/>
          <w:highlight w:val="none"/>
          <w:lang w:val="en-US" w:eastAsia="zh-CN"/>
        </w:rPr>
        <w:t>根据《环境影响评价技术导则</w:t>
      </w:r>
      <w:r>
        <w:rPr>
          <w:rFonts w:hint="eastAsia" w:ascii="Times New Roman"/>
          <w:color w:val="000000"/>
          <w:sz w:val="24"/>
          <w:highlight w:val="none"/>
          <w:lang w:val="en-US" w:eastAsia="zh-CN"/>
        </w:rPr>
        <w:t xml:space="preserve"> </w:t>
      </w:r>
      <w:r>
        <w:rPr>
          <w:rFonts w:hint="eastAsia" w:ascii="Times New Roman" w:hAnsi="Times New Roman" w:eastAsia="宋体"/>
          <w:color w:val="000000"/>
          <w:sz w:val="24"/>
          <w:highlight w:val="none"/>
          <w:lang w:val="en-US" w:eastAsia="zh-CN"/>
        </w:rPr>
        <w:t>输变电》(HJ</w:t>
      </w:r>
      <w:r>
        <w:rPr>
          <w:rFonts w:hint="eastAsia" w:ascii="Times New Roman"/>
          <w:color w:val="000000"/>
          <w:sz w:val="24"/>
          <w:highlight w:val="none"/>
          <w:lang w:val="en-US" w:eastAsia="zh-CN"/>
        </w:rPr>
        <w:t xml:space="preserve"> </w:t>
      </w:r>
      <w:r>
        <w:rPr>
          <w:rFonts w:hint="eastAsia" w:ascii="Times New Roman" w:hAnsi="Times New Roman" w:eastAsia="宋体"/>
          <w:color w:val="000000"/>
          <w:sz w:val="24"/>
          <w:highlight w:val="none"/>
          <w:lang w:val="en-US" w:eastAsia="zh-CN"/>
        </w:rPr>
        <w:t>24-2020)，电压等级为</w:t>
      </w:r>
      <w:r>
        <w:rPr>
          <w:rFonts w:hint="eastAsia" w:ascii="Times New Roman" w:eastAsia="宋体"/>
          <w:color w:val="000000"/>
          <w:sz w:val="24"/>
          <w:highlight w:val="none"/>
          <w:lang w:val="en-US" w:eastAsia="zh-CN"/>
        </w:rPr>
        <w:t>110</w:t>
      </w:r>
      <w:r>
        <w:rPr>
          <w:rFonts w:hint="eastAsia" w:ascii="Times New Roman" w:hAnsi="Times New Roman" w:eastAsia="宋体"/>
          <w:color w:val="000000"/>
          <w:sz w:val="24"/>
          <w:highlight w:val="none"/>
          <w:lang w:val="en-US" w:eastAsia="zh-CN"/>
        </w:rPr>
        <w:t>kV的输变电工程</w:t>
      </w:r>
      <w:r>
        <w:rPr>
          <w:rFonts w:hint="default" w:ascii="Times New Roman" w:hAnsi="Times New Roman" w:eastAsia="宋体"/>
          <w:color w:val="000000"/>
          <w:sz w:val="24"/>
          <w:highlight w:val="none"/>
          <w:lang w:val="en-US" w:eastAsia="zh-CN"/>
        </w:rPr>
        <w:t>以</w:t>
      </w:r>
      <w:r>
        <w:rPr>
          <w:rFonts w:hint="eastAsia" w:ascii="Times New Roman" w:hAnsi="Times New Roman" w:eastAsia="宋体"/>
          <w:color w:val="000000"/>
          <w:sz w:val="24"/>
          <w:highlight w:val="none"/>
          <w:lang w:val="en-US" w:eastAsia="zh-CN"/>
        </w:rPr>
        <w:t>升压</w:t>
      </w:r>
      <w:r>
        <w:rPr>
          <w:rFonts w:hint="default" w:ascii="Times New Roman" w:hAnsi="Times New Roman" w:eastAsia="宋体"/>
          <w:color w:val="000000"/>
          <w:sz w:val="24"/>
          <w:highlight w:val="none"/>
          <w:lang w:val="en-US" w:eastAsia="zh-CN"/>
        </w:rPr>
        <w:t>站界外30m、架空线路边导线地面投影外两侧各30m为电磁环境影响评价范围</w:t>
      </w:r>
      <w:r>
        <w:rPr>
          <w:rFonts w:hint="eastAsia" w:ascii="Times New Roman" w:hAnsi="Times New Roman" w:eastAsia="宋体"/>
          <w:color w:val="000000"/>
          <w:sz w:val="24"/>
          <w:highlight w:val="none"/>
          <w:lang w:val="en-US" w:eastAsia="zh-CN"/>
        </w:rPr>
        <w:t>。</w:t>
      </w:r>
    </w:p>
    <w:p w14:paraId="6101CEB1">
      <w:pPr>
        <w:pStyle w:val="4"/>
        <w:adjustRightInd w:val="0"/>
        <w:snapToGrid w:val="0"/>
        <w:spacing w:before="0" w:beforeLines="0" w:after="0" w:afterLines="0"/>
        <w:ind w:left="0" w:leftChars="0" w:firstLine="0" w:firstLineChars="0"/>
        <w:rPr>
          <w:rFonts w:hint="eastAsia" w:ascii="Times New Roman" w:hAnsi="Times New Roman" w:eastAsia="宋体" w:cs="Times New Roman"/>
          <w:b/>
          <w:bCs w:val="0"/>
          <w:color w:val="000000"/>
          <w:kern w:val="0"/>
          <w:sz w:val="24"/>
          <w:szCs w:val="24"/>
          <w:lang w:val="en-US" w:eastAsia="zh-CN" w:bidi="ar-SA"/>
        </w:rPr>
      </w:pPr>
      <w:bookmarkStart w:id="49" w:name="_Toc1995"/>
      <w:r>
        <w:rPr>
          <w:rFonts w:hint="eastAsia" w:ascii="Times New Roman" w:hAnsi="Times New Roman" w:eastAsia="宋体" w:cs="Times New Roman"/>
          <w:b/>
          <w:bCs w:val="0"/>
          <w:color w:val="000000"/>
          <w:kern w:val="0"/>
          <w:sz w:val="24"/>
          <w:szCs w:val="24"/>
          <w:lang w:val="en-US" w:eastAsia="zh-CN" w:bidi="ar-SA"/>
        </w:rPr>
        <w:t>1.5评价标准</w:t>
      </w:r>
      <w:bookmarkEnd w:id="48"/>
      <w:bookmarkEnd w:id="49"/>
    </w:p>
    <w:p w14:paraId="7924C9A0">
      <w:pPr>
        <w:pStyle w:val="16"/>
        <w:adjustRightInd w:val="0"/>
        <w:snapToGrid w:val="0"/>
        <w:spacing w:line="360" w:lineRule="auto"/>
        <w:ind w:left="0" w:leftChars="0" w:firstLine="480" w:firstLineChars="200"/>
        <w:rPr>
          <w:rFonts w:hint="eastAsia" w:ascii="宋体" w:hAnsi="宋体"/>
          <w:b/>
          <w:color w:val="000000"/>
          <w:sz w:val="24"/>
          <w:highlight w:val="none"/>
        </w:rPr>
      </w:pPr>
      <w:r>
        <w:rPr>
          <w:rFonts w:hint="eastAsia" w:ascii="Times New Roman" w:hAnsi="Times New Roman" w:eastAsia="宋体" w:cs="Times New Roman"/>
          <w:color w:val="000000"/>
          <w:kern w:val="2"/>
          <w:sz w:val="24"/>
          <w:szCs w:val="24"/>
          <w:highlight w:val="none"/>
          <w:lang w:val="en-US" w:eastAsia="zh-CN" w:bidi="ar-SA"/>
        </w:rPr>
        <w:t>根据《环境影响评价技术导则</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输变电》(HJ</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24-2020)，工频电场的电场强度、工频磁场的磁感应强度应满足《电磁环境控制限值》(GB</w:t>
      </w:r>
      <w:r>
        <w:rPr>
          <w:rFonts w:hint="eastAsia" w:cs="Times New Roman"/>
          <w:color w:val="000000"/>
          <w:kern w:val="2"/>
          <w:sz w:val="24"/>
          <w:szCs w:val="24"/>
          <w:highlight w:val="none"/>
          <w:lang w:val="en-US" w:eastAsia="zh-CN" w:bidi="ar-SA"/>
        </w:rPr>
        <w:t xml:space="preserve"> </w:t>
      </w:r>
      <w:r>
        <w:rPr>
          <w:rFonts w:hint="eastAsia" w:ascii="Times New Roman" w:hAnsi="Times New Roman" w:eastAsia="宋体" w:cs="Times New Roman"/>
          <w:color w:val="000000"/>
          <w:kern w:val="2"/>
          <w:sz w:val="24"/>
          <w:szCs w:val="24"/>
          <w:highlight w:val="none"/>
          <w:lang w:val="en-US" w:eastAsia="zh-CN" w:bidi="ar-SA"/>
        </w:rPr>
        <w:t>8702-2014)的要求，</w:t>
      </w:r>
      <w:r>
        <w:rPr>
          <w:rFonts w:hint="eastAsia" w:cs="Times New Roman"/>
          <w:color w:val="000000"/>
          <w:kern w:val="2"/>
          <w:sz w:val="24"/>
          <w:szCs w:val="24"/>
          <w:highlight w:val="none"/>
          <w:lang w:val="en-US" w:eastAsia="zh-CN" w:bidi="ar-SA"/>
        </w:rPr>
        <w:t>详</w:t>
      </w:r>
      <w:r>
        <w:rPr>
          <w:rFonts w:hint="eastAsia" w:ascii="Times New Roman" w:hAnsi="Times New Roman" w:eastAsia="宋体" w:cs="Times New Roman"/>
          <w:color w:val="000000"/>
          <w:kern w:val="2"/>
          <w:sz w:val="24"/>
          <w:szCs w:val="24"/>
          <w:highlight w:val="none"/>
          <w:lang w:val="en-US" w:eastAsia="zh-CN" w:bidi="ar-SA"/>
        </w:rPr>
        <w:t>见</w:t>
      </w:r>
      <w:r>
        <w:rPr>
          <w:rFonts w:hint="eastAsia" w:eastAsia="宋体" w:cs="Times New Roman"/>
          <w:color w:val="000000"/>
          <w:kern w:val="2"/>
          <w:sz w:val="24"/>
          <w:szCs w:val="24"/>
          <w:highlight w:val="none"/>
          <w:lang w:val="en-US" w:eastAsia="zh-CN" w:bidi="ar-SA"/>
        </w:rPr>
        <w:t>下</w:t>
      </w:r>
      <w:r>
        <w:rPr>
          <w:rFonts w:hint="eastAsia" w:ascii="Times New Roman" w:hAnsi="Times New Roman" w:eastAsia="宋体" w:cs="Times New Roman"/>
          <w:color w:val="000000"/>
          <w:kern w:val="2"/>
          <w:sz w:val="24"/>
          <w:szCs w:val="24"/>
          <w:highlight w:val="none"/>
          <w:lang w:val="en-US" w:eastAsia="zh-CN" w:bidi="ar-SA"/>
        </w:rPr>
        <w:t>表。</w:t>
      </w:r>
    </w:p>
    <w:p w14:paraId="7CE3EE52">
      <w:pPr>
        <w:adjustRightInd w:val="0"/>
        <w:snapToGrid w:val="0"/>
        <w:ind w:left="0" w:leftChars="0" w:firstLine="0" w:firstLineChars="0"/>
        <w:jc w:val="center"/>
        <w:rPr>
          <w:rFonts w:hint="eastAsia" w:ascii="宋体" w:hAnsi="宋体"/>
          <w:b/>
          <w:color w:val="000000"/>
          <w:sz w:val="24"/>
          <w:highlight w:val="none"/>
        </w:rPr>
      </w:pPr>
    </w:p>
    <w:p w14:paraId="56E4CA21">
      <w:pPr>
        <w:adjustRightInd w:val="0"/>
        <w:snapToGrid w:val="0"/>
        <w:ind w:left="0" w:leftChars="0" w:firstLine="0" w:firstLineChars="0"/>
        <w:jc w:val="center"/>
        <w:rPr>
          <w:rFonts w:hint="eastAsia" w:ascii="宋体" w:hAnsi="宋体"/>
          <w:b/>
          <w:color w:val="000000"/>
          <w:sz w:val="24"/>
          <w:highlight w:val="none"/>
        </w:rPr>
      </w:pPr>
      <w:r>
        <w:rPr>
          <w:rFonts w:hint="eastAsia" w:ascii="宋体" w:hAnsi="宋体"/>
          <w:b/>
          <w:color w:val="000000"/>
          <w:sz w:val="24"/>
          <w:highlight w:val="none"/>
        </w:rPr>
        <w:t>表</w:t>
      </w:r>
      <w:r>
        <w:rPr>
          <w:rFonts w:hint="eastAsia" w:ascii="Times New Roman" w:hAnsi="Times New Roman" w:eastAsia="黑体" w:cs="Times New Roman"/>
          <w:b/>
          <w:bCs/>
          <w:color w:val="000000" w:themeColor="text1"/>
          <w:kern w:val="2"/>
          <w:sz w:val="24"/>
          <w:szCs w:val="24"/>
          <w:lang w:val="en-US" w:eastAsia="zh-CN" w:bidi="ar-SA"/>
          <w14:textFill>
            <w14:solidFill>
              <w14:schemeClr w14:val="tx1"/>
            </w14:solidFill>
          </w14:textFill>
        </w:rPr>
        <w:t>1.</w:t>
      </w:r>
      <w:r>
        <w:rPr>
          <w:rFonts w:hint="eastAsia" w:eastAsia="黑体" w:cs="Times New Roman"/>
          <w:b/>
          <w:bCs/>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黑体" w:cs="Times New Roman"/>
          <w:b/>
          <w:bCs/>
          <w:color w:val="000000" w:themeColor="text1"/>
          <w:kern w:val="2"/>
          <w:sz w:val="24"/>
          <w:szCs w:val="24"/>
          <w:lang w:val="en-US" w:eastAsia="zh-CN" w:bidi="ar-SA"/>
          <w14:textFill>
            <w14:solidFill>
              <w14:schemeClr w14:val="tx1"/>
            </w14:solidFill>
          </w14:textFill>
        </w:rPr>
        <w:t>-1</w:t>
      </w:r>
      <w:r>
        <w:rPr>
          <w:rFonts w:hint="eastAsia" w:eastAsia="黑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黑体" w:cs="Times New Roman"/>
          <w:b/>
          <w:bCs/>
          <w:color w:val="000000" w:themeColor="text1"/>
          <w:kern w:val="2"/>
          <w:sz w:val="24"/>
          <w:szCs w:val="24"/>
          <w:lang w:val="en-US" w:eastAsia="zh-CN" w:bidi="ar-SA"/>
          <w14:textFill>
            <w14:solidFill>
              <w14:schemeClr w14:val="tx1"/>
            </w14:solidFill>
          </w14:textFill>
        </w:rPr>
        <w:t>电磁环境控制限值表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387"/>
        <w:gridCol w:w="1538"/>
        <w:gridCol w:w="1462"/>
        <w:gridCol w:w="2187"/>
      </w:tblGrid>
      <w:tr w14:paraId="4F5B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65" w:type="dxa"/>
            <w:noWrap w:val="0"/>
            <w:vAlign w:val="center"/>
          </w:tcPr>
          <w:p w14:paraId="70E17DB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default" w:ascii="Times New Roman" w:hAnsi="Times New Roman" w:eastAsia="宋体" w:cs="Times New Roman"/>
                <w:spacing w:val="7"/>
                <w:sz w:val="21"/>
                <w:szCs w:val="21"/>
              </w:rPr>
              <w:t>频率范围</w:t>
            </w:r>
          </w:p>
        </w:tc>
        <w:tc>
          <w:tcPr>
            <w:tcW w:w="1387" w:type="dxa"/>
            <w:noWrap w:val="0"/>
            <w:vAlign w:val="center"/>
          </w:tcPr>
          <w:p w14:paraId="4FCBEAF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kern w:val="15"/>
                <w:sz w:val="21"/>
                <w:szCs w:val="21"/>
                <w:highlight w:val="none"/>
                <w:lang w:eastAsia="zh-CN"/>
              </w:rPr>
            </w:pPr>
            <w:r>
              <w:rPr>
                <w:rFonts w:hint="default" w:ascii="Times New Roman" w:hAnsi="Times New Roman" w:eastAsia="宋体" w:cs="Times New Roman"/>
                <w:spacing w:val="1"/>
                <w:sz w:val="21"/>
                <w:szCs w:val="21"/>
              </w:rPr>
              <w:t>电场强度E</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pacing w:val="1"/>
                <w:sz w:val="21"/>
                <w:szCs w:val="21"/>
              </w:rPr>
              <w:t>V/m</w:t>
            </w:r>
            <w:r>
              <w:rPr>
                <w:rFonts w:hint="eastAsia" w:ascii="Times New Roman" w:hAnsi="Times New Roman" w:eastAsia="宋体" w:cs="Times New Roman"/>
                <w:spacing w:val="1"/>
                <w:sz w:val="21"/>
                <w:szCs w:val="21"/>
                <w:lang w:val="en-US" w:eastAsia="zh-CN"/>
              </w:rPr>
              <w:t>)</w:t>
            </w:r>
          </w:p>
        </w:tc>
        <w:tc>
          <w:tcPr>
            <w:tcW w:w="1538" w:type="dxa"/>
            <w:noWrap w:val="0"/>
            <w:vAlign w:val="center"/>
          </w:tcPr>
          <w:p w14:paraId="4826F236">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kern w:val="15"/>
                <w:sz w:val="21"/>
                <w:szCs w:val="21"/>
                <w:highlight w:val="none"/>
                <w:lang w:eastAsia="zh-CN"/>
              </w:rPr>
            </w:pPr>
            <w:r>
              <w:rPr>
                <w:rFonts w:hint="default" w:ascii="Times New Roman" w:hAnsi="Times New Roman" w:eastAsia="宋体" w:cs="Times New Roman"/>
                <w:spacing w:val="6"/>
                <w:sz w:val="21"/>
                <w:szCs w:val="21"/>
              </w:rPr>
              <w:t>磁场强度H</w:t>
            </w:r>
            <w:r>
              <w:rPr>
                <w:rFonts w:hint="eastAsia" w:ascii="Times New Roman" w:hAnsi="Times New Roman" w:eastAsia="宋体" w:cs="Times New Roman"/>
                <w:spacing w:val="1"/>
                <w:sz w:val="21"/>
                <w:szCs w:val="21"/>
                <w:lang w:val="en-US" w:eastAsia="zh-CN"/>
              </w:rPr>
              <w:t>(</w:t>
            </w:r>
            <w:r>
              <w:rPr>
                <w:rFonts w:hint="default" w:ascii="Times New Roman" w:hAnsi="Times New Roman" w:eastAsia="宋体" w:cs="Times New Roman"/>
                <w:spacing w:val="1"/>
                <w:sz w:val="21"/>
                <w:szCs w:val="21"/>
              </w:rPr>
              <w:t>A/m</w:t>
            </w:r>
            <w:r>
              <w:rPr>
                <w:rFonts w:hint="eastAsia" w:ascii="Times New Roman" w:hAnsi="Times New Roman" w:eastAsia="宋体" w:cs="Times New Roman"/>
                <w:spacing w:val="1"/>
                <w:sz w:val="21"/>
                <w:szCs w:val="21"/>
                <w:lang w:val="en-US" w:eastAsia="zh-CN"/>
              </w:rPr>
              <w:t>)</w:t>
            </w:r>
          </w:p>
        </w:tc>
        <w:tc>
          <w:tcPr>
            <w:tcW w:w="1462" w:type="dxa"/>
            <w:noWrap w:val="0"/>
            <w:vAlign w:val="center"/>
          </w:tcPr>
          <w:p w14:paraId="602BF191">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default" w:ascii="Times New Roman" w:hAnsi="Times New Roman" w:eastAsia="宋体" w:cs="Times New Roman"/>
                <w:spacing w:val="10"/>
                <w:sz w:val="21"/>
                <w:szCs w:val="21"/>
              </w:rPr>
              <w:t>磁感应强度B(μT）</w:t>
            </w:r>
          </w:p>
        </w:tc>
        <w:tc>
          <w:tcPr>
            <w:tcW w:w="2187" w:type="dxa"/>
            <w:noWrap w:val="0"/>
            <w:vAlign w:val="center"/>
          </w:tcPr>
          <w:p w14:paraId="4C29DCE7">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kern w:val="15"/>
                <w:sz w:val="21"/>
                <w:szCs w:val="21"/>
                <w:highlight w:val="none"/>
                <w:lang w:eastAsia="zh-CN"/>
              </w:rPr>
            </w:pPr>
            <w:r>
              <w:rPr>
                <w:rFonts w:hint="eastAsia" w:ascii="Times New Roman" w:hAnsi="Times New Roman" w:eastAsia="宋体" w:cs="Times New Roman"/>
                <w:spacing w:val="8"/>
                <w:sz w:val="21"/>
                <w:szCs w:val="21"/>
                <w:lang w:val="en-US" w:eastAsia="zh-CN"/>
              </w:rPr>
              <w:t>备注</w:t>
            </w:r>
          </w:p>
        </w:tc>
      </w:tr>
      <w:tr w14:paraId="02CC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65" w:type="dxa"/>
            <w:noWrap w:val="0"/>
            <w:vAlign w:val="center"/>
          </w:tcPr>
          <w:p w14:paraId="7A707859">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default" w:ascii="Times New Roman" w:hAnsi="Times New Roman" w:eastAsia="宋体" w:cs="Times New Roman"/>
                <w:spacing w:val="7"/>
                <w:position w:val="1"/>
                <w:sz w:val="21"/>
                <w:szCs w:val="21"/>
              </w:rPr>
              <w:t>0.025</w:t>
            </w:r>
            <w:r>
              <w:rPr>
                <w:rFonts w:hint="default" w:ascii="Times New Roman" w:hAnsi="Times New Roman" w:eastAsia="宋体" w:cs="Times New Roman"/>
                <w:position w:val="1"/>
                <w:sz w:val="21"/>
                <w:szCs w:val="21"/>
              </w:rPr>
              <w:t>kHz</w:t>
            </w:r>
            <w:r>
              <w:rPr>
                <w:rFonts w:hint="default" w:ascii="Times New Roman" w:hAnsi="Times New Roman" w:eastAsia="宋体" w:cs="Times New Roman"/>
                <w:spacing w:val="7"/>
                <w:position w:val="1"/>
                <w:sz w:val="21"/>
                <w:szCs w:val="21"/>
              </w:rPr>
              <w:t>～1.2</w:t>
            </w:r>
            <w:r>
              <w:rPr>
                <w:rFonts w:hint="default" w:ascii="Times New Roman" w:hAnsi="Times New Roman" w:eastAsia="宋体" w:cs="Times New Roman"/>
                <w:position w:val="1"/>
                <w:sz w:val="21"/>
                <w:szCs w:val="21"/>
              </w:rPr>
              <w:t>kHz</w:t>
            </w:r>
          </w:p>
        </w:tc>
        <w:tc>
          <w:tcPr>
            <w:tcW w:w="1387" w:type="dxa"/>
            <w:noWrap w:val="0"/>
            <w:vAlign w:val="center"/>
          </w:tcPr>
          <w:p w14:paraId="1FBF9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default" w:ascii="Times New Roman" w:hAnsi="Times New Roman" w:eastAsia="宋体" w:cs="Times New Roman"/>
                <w:spacing w:val="7"/>
                <w:sz w:val="21"/>
                <w:szCs w:val="21"/>
              </w:rPr>
              <w:t>200/f</w:t>
            </w:r>
          </w:p>
        </w:tc>
        <w:tc>
          <w:tcPr>
            <w:tcW w:w="1538" w:type="dxa"/>
            <w:noWrap w:val="0"/>
            <w:vAlign w:val="center"/>
          </w:tcPr>
          <w:p w14:paraId="46672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default" w:ascii="Times New Roman" w:hAnsi="Times New Roman" w:eastAsia="宋体" w:cs="Times New Roman"/>
                <w:spacing w:val="9"/>
                <w:sz w:val="21"/>
                <w:szCs w:val="21"/>
              </w:rPr>
              <w:t>4/f</w:t>
            </w:r>
          </w:p>
        </w:tc>
        <w:tc>
          <w:tcPr>
            <w:tcW w:w="1462" w:type="dxa"/>
            <w:noWrap w:val="0"/>
            <w:vAlign w:val="center"/>
          </w:tcPr>
          <w:p w14:paraId="1B8FF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default" w:ascii="Times New Roman" w:hAnsi="Times New Roman" w:eastAsia="宋体" w:cs="Times New Roman"/>
                <w:spacing w:val="7"/>
                <w:sz w:val="21"/>
                <w:szCs w:val="21"/>
              </w:rPr>
              <w:t>5/f</w:t>
            </w:r>
          </w:p>
        </w:tc>
        <w:tc>
          <w:tcPr>
            <w:tcW w:w="2187" w:type="dxa"/>
            <w:noWrap w:val="0"/>
            <w:vAlign w:val="center"/>
          </w:tcPr>
          <w:p w14:paraId="5BEE3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eastAsia="宋体" w:cs="Times New Roman"/>
                <w:color w:val="000000"/>
                <w:kern w:val="15"/>
                <w:sz w:val="21"/>
                <w:szCs w:val="21"/>
                <w:highlight w:val="none"/>
              </w:rPr>
            </w:pPr>
            <w:r>
              <w:rPr>
                <w:rFonts w:hint="eastAsia" w:ascii="Times New Roman" w:hAnsi="Times New Roman" w:eastAsia="宋体" w:cs="Times New Roman"/>
                <w:spacing w:val="7"/>
                <w:sz w:val="21"/>
                <w:szCs w:val="21"/>
                <w:lang w:val="en-US" w:eastAsia="zh-CN"/>
              </w:rPr>
              <w:t>频率f的单位为所在行中第一栏的单位。</w:t>
            </w:r>
          </w:p>
        </w:tc>
      </w:tr>
    </w:tbl>
    <w:p w14:paraId="572A5C2D">
      <w:pPr>
        <w:pStyle w:val="16"/>
        <w:keepNext w:val="0"/>
        <w:keepLines w:val="0"/>
        <w:pageBreakBefore w:val="0"/>
        <w:widowControl w:val="0"/>
        <w:kinsoku/>
        <w:wordWrap/>
        <w:overflowPunct/>
        <w:topLinePunct w:val="0"/>
        <w:autoSpaceDE/>
        <w:autoSpaceDN/>
        <w:bidi w:val="0"/>
        <w:adjustRightInd w:val="0"/>
        <w:snapToGrid w:val="0"/>
        <w:spacing w:line="240" w:lineRule="exact"/>
        <w:ind w:left="0" w:leftChars="0" w:firstLine="480" w:firstLineChars="200"/>
        <w:textAlignment w:val="auto"/>
        <w:rPr>
          <w:rFonts w:hint="eastAsia" w:ascii="Times New Roman" w:hAnsi="Times New Roman" w:eastAsia="宋体" w:cs="Times New Roman"/>
          <w:color w:val="000000"/>
          <w:kern w:val="2"/>
          <w:sz w:val="24"/>
          <w:szCs w:val="24"/>
          <w:highlight w:val="none"/>
          <w:lang w:val="en-US" w:eastAsia="zh-CN" w:bidi="ar-SA"/>
        </w:rPr>
      </w:pPr>
    </w:p>
    <w:p w14:paraId="13851FE3">
      <w:pPr>
        <w:spacing w:before="35" w:line="346" w:lineRule="auto"/>
        <w:ind w:left="116" w:right="32" w:firstLine="484"/>
        <w:jc w:val="both"/>
        <w:rPr>
          <w:rFonts w:hint="eastAsia" w:ascii="Times New Roman" w:hAnsi="Times New Roman"/>
          <w:color w:val="auto"/>
          <w:sz w:val="24"/>
          <w:highlight w:val="none"/>
          <w:lang w:val="zh-CN"/>
        </w:rPr>
      </w:pPr>
      <w:r>
        <w:rPr>
          <w:rFonts w:ascii="宋体" w:hAnsi="宋体" w:eastAsia="宋体" w:cs="宋体"/>
          <w:spacing w:val="7"/>
          <w:sz w:val="24"/>
          <w:szCs w:val="24"/>
        </w:rPr>
        <w:t>本工程电场强度</w:t>
      </w:r>
      <w:r>
        <w:rPr>
          <w:rFonts w:ascii="宋体" w:hAnsi="宋体" w:eastAsia="宋体" w:cs="宋体"/>
          <w:color w:val="auto"/>
          <w:spacing w:val="7"/>
          <w:sz w:val="24"/>
          <w:szCs w:val="24"/>
        </w:rPr>
        <w:t>的评价标准为</w:t>
      </w:r>
      <w:r>
        <w:rPr>
          <w:rFonts w:ascii="Times New Roman" w:hAnsi="Times New Roman" w:eastAsia="Times New Roman" w:cs="Times New Roman"/>
          <w:color w:val="auto"/>
          <w:spacing w:val="-4"/>
          <w:sz w:val="24"/>
          <w:szCs w:val="24"/>
        </w:rPr>
        <w:t>4kV/m</w:t>
      </w:r>
      <w:r>
        <w:rPr>
          <w:rFonts w:ascii="宋体" w:hAnsi="宋体" w:eastAsia="宋体" w:cs="宋体"/>
          <w:color w:val="auto"/>
          <w:spacing w:val="-4"/>
          <w:sz w:val="24"/>
          <w:szCs w:val="24"/>
        </w:rPr>
        <w:t>，磁感应强度的评价标准为</w:t>
      </w:r>
      <w:r>
        <w:rPr>
          <w:rFonts w:ascii="Times New Roman" w:hAnsi="Times New Roman" w:eastAsia="Times New Roman" w:cs="Times New Roman"/>
          <w:color w:val="auto"/>
          <w:spacing w:val="-4"/>
          <w:sz w:val="24"/>
          <w:szCs w:val="24"/>
        </w:rPr>
        <w:t>100μT</w:t>
      </w:r>
      <w:r>
        <w:rPr>
          <w:rFonts w:ascii="宋体" w:hAnsi="宋体" w:eastAsia="宋体" w:cs="宋体"/>
          <w:color w:val="auto"/>
          <w:spacing w:val="-4"/>
          <w:sz w:val="24"/>
          <w:szCs w:val="24"/>
        </w:rPr>
        <w:t>。</w:t>
      </w:r>
      <w:r>
        <w:rPr>
          <w:rFonts w:hint="eastAsia" w:ascii="Times New Roman" w:hAnsi="Times New Roman" w:cs="Times New Roman"/>
          <w:color w:val="000000"/>
          <w:kern w:val="2"/>
          <w:sz w:val="24"/>
          <w:szCs w:val="24"/>
          <w:highlight w:val="none"/>
          <w:lang w:val="en-US" w:eastAsia="zh-CN" w:bidi="ar"/>
        </w:rPr>
        <w:t>架空输电线路线下的耕地、园地、牧草地、畜禽饲养地、养殖水面、道路等场所，其频率50Hz的电场强度控制限值为10kV/m，且应给出警示和防护指示标志</w:t>
      </w:r>
      <w:r>
        <w:rPr>
          <w:rFonts w:hint="eastAsia" w:cs="Times New Roman"/>
          <w:color w:val="000000"/>
          <w:kern w:val="2"/>
          <w:sz w:val="24"/>
          <w:szCs w:val="24"/>
          <w:highlight w:val="none"/>
          <w:lang w:val="en-US" w:eastAsia="zh-CN" w:bidi="ar"/>
        </w:rPr>
        <w:t>。</w:t>
      </w:r>
    </w:p>
    <w:p w14:paraId="38D56ACD">
      <w:pPr>
        <w:pStyle w:val="4"/>
        <w:adjustRightInd w:val="0"/>
        <w:snapToGrid w:val="0"/>
        <w:spacing w:before="0" w:beforeLines="0" w:after="0" w:afterLines="0"/>
        <w:ind w:left="0" w:leftChars="0" w:firstLine="0" w:firstLineChars="0"/>
        <w:rPr>
          <w:rFonts w:hint="eastAsia" w:ascii="Times New Roman" w:hAnsi="Times New Roman" w:eastAsia="宋体" w:cs="Times New Roman"/>
          <w:b/>
          <w:bCs w:val="0"/>
          <w:color w:val="auto"/>
          <w:kern w:val="0"/>
          <w:sz w:val="24"/>
          <w:szCs w:val="24"/>
          <w:lang w:val="en-US" w:eastAsia="zh-CN" w:bidi="ar-SA"/>
        </w:rPr>
      </w:pPr>
      <w:bookmarkStart w:id="50" w:name="_Toc15618"/>
      <w:bookmarkStart w:id="51" w:name="_Toc23672"/>
      <w:r>
        <w:rPr>
          <w:rFonts w:hint="eastAsia" w:ascii="Times New Roman" w:hAnsi="Times New Roman" w:eastAsia="宋体" w:cs="Times New Roman"/>
          <w:b/>
          <w:bCs w:val="0"/>
          <w:color w:val="auto"/>
          <w:kern w:val="0"/>
          <w:sz w:val="24"/>
          <w:szCs w:val="24"/>
          <w:lang w:val="en-US" w:eastAsia="zh-CN" w:bidi="ar-SA"/>
        </w:rPr>
        <w:t>1.6电磁环境</w:t>
      </w:r>
      <w:r>
        <w:rPr>
          <w:rFonts w:hint="eastAsia" w:eastAsia="宋体" w:cs="Times New Roman"/>
          <w:b/>
          <w:bCs w:val="0"/>
          <w:color w:val="auto"/>
          <w:kern w:val="0"/>
          <w:sz w:val="24"/>
          <w:szCs w:val="24"/>
          <w:lang w:val="en-US" w:eastAsia="zh-CN" w:bidi="ar-SA"/>
        </w:rPr>
        <w:t>敏感</w:t>
      </w:r>
      <w:r>
        <w:rPr>
          <w:rFonts w:hint="eastAsia" w:ascii="Times New Roman" w:hAnsi="Times New Roman" w:eastAsia="宋体" w:cs="Times New Roman"/>
          <w:b/>
          <w:bCs w:val="0"/>
          <w:color w:val="auto"/>
          <w:kern w:val="0"/>
          <w:sz w:val="24"/>
          <w:szCs w:val="24"/>
          <w:lang w:val="en-US" w:eastAsia="zh-CN" w:bidi="ar-SA"/>
        </w:rPr>
        <w:t>目标</w:t>
      </w:r>
      <w:bookmarkEnd w:id="50"/>
      <w:bookmarkEnd w:id="51"/>
    </w:p>
    <w:p w14:paraId="02F72B3F">
      <w:pPr>
        <w:autoSpaceDE w:val="0"/>
        <w:autoSpaceDN w:val="0"/>
        <w:adjustRightInd w:val="0"/>
        <w:snapToGrid w:val="0"/>
        <w:spacing w:line="360" w:lineRule="auto"/>
        <w:ind w:firstLine="480" w:firstLineChars="200"/>
        <w:rPr>
          <w:rFonts w:hint="eastAsia" w:ascii="Times New Roman" w:hAnsi="Times New Roman"/>
          <w:color w:val="auto"/>
          <w:sz w:val="24"/>
          <w:highlight w:val="none"/>
          <w:lang w:eastAsia="zh-CN"/>
        </w:rPr>
      </w:pPr>
      <w:bookmarkStart w:id="52" w:name="_Toc9731"/>
      <w:r>
        <w:rPr>
          <w:rFonts w:hint="eastAsia" w:ascii="Times New Roman" w:hAnsi="Times New Roman"/>
          <w:color w:val="auto"/>
          <w:sz w:val="24"/>
          <w:highlight w:val="none"/>
        </w:rPr>
        <w:t>根据《环境影响评价技术导则</w:t>
      </w:r>
      <w:r>
        <w:rPr>
          <w:rFonts w:hint="eastAsia"/>
          <w:color w:val="auto"/>
          <w:sz w:val="24"/>
          <w:highlight w:val="none"/>
          <w:lang w:val="en-US" w:eastAsia="zh-CN"/>
        </w:rPr>
        <w:t xml:space="preserve"> </w:t>
      </w:r>
      <w:r>
        <w:rPr>
          <w:rFonts w:hint="eastAsia" w:ascii="Times New Roman" w:hAnsi="Times New Roman"/>
          <w:color w:val="auto"/>
          <w:sz w:val="24"/>
          <w:szCs w:val="24"/>
          <w:highlight w:val="none"/>
        </w:rPr>
        <w:t>输变电》(HJ</w:t>
      </w:r>
      <w:r>
        <w:rPr>
          <w:rFonts w:hint="eastAsia"/>
          <w:color w:val="auto"/>
          <w:sz w:val="24"/>
          <w:szCs w:val="24"/>
          <w:highlight w:val="none"/>
          <w:lang w:val="en-US" w:eastAsia="zh-CN"/>
        </w:rPr>
        <w:t xml:space="preserve"> </w:t>
      </w:r>
      <w:r>
        <w:rPr>
          <w:rFonts w:hint="eastAsia" w:ascii="Times New Roman" w:hAnsi="Times New Roman"/>
          <w:color w:val="auto"/>
          <w:sz w:val="24"/>
          <w:szCs w:val="24"/>
          <w:highlight w:val="none"/>
        </w:rPr>
        <w:t>24-20</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w:t>
      </w:r>
      <w:r>
        <w:rPr>
          <w:rFonts w:hint="eastAsia" w:ascii="Times New Roman" w:hAnsi="Times New Roman"/>
          <w:color w:val="auto"/>
          <w:sz w:val="24"/>
          <w:highlight w:val="none"/>
        </w:rPr>
        <w:t>，电磁环境敏感目标是指电磁环境影响评价需重点关注的对象</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包括住宅、学校、医院、办公楼、工厂等有公众居住、工作或学习的建筑物。根据现场踏勘情况，本工程评价范围</w:t>
      </w:r>
      <w:r>
        <w:rPr>
          <w:rFonts w:hint="eastAsia"/>
          <w:color w:val="auto"/>
          <w:sz w:val="24"/>
          <w:highlight w:val="none"/>
          <w:lang w:val="en-US" w:eastAsia="zh-CN"/>
        </w:rPr>
        <w:t>内电磁</w:t>
      </w:r>
      <w:r>
        <w:rPr>
          <w:rFonts w:hint="eastAsia" w:ascii="Times New Roman" w:hAnsi="Times New Roman"/>
          <w:color w:val="auto"/>
          <w:sz w:val="24"/>
          <w:highlight w:val="none"/>
          <w:lang w:eastAsia="zh-CN"/>
        </w:rPr>
        <w:t>环境敏感目标</w:t>
      </w:r>
      <w:r>
        <w:rPr>
          <w:rFonts w:hint="eastAsia"/>
          <w:color w:val="auto"/>
          <w:sz w:val="24"/>
          <w:highlight w:val="none"/>
          <w:lang w:val="en-US" w:eastAsia="zh-CN"/>
        </w:rPr>
        <w:t>见下表</w:t>
      </w:r>
      <w:r>
        <w:rPr>
          <w:rFonts w:hint="eastAsia" w:ascii="Times New Roman" w:hAnsi="Times New Roman"/>
          <w:color w:val="auto"/>
          <w:sz w:val="24"/>
          <w:highlight w:val="none"/>
          <w:lang w:eastAsia="zh-CN"/>
        </w:rPr>
        <w:t>。</w:t>
      </w:r>
    </w:p>
    <w:p w14:paraId="652C9FD0">
      <w:pPr>
        <w:pStyle w:val="2"/>
        <w:rPr>
          <w:rFonts w:hint="eastAsia"/>
          <w:lang w:eastAsia="zh-CN"/>
        </w:rPr>
      </w:pPr>
      <w:r>
        <w:rPr>
          <w:rFonts w:hint="eastAsia" w:ascii="Times New Roman" w:hAnsi="Times New Roman" w:eastAsia="宋体"/>
          <w:b/>
          <w:color w:val="auto"/>
          <w:sz w:val="24"/>
          <w:highlight w:val="none"/>
        </w:rPr>
        <w:t>表</w:t>
      </w:r>
      <w:r>
        <w:rPr>
          <w:rFonts w:hint="eastAsia"/>
          <w:b/>
          <w:color w:val="auto"/>
          <w:sz w:val="24"/>
          <w:highlight w:val="none"/>
          <w:lang w:val="en-US" w:eastAsia="zh-CN"/>
        </w:rPr>
        <w:t>1</w:t>
      </w:r>
      <w:r>
        <w:rPr>
          <w:rFonts w:hint="eastAsia" w:ascii="Times New Roman" w:hAnsi="Times New Roman" w:eastAsia="宋体"/>
          <w:b/>
          <w:color w:val="auto"/>
          <w:sz w:val="24"/>
          <w:highlight w:val="none"/>
          <w:lang w:val="en-US" w:eastAsia="zh-CN"/>
        </w:rPr>
        <w:t>.</w:t>
      </w:r>
      <w:r>
        <w:rPr>
          <w:rFonts w:hint="eastAsia"/>
          <w:b/>
          <w:color w:val="auto"/>
          <w:sz w:val="24"/>
          <w:highlight w:val="none"/>
          <w:lang w:val="en-US" w:eastAsia="zh-CN"/>
        </w:rPr>
        <w:t>6</w:t>
      </w:r>
      <w:r>
        <w:rPr>
          <w:rFonts w:hint="eastAsia" w:ascii="Times New Roman" w:hAnsi="Times New Roman" w:eastAsia="宋体"/>
          <w:b/>
          <w:color w:val="auto"/>
          <w:sz w:val="24"/>
          <w:highlight w:val="none"/>
          <w:lang w:val="en-US" w:eastAsia="zh-CN"/>
        </w:rPr>
        <w:t>-1</w:t>
      </w:r>
      <w:r>
        <w:rPr>
          <w:rFonts w:hint="eastAsia"/>
          <w:b/>
          <w:color w:val="auto"/>
          <w:sz w:val="24"/>
          <w:highlight w:val="none"/>
          <w:lang w:val="en-US" w:eastAsia="zh-CN"/>
        </w:rPr>
        <w:t xml:space="preserve"> </w:t>
      </w:r>
      <w:r>
        <w:rPr>
          <w:rFonts w:hint="eastAsia" w:ascii="Times New Roman" w:hAnsi="Times New Roman" w:eastAsia="宋体" w:cs="Times New Roman"/>
          <w:b/>
          <w:bCs/>
          <w:color w:val="000000" w:themeColor="text1"/>
          <w:spacing w:val="-4"/>
          <w:kern w:val="2"/>
          <w:sz w:val="24"/>
          <w:szCs w:val="24"/>
          <w:lang w:val="en-US" w:eastAsia="zh-CN" w:bidi="ar-SA"/>
          <w14:textFill>
            <w14:solidFill>
              <w14:schemeClr w14:val="tx1"/>
            </w14:solidFill>
          </w14:textFill>
        </w:rPr>
        <w:t>电磁敏感目标</w:t>
      </w:r>
      <w:r>
        <w:rPr>
          <w:rFonts w:hint="eastAsia" w:ascii="宋体" w:hAnsi="宋体" w:eastAsia="宋体"/>
          <w:b/>
          <w:color w:val="auto"/>
          <w:sz w:val="24"/>
          <w:highlight w:val="none"/>
          <w:lang w:val="en-US" w:eastAsia="zh-CN"/>
        </w:rPr>
        <w:t>一览表</w:t>
      </w:r>
    </w:p>
    <w:bookmarkEnd w:id="52"/>
    <w:tbl>
      <w:tblPr>
        <w:tblStyle w:val="29"/>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118"/>
        <w:gridCol w:w="1358"/>
        <w:gridCol w:w="1373"/>
        <w:gridCol w:w="1931"/>
        <w:gridCol w:w="2379"/>
      </w:tblGrid>
      <w:tr w14:paraId="3836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92" w:type="pct"/>
            <w:noWrap w:val="0"/>
            <w:vAlign w:val="center"/>
          </w:tcPr>
          <w:p w14:paraId="029FF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b w:val="0"/>
                <w:bCs/>
                <w:sz w:val="21"/>
                <w:szCs w:val="21"/>
                <w:lang w:val="en-US" w:eastAsia="zh-CN"/>
              </w:rPr>
            </w:pPr>
            <w:bookmarkStart w:id="53" w:name="_Toc18617"/>
            <w:bookmarkStart w:id="54" w:name="_Toc25152"/>
            <w:bookmarkStart w:id="55" w:name="_Toc4112"/>
            <w:bookmarkStart w:id="56" w:name="_Toc32600"/>
            <w:bookmarkStart w:id="57" w:name="_Toc30350"/>
            <w:bookmarkStart w:id="58" w:name="_Toc25934"/>
            <w:r>
              <w:rPr>
                <w:rFonts w:hint="default" w:ascii="Times New Roman" w:hAnsi="Times New Roman" w:cs="Times New Roman"/>
                <w:b w:val="0"/>
                <w:bCs/>
                <w:color w:val="auto"/>
                <w:sz w:val="21"/>
                <w:szCs w:val="21"/>
              </w:rPr>
              <w:t>序号</w:t>
            </w:r>
          </w:p>
        </w:tc>
        <w:tc>
          <w:tcPr>
            <w:tcW w:w="631" w:type="pct"/>
            <w:noWrap w:val="0"/>
            <w:vAlign w:val="center"/>
          </w:tcPr>
          <w:p w14:paraId="62C99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cs="Times New Roman"/>
                <w:b w:val="0"/>
                <w:bCs/>
                <w:sz w:val="21"/>
                <w:szCs w:val="21"/>
                <w:lang w:val="en-US" w:eastAsia="zh-CN"/>
              </w:rPr>
            </w:pPr>
            <w:r>
              <w:rPr>
                <w:rFonts w:hint="eastAsia" w:cs="Times New Roman"/>
                <w:b w:val="0"/>
                <w:bCs/>
                <w:color w:val="auto"/>
                <w:sz w:val="21"/>
                <w:szCs w:val="21"/>
                <w:lang w:val="en-US" w:eastAsia="zh-CN"/>
              </w:rPr>
              <w:t>电磁</w:t>
            </w:r>
            <w:r>
              <w:rPr>
                <w:rFonts w:hint="default" w:ascii="Times New Roman" w:hAnsi="Times New Roman" w:cs="Times New Roman"/>
                <w:b w:val="0"/>
                <w:bCs/>
                <w:color w:val="auto"/>
                <w:sz w:val="21"/>
                <w:szCs w:val="21"/>
              </w:rPr>
              <w:t>敏感目标名称</w:t>
            </w:r>
          </w:p>
        </w:tc>
        <w:tc>
          <w:tcPr>
            <w:tcW w:w="766" w:type="pct"/>
            <w:noWrap w:val="0"/>
            <w:vAlign w:val="center"/>
          </w:tcPr>
          <w:p w14:paraId="3509E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功能/数量</w:t>
            </w:r>
          </w:p>
        </w:tc>
        <w:tc>
          <w:tcPr>
            <w:tcW w:w="1373" w:type="dxa"/>
            <w:noWrap w:val="0"/>
            <w:vAlign w:val="center"/>
          </w:tcPr>
          <w:p w14:paraId="1E769C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建筑物楼层</w:t>
            </w:r>
            <w:r>
              <w:rPr>
                <w:rFonts w:hint="eastAsia" w:cs="Times New Roman"/>
                <w:b w:val="0"/>
                <w:bCs/>
                <w:color w:val="auto"/>
                <w:sz w:val="21"/>
                <w:szCs w:val="21"/>
                <w:lang w:val="en-US" w:eastAsia="zh-CN"/>
              </w:rPr>
              <w:t>/高度</w:t>
            </w:r>
          </w:p>
        </w:tc>
        <w:tc>
          <w:tcPr>
            <w:tcW w:w="1090" w:type="pct"/>
            <w:noWrap w:val="0"/>
            <w:vAlign w:val="center"/>
          </w:tcPr>
          <w:p w14:paraId="7B2E6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spacing w:val="8"/>
                <w:sz w:val="21"/>
                <w:szCs w:val="21"/>
              </w:rPr>
              <w:t>与工程位置关系</w:t>
            </w:r>
          </w:p>
        </w:tc>
        <w:tc>
          <w:tcPr>
            <w:tcW w:w="1343" w:type="pct"/>
            <w:noWrap w:val="0"/>
            <w:vAlign w:val="center"/>
          </w:tcPr>
          <w:p w14:paraId="7F813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spacing w:val="4"/>
                <w:sz w:val="21"/>
                <w:szCs w:val="21"/>
              </w:rPr>
            </w:pPr>
            <w:r>
              <w:rPr>
                <w:rFonts w:hint="default" w:ascii="Times New Roman" w:hAnsi="Times New Roman" w:cs="Times New Roman"/>
                <w:b w:val="0"/>
                <w:bCs/>
                <w:spacing w:val="4"/>
                <w:sz w:val="21"/>
                <w:szCs w:val="21"/>
              </w:rPr>
              <w:t>保护要求</w:t>
            </w:r>
          </w:p>
        </w:tc>
      </w:tr>
      <w:tr w14:paraId="5D97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92" w:type="pct"/>
            <w:noWrap w:val="0"/>
            <w:vAlign w:val="center"/>
          </w:tcPr>
          <w:p w14:paraId="0012F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1</w:t>
            </w:r>
          </w:p>
        </w:tc>
        <w:tc>
          <w:tcPr>
            <w:tcW w:w="631" w:type="pct"/>
            <w:noWrap w:val="0"/>
            <w:vAlign w:val="center"/>
          </w:tcPr>
          <w:p w14:paraId="7F166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保安室</w:t>
            </w:r>
          </w:p>
        </w:tc>
        <w:tc>
          <w:tcPr>
            <w:tcW w:w="766" w:type="pct"/>
            <w:noWrap w:val="0"/>
            <w:vAlign w:val="center"/>
          </w:tcPr>
          <w:p w14:paraId="1B2B8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color w:val="auto"/>
                <w:kern w:val="0"/>
                <w:sz w:val="21"/>
                <w:szCs w:val="21"/>
                <w:lang w:val="en-US" w:eastAsia="zh-CN"/>
              </w:rPr>
              <w:t>工作区</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sz w:val="21"/>
                <w:szCs w:val="21"/>
              </w:rPr>
              <w:t>1户</w:t>
            </w:r>
          </w:p>
        </w:tc>
        <w:tc>
          <w:tcPr>
            <w:tcW w:w="1373" w:type="dxa"/>
            <w:noWrap w:val="0"/>
            <w:vAlign w:val="center"/>
          </w:tcPr>
          <w:p w14:paraId="01299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val="0"/>
                <w:bCs/>
                <w:sz w:val="21"/>
                <w:szCs w:val="21"/>
                <w:lang w:val="en-US" w:eastAsia="zh-CN"/>
              </w:rPr>
            </w:pPr>
            <w:r>
              <w:rPr>
                <w:rFonts w:hint="default" w:ascii="Times New Roman" w:hAnsi="Times New Roman" w:cs="Times New Roman"/>
                <w:b w:val="0"/>
                <w:bCs/>
                <w:color w:val="auto"/>
                <w:sz w:val="21"/>
                <w:szCs w:val="21"/>
              </w:rPr>
              <w:t>1层平顶</w:t>
            </w:r>
            <w:r>
              <w:rPr>
                <w:rFonts w:hint="eastAsia" w:cs="Times New Roman"/>
                <w:b w:val="0"/>
                <w:bCs/>
                <w:color w:val="auto"/>
                <w:sz w:val="21"/>
                <w:szCs w:val="21"/>
                <w:lang w:val="en-US" w:eastAsia="zh-CN"/>
              </w:rPr>
              <w:t>/3m</w:t>
            </w:r>
          </w:p>
        </w:tc>
        <w:tc>
          <w:tcPr>
            <w:tcW w:w="1090" w:type="pct"/>
            <w:noWrap w:val="0"/>
            <w:vAlign w:val="center"/>
          </w:tcPr>
          <w:p w14:paraId="7658C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color w:val="auto"/>
                <w:sz w:val="21"/>
                <w:szCs w:val="21"/>
                <w:highlight w:val="none"/>
                <w:lang w:val="en-US" w:eastAsia="zh-CN"/>
              </w:rPr>
              <w:t>升压站围墙北</w:t>
            </w:r>
            <w:r>
              <w:rPr>
                <w:rFonts w:hint="default" w:ascii="Times New Roman" w:hAnsi="Times New Roman" w:cs="Times New Roman"/>
                <w:b w:val="0"/>
                <w:bCs/>
                <w:color w:val="auto"/>
                <w:sz w:val="21"/>
                <w:szCs w:val="21"/>
                <w:highlight w:val="none"/>
              </w:rPr>
              <w:t>侧</w:t>
            </w:r>
            <w:r>
              <w:rPr>
                <w:rFonts w:hint="eastAsia" w:ascii="Times New Roman" w:hAnsi="Times New Roman" w:cs="Times New Roman"/>
                <w:b w:val="0"/>
                <w:bCs/>
                <w:color w:val="auto"/>
                <w:sz w:val="21"/>
                <w:szCs w:val="21"/>
                <w:highlight w:val="none"/>
                <w:lang w:val="en-US" w:eastAsia="zh-CN"/>
              </w:rPr>
              <w:t>外19</w:t>
            </w:r>
            <w:r>
              <w:rPr>
                <w:rFonts w:hint="default" w:ascii="Times New Roman" w:hAnsi="Times New Roman" w:cs="Times New Roman"/>
                <w:b w:val="0"/>
                <w:bCs/>
                <w:color w:val="auto"/>
                <w:sz w:val="21"/>
                <w:szCs w:val="21"/>
                <w:highlight w:val="none"/>
              </w:rPr>
              <w:t>m</w:t>
            </w:r>
          </w:p>
        </w:tc>
        <w:tc>
          <w:tcPr>
            <w:tcW w:w="1343" w:type="pct"/>
            <w:noWrap w:val="0"/>
            <w:vAlign w:val="center"/>
          </w:tcPr>
          <w:p w14:paraId="10E25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《电磁环境控制限值》(GB</w:t>
            </w:r>
            <w:r>
              <w:rPr>
                <w:rFonts w:hint="eastAsia" w:cs="Times New Roman"/>
                <w:color w:val="000000" w:themeColor="text1"/>
                <w:kern w:val="2"/>
                <w:sz w:val="21"/>
                <w:szCs w:val="21"/>
                <w:highlight w:val="none"/>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8702-2014)</w:t>
            </w:r>
          </w:p>
        </w:tc>
      </w:tr>
    </w:tbl>
    <w:p w14:paraId="13DA6C95">
      <w:pPr>
        <w:keepNext/>
        <w:keepLines/>
        <w:pageBreakBefore w:val="0"/>
        <w:widowControl w:val="0"/>
        <w:tabs>
          <w:tab w:val="left" w:pos="425"/>
        </w:tabs>
        <w:kinsoku/>
        <w:wordWrap/>
        <w:overflowPunct w:val="0"/>
        <w:topLinePunct w:val="0"/>
        <w:autoSpaceDE/>
        <w:autoSpaceDN/>
        <w:bidi w:val="0"/>
        <w:adjustRightInd w:val="0"/>
        <w:snapToGrid w:val="0"/>
        <w:spacing w:before="0" w:after="0" w:line="240" w:lineRule="exact"/>
        <w:ind w:left="0" w:leftChars="0" w:firstLine="0" w:firstLineChars="0"/>
        <w:jc w:val="both"/>
        <w:textAlignment w:val="auto"/>
        <w:outlineLvl w:val="9"/>
        <w:rPr>
          <w:rFonts w:hint="eastAsia" w:eastAsia="宋体" w:cs="Times New Roman"/>
          <w:b/>
          <w:bCs w:val="0"/>
          <w:color w:val="auto"/>
          <w:kern w:val="0"/>
          <w:sz w:val="24"/>
          <w:szCs w:val="24"/>
          <w:lang w:val="en-US" w:eastAsia="zh-CN" w:bidi="ar-SA"/>
        </w:rPr>
      </w:pPr>
    </w:p>
    <w:p w14:paraId="33CE95D5">
      <w:pPr>
        <w:pStyle w:val="3"/>
        <w:keepNext/>
        <w:keepLines/>
        <w:pageBreakBefore w:val="0"/>
        <w:widowControl w:val="0"/>
        <w:tabs>
          <w:tab w:val="left" w:pos="425"/>
        </w:tabs>
        <w:kinsoku/>
        <w:wordWrap/>
        <w:topLinePunct w:val="0"/>
        <w:autoSpaceDE/>
        <w:autoSpaceDN/>
        <w:bidi w:val="0"/>
        <w:adjustRightInd w:val="0"/>
        <w:snapToGrid w:val="0"/>
        <w:spacing w:before="0" w:after="0" w:line="360" w:lineRule="auto"/>
        <w:ind w:left="0" w:leftChars="0" w:firstLine="0" w:firstLineChars="0"/>
        <w:jc w:val="both"/>
        <w:textAlignment w:val="auto"/>
        <w:rPr>
          <w:rFonts w:hint="eastAsia" w:ascii="Times New Roman" w:hAnsi="Times New Roman" w:eastAsia="宋体" w:cs="Times New Roman"/>
          <w:b/>
          <w:bCs w:val="0"/>
          <w:color w:val="auto"/>
          <w:kern w:val="0"/>
          <w:sz w:val="24"/>
          <w:szCs w:val="24"/>
          <w:lang w:val="en-US" w:eastAsia="zh-CN" w:bidi="ar-SA"/>
        </w:rPr>
      </w:pPr>
      <w:r>
        <w:rPr>
          <w:rFonts w:hint="eastAsia" w:eastAsia="宋体" w:cs="Times New Roman"/>
          <w:b/>
          <w:bCs w:val="0"/>
          <w:color w:val="auto"/>
          <w:kern w:val="0"/>
          <w:sz w:val="24"/>
          <w:szCs w:val="24"/>
          <w:lang w:val="en-US" w:eastAsia="zh-CN" w:bidi="ar-SA"/>
        </w:rPr>
        <w:t>2</w:t>
      </w:r>
      <w:r>
        <w:rPr>
          <w:rFonts w:hint="eastAsia" w:ascii="Times New Roman" w:hAnsi="Times New Roman" w:eastAsia="宋体" w:cs="Times New Roman"/>
          <w:b/>
          <w:bCs w:val="0"/>
          <w:color w:val="auto"/>
          <w:kern w:val="0"/>
          <w:sz w:val="24"/>
          <w:szCs w:val="24"/>
          <w:lang w:val="en-US" w:eastAsia="zh-CN" w:bidi="ar-SA"/>
        </w:rPr>
        <w:t>电磁环境现状监测与评价</w:t>
      </w:r>
      <w:bookmarkEnd w:id="53"/>
      <w:bookmarkEnd w:id="54"/>
    </w:p>
    <w:p w14:paraId="59D26C60">
      <w:pPr>
        <w:pStyle w:val="4"/>
        <w:keepNext/>
        <w:keepLines/>
        <w:pageBreakBefore w:val="0"/>
        <w:widowControl w:val="0"/>
        <w:kinsoku/>
        <w:wordWrap/>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bCs w:val="0"/>
          <w:color w:val="auto"/>
          <w:kern w:val="0"/>
          <w:sz w:val="24"/>
          <w:szCs w:val="24"/>
          <w:lang w:val="en-US" w:eastAsia="zh-CN" w:bidi="ar-SA"/>
        </w:rPr>
      </w:pPr>
      <w:bookmarkStart w:id="59" w:name="_Toc5679"/>
      <w:r>
        <w:rPr>
          <w:rFonts w:hint="eastAsia" w:eastAsia="宋体" w:cs="Times New Roman"/>
          <w:b/>
          <w:bCs w:val="0"/>
          <w:color w:val="auto"/>
          <w:kern w:val="0"/>
          <w:sz w:val="24"/>
          <w:szCs w:val="24"/>
          <w:lang w:val="en-US" w:eastAsia="zh-CN" w:bidi="ar-SA"/>
        </w:rPr>
        <w:t>2</w:t>
      </w:r>
      <w:r>
        <w:rPr>
          <w:rFonts w:hint="eastAsia" w:ascii="Times New Roman" w:hAnsi="Times New Roman" w:eastAsia="宋体" w:cs="Times New Roman"/>
          <w:b/>
          <w:bCs w:val="0"/>
          <w:color w:val="auto"/>
          <w:kern w:val="0"/>
          <w:sz w:val="24"/>
          <w:szCs w:val="24"/>
          <w:lang w:val="en-US" w:eastAsia="zh-CN" w:bidi="ar-SA"/>
        </w:rPr>
        <w:t>.1监测因子</w:t>
      </w:r>
      <w:bookmarkEnd w:id="59"/>
    </w:p>
    <w:p w14:paraId="3EFF1F20">
      <w:pPr>
        <w:adjustRightInd w:val="0"/>
        <w:snapToGrid w:val="0"/>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工频电场、工频磁场。</w:t>
      </w:r>
    </w:p>
    <w:p w14:paraId="612B87C7">
      <w:pPr>
        <w:pStyle w:val="4"/>
        <w:keepNext/>
        <w:keepLines/>
        <w:pageBreakBefore w:val="0"/>
        <w:widowControl w:val="0"/>
        <w:tabs>
          <w:tab w:val="left" w:pos="425"/>
        </w:tabs>
        <w:kinsoku/>
        <w:wordWrap/>
        <w:topLinePunct w:val="0"/>
        <w:autoSpaceDE/>
        <w:autoSpaceDN/>
        <w:bidi w:val="0"/>
        <w:adjustRightInd w:val="0"/>
        <w:snapToGrid w:val="0"/>
        <w:spacing w:before="0" w:after="0" w:line="360" w:lineRule="auto"/>
        <w:ind w:left="0" w:leftChars="0" w:firstLine="0" w:firstLineChars="0"/>
        <w:jc w:val="both"/>
        <w:textAlignment w:val="auto"/>
        <w:rPr>
          <w:rFonts w:hint="eastAsia" w:ascii="Times New Roman" w:hAnsi="Times New Roman" w:eastAsia="宋体" w:cs="Times New Roman"/>
          <w:b/>
          <w:bCs w:val="0"/>
          <w:color w:val="auto"/>
          <w:kern w:val="0"/>
          <w:sz w:val="24"/>
          <w:szCs w:val="24"/>
          <w:lang w:val="en-US" w:eastAsia="zh-CN" w:bidi="ar-SA"/>
        </w:rPr>
      </w:pPr>
      <w:bookmarkStart w:id="60" w:name="_Toc1714"/>
      <w:bookmarkStart w:id="61" w:name="_Toc17394"/>
      <w:r>
        <w:rPr>
          <w:rFonts w:hint="eastAsia" w:eastAsia="宋体" w:cs="Times New Roman"/>
          <w:b/>
          <w:bCs w:val="0"/>
          <w:color w:val="auto"/>
          <w:kern w:val="0"/>
          <w:sz w:val="24"/>
          <w:szCs w:val="24"/>
          <w:lang w:val="en-US" w:eastAsia="zh-CN" w:bidi="ar-SA"/>
        </w:rPr>
        <w:t>2</w:t>
      </w:r>
      <w:r>
        <w:rPr>
          <w:rFonts w:hint="eastAsia" w:ascii="Times New Roman" w:hAnsi="Times New Roman" w:eastAsia="宋体" w:cs="Times New Roman"/>
          <w:b/>
          <w:bCs w:val="0"/>
          <w:color w:val="auto"/>
          <w:kern w:val="0"/>
          <w:sz w:val="24"/>
          <w:szCs w:val="24"/>
          <w:lang w:val="en-US" w:eastAsia="zh-CN" w:bidi="ar-SA"/>
        </w:rPr>
        <w:t>.2监测方法及布点</w:t>
      </w:r>
      <w:bookmarkEnd w:id="60"/>
      <w:bookmarkEnd w:id="61"/>
    </w:p>
    <w:p w14:paraId="57A20735">
      <w:pPr>
        <w:adjustRightInd w:val="0"/>
        <w:snapToGrid w:val="0"/>
        <w:spacing w:line="360" w:lineRule="auto"/>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监测方法：《</w:t>
      </w:r>
      <w:r>
        <w:rPr>
          <w:rFonts w:hint="eastAsia"/>
          <w:color w:val="auto"/>
          <w:sz w:val="24"/>
          <w:highlight w:val="none"/>
          <w:lang w:eastAsia="zh-CN"/>
        </w:rPr>
        <w:t>交流输变电工程电磁环境监测方法（试行）</w:t>
      </w:r>
      <w:r>
        <w:rPr>
          <w:rFonts w:hint="eastAsia" w:ascii="Times New Roman" w:hAnsi="Times New Roman"/>
          <w:color w:val="auto"/>
          <w:sz w:val="24"/>
          <w:highlight w:val="none"/>
        </w:rPr>
        <w:t>》(HJ</w:t>
      </w:r>
      <w:r>
        <w:rPr>
          <w:rFonts w:hint="eastAsia"/>
          <w:color w:val="auto"/>
          <w:sz w:val="24"/>
          <w:highlight w:val="none"/>
          <w:lang w:val="en-US" w:eastAsia="zh-CN"/>
        </w:rPr>
        <w:t xml:space="preserve"> </w:t>
      </w:r>
      <w:r>
        <w:rPr>
          <w:rFonts w:hint="eastAsia" w:ascii="Times New Roman" w:hAnsi="Times New Roman"/>
          <w:color w:val="auto"/>
          <w:sz w:val="24"/>
          <w:highlight w:val="none"/>
        </w:rPr>
        <w:t>681-2013)。</w:t>
      </w:r>
      <w:bookmarkStart w:id="62" w:name="_Toc108"/>
    </w:p>
    <w:p w14:paraId="0933ADB9">
      <w:pPr>
        <w:adjustRightInd w:val="0"/>
        <w:snapToGrid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监测布点：本工程电磁环境现状监测采用现场监测</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根据《环境影响评价技术导则 输变电》（HJ</w:t>
      </w:r>
      <w:r>
        <w:rPr>
          <w:rFonts w:hint="eastAsia" w:cs="Times New Roman"/>
          <w:b w:val="0"/>
          <w:bCs w:val="0"/>
          <w:color w:val="auto"/>
          <w:kern w:val="2"/>
          <w:sz w:val="24"/>
          <w:szCs w:val="24"/>
          <w:highlight w:val="none"/>
          <w:lang w:val="en-US" w:eastAsia="zh-CN" w:bidi="ar-SA"/>
        </w:rPr>
        <w:t xml:space="preserve"> </w:t>
      </w:r>
      <w:r>
        <w:rPr>
          <w:rFonts w:hint="default" w:ascii="Times New Roman" w:hAnsi="Times New Roman" w:eastAsia="宋体" w:cs="Times New Roman"/>
          <w:b w:val="0"/>
          <w:bCs w:val="0"/>
          <w:color w:val="auto"/>
          <w:kern w:val="2"/>
          <w:sz w:val="24"/>
          <w:szCs w:val="24"/>
          <w:highlight w:val="none"/>
          <w:lang w:val="en-US" w:eastAsia="zh-CN" w:bidi="ar-SA"/>
        </w:rPr>
        <w:t>24-2020）布点要求和评价范围，</w:t>
      </w:r>
      <w:r>
        <w:rPr>
          <w:rFonts w:hint="eastAsia" w:cs="Times New Roman"/>
          <w:b w:val="0"/>
          <w:bCs w:val="0"/>
          <w:color w:val="auto"/>
          <w:kern w:val="2"/>
          <w:sz w:val="24"/>
          <w:szCs w:val="24"/>
          <w:highlight w:val="none"/>
          <w:lang w:val="en-US" w:eastAsia="zh-CN" w:bidi="ar-SA"/>
        </w:rPr>
        <w:t>项目</w:t>
      </w:r>
      <w:r>
        <w:rPr>
          <w:rFonts w:hint="default" w:ascii="Times New Roman" w:hAnsi="Times New Roman" w:eastAsia="宋体" w:cs="Times New Roman"/>
          <w:b w:val="0"/>
          <w:bCs w:val="0"/>
          <w:color w:val="auto"/>
          <w:kern w:val="2"/>
          <w:sz w:val="24"/>
          <w:szCs w:val="24"/>
          <w:highlight w:val="none"/>
          <w:lang w:val="en-US" w:eastAsia="zh-CN" w:bidi="ar-SA"/>
        </w:rPr>
        <w:t>线路</w:t>
      </w:r>
      <w:r>
        <w:rPr>
          <w:rFonts w:hint="eastAsia" w:ascii="Times New Roman" w:hAnsi="Times New Roman" w:eastAsia="宋体" w:cs="Times New Roman"/>
          <w:b w:val="0"/>
          <w:bCs w:val="0"/>
          <w:color w:val="auto"/>
          <w:kern w:val="2"/>
          <w:sz w:val="24"/>
          <w:szCs w:val="24"/>
          <w:highlight w:val="none"/>
          <w:lang w:val="en-US" w:eastAsia="zh-CN" w:bidi="ar-SA"/>
        </w:rPr>
        <w:t>实际建设</w:t>
      </w:r>
      <w:r>
        <w:rPr>
          <w:rFonts w:hint="default" w:ascii="Times New Roman" w:hAnsi="Times New Roman" w:eastAsia="宋体" w:cs="Times New Roman"/>
          <w:b w:val="0"/>
          <w:bCs w:val="0"/>
          <w:color w:val="auto"/>
          <w:kern w:val="2"/>
          <w:sz w:val="24"/>
          <w:szCs w:val="24"/>
          <w:highlight w:val="none"/>
          <w:lang w:val="en-US" w:eastAsia="zh-CN" w:bidi="ar-SA"/>
        </w:rPr>
        <w:t>长度</w:t>
      </w:r>
      <w:r>
        <w:rPr>
          <w:rFonts w:hint="eastAsia" w:cs="Times New Roman"/>
          <w:b w:val="0"/>
          <w:bCs w:val="0"/>
          <w:color w:val="auto"/>
          <w:kern w:val="2"/>
          <w:sz w:val="24"/>
          <w:szCs w:val="24"/>
          <w:highlight w:val="none"/>
          <w:lang w:val="en-US" w:eastAsia="zh-CN" w:bidi="ar-SA"/>
        </w:rPr>
        <w:t>2.98</w:t>
      </w:r>
      <w:r>
        <w:rPr>
          <w:rFonts w:hint="default" w:ascii="Times New Roman" w:hAnsi="Times New Roman" w:eastAsia="宋体" w:cs="Times New Roman"/>
          <w:b w:val="0"/>
          <w:bCs w:val="0"/>
          <w:color w:val="auto"/>
          <w:kern w:val="2"/>
          <w:sz w:val="24"/>
          <w:szCs w:val="24"/>
          <w:highlight w:val="none"/>
          <w:lang w:val="en-US" w:eastAsia="zh-CN" w:bidi="ar-SA"/>
        </w:rPr>
        <w:t>km＜100km，至少布设2个监测点。根据均匀布点原则，线路布设2</w:t>
      </w:r>
      <w:r>
        <w:rPr>
          <w:rFonts w:hint="eastAsia" w:cs="Times New Roman"/>
          <w:b w:val="0"/>
          <w:bCs w:val="0"/>
          <w:color w:val="auto"/>
          <w:kern w:val="2"/>
          <w:sz w:val="24"/>
          <w:szCs w:val="24"/>
          <w:highlight w:val="none"/>
          <w:lang w:val="en-US" w:eastAsia="zh-CN" w:bidi="ar-SA"/>
        </w:rPr>
        <w:t>组断面监测；升压</w:t>
      </w:r>
      <w:r>
        <w:rPr>
          <w:rFonts w:hint="eastAsia" w:cs="Times New Roman"/>
          <w:color w:val="000000" w:themeColor="text1"/>
          <w:sz w:val="24"/>
          <w:highlight w:val="none"/>
          <w:lang w:val="en-US" w:eastAsia="zh-CN"/>
          <w14:textFill>
            <w14:solidFill>
              <w14:schemeClr w14:val="tx1"/>
            </w14:solidFill>
          </w14:textFill>
        </w:rPr>
        <w:t>站四周设置</w:t>
      </w:r>
      <w:r>
        <w:rPr>
          <w:rFonts w:hint="eastAsia"/>
          <w:highlight w:val="none"/>
          <w:lang w:val="en-US" w:eastAsia="zh-CN"/>
        </w:rPr>
        <w:t>4</w:t>
      </w:r>
      <w:r>
        <w:rPr>
          <w:rFonts w:hint="default"/>
          <w:highlight w:val="none"/>
        </w:rPr>
        <w:t>个现状监测点</w:t>
      </w:r>
      <w:r>
        <w:rPr>
          <w:rFonts w:hint="eastAsia"/>
          <w:highlight w:val="none"/>
          <w:lang w:val="en-US" w:eastAsia="zh-CN"/>
        </w:rPr>
        <w:t>及1个监测断面</w:t>
      </w:r>
      <w:r>
        <w:rPr>
          <w:rFonts w:hint="eastAsia"/>
          <w:highlight w:val="none"/>
          <w:lang w:eastAsia="zh-CN"/>
        </w:rPr>
        <w:t>；</w:t>
      </w:r>
      <w:r>
        <w:rPr>
          <w:rFonts w:hint="eastAsia"/>
          <w:highlight w:val="none"/>
          <w:lang w:val="en-US" w:eastAsia="zh-CN"/>
        </w:rPr>
        <w:t>环境敏感目标设置2</w:t>
      </w:r>
      <w:r>
        <w:rPr>
          <w:rFonts w:hint="default"/>
          <w:highlight w:val="none"/>
        </w:rPr>
        <w:t>个监测点</w:t>
      </w:r>
      <w:r>
        <w:rPr>
          <w:rFonts w:hint="eastAsia"/>
          <w:highlight w:val="none"/>
          <w:lang w:eastAsia="zh-CN"/>
        </w:rPr>
        <w:t>（</w:t>
      </w:r>
      <w:r>
        <w:rPr>
          <w:rFonts w:hint="eastAsia"/>
          <w:highlight w:val="none"/>
          <w:lang w:val="en-US" w:eastAsia="zh-CN"/>
        </w:rPr>
        <w:t>包括综合楼处监测点</w:t>
      </w:r>
      <w:r>
        <w:rPr>
          <w:rFonts w:hint="eastAsia"/>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SA"/>
        </w:rPr>
        <w:t>对电磁环境影响进行现状评价。</w:t>
      </w:r>
      <w:r>
        <w:rPr>
          <w:rFonts w:hint="eastAsia" w:cs="Times New Roman"/>
          <w:b w:val="0"/>
          <w:bCs w:val="0"/>
          <w:color w:val="auto"/>
          <w:kern w:val="2"/>
          <w:sz w:val="24"/>
          <w:szCs w:val="24"/>
          <w:highlight w:val="none"/>
          <w:lang w:val="en-US" w:eastAsia="zh-CN" w:bidi="ar-SA"/>
        </w:rPr>
        <w:t>监测布点图见3-7、3-8图。</w:t>
      </w:r>
    </w:p>
    <w:p w14:paraId="1070FB82">
      <w:pPr>
        <w:pStyle w:val="4"/>
        <w:adjustRightInd w:val="0"/>
        <w:snapToGrid w:val="0"/>
        <w:spacing w:before="0" w:beforeLines="0" w:after="0" w:afterLines="0"/>
        <w:ind w:left="0" w:leftChars="0" w:firstLine="0" w:firstLineChars="0"/>
        <w:rPr>
          <w:rFonts w:hint="eastAsia" w:ascii="Times New Roman" w:hAnsi="Times New Roman" w:eastAsia="宋体" w:cs="Times New Roman"/>
          <w:b/>
          <w:bCs w:val="0"/>
          <w:color w:val="auto"/>
          <w:kern w:val="0"/>
          <w:sz w:val="24"/>
          <w:szCs w:val="24"/>
          <w:lang w:val="en-US" w:eastAsia="zh-CN" w:bidi="ar-SA"/>
        </w:rPr>
      </w:pPr>
      <w:r>
        <w:rPr>
          <w:rFonts w:hint="eastAsia" w:eastAsia="宋体" w:cs="Times New Roman"/>
          <w:b/>
          <w:bCs w:val="0"/>
          <w:color w:val="auto"/>
          <w:kern w:val="0"/>
          <w:sz w:val="24"/>
          <w:szCs w:val="24"/>
          <w:lang w:val="en-US" w:eastAsia="zh-CN" w:bidi="ar-SA"/>
        </w:rPr>
        <w:t>2</w:t>
      </w:r>
      <w:r>
        <w:rPr>
          <w:rFonts w:hint="eastAsia" w:ascii="Times New Roman" w:hAnsi="Times New Roman" w:eastAsia="宋体" w:cs="Times New Roman"/>
          <w:b/>
          <w:bCs w:val="0"/>
          <w:color w:val="auto"/>
          <w:kern w:val="0"/>
          <w:sz w:val="24"/>
          <w:szCs w:val="24"/>
          <w:lang w:val="en-US" w:eastAsia="zh-CN" w:bidi="ar-SA"/>
        </w:rPr>
        <w:t>.3监测单位及监测时间</w:t>
      </w:r>
      <w:bookmarkEnd w:id="62"/>
    </w:p>
    <w:p w14:paraId="600C95B0">
      <w:pPr>
        <w:pStyle w:val="163"/>
        <w:bidi w:val="0"/>
        <w:rPr>
          <w:rFonts w:hint="default" w:ascii="Times New Roman" w:hAnsi="Times New Roman" w:cs="Times New Roman"/>
          <w:color w:val="auto"/>
          <w:highlight w:val="yellow"/>
        </w:rPr>
      </w:pPr>
      <w:bookmarkStart w:id="63" w:name="_Toc8484"/>
      <w:r>
        <w:rPr>
          <w:rFonts w:hint="default" w:ascii="Times New Roman" w:hAnsi="Times New Roman" w:cs="Times New Roman"/>
          <w:color w:val="auto"/>
        </w:rPr>
        <w:t>监测单位：</w:t>
      </w:r>
      <w:r>
        <w:rPr>
          <w:rFonts w:hint="eastAsia" w:cs="Times New Roman"/>
          <w:color w:val="auto"/>
          <w:lang w:val="en-US" w:eastAsia="zh-CN"/>
        </w:rPr>
        <w:t>新疆锡水金山环境科技有限公司</w:t>
      </w:r>
    </w:p>
    <w:p w14:paraId="59CA8E42">
      <w:pPr>
        <w:pStyle w:val="163"/>
        <w:bidi w:val="0"/>
        <w:rPr>
          <w:rFonts w:hint="eastAsia" w:ascii="Times New Roman" w:hAnsi="Times New Roman" w:eastAsia="宋体" w:cs="Times New Roman"/>
          <w:color w:val="FF0000"/>
          <w:lang w:eastAsia="zh-CN"/>
        </w:rPr>
      </w:pPr>
      <w:r>
        <w:rPr>
          <w:rFonts w:hint="default" w:ascii="Times New Roman" w:hAnsi="Times New Roman" w:cs="Times New Roman"/>
          <w:color w:val="auto"/>
        </w:rPr>
        <w:t>监测时间：202</w:t>
      </w:r>
      <w:r>
        <w:rPr>
          <w:rFonts w:hint="default" w:ascii="Times New Roman" w:hAnsi="Times New Roman" w:cs="Times New Roman"/>
          <w:color w:val="auto"/>
          <w:lang w:val="en-US" w:eastAsia="zh-CN"/>
        </w:rPr>
        <w:t>5</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eastAsia" w:cs="Times New Roman"/>
          <w:color w:val="auto"/>
          <w:highlight w:val="none"/>
          <w:lang w:val="en-US" w:eastAsia="zh-CN"/>
        </w:rPr>
        <w:t>24</w:t>
      </w:r>
      <w:r>
        <w:rPr>
          <w:rFonts w:hint="default" w:ascii="Times New Roman" w:hAnsi="Times New Roman" w:cs="Times New Roman"/>
          <w:color w:val="auto"/>
        </w:rPr>
        <w:t>日</w:t>
      </w:r>
      <w:r>
        <w:rPr>
          <w:rFonts w:hint="eastAsia" w:cs="Times New Roman"/>
          <w:color w:val="auto"/>
          <w:lang w:eastAsia="zh-CN"/>
        </w:rPr>
        <w:t>，</w:t>
      </w:r>
      <w:r>
        <w:rPr>
          <w:rFonts w:hint="default" w:ascii="Times New Roman" w:hAnsi="Times New Roman" w:cs="Times New Roman"/>
          <w:color w:val="000000" w:themeColor="text1"/>
          <w14:textFill>
            <w14:solidFill>
              <w14:schemeClr w14:val="tx1"/>
            </w14:solidFill>
          </w14:textFill>
        </w:rPr>
        <w:t>202</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月</w:t>
      </w:r>
      <w:r>
        <w:rPr>
          <w:rFonts w:hint="eastAsia" w:cs="Times New Roman"/>
          <w:color w:val="000000" w:themeColor="text1"/>
          <w:lang w:val="en-US" w:eastAsia="zh-CN"/>
          <w14:textFill>
            <w14:solidFill>
              <w14:schemeClr w14:val="tx1"/>
            </w14:solidFill>
          </w14:textFill>
        </w:rPr>
        <w:t>30</w:t>
      </w:r>
      <w:r>
        <w:rPr>
          <w:rFonts w:hint="default" w:ascii="Times New Roman" w:hAnsi="Times New Roman" w:cs="Times New Roman"/>
          <w:color w:val="000000" w:themeColor="text1"/>
          <w14:textFill>
            <w14:solidFill>
              <w14:schemeClr w14:val="tx1"/>
            </w14:solidFill>
          </w14:textFill>
        </w:rPr>
        <w:t>日</w:t>
      </w:r>
    </w:p>
    <w:p w14:paraId="559ADE6F">
      <w:pPr>
        <w:pStyle w:val="4"/>
        <w:adjustRightInd w:val="0"/>
        <w:snapToGrid w:val="0"/>
        <w:spacing w:before="0" w:beforeLines="0" w:after="0" w:afterLines="0"/>
        <w:ind w:left="0" w:leftChars="0" w:firstLine="0" w:firstLineChars="0"/>
        <w:rPr>
          <w:rFonts w:hint="default" w:ascii="Times New Roman" w:hAnsi="Times New Roman" w:eastAsia="宋体" w:cs="Times New Roman"/>
          <w:b/>
          <w:bCs w:val="0"/>
          <w:color w:val="auto"/>
          <w:kern w:val="0"/>
          <w:sz w:val="24"/>
          <w:szCs w:val="24"/>
          <w:lang w:val="en-US" w:eastAsia="zh-CN" w:bidi="ar-SA"/>
        </w:rPr>
      </w:pPr>
      <w:r>
        <w:rPr>
          <w:rFonts w:hint="eastAsia" w:eastAsia="宋体" w:cs="Times New Roman"/>
          <w:b/>
          <w:bCs w:val="0"/>
          <w:color w:val="auto"/>
          <w:kern w:val="0"/>
          <w:sz w:val="24"/>
          <w:szCs w:val="24"/>
          <w:lang w:val="en-US" w:eastAsia="zh-CN" w:bidi="ar-SA"/>
        </w:rPr>
        <w:t>2</w:t>
      </w:r>
      <w:r>
        <w:rPr>
          <w:rFonts w:hint="eastAsia" w:ascii="Times New Roman" w:hAnsi="Times New Roman" w:eastAsia="宋体" w:cs="Times New Roman"/>
          <w:b/>
          <w:bCs w:val="0"/>
          <w:color w:val="auto"/>
          <w:kern w:val="0"/>
          <w:sz w:val="24"/>
          <w:szCs w:val="24"/>
          <w:lang w:val="en-US" w:eastAsia="zh-CN" w:bidi="ar-SA"/>
        </w:rPr>
        <w:t>.4监测仪器、监测条件</w:t>
      </w:r>
      <w:bookmarkEnd w:id="63"/>
      <w:r>
        <w:rPr>
          <w:rFonts w:hint="eastAsia" w:eastAsia="宋体" w:cs="Times New Roman"/>
          <w:b/>
          <w:bCs w:val="0"/>
          <w:color w:val="auto"/>
          <w:kern w:val="0"/>
          <w:sz w:val="24"/>
          <w:szCs w:val="24"/>
          <w:lang w:val="en-US" w:eastAsia="zh-CN" w:bidi="ar-SA"/>
        </w:rPr>
        <w:t>及运行工况</w:t>
      </w:r>
    </w:p>
    <w:p w14:paraId="2B13B99B">
      <w:pPr>
        <w:keepNext w:val="0"/>
        <w:keepLines w:val="0"/>
        <w:suppressLineNumbers w:val="0"/>
        <w:spacing w:before="0" w:beforeAutospacing="0" w:after="0" w:afterAutospacing="0" w:line="360" w:lineRule="auto"/>
        <w:ind w:left="0" w:leftChars="0" w:right="0" w:firstLine="480" w:firstLineChars="200"/>
        <w:rPr>
          <w:rFonts w:hint="eastAsia" w:ascii="宋体" w:hAnsi="宋体" w:cs="Times New Roman"/>
          <w:color w:val="auto"/>
          <w:sz w:val="24"/>
          <w:highlight w:val="none"/>
          <w:lang w:val="en-US" w:eastAsia="zh-CN"/>
        </w:rPr>
      </w:pPr>
      <w:r>
        <w:rPr>
          <w:rFonts w:hint="eastAsia" w:ascii="宋体" w:hAnsi="宋体"/>
          <w:color w:val="auto"/>
          <w:sz w:val="24"/>
          <w:highlight w:val="none"/>
          <w:lang w:eastAsia="zh-CN"/>
        </w:rPr>
        <w:t>监测</w:t>
      </w:r>
      <w:r>
        <w:rPr>
          <w:rFonts w:hint="eastAsia" w:ascii="宋体" w:hAnsi="宋体"/>
          <w:color w:val="auto"/>
          <w:sz w:val="24"/>
          <w:highlight w:val="none"/>
        </w:rPr>
        <w:t>仪器参数</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见下表</w:t>
      </w:r>
      <w:r>
        <w:rPr>
          <w:rFonts w:hint="eastAsia" w:ascii="宋体" w:hAnsi="宋体"/>
          <w:color w:val="auto"/>
          <w:sz w:val="24"/>
          <w:highlight w:val="none"/>
        </w:rPr>
        <w:t>。</w:t>
      </w:r>
      <w:r>
        <w:rPr>
          <w:rFonts w:hint="default" w:ascii="宋体" w:hAnsi="宋体" w:cs="Times New Roman"/>
          <w:color w:val="auto"/>
          <w:sz w:val="24"/>
          <w:highlight w:val="none"/>
          <w:lang w:val="en-US" w:eastAsia="zh-CN"/>
        </w:rPr>
        <w:t>采样方法及依据</w:t>
      </w:r>
      <w:r>
        <w:rPr>
          <w:rFonts w:hint="eastAsia" w:ascii="宋体" w:hAnsi="宋体" w:cs="Times New Roman"/>
          <w:color w:val="auto"/>
          <w:sz w:val="24"/>
          <w:highlight w:val="none"/>
          <w:lang w:val="en-US" w:eastAsia="zh-CN"/>
        </w:rPr>
        <w:t>为</w:t>
      </w:r>
      <w:r>
        <w:rPr>
          <w:rFonts w:hint="eastAsia" w:ascii="Times New Roman" w:hAnsi="Times New Roman"/>
          <w:color w:val="auto"/>
          <w:sz w:val="24"/>
          <w:highlight w:val="none"/>
        </w:rPr>
        <w:t>《</w:t>
      </w:r>
      <w:r>
        <w:rPr>
          <w:rFonts w:hint="eastAsia"/>
          <w:color w:val="auto"/>
          <w:sz w:val="24"/>
          <w:highlight w:val="none"/>
          <w:lang w:eastAsia="zh-CN"/>
        </w:rPr>
        <w:t>交流输变电工程电磁环境监测方法（试行）</w:t>
      </w:r>
      <w:r>
        <w:rPr>
          <w:rFonts w:hint="eastAsia" w:ascii="Times New Roman" w:hAnsi="Times New Roman"/>
          <w:color w:val="auto"/>
          <w:sz w:val="24"/>
          <w:highlight w:val="none"/>
        </w:rPr>
        <w:t>》(HJ</w:t>
      </w:r>
      <w:r>
        <w:rPr>
          <w:rFonts w:hint="eastAsia"/>
          <w:color w:val="auto"/>
          <w:sz w:val="24"/>
          <w:highlight w:val="none"/>
          <w:lang w:val="en-US" w:eastAsia="zh-CN"/>
        </w:rPr>
        <w:t xml:space="preserve"> </w:t>
      </w:r>
      <w:r>
        <w:rPr>
          <w:rFonts w:hint="eastAsia" w:ascii="Times New Roman" w:hAnsi="Times New Roman"/>
          <w:color w:val="auto"/>
          <w:sz w:val="24"/>
          <w:highlight w:val="none"/>
        </w:rPr>
        <w:t>681-2013)</w:t>
      </w:r>
      <w:r>
        <w:rPr>
          <w:rFonts w:hint="eastAsia" w:ascii="宋体" w:hAnsi="宋体" w:cs="Times New Roman"/>
          <w:color w:val="auto"/>
          <w:sz w:val="24"/>
          <w:highlight w:val="none"/>
          <w:lang w:val="en-US" w:eastAsia="zh-CN"/>
        </w:rPr>
        <w:t>。</w:t>
      </w:r>
      <w:r>
        <w:rPr>
          <w:rFonts w:hint="eastAsia" w:hAnsi="宋体" w:cs="Times New Roman"/>
          <w:color w:val="auto"/>
          <w:sz w:val="24"/>
          <w:szCs w:val="24"/>
          <w:highlight w:val="none"/>
          <w:lang w:val="en-US" w:eastAsia="zh-CN"/>
        </w:rPr>
        <w:t>经调查</w:t>
      </w:r>
      <w:r>
        <w:rPr>
          <w:rFonts w:hint="eastAsia" w:ascii="Times New Roman" w:hAnsi="Times New Roman" w:eastAsia="宋体" w:cs="Times New Roman"/>
          <w:color w:val="auto"/>
          <w:lang w:val="en-US" w:eastAsia="zh-CN"/>
        </w:rPr>
        <w:t>，</w:t>
      </w:r>
      <w:r>
        <w:rPr>
          <w:rFonts w:hint="eastAsia" w:cs="Times New Roman"/>
          <w:color w:val="auto"/>
          <w:lang w:val="en-US" w:eastAsia="zh-CN"/>
        </w:rPr>
        <w:t>电磁</w:t>
      </w:r>
      <w:r>
        <w:rPr>
          <w:rFonts w:hint="eastAsia" w:ascii="Times New Roman" w:hAnsi="Times New Roman" w:eastAsia="宋体" w:cs="Times New Roman"/>
          <w:color w:val="auto"/>
          <w:lang w:val="en-US" w:eastAsia="zh-CN"/>
        </w:rPr>
        <w:t>监</w:t>
      </w:r>
      <w:r>
        <w:rPr>
          <w:rFonts w:hint="eastAsia" w:hAnsi="宋体" w:cs="Times New Roman"/>
          <w:color w:val="auto"/>
          <w:sz w:val="24"/>
          <w:szCs w:val="24"/>
          <w:highlight w:val="none"/>
          <w:lang w:val="en-US" w:eastAsia="zh-CN"/>
        </w:rPr>
        <w:t>测期间，本工程正常运行，无异常；电压范围约118.6-120.4kV；电流范围约53-56A。</w:t>
      </w:r>
    </w:p>
    <w:p w14:paraId="025279CE">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宋体" w:hAnsi="宋体" w:eastAsia="宋体"/>
          <w:b/>
          <w:color w:val="auto"/>
          <w:sz w:val="24"/>
          <w:highlight w:val="none"/>
        </w:rPr>
      </w:pPr>
      <w:r>
        <w:rPr>
          <w:rFonts w:hint="eastAsia" w:ascii="Times New Roman" w:hAnsi="Times New Roman" w:eastAsia="宋体"/>
          <w:b/>
          <w:color w:val="auto"/>
          <w:sz w:val="24"/>
          <w:highlight w:val="none"/>
        </w:rPr>
        <w:t>表</w:t>
      </w:r>
      <w:r>
        <w:rPr>
          <w:rFonts w:hint="eastAsia"/>
          <w:b/>
          <w:color w:val="auto"/>
          <w:sz w:val="24"/>
          <w:highlight w:val="none"/>
          <w:lang w:val="en-US" w:eastAsia="zh-CN"/>
        </w:rPr>
        <w:t>2</w:t>
      </w:r>
      <w:r>
        <w:rPr>
          <w:rFonts w:hint="eastAsia" w:ascii="Times New Roman" w:hAnsi="Times New Roman" w:eastAsia="宋体"/>
          <w:b/>
          <w:color w:val="auto"/>
          <w:sz w:val="24"/>
          <w:highlight w:val="none"/>
          <w:lang w:val="en-US" w:eastAsia="zh-CN"/>
        </w:rPr>
        <w:t>.4-1</w:t>
      </w:r>
      <w:r>
        <w:rPr>
          <w:rFonts w:hint="eastAsia"/>
          <w:b/>
          <w:color w:val="auto"/>
          <w:sz w:val="24"/>
          <w:highlight w:val="none"/>
          <w:lang w:val="en-US" w:eastAsia="zh-CN"/>
        </w:rPr>
        <w:t xml:space="preserve"> </w:t>
      </w:r>
      <w:r>
        <w:rPr>
          <w:rFonts w:hint="eastAsia" w:ascii="宋体" w:hAnsi="宋体" w:eastAsia="宋体"/>
          <w:b/>
          <w:color w:val="auto"/>
          <w:sz w:val="24"/>
          <w:highlight w:val="none"/>
          <w:lang w:val="en-US" w:eastAsia="zh-CN"/>
        </w:rPr>
        <w:t>监测仪器一览表</w:t>
      </w:r>
    </w:p>
    <w:tbl>
      <w:tblPr>
        <w:tblStyle w:val="116"/>
        <w:tblW w:w="51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7"/>
        <w:gridCol w:w="2642"/>
        <w:gridCol w:w="1458"/>
        <w:gridCol w:w="1348"/>
        <w:gridCol w:w="2431"/>
      </w:tblGrid>
      <w:tr w14:paraId="3801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02" w:type="pct"/>
            <w:noWrap w:val="0"/>
            <w:vAlign w:val="center"/>
          </w:tcPr>
          <w:p w14:paraId="618F29F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auto"/>
                <w:sz w:val="21"/>
                <w:szCs w:val="21"/>
              </w:rPr>
              <w:t>项目</w:t>
            </w:r>
          </w:p>
        </w:tc>
        <w:tc>
          <w:tcPr>
            <w:tcW w:w="1440" w:type="pct"/>
            <w:noWrap w:val="0"/>
            <w:vAlign w:val="center"/>
          </w:tcPr>
          <w:p w14:paraId="549B4A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监测</w:t>
            </w:r>
            <w:r>
              <w:rPr>
                <w:rFonts w:hint="eastAsia" w:ascii="Times New Roman" w:hAnsi="Times New Roman" w:eastAsia="宋体" w:cs="Times New Roman"/>
                <w:color w:val="auto"/>
                <w:sz w:val="21"/>
                <w:szCs w:val="21"/>
                <w:lang w:val="en-US" w:eastAsia="zh-CN"/>
              </w:rPr>
              <w:t>仪器</w:t>
            </w:r>
          </w:p>
        </w:tc>
        <w:tc>
          <w:tcPr>
            <w:tcW w:w="795" w:type="pct"/>
            <w:noWrap w:val="0"/>
            <w:vAlign w:val="center"/>
          </w:tcPr>
          <w:p w14:paraId="2A166F3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ascii="Times New Roman" w:hAnsi="Times New Roman" w:eastAsia="宋体" w:cs="Times New Roman"/>
                <w:b w:val="0"/>
                <w:bCs/>
                <w:strike w:val="0"/>
                <w:color w:val="000000" w:themeColor="text1"/>
                <w:spacing w:val="-1"/>
                <w:sz w:val="21"/>
                <w:szCs w:val="21"/>
                <w:highlight w:val="none"/>
                <w14:textFill>
                  <w14:solidFill>
                    <w14:schemeClr w14:val="tx1"/>
                  </w14:solidFill>
                </w14:textFill>
              </w:rPr>
              <w:t>检定日期</w:t>
            </w:r>
          </w:p>
        </w:tc>
        <w:tc>
          <w:tcPr>
            <w:tcW w:w="735" w:type="pct"/>
            <w:noWrap w:val="0"/>
            <w:vAlign w:val="center"/>
          </w:tcPr>
          <w:p w14:paraId="4240ABB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strike w:val="0"/>
                <w:color w:val="000000" w:themeColor="text1"/>
                <w:spacing w:val="-1"/>
                <w:sz w:val="21"/>
                <w:szCs w:val="21"/>
                <w:highlight w:val="none"/>
                <w:lang w:val="en-US" w:eastAsia="zh-CN"/>
                <w14:textFill>
                  <w14:solidFill>
                    <w14:schemeClr w14:val="tx1"/>
                  </w14:solidFill>
                </w14:textFill>
              </w:rPr>
              <w:t>有效期</w:t>
            </w:r>
          </w:p>
        </w:tc>
        <w:tc>
          <w:tcPr>
            <w:tcW w:w="1325" w:type="pct"/>
            <w:noWrap w:val="0"/>
            <w:vAlign w:val="center"/>
          </w:tcPr>
          <w:p w14:paraId="38E1FE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监测条件</w:t>
            </w:r>
          </w:p>
        </w:tc>
      </w:tr>
      <w:tr w14:paraId="7F7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702" w:type="pct"/>
            <w:noWrap w:val="0"/>
            <w:vAlign w:val="center"/>
          </w:tcPr>
          <w:p w14:paraId="200B44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输电线路</w:t>
            </w:r>
          </w:p>
        </w:tc>
        <w:tc>
          <w:tcPr>
            <w:tcW w:w="1440" w:type="pct"/>
            <w:noWrap w:val="0"/>
            <w:vAlign w:val="center"/>
          </w:tcPr>
          <w:p w14:paraId="5311D9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SYET-550L智能场强仪</w:t>
            </w:r>
          </w:p>
          <w:p w14:paraId="457AEC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z w:val="21"/>
                <w:szCs w:val="21"/>
              </w:rPr>
            </w:pPr>
            <w:r>
              <w:rPr>
                <w:rFonts w:hint="eastAsia" w:cs="Times New Roman"/>
                <w:color w:val="000000" w:themeColor="text1"/>
                <w:kern w:val="0"/>
                <w:sz w:val="21"/>
                <w:szCs w:val="21"/>
                <w:highlight w:val="none"/>
                <w:lang w:val="en-US" w:eastAsia="zh-CN"/>
                <w14:textFill>
                  <w14:solidFill>
                    <w14:schemeClr w14:val="tx1"/>
                  </w14:solidFill>
                </w14:textFill>
              </w:rPr>
              <w:t>编号：XSJS/YQ-163</w:t>
            </w:r>
          </w:p>
        </w:tc>
        <w:tc>
          <w:tcPr>
            <w:tcW w:w="795" w:type="pct"/>
            <w:noWrap w:val="0"/>
            <w:vAlign w:val="center"/>
          </w:tcPr>
          <w:p w14:paraId="2F3CA8F4">
            <w:pPr>
              <w:keepNext w:val="0"/>
              <w:keepLines w:val="0"/>
              <w:pageBreakBefore w:val="0"/>
              <w:wordWrap/>
              <w:overflowPunct/>
              <w:topLinePunct w:val="0"/>
              <w:bidi w:val="0"/>
              <w:adjustRightInd w:val="0"/>
              <w:snapToGrid w:val="0"/>
              <w:spacing w:line="360" w:lineRule="exact"/>
              <w:ind w:left="0" w:leftChars="0" w:firstLine="0" w:firstLineChars="0"/>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2025.</w:t>
            </w:r>
            <w:r>
              <w:rPr>
                <w:rFonts w:hint="eastAsia" w:cs="Times New Roman"/>
                <w:b w:val="0"/>
                <w:bCs/>
                <w:strike w:val="0"/>
                <w:color w:val="000000" w:themeColor="text1"/>
                <w:sz w:val="21"/>
                <w:szCs w:val="21"/>
                <w:highlight w:val="none"/>
                <w:lang w:val="en-US" w:eastAsia="zh-CN" w:bidi="ar"/>
                <w14:textFill>
                  <w14:solidFill>
                    <w14:schemeClr w14:val="tx1"/>
                  </w14:solidFill>
                </w14:textFill>
              </w:rPr>
              <w:t>03</w:t>
            </w: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w:t>
            </w:r>
            <w:r>
              <w:rPr>
                <w:rFonts w:hint="eastAsia" w:cs="Times New Roman"/>
                <w:b w:val="0"/>
                <w:bCs/>
                <w:strike w:val="0"/>
                <w:color w:val="000000" w:themeColor="text1"/>
                <w:sz w:val="21"/>
                <w:szCs w:val="21"/>
                <w:highlight w:val="none"/>
                <w:lang w:val="en-US" w:eastAsia="zh-CN" w:bidi="ar"/>
                <w14:textFill>
                  <w14:solidFill>
                    <w14:schemeClr w14:val="tx1"/>
                  </w14:solidFill>
                </w14:textFill>
              </w:rPr>
              <w:t>05</w:t>
            </w:r>
          </w:p>
        </w:tc>
        <w:tc>
          <w:tcPr>
            <w:tcW w:w="735" w:type="pct"/>
            <w:noWrap w:val="0"/>
            <w:vAlign w:val="center"/>
          </w:tcPr>
          <w:p w14:paraId="455D49A1">
            <w:pPr>
              <w:keepNext w:val="0"/>
              <w:keepLines w:val="0"/>
              <w:pageBreakBefore w:val="0"/>
              <w:wordWrap/>
              <w:overflowPunct/>
              <w:topLinePunct w:val="0"/>
              <w:bidi w:val="0"/>
              <w:adjustRightInd w:val="0"/>
              <w:snapToGrid w:val="0"/>
              <w:spacing w:line="360" w:lineRule="exact"/>
              <w:ind w:left="0" w:leftChars="0" w:firstLine="0" w:firstLineChars="0"/>
              <w:jc w:val="center"/>
              <w:rPr>
                <w:rFonts w:hint="default" w:ascii="Times New Roman" w:hAnsi="Times New Roman" w:eastAsia="宋体" w:cs="Times New Roman"/>
                <w:sz w:val="21"/>
                <w:szCs w:val="21"/>
                <w:lang w:val="en-US"/>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2026.</w:t>
            </w:r>
            <w:r>
              <w:rPr>
                <w:rFonts w:hint="eastAsia" w:cs="Times New Roman"/>
                <w:b w:val="0"/>
                <w:bCs/>
                <w:strike w:val="0"/>
                <w:color w:val="000000" w:themeColor="text1"/>
                <w:sz w:val="21"/>
                <w:szCs w:val="21"/>
                <w:highlight w:val="none"/>
                <w:lang w:val="en-US" w:eastAsia="zh-CN" w:bidi="ar"/>
                <w14:textFill>
                  <w14:solidFill>
                    <w14:schemeClr w14:val="tx1"/>
                  </w14:solidFill>
                </w14:textFill>
              </w:rPr>
              <w:t>03</w:t>
            </w: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w:t>
            </w:r>
            <w:r>
              <w:rPr>
                <w:rFonts w:hint="eastAsia" w:cs="Times New Roman"/>
                <w:b w:val="0"/>
                <w:bCs/>
                <w:strike w:val="0"/>
                <w:color w:val="000000" w:themeColor="text1"/>
                <w:sz w:val="21"/>
                <w:szCs w:val="21"/>
                <w:highlight w:val="none"/>
                <w:lang w:val="en-US" w:eastAsia="zh-CN" w:bidi="ar"/>
                <w14:textFill>
                  <w14:solidFill>
                    <w14:schemeClr w14:val="tx1"/>
                  </w14:solidFill>
                </w14:textFill>
              </w:rPr>
              <w:t>04</w:t>
            </w:r>
          </w:p>
        </w:tc>
        <w:tc>
          <w:tcPr>
            <w:tcW w:w="1325" w:type="pct"/>
            <w:noWrap w:val="0"/>
            <w:vAlign w:val="center"/>
          </w:tcPr>
          <w:p w14:paraId="4E8FED7D">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w:t>
            </w:r>
            <w:r>
              <w:rPr>
                <w:rFonts w:hint="eastAsia" w:ascii="Times New Roman" w:hAnsi="Times New Roman" w:eastAsia="宋体" w:cs="Times New Roman"/>
                <w:color w:val="auto"/>
                <w:sz w:val="21"/>
                <w:szCs w:val="21"/>
                <w:highlight w:val="none"/>
                <w:lang w:val="en-US" w:eastAsia="zh-CN"/>
              </w:rPr>
              <w:t>晴</w:t>
            </w:r>
          </w:p>
          <w:p w14:paraId="45165DD1">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温度：</w:t>
            </w:r>
            <w:r>
              <w:rPr>
                <w:rFonts w:hint="eastAsia" w:ascii="Times New Roman" w:hAnsi="Times New Roman" w:eastAsia="宋体" w:cs="Times New Roman"/>
                <w:b w:val="0"/>
                <w:bCs/>
                <w:color w:val="auto"/>
                <w:kern w:val="2"/>
                <w:sz w:val="21"/>
                <w:szCs w:val="21"/>
                <w:highlight w:val="none"/>
                <w:lang w:val="en-US" w:eastAsia="zh-CN" w:bidi="ar-SA"/>
              </w:rPr>
              <w:t>18.4</w:t>
            </w:r>
            <w:r>
              <w:rPr>
                <w:rFonts w:hint="default" w:ascii="Times New Roman" w:hAnsi="Times New Roman" w:eastAsia="宋体" w:cs="Times New Roman"/>
                <w:b w:val="0"/>
                <w:bCs/>
                <w:color w:val="auto"/>
                <w:kern w:val="2"/>
                <w:sz w:val="21"/>
                <w:szCs w:val="21"/>
                <w:highlight w:val="none"/>
                <w:lang w:val="en-US" w:eastAsia="zh-CN" w:bidi="ar-SA"/>
              </w:rPr>
              <w:t>℃</w:t>
            </w:r>
          </w:p>
          <w:p w14:paraId="5AE70E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color w:val="auto"/>
                <w:kern w:val="2"/>
                <w:sz w:val="21"/>
                <w:szCs w:val="21"/>
                <w:highlight w:val="none"/>
                <w:lang w:val="en-US" w:eastAsia="zh-CN" w:bidi="ar-SA"/>
              </w:rPr>
              <w:t>湿度</w:t>
            </w:r>
            <w:r>
              <w:rPr>
                <w:rFonts w:hint="eastAsia" w:ascii="Times New Roman" w:hAnsi="Times New Roman" w:eastAsia="宋体" w:cs="Times New Roman"/>
                <w:b w:val="0"/>
                <w:bCs/>
                <w:color w:val="auto"/>
                <w:kern w:val="2"/>
                <w:sz w:val="21"/>
                <w:szCs w:val="21"/>
                <w:highlight w:val="none"/>
                <w:lang w:val="en-US" w:eastAsia="zh-CN" w:bidi="ar-SA"/>
              </w:rPr>
              <w:t>：28</w:t>
            </w:r>
            <w:r>
              <w:rPr>
                <w:rFonts w:hint="default" w:ascii="Times New Roman" w:hAnsi="Times New Roman" w:eastAsia="宋体" w:cs="Times New Roman"/>
                <w:b w:val="0"/>
                <w:bCs/>
                <w:color w:val="auto"/>
                <w:kern w:val="2"/>
                <w:sz w:val="21"/>
                <w:szCs w:val="21"/>
                <w:highlight w:val="none"/>
                <w:lang w:val="en-US" w:eastAsia="zh-CN" w:bidi="ar-SA"/>
              </w:rPr>
              <w:t>%RH</w:t>
            </w:r>
          </w:p>
        </w:tc>
      </w:tr>
      <w:tr w14:paraId="1F4E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702" w:type="pct"/>
            <w:noWrap w:val="0"/>
            <w:vAlign w:val="center"/>
          </w:tcPr>
          <w:p w14:paraId="5E013C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升压站及其他</w:t>
            </w:r>
          </w:p>
        </w:tc>
        <w:tc>
          <w:tcPr>
            <w:tcW w:w="1440" w:type="pct"/>
            <w:noWrap w:val="0"/>
            <w:vAlign w:val="center"/>
          </w:tcPr>
          <w:p w14:paraId="1A1DD1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BHYT2010B智能场强仪</w:t>
            </w:r>
          </w:p>
          <w:p w14:paraId="61DEEB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编号：XSJS/YQ-163-1</w:t>
            </w:r>
          </w:p>
        </w:tc>
        <w:tc>
          <w:tcPr>
            <w:tcW w:w="795" w:type="pct"/>
            <w:noWrap w:val="0"/>
            <w:vAlign w:val="center"/>
          </w:tcPr>
          <w:p w14:paraId="223202DF">
            <w:pPr>
              <w:keepNext w:val="0"/>
              <w:keepLines w:val="0"/>
              <w:pageBreakBefore w:val="0"/>
              <w:wordWrap/>
              <w:overflowPunct/>
              <w:topLinePunct w:val="0"/>
              <w:bidi w:val="0"/>
              <w:adjustRightInd w:val="0"/>
              <w:snapToGrid w:val="0"/>
              <w:spacing w:line="360" w:lineRule="exact"/>
              <w:ind w:left="0" w:leftChars="0" w:firstLine="0" w:firstLineChars="0"/>
              <w:jc w:val="cente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2025.</w:t>
            </w:r>
            <w:r>
              <w:rPr>
                <w:rFonts w:hint="eastAsia" w:cs="Times New Roman"/>
                <w:b w:val="0"/>
                <w:bCs/>
                <w:strike w:val="0"/>
                <w:color w:val="000000" w:themeColor="text1"/>
                <w:sz w:val="21"/>
                <w:szCs w:val="21"/>
                <w:highlight w:val="none"/>
                <w:lang w:val="en-US" w:eastAsia="zh-CN" w:bidi="ar"/>
                <w14:textFill>
                  <w14:solidFill>
                    <w14:schemeClr w14:val="tx1"/>
                  </w14:solidFill>
                </w14:textFill>
              </w:rPr>
              <w:t>0</w:t>
            </w: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1.16</w:t>
            </w:r>
          </w:p>
        </w:tc>
        <w:tc>
          <w:tcPr>
            <w:tcW w:w="735" w:type="pct"/>
            <w:noWrap w:val="0"/>
            <w:vAlign w:val="center"/>
          </w:tcPr>
          <w:p w14:paraId="01E17A03">
            <w:pPr>
              <w:keepNext w:val="0"/>
              <w:keepLines w:val="0"/>
              <w:pageBreakBefore w:val="0"/>
              <w:wordWrap/>
              <w:overflowPunct/>
              <w:topLinePunct w:val="0"/>
              <w:bidi w:val="0"/>
              <w:adjustRightInd w:val="0"/>
              <w:snapToGrid w:val="0"/>
              <w:spacing w:line="360" w:lineRule="exact"/>
              <w:ind w:left="0" w:leftChars="0" w:firstLine="0" w:firstLineChars="0"/>
              <w:jc w:val="cente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2026.</w:t>
            </w:r>
            <w:r>
              <w:rPr>
                <w:rFonts w:hint="eastAsia" w:cs="Times New Roman"/>
                <w:b w:val="0"/>
                <w:bCs/>
                <w:strike w:val="0"/>
                <w:color w:val="000000" w:themeColor="text1"/>
                <w:sz w:val="21"/>
                <w:szCs w:val="21"/>
                <w:highlight w:val="none"/>
                <w:lang w:val="en-US" w:eastAsia="zh-CN" w:bidi="ar"/>
                <w14:textFill>
                  <w14:solidFill>
                    <w14:schemeClr w14:val="tx1"/>
                  </w14:solidFill>
                </w14:textFill>
              </w:rPr>
              <w:t>0</w:t>
            </w:r>
            <w:r>
              <w:rPr>
                <w:rFonts w:hint="eastAsia" w:ascii="Times New Roman" w:hAnsi="Times New Roman" w:eastAsia="宋体" w:cs="Times New Roman"/>
                <w:b w:val="0"/>
                <w:bCs/>
                <w:strike w:val="0"/>
                <w:color w:val="000000" w:themeColor="text1"/>
                <w:sz w:val="21"/>
                <w:szCs w:val="21"/>
                <w:highlight w:val="none"/>
                <w:lang w:val="en-US" w:eastAsia="zh-CN" w:bidi="ar"/>
                <w14:textFill>
                  <w14:solidFill>
                    <w14:schemeClr w14:val="tx1"/>
                  </w14:solidFill>
                </w14:textFill>
              </w:rPr>
              <w:t>1.15</w:t>
            </w:r>
          </w:p>
        </w:tc>
        <w:tc>
          <w:tcPr>
            <w:tcW w:w="1325" w:type="pct"/>
            <w:noWrap w:val="0"/>
            <w:vAlign w:val="center"/>
          </w:tcPr>
          <w:p w14:paraId="5DD46810">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天气</w:t>
            </w:r>
            <w:r>
              <w:rPr>
                <w:rFonts w:hint="eastAsia" w:ascii="Times New Roman" w:hAnsi="Times New Roman" w:eastAsia="宋体" w:cs="Times New Roman"/>
                <w:color w:val="auto"/>
                <w:sz w:val="21"/>
                <w:szCs w:val="21"/>
                <w:highlight w:val="none"/>
                <w:lang w:val="en-US" w:eastAsia="zh-CN"/>
              </w:rPr>
              <w:t>晴</w:t>
            </w:r>
          </w:p>
          <w:p w14:paraId="404F1565">
            <w:pPr>
              <w:keepNext w:val="0"/>
              <w:keepLines w:val="0"/>
              <w:pageBreakBefore w:val="0"/>
              <w:widowControl w:val="0"/>
              <w:suppressLineNumbers w:val="0"/>
              <w:tabs>
                <w:tab w:val="center" w:pos="4153"/>
                <w:tab w:val="left" w:pos="675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温度：</w:t>
            </w:r>
            <w:r>
              <w:rPr>
                <w:rFonts w:hint="eastAsia" w:cs="Times New Roman"/>
                <w:b w:val="0"/>
                <w:bCs/>
                <w:color w:val="auto"/>
                <w:kern w:val="2"/>
                <w:sz w:val="21"/>
                <w:szCs w:val="21"/>
                <w:highlight w:val="none"/>
                <w:lang w:val="en-US" w:eastAsia="zh-CN" w:bidi="ar-SA"/>
              </w:rPr>
              <w:t>26.1</w:t>
            </w:r>
            <w:r>
              <w:rPr>
                <w:rFonts w:hint="default" w:ascii="Times New Roman" w:hAnsi="Times New Roman" w:eastAsia="宋体" w:cs="Times New Roman"/>
                <w:b w:val="0"/>
                <w:bCs/>
                <w:color w:val="auto"/>
                <w:kern w:val="2"/>
                <w:sz w:val="21"/>
                <w:szCs w:val="21"/>
                <w:highlight w:val="none"/>
                <w:lang w:val="en-US" w:eastAsia="zh-CN" w:bidi="ar-SA"/>
              </w:rPr>
              <w:t>℃</w:t>
            </w:r>
          </w:p>
          <w:p w14:paraId="5D3571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湿度</w:t>
            </w:r>
            <w:r>
              <w:rPr>
                <w:rFonts w:hint="eastAsia" w:ascii="Times New Roman" w:hAnsi="Times New Roman" w:eastAsia="宋体" w:cs="Times New Roman"/>
                <w:b w:val="0"/>
                <w:bCs/>
                <w:color w:val="auto"/>
                <w:kern w:val="2"/>
                <w:sz w:val="21"/>
                <w:szCs w:val="21"/>
                <w:highlight w:val="none"/>
                <w:lang w:val="en-US" w:eastAsia="zh-CN" w:bidi="ar-SA"/>
              </w:rPr>
              <w:t>：</w:t>
            </w:r>
            <w:r>
              <w:rPr>
                <w:rFonts w:hint="eastAsia" w:cs="Times New Roman"/>
                <w:b w:val="0"/>
                <w:bCs/>
                <w:color w:val="auto"/>
                <w:kern w:val="2"/>
                <w:sz w:val="21"/>
                <w:szCs w:val="21"/>
                <w:highlight w:val="none"/>
                <w:lang w:val="en-US" w:eastAsia="zh-CN" w:bidi="ar-SA"/>
              </w:rPr>
              <w:t>18</w:t>
            </w:r>
            <w:r>
              <w:rPr>
                <w:rFonts w:hint="default" w:ascii="Times New Roman" w:hAnsi="Times New Roman" w:eastAsia="宋体" w:cs="Times New Roman"/>
                <w:b w:val="0"/>
                <w:bCs/>
                <w:color w:val="auto"/>
                <w:kern w:val="2"/>
                <w:sz w:val="21"/>
                <w:szCs w:val="21"/>
                <w:highlight w:val="none"/>
                <w:lang w:val="en-US" w:eastAsia="zh-CN" w:bidi="ar-SA"/>
              </w:rPr>
              <w:t>%RH</w:t>
            </w:r>
          </w:p>
        </w:tc>
      </w:tr>
    </w:tbl>
    <w:p w14:paraId="5FA5606E">
      <w:pPr>
        <w:keepNext w:val="0"/>
        <w:keepLines w:val="0"/>
        <w:pageBreakBefore w:val="0"/>
        <w:widowControl w:val="0"/>
        <w:kinsoku/>
        <w:wordWrap/>
        <w:overflowPunct/>
        <w:topLinePunct w:val="0"/>
        <w:autoSpaceDE/>
        <w:autoSpaceDN/>
        <w:bidi w:val="0"/>
        <w:adjustRightInd w:val="0"/>
        <w:snapToGrid w:val="0"/>
        <w:spacing w:line="240" w:lineRule="exact"/>
        <w:ind w:firstLine="480" w:firstLineChars="200"/>
        <w:textAlignment w:val="auto"/>
        <w:rPr>
          <w:rFonts w:hint="eastAsia" w:ascii="宋体" w:hAnsi="宋体"/>
          <w:color w:val="000000"/>
          <w:sz w:val="24"/>
          <w:highlight w:val="none"/>
        </w:rPr>
      </w:pPr>
    </w:p>
    <w:p w14:paraId="16D59DB4">
      <w:pPr>
        <w:pStyle w:val="4"/>
        <w:adjustRightInd w:val="0"/>
        <w:snapToGrid w:val="0"/>
        <w:spacing w:before="0" w:beforeLines="0" w:after="0" w:afterLines="0"/>
        <w:ind w:left="0" w:leftChars="0" w:firstLine="0" w:firstLineChars="0"/>
        <w:rPr>
          <w:rFonts w:hint="eastAsia" w:ascii="Times New Roman" w:hAnsi="Times New Roman" w:eastAsia="宋体" w:cs="Times New Roman"/>
          <w:b/>
          <w:bCs w:val="0"/>
          <w:color w:val="000000"/>
          <w:kern w:val="0"/>
          <w:sz w:val="24"/>
          <w:szCs w:val="24"/>
          <w:lang w:val="en-US" w:eastAsia="zh-CN" w:bidi="ar-SA"/>
        </w:rPr>
      </w:pPr>
      <w:bookmarkStart w:id="64" w:name="_Toc1591"/>
      <w:r>
        <w:rPr>
          <w:rFonts w:hint="eastAsia" w:eastAsia="宋体" w:cs="Times New Roman"/>
          <w:b/>
          <w:bCs w:val="0"/>
          <w:color w:val="000000"/>
          <w:kern w:val="0"/>
          <w:sz w:val="24"/>
          <w:szCs w:val="24"/>
          <w:lang w:val="en-US" w:eastAsia="zh-CN" w:bidi="ar-SA"/>
        </w:rPr>
        <w:t>2</w:t>
      </w:r>
      <w:r>
        <w:rPr>
          <w:rFonts w:hint="eastAsia" w:ascii="Times New Roman" w:hAnsi="Times New Roman" w:eastAsia="宋体" w:cs="Times New Roman"/>
          <w:b/>
          <w:bCs w:val="0"/>
          <w:color w:val="000000"/>
          <w:kern w:val="0"/>
          <w:sz w:val="24"/>
          <w:szCs w:val="24"/>
          <w:lang w:val="en-US" w:eastAsia="zh-CN" w:bidi="ar-SA"/>
        </w:rPr>
        <w:t>.5监测结果</w:t>
      </w:r>
      <w:bookmarkEnd w:id="64"/>
    </w:p>
    <w:p w14:paraId="181829A3">
      <w:pPr>
        <w:adjustRightInd w:val="0"/>
        <w:snapToGrid w:val="0"/>
        <w:spacing w:line="360" w:lineRule="auto"/>
        <w:ind w:firstLine="480" w:firstLineChars="200"/>
        <w:rPr>
          <w:rFonts w:hint="eastAsia" w:ascii="Times New Roman" w:hAnsi="Times New Roman"/>
          <w:color w:val="000000"/>
          <w:sz w:val="24"/>
          <w:highlight w:val="none"/>
        </w:rPr>
      </w:pPr>
      <w:r>
        <w:rPr>
          <w:rFonts w:hint="eastAsia" w:ascii="Times New Roman" w:hAnsi="Times New Roman" w:cs="Times New Roman"/>
          <w:color w:val="000000" w:themeColor="text1"/>
          <w:sz w:val="24"/>
          <w:szCs w:val="24"/>
          <w:lang w:val="en-US" w:eastAsia="zh-CN"/>
          <w14:textFill>
            <w14:solidFill>
              <w14:schemeClr w14:val="tx1"/>
            </w14:solidFill>
          </w14:textFill>
        </w:rPr>
        <w:t>本工程已建成且</w:t>
      </w:r>
      <w:r>
        <w:rPr>
          <w:rFonts w:hint="eastAsia" w:cs="Times New Roman"/>
          <w:color w:val="000000" w:themeColor="text1"/>
          <w:sz w:val="24"/>
          <w:szCs w:val="24"/>
          <w:lang w:val="en-US" w:eastAsia="zh-CN"/>
          <w14:textFill>
            <w14:solidFill>
              <w14:schemeClr w14:val="tx1"/>
            </w14:solidFill>
          </w14:textFill>
        </w:rPr>
        <w:t>正常</w:t>
      </w:r>
      <w:r>
        <w:rPr>
          <w:rFonts w:hint="eastAsia" w:ascii="Times New Roman" w:hAnsi="Times New Roman" w:cs="Times New Roman"/>
          <w:color w:val="000000" w:themeColor="text1"/>
          <w:sz w:val="24"/>
          <w:szCs w:val="24"/>
          <w:lang w:val="en-US" w:eastAsia="zh-CN"/>
          <w14:textFill>
            <w14:solidFill>
              <w14:schemeClr w14:val="tx1"/>
            </w14:solidFill>
          </w14:textFill>
        </w:rPr>
        <w:t>运行，产生的</w:t>
      </w:r>
      <w:r>
        <w:rPr>
          <w:rFonts w:hint="eastAsia" w:cs="Times New Roman"/>
          <w:color w:val="000000" w:themeColor="text1"/>
          <w:sz w:val="24"/>
          <w:szCs w:val="24"/>
          <w:lang w:val="en-US" w:eastAsia="zh-CN"/>
          <w14:textFill>
            <w14:solidFill>
              <w14:schemeClr w14:val="tx1"/>
            </w14:solidFill>
          </w14:textFill>
        </w:rPr>
        <w:t>电磁</w:t>
      </w:r>
      <w:r>
        <w:rPr>
          <w:rFonts w:hint="eastAsia" w:ascii="Times New Roman" w:hAnsi="Times New Roman" w:cs="Times New Roman"/>
          <w:color w:val="000000" w:themeColor="text1"/>
          <w:sz w:val="24"/>
          <w:szCs w:val="24"/>
          <w:lang w:val="en-US" w:eastAsia="zh-CN"/>
          <w14:textFill>
            <w14:solidFill>
              <w14:schemeClr w14:val="tx1"/>
            </w14:solidFill>
          </w14:textFill>
        </w:rPr>
        <w:t>环境影响已基本全部显现，故利用现状监测的实测值对电磁环境影响进行分析</w:t>
      </w:r>
      <w:r>
        <w:rPr>
          <w:rFonts w:hint="eastAsia" w:cs="Times New Roman"/>
          <w:color w:val="000000" w:themeColor="text1"/>
          <w:sz w:val="24"/>
          <w:szCs w:val="24"/>
          <w:lang w:val="en-US" w:eastAsia="zh-CN"/>
          <w14:textFill>
            <w14:solidFill>
              <w14:schemeClr w14:val="tx1"/>
            </w14:solidFill>
          </w14:textFill>
        </w:rPr>
        <w:t>。</w:t>
      </w:r>
      <w:r>
        <w:rPr>
          <w:rFonts w:hint="eastAsia" w:ascii="宋体" w:hAnsi="宋体"/>
          <w:color w:val="000000"/>
          <w:sz w:val="24"/>
          <w:highlight w:val="none"/>
        </w:rPr>
        <w:t>监</w:t>
      </w:r>
      <w:r>
        <w:rPr>
          <w:rFonts w:hint="eastAsia" w:ascii="Times New Roman" w:hAnsi="Times New Roman"/>
          <w:color w:val="000000"/>
          <w:sz w:val="24"/>
          <w:highlight w:val="none"/>
        </w:rPr>
        <w:t>测结果，见</w:t>
      </w:r>
      <w:r>
        <w:rPr>
          <w:rFonts w:hint="eastAsia" w:ascii="Times New Roman" w:hAnsi="Times New Roman"/>
          <w:color w:val="000000"/>
          <w:sz w:val="24"/>
          <w:highlight w:val="none"/>
          <w:lang w:val="en-US" w:eastAsia="zh-CN"/>
        </w:rPr>
        <w:t>下</w:t>
      </w:r>
      <w:r>
        <w:rPr>
          <w:rFonts w:hint="eastAsia" w:ascii="Times New Roman" w:hAnsi="Times New Roman"/>
          <w:color w:val="000000"/>
          <w:sz w:val="24"/>
          <w:highlight w:val="none"/>
        </w:rPr>
        <w:t>表。</w:t>
      </w:r>
    </w:p>
    <w:p w14:paraId="67842C49">
      <w:pPr>
        <w:adjustRightInd w:val="0"/>
        <w:snapToGrid w:val="0"/>
        <w:ind w:left="0" w:leftChars="0" w:firstLine="0" w:firstLineChars="0"/>
        <w:jc w:val="center"/>
        <w:rPr>
          <w:rFonts w:hint="eastAsia" w:ascii="宋体" w:hAnsi="宋体"/>
          <w:b/>
          <w:bCs/>
          <w:color w:val="000000"/>
          <w:sz w:val="24"/>
          <w:highlight w:val="none"/>
        </w:rPr>
      </w:pPr>
      <w:r>
        <w:rPr>
          <w:rFonts w:hint="eastAsia" w:ascii="Times New Roman" w:hAnsi="Times New Roman"/>
          <w:b/>
          <w:bCs/>
          <w:color w:val="000000"/>
          <w:sz w:val="24"/>
          <w:highlight w:val="none"/>
        </w:rPr>
        <w:t>表</w:t>
      </w:r>
      <w:r>
        <w:rPr>
          <w:rFonts w:hint="eastAsia"/>
          <w:b/>
          <w:bCs/>
          <w:color w:val="000000"/>
          <w:sz w:val="24"/>
          <w:highlight w:val="none"/>
          <w:lang w:val="en-US" w:eastAsia="zh-CN"/>
        </w:rPr>
        <w:t>2</w:t>
      </w:r>
      <w:r>
        <w:rPr>
          <w:rFonts w:hint="eastAsia" w:ascii="Times New Roman" w:hAnsi="Times New Roman"/>
          <w:b/>
          <w:bCs/>
          <w:color w:val="000000"/>
          <w:sz w:val="24"/>
          <w:highlight w:val="none"/>
          <w:lang w:val="en-US" w:eastAsia="zh-CN"/>
        </w:rPr>
        <w:t>.5-1</w:t>
      </w:r>
      <w:r>
        <w:rPr>
          <w:rFonts w:hint="eastAsia"/>
          <w:b/>
          <w:bCs/>
          <w:color w:val="000000"/>
          <w:sz w:val="24"/>
          <w:highlight w:val="none"/>
          <w:lang w:val="en-US" w:eastAsia="zh-CN"/>
        </w:rPr>
        <w:t xml:space="preserve"> </w:t>
      </w:r>
      <w:r>
        <w:rPr>
          <w:rFonts w:hint="eastAsia" w:ascii="宋体" w:hAnsi="宋体"/>
          <w:b/>
          <w:bCs/>
          <w:color w:val="000000"/>
          <w:sz w:val="24"/>
          <w:highlight w:val="none"/>
        </w:rPr>
        <w:t>电磁现状监测结果</w:t>
      </w:r>
    </w:p>
    <w:tbl>
      <w:tblPr>
        <w:tblStyle w:val="116"/>
        <w:tblW w:w="51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1"/>
        <w:gridCol w:w="3497"/>
        <w:gridCol w:w="2101"/>
        <w:gridCol w:w="2342"/>
      </w:tblGrid>
      <w:tr w14:paraId="0AB5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548" w:type="pct"/>
            <w:gridSpan w:val="2"/>
            <w:noWrap w:val="0"/>
            <w:vAlign w:val="center"/>
          </w:tcPr>
          <w:p w14:paraId="1BEB45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tc>
        <w:tc>
          <w:tcPr>
            <w:tcW w:w="1159" w:type="pct"/>
            <w:vMerge w:val="restart"/>
            <w:noWrap w:val="0"/>
            <w:vAlign w:val="center"/>
          </w:tcPr>
          <w:p w14:paraId="06C04E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工频电场强度</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m</w:t>
            </w:r>
          </w:p>
        </w:tc>
        <w:tc>
          <w:tcPr>
            <w:tcW w:w="1292" w:type="pct"/>
            <w:vMerge w:val="restart"/>
            <w:noWrap w:val="0"/>
            <w:vAlign w:val="center"/>
          </w:tcPr>
          <w:p w14:paraId="19B6D5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工频磁感应强度（μT）</w:t>
            </w:r>
          </w:p>
        </w:tc>
      </w:tr>
      <w:tr w14:paraId="2EE7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noWrap w:val="0"/>
            <w:vAlign w:val="center"/>
          </w:tcPr>
          <w:p w14:paraId="3EF644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名称</w:t>
            </w:r>
          </w:p>
        </w:tc>
        <w:tc>
          <w:tcPr>
            <w:tcW w:w="1928" w:type="pct"/>
            <w:noWrap w:val="0"/>
            <w:vAlign w:val="center"/>
          </w:tcPr>
          <w:p w14:paraId="5A59FF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监测点位置</w:t>
            </w:r>
          </w:p>
        </w:tc>
        <w:tc>
          <w:tcPr>
            <w:tcW w:w="1159" w:type="pct"/>
            <w:vMerge w:val="continue"/>
            <w:noWrap w:val="0"/>
            <w:vAlign w:val="center"/>
          </w:tcPr>
          <w:p w14:paraId="089D42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292" w:type="pct"/>
            <w:vMerge w:val="continue"/>
            <w:noWrap w:val="0"/>
            <w:vAlign w:val="center"/>
          </w:tcPr>
          <w:p w14:paraId="54473F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r>
      <w:tr w14:paraId="4AA7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restart"/>
            <w:noWrap w:val="0"/>
            <w:vAlign w:val="center"/>
          </w:tcPr>
          <w:p w14:paraId="30E594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线路</w:t>
            </w:r>
            <w:r>
              <w:rPr>
                <w:rFonts w:hint="eastAsia" w:ascii="Times New Roman" w:hAnsi="Times New Roman" w:eastAsia="宋体" w:cs="Times New Roman"/>
                <w:color w:val="auto"/>
                <w:sz w:val="21"/>
                <w:szCs w:val="21"/>
                <w:highlight w:val="none"/>
                <w:lang w:val="en-US" w:eastAsia="zh-CN"/>
              </w:rPr>
              <w:t>电磁</w:t>
            </w:r>
            <w:r>
              <w:rPr>
                <w:rFonts w:hint="default" w:ascii="Times New Roman" w:hAnsi="Times New Roman" w:eastAsia="宋体" w:cs="Times New Roman"/>
                <w:color w:val="auto"/>
                <w:sz w:val="21"/>
                <w:szCs w:val="21"/>
                <w:highlight w:val="none"/>
                <w:lang w:val="en-US" w:eastAsia="zh-CN"/>
              </w:rPr>
              <w:t>监测断面</w:t>
            </w:r>
          </w:p>
          <w:p w14:paraId="4A2B56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42D6B1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w:t>
            </w:r>
          </w:p>
        </w:tc>
        <w:tc>
          <w:tcPr>
            <w:tcW w:w="2101" w:type="dxa"/>
            <w:noWrap w:val="0"/>
            <w:vAlign w:val="center"/>
          </w:tcPr>
          <w:p w14:paraId="2A4852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4D5A20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249C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7E7448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DF31F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输电线路中垂线正下方1m</w:t>
            </w:r>
          </w:p>
        </w:tc>
        <w:tc>
          <w:tcPr>
            <w:tcW w:w="2101" w:type="dxa"/>
            <w:noWrap w:val="0"/>
            <w:vAlign w:val="center"/>
          </w:tcPr>
          <w:p w14:paraId="05C6AF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44BDC6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220C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1AB02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01FFA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输电线路中垂线正下方2m</w:t>
            </w:r>
          </w:p>
        </w:tc>
        <w:tc>
          <w:tcPr>
            <w:tcW w:w="2101" w:type="dxa"/>
            <w:noWrap w:val="0"/>
            <w:vAlign w:val="center"/>
          </w:tcPr>
          <w:p w14:paraId="365EA7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12D7A6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799C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048DAD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57C33C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m</w:t>
            </w:r>
          </w:p>
        </w:tc>
        <w:tc>
          <w:tcPr>
            <w:tcW w:w="2101" w:type="dxa"/>
            <w:noWrap w:val="0"/>
            <w:vAlign w:val="center"/>
          </w:tcPr>
          <w:p w14:paraId="094635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342" w:type="dxa"/>
            <w:noWrap w:val="0"/>
            <w:vAlign w:val="center"/>
          </w:tcPr>
          <w:p w14:paraId="1BE093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6B7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74E3EA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21394C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w:t>
            </w:r>
          </w:p>
        </w:tc>
        <w:tc>
          <w:tcPr>
            <w:tcW w:w="2101" w:type="dxa"/>
            <w:noWrap w:val="0"/>
            <w:vAlign w:val="center"/>
          </w:tcPr>
          <w:p w14:paraId="76BB7D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2980DF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BFF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39CDEC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4285FD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输电线路边导线正下方1m</w:t>
            </w:r>
          </w:p>
        </w:tc>
        <w:tc>
          <w:tcPr>
            <w:tcW w:w="2101" w:type="dxa"/>
            <w:noWrap w:val="0"/>
            <w:vAlign w:val="center"/>
          </w:tcPr>
          <w:p w14:paraId="5D6C29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284CC7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301E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18F097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524A75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输电线路边导线正下方2m</w:t>
            </w:r>
          </w:p>
        </w:tc>
        <w:tc>
          <w:tcPr>
            <w:tcW w:w="2101" w:type="dxa"/>
            <w:noWrap w:val="0"/>
            <w:vAlign w:val="center"/>
          </w:tcPr>
          <w:p w14:paraId="4F2183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3DD739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64F1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596D84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5199CE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输电线路边导线正下方3m</w:t>
            </w:r>
          </w:p>
        </w:tc>
        <w:tc>
          <w:tcPr>
            <w:tcW w:w="2101" w:type="dxa"/>
            <w:noWrap w:val="0"/>
            <w:vAlign w:val="center"/>
          </w:tcPr>
          <w:p w14:paraId="1CD60D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5962D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1C2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2A03A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77E31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输电线路边导线正下方4m</w:t>
            </w:r>
          </w:p>
        </w:tc>
        <w:tc>
          <w:tcPr>
            <w:tcW w:w="2101" w:type="dxa"/>
            <w:noWrap w:val="0"/>
            <w:vAlign w:val="center"/>
          </w:tcPr>
          <w:p w14:paraId="13C945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532BFA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7CB6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087308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7C674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输电线路边导线正下方5m</w:t>
            </w:r>
          </w:p>
        </w:tc>
        <w:tc>
          <w:tcPr>
            <w:tcW w:w="2101" w:type="dxa"/>
            <w:noWrap w:val="0"/>
            <w:vAlign w:val="center"/>
          </w:tcPr>
          <w:p w14:paraId="16637C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93B4F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7093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7B5760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57500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输电线路边导线正下方10m</w:t>
            </w:r>
          </w:p>
        </w:tc>
        <w:tc>
          <w:tcPr>
            <w:tcW w:w="2101" w:type="dxa"/>
            <w:noWrap w:val="0"/>
            <w:vAlign w:val="center"/>
          </w:tcPr>
          <w:p w14:paraId="7DA2B6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48ECCE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198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54CFE6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9D030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输电线路边导线正下方15m</w:t>
            </w:r>
          </w:p>
        </w:tc>
        <w:tc>
          <w:tcPr>
            <w:tcW w:w="2101" w:type="dxa"/>
            <w:noWrap w:val="0"/>
            <w:vAlign w:val="center"/>
          </w:tcPr>
          <w:p w14:paraId="0F9078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41E714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7D1D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4F131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09E386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输电线路边导线正下方20m</w:t>
            </w:r>
          </w:p>
        </w:tc>
        <w:tc>
          <w:tcPr>
            <w:tcW w:w="2101" w:type="dxa"/>
            <w:noWrap w:val="0"/>
            <w:vAlign w:val="center"/>
          </w:tcPr>
          <w:p w14:paraId="38FED6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19FCAB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355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72BF3B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09B7D3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输电线路边导线正下方25m</w:t>
            </w:r>
          </w:p>
        </w:tc>
        <w:tc>
          <w:tcPr>
            <w:tcW w:w="2101" w:type="dxa"/>
            <w:noWrap w:val="0"/>
            <w:vAlign w:val="center"/>
          </w:tcPr>
          <w:p w14:paraId="5C7CB4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12EAC2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969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35AB7A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8CB5C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输电线路边导线正下方30m</w:t>
            </w:r>
          </w:p>
        </w:tc>
        <w:tc>
          <w:tcPr>
            <w:tcW w:w="2101" w:type="dxa"/>
            <w:noWrap w:val="0"/>
            <w:vAlign w:val="center"/>
          </w:tcPr>
          <w:p w14:paraId="4EFEAF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5DF9A1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16D8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67BDF6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379013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输电线路边导线正下方35m</w:t>
            </w:r>
          </w:p>
        </w:tc>
        <w:tc>
          <w:tcPr>
            <w:tcW w:w="2101" w:type="dxa"/>
            <w:noWrap w:val="0"/>
            <w:vAlign w:val="center"/>
          </w:tcPr>
          <w:p w14:paraId="615ACF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0AB7D7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ED6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1D0EF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4C3E54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输电线路边导线正下方40m</w:t>
            </w:r>
          </w:p>
        </w:tc>
        <w:tc>
          <w:tcPr>
            <w:tcW w:w="2101" w:type="dxa"/>
            <w:noWrap w:val="0"/>
            <w:vAlign w:val="center"/>
          </w:tcPr>
          <w:p w14:paraId="21F104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83F92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E57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71B0D9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60C62F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输电线路边导线正下方45m</w:t>
            </w:r>
          </w:p>
        </w:tc>
        <w:tc>
          <w:tcPr>
            <w:tcW w:w="2101" w:type="dxa"/>
            <w:noWrap w:val="0"/>
            <w:vAlign w:val="center"/>
          </w:tcPr>
          <w:p w14:paraId="7B4AA7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F0A78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C87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7344EC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577B0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输电线路边导线正下方50m</w:t>
            </w:r>
          </w:p>
        </w:tc>
        <w:tc>
          <w:tcPr>
            <w:tcW w:w="2101" w:type="dxa"/>
            <w:noWrap w:val="0"/>
            <w:vAlign w:val="center"/>
          </w:tcPr>
          <w:p w14:paraId="3DA4E7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342" w:type="dxa"/>
            <w:noWrap w:val="0"/>
            <w:vAlign w:val="center"/>
          </w:tcPr>
          <w:p w14:paraId="55EBB5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r>
      <w:tr w14:paraId="4BE2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restart"/>
            <w:noWrap w:val="0"/>
            <w:vAlign w:val="center"/>
          </w:tcPr>
          <w:p w14:paraId="37A22A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线路电磁</w:t>
            </w:r>
            <w:r>
              <w:rPr>
                <w:rFonts w:hint="default" w:ascii="Times New Roman" w:hAnsi="Times New Roman" w:eastAsia="宋体" w:cs="Times New Roman"/>
                <w:color w:val="auto"/>
                <w:sz w:val="21"/>
                <w:szCs w:val="21"/>
                <w:highlight w:val="none"/>
                <w:lang w:val="en-US" w:eastAsia="zh-CN"/>
              </w:rPr>
              <w:t>监测断面</w:t>
            </w:r>
          </w:p>
        </w:tc>
        <w:tc>
          <w:tcPr>
            <w:tcW w:w="1928" w:type="pct"/>
            <w:noWrap w:val="0"/>
            <w:vAlign w:val="center"/>
          </w:tcPr>
          <w:p w14:paraId="6DE86C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w:t>
            </w:r>
          </w:p>
        </w:tc>
        <w:tc>
          <w:tcPr>
            <w:tcW w:w="2101" w:type="dxa"/>
            <w:noWrap w:val="0"/>
            <w:vAlign w:val="center"/>
          </w:tcPr>
          <w:p w14:paraId="59ECB3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4DD8E3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AD0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4443E1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62CC66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输电线路中垂线正下方1m</w:t>
            </w:r>
          </w:p>
        </w:tc>
        <w:tc>
          <w:tcPr>
            <w:tcW w:w="2101" w:type="dxa"/>
            <w:noWrap w:val="0"/>
            <w:vAlign w:val="center"/>
          </w:tcPr>
          <w:p w14:paraId="15CAB1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00159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5695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B913F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219B94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输电线路中垂线正下方2m</w:t>
            </w:r>
          </w:p>
        </w:tc>
        <w:tc>
          <w:tcPr>
            <w:tcW w:w="2101" w:type="dxa"/>
            <w:noWrap w:val="0"/>
            <w:vAlign w:val="center"/>
          </w:tcPr>
          <w:p w14:paraId="7E8275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3AB41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628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3BF8D1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32CB4C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输电线路中垂线正下方3m</w:t>
            </w:r>
          </w:p>
        </w:tc>
        <w:tc>
          <w:tcPr>
            <w:tcW w:w="2101" w:type="dxa"/>
            <w:noWrap w:val="0"/>
            <w:vAlign w:val="center"/>
          </w:tcPr>
          <w:p w14:paraId="3E1F42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02EE9D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074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4F7C29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2C83F3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w:t>
            </w:r>
          </w:p>
        </w:tc>
        <w:tc>
          <w:tcPr>
            <w:tcW w:w="2101" w:type="dxa"/>
            <w:noWrap w:val="0"/>
            <w:vAlign w:val="center"/>
          </w:tcPr>
          <w:p w14:paraId="3EDED6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1B6338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71F1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0B1186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650199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输电线路边导线正下方1m</w:t>
            </w:r>
          </w:p>
        </w:tc>
        <w:tc>
          <w:tcPr>
            <w:tcW w:w="2101" w:type="dxa"/>
            <w:noWrap w:val="0"/>
            <w:vAlign w:val="center"/>
          </w:tcPr>
          <w:p w14:paraId="7B674B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CB912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CE8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5603D7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9E4EC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输电线路边导线正下方2m</w:t>
            </w:r>
          </w:p>
        </w:tc>
        <w:tc>
          <w:tcPr>
            <w:tcW w:w="2101" w:type="dxa"/>
            <w:noWrap w:val="0"/>
            <w:vAlign w:val="center"/>
          </w:tcPr>
          <w:p w14:paraId="6C0C5A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241252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14BA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0BD76D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CDE25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输电线路边导线正下方3m</w:t>
            </w:r>
          </w:p>
        </w:tc>
        <w:tc>
          <w:tcPr>
            <w:tcW w:w="2101" w:type="dxa"/>
            <w:noWrap w:val="0"/>
            <w:vAlign w:val="center"/>
          </w:tcPr>
          <w:p w14:paraId="4D2891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72DA0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158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4041C6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2B5016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输电线路边导线正下方4m</w:t>
            </w:r>
          </w:p>
        </w:tc>
        <w:tc>
          <w:tcPr>
            <w:tcW w:w="2101" w:type="dxa"/>
            <w:noWrap w:val="0"/>
            <w:vAlign w:val="center"/>
          </w:tcPr>
          <w:p w14:paraId="41B3B6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61679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6D52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649108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738B3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输电线路边导线正下方5m</w:t>
            </w:r>
          </w:p>
        </w:tc>
        <w:tc>
          <w:tcPr>
            <w:tcW w:w="2101" w:type="dxa"/>
            <w:noWrap w:val="0"/>
            <w:vAlign w:val="center"/>
          </w:tcPr>
          <w:p w14:paraId="416CA0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E6B4A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626F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51435B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6F2082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输电线路边导线正下方10m</w:t>
            </w:r>
          </w:p>
        </w:tc>
        <w:tc>
          <w:tcPr>
            <w:tcW w:w="2101" w:type="dxa"/>
            <w:noWrap w:val="0"/>
            <w:vAlign w:val="center"/>
          </w:tcPr>
          <w:p w14:paraId="1F3700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4F2A38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FD4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0112BD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27FA35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输电线路边导线正下方15m</w:t>
            </w:r>
          </w:p>
        </w:tc>
        <w:tc>
          <w:tcPr>
            <w:tcW w:w="2101" w:type="dxa"/>
            <w:noWrap w:val="0"/>
            <w:vAlign w:val="center"/>
          </w:tcPr>
          <w:p w14:paraId="5F7C80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303C85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0996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6F137F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D9D52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输电线路边导线正下方20m</w:t>
            </w:r>
          </w:p>
        </w:tc>
        <w:tc>
          <w:tcPr>
            <w:tcW w:w="2101" w:type="dxa"/>
            <w:noWrap w:val="0"/>
            <w:vAlign w:val="center"/>
          </w:tcPr>
          <w:p w14:paraId="515577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502393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598A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4B2DD6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2E8E7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输电线路边导线正下方25m</w:t>
            </w:r>
          </w:p>
        </w:tc>
        <w:tc>
          <w:tcPr>
            <w:tcW w:w="2101" w:type="dxa"/>
            <w:noWrap w:val="0"/>
            <w:vAlign w:val="center"/>
          </w:tcPr>
          <w:p w14:paraId="276512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3EFED2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2F5F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1D1479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59FFD3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输电线路边导线正下方30m</w:t>
            </w:r>
          </w:p>
        </w:tc>
        <w:tc>
          <w:tcPr>
            <w:tcW w:w="2101" w:type="dxa"/>
            <w:noWrap w:val="0"/>
            <w:vAlign w:val="center"/>
          </w:tcPr>
          <w:p w14:paraId="361C44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9C1BC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214A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3F305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490D95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输电线路边导线正下方35m</w:t>
            </w:r>
          </w:p>
        </w:tc>
        <w:tc>
          <w:tcPr>
            <w:tcW w:w="2101" w:type="dxa"/>
            <w:noWrap w:val="0"/>
            <w:vAlign w:val="center"/>
          </w:tcPr>
          <w:p w14:paraId="4196E0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1AE7F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55FD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0A97B8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1EBFB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输电线路边导线正下方40m</w:t>
            </w:r>
          </w:p>
        </w:tc>
        <w:tc>
          <w:tcPr>
            <w:tcW w:w="2101" w:type="dxa"/>
            <w:noWrap w:val="0"/>
            <w:vAlign w:val="center"/>
          </w:tcPr>
          <w:p w14:paraId="6FF773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7BB408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685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4D28C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7A3137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输电线路边导线正下方45m</w:t>
            </w:r>
          </w:p>
        </w:tc>
        <w:tc>
          <w:tcPr>
            <w:tcW w:w="2101" w:type="dxa"/>
            <w:noWrap w:val="0"/>
            <w:vAlign w:val="center"/>
          </w:tcPr>
          <w:p w14:paraId="608237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02EA0C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6D33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647C13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noWrap w:val="0"/>
            <w:vAlign w:val="center"/>
          </w:tcPr>
          <w:p w14:paraId="4FF957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110k</w:t>
            </w:r>
            <w:r>
              <w:rPr>
                <w:rFonts w:hint="eastAsia" w:cs="Times New Roman"/>
                <w:color w:val="auto"/>
                <w:sz w:val="21"/>
                <w:szCs w:val="21"/>
                <w:lang w:val="en-US" w:eastAsia="zh-CN"/>
              </w:rPr>
              <w:t>V</w:t>
            </w:r>
            <w:r>
              <w:rPr>
                <w:rFonts w:hint="eastAsia" w:ascii="Times New Roman" w:hAnsi="Times New Roman" w:eastAsia="宋体" w:cs="Times New Roman"/>
                <w:color w:val="auto"/>
                <w:sz w:val="21"/>
                <w:szCs w:val="21"/>
                <w:lang w:val="en-US" w:eastAsia="zh-CN"/>
              </w:rPr>
              <w:t>输电线路边导线正下方50m</w:t>
            </w:r>
          </w:p>
        </w:tc>
        <w:tc>
          <w:tcPr>
            <w:tcW w:w="2101" w:type="dxa"/>
            <w:noWrap w:val="0"/>
            <w:vAlign w:val="center"/>
          </w:tcPr>
          <w:p w14:paraId="79E9EA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c>
          <w:tcPr>
            <w:tcW w:w="2342" w:type="dxa"/>
            <w:noWrap w:val="0"/>
            <w:vAlign w:val="center"/>
          </w:tcPr>
          <w:p w14:paraId="6D7034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p>
        </w:tc>
      </w:tr>
      <w:tr w14:paraId="4675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restart"/>
            <w:noWrap w:val="0"/>
            <w:vAlign w:val="center"/>
          </w:tcPr>
          <w:p w14:paraId="311963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升压站</w:t>
            </w:r>
          </w:p>
        </w:tc>
        <w:tc>
          <w:tcPr>
            <w:tcW w:w="1928" w:type="pct"/>
            <w:noWrap w:val="0"/>
            <w:vAlign w:val="center"/>
          </w:tcPr>
          <w:p w14:paraId="3F3FF9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w:t>
            </w:r>
            <w:r>
              <w:rPr>
                <w:rFonts w:hint="default" w:ascii="Times New Roman" w:hAnsi="Times New Roman" w:cs="Times New Roman"/>
                <w:sz w:val="21"/>
                <w:szCs w:val="21"/>
                <w:lang w:val="en-US" w:eastAsia="zh-CN"/>
              </w:rPr>
              <w:t>北侧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围墙外5m处</w:t>
            </w:r>
          </w:p>
        </w:tc>
        <w:tc>
          <w:tcPr>
            <w:tcW w:w="2101" w:type="dxa"/>
            <w:noWrap w:val="0"/>
            <w:vAlign w:val="center"/>
          </w:tcPr>
          <w:p w14:paraId="1B816E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342" w:type="dxa"/>
            <w:noWrap w:val="0"/>
            <w:vAlign w:val="center"/>
          </w:tcPr>
          <w:p w14:paraId="6023A5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7C59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2FEBB4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pPr>
          </w:p>
        </w:tc>
        <w:tc>
          <w:tcPr>
            <w:tcW w:w="1928" w:type="pct"/>
            <w:noWrap w:val="0"/>
            <w:vAlign w:val="center"/>
          </w:tcPr>
          <w:p w14:paraId="2EEEF4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w:t>
            </w:r>
            <w:r>
              <w:rPr>
                <w:rFonts w:hint="default" w:ascii="Times New Roman" w:hAnsi="Times New Roman" w:cs="Times New Roman"/>
                <w:sz w:val="21"/>
                <w:szCs w:val="21"/>
                <w:lang w:val="en-US" w:eastAsia="zh-CN"/>
              </w:rPr>
              <w:t>东侧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围墙外5m处</w:t>
            </w:r>
          </w:p>
        </w:tc>
        <w:tc>
          <w:tcPr>
            <w:tcW w:w="2101" w:type="dxa"/>
            <w:noWrap w:val="0"/>
            <w:vAlign w:val="center"/>
          </w:tcPr>
          <w:p w14:paraId="745B76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73186A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2318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28B216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7C0AB2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w:t>
            </w:r>
            <w:r>
              <w:rPr>
                <w:rFonts w:hint="eastAsia" w:cs="Times New Roman"/>
                <w:sz w:val="21"/>
                <w:szCs w:val="21"/>
                <w:lang w:val="en-US" w:eastAsia="zh-CN"/>
              </w:rPr>
              <w:t>西</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围墙外5m处</w:t>
            </w:r>
          </w:p>
        </w:tc>
        <w:tc>
          <w:tcPr>
            <w:tcW w:w="2101" w:type="dxa"/>
            <w:noWrap w:val="0"/>
            <w:vAlign w:val="center"/>
          </w:tcPr>
          <w:p w14:paraId="0A1E05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65CE31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34D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271661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40416B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围墙外5m处</w:t>
            </w:r>
          </w:p>
        </w:tc>
        <w:tc>
          <w:tcPr>
            <w:tcW w:w="2101" w:type="dxa"/>
            <w:noWrap w:val="0"/>
            <w:vAlign w:val="center"/>
          </w:tcPr>
          <w:p w14:paraId="31EE3C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60E0AC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CCD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702874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189312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m处</w:t>
            </w:r>
          </w:p>
        </w:tc>
        <w:tc>
          <w:tcPr>
            <w:tcW w:w="2101" w:type="dxa"/>
            <w:noWrap w:val="0"/>
            <w:vAlign w:val="center"/>
          </w:tcPr>
          <w:p w14:paraId="19773D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650424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23B1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7FF9F2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226E93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5m处</w:t>
            </w:r>
          </w:p>
        </w:tc>
        <w:tc>
          <w:tcPr>
            <w:tcW w:w="2101" w:type="dxa"/>
            <w:noWrap w:val="0"/>
            <w:vAlign w:val="center"/>
          </w:tcPr>
          <w:p w14:paraId="283BBE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5E0A98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850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418F0B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55A7EB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20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m处</w:t>
            </w:r>
          </w:p>
        </w:tc>
        <w:tc>
          <w:tcPr>
            <w:tcW w:w="2101" w:type="dxa"/>
            <w:noWrap w:val="0"/>
            <w:vAlign w:val="center"/>
          </w:tcPr>
          <w:p w14:paraId="59902D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5043A6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7B35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6A62F1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29DF14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5m处</w:t>
            </w:r>
          </w:p>
        </w:tc>
        <w:tc>
          <w:tcPr>
            <w:tcW w:w="2101" w:type="dxa"/>
            <w:noWrap w:val="0"/>
            <w:vAlign w:val="center"/>
          </w:tcPr>
          <w:p w14:paraId="75D1F5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2013D3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115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5FC4BE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39B7E8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m处</w:t>
            </w:r>
          </w:p>
        </w:tc>
        <w:tc>
          <w:tcPr>
            <w:tcW w:w="2101" w:type="dxa"/>
            <w:noWrap w:val="0"/>
            <w:vAlign w:val="center"/>
          </w:tcPr>
          <w:p w14:paraId="73F613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40160B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FA7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7FF15F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29EF21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5m处</w:t>
            </w:r>
          </w:p>
        </w:tc>
        <w:tc>
          <w:tcPr>
            <w:tcW w:w="2101" w:type="dxa"/>
            <w:noWrap w:val="0"/>
            <w:vAlign w:val="center"/>
          </w:tcPr>
          <w:p w14:paraId="2A53FC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34245E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E4E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3B83B1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1ACA02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40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m处</w:t>
            </w:r>
          </w:p>
        </w:tc>
        <w:tc>
          <w:tcPr>
            <w:tcW w:w="2101" w:type="dxa"/>
            <w:noWrap w:val="0"/>
            <w:vAlign w:val="center"/>
          </w:tcPr>
          <w:p w14:paraId="1FB8BE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2F7314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0F8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2974DE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73E65C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5m处</w:t>
            </w:r>
          </w:p>
        </w:tc>
        <w:tc>
          <w:tcPr>
            <w:tcW w:w="2101" w:type="dxa"/>
            <w:noWrap w:val="0"/>
            <w:vAlign w:val="center"/>
          </w:tcPr>
          <w:p w14:paraId="085017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2B5390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39B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trPr>
        <w:tc>
          <w:tcPr>
            <w:tcW w:w="619" w:type="pct"/>
            <w:vMerge w:val="continue"/>
            <w:noWrap w:val="0"/>
            <w:vAlign w:val="center"/>
          </w:tcPr>
          <w:p w14:paraId="24F991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928" w:type="pct"/>
            <w:noWrap w:val="0"/>
            <w:vAlign w:val="center"/>
          </w:tcPr>
          <w:p w14:paraId="36FD92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110kV</w:t>
            </w:r>
            <w:r>
              <w:rPr>
                <w:rFonts w:hint="eastAsia" w:ascii="Times New Roman" w:hAnsi="Times New Roman" w:cs="Times New Roman"/>
                <w:sz w:val="21"/>
                <w:szCs w:val="21"/>
                <w:lang w:val="en-US" w:eastAsia="zh-CN"/>
              </w:rPr>
              <w:t>升压站南</w:t>
            </w:r>
            <w:r>
              <w:rPr>
                <w:rFonts w:hint="default" w:ascii="Times New Roman" w:hAnsi="Times New Roman" w:cs="Times New Roman"/>
                <w:sz w:val="21"/>
                <w:szCs w:val="21"/>
                <w:lang w:val="en-US" w:eastAsia="zh-CN"/>
              </w:rPr>
              <w:t>侧</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围墙外5</w:t>
            </w:r>
            <w:r>
              <w:rPr>
                <w:rFonts w:hint="eastAsia"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m处</w:t>
            </w:r>
          </w:p>
        </w:tc>
        <w:tc>
          <w:tcPr>
            <w:tcW w:w="2101" w:type="dxa"/>
            <w:noWrap w:val="0"/>
            <w:vAlign w:val="center"/>
          </w:tcPr>
          <w:p w14:paraId="5D7364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42" w:type="dxa"/>
            <w:noWrap w:val="0"/>
            <w:vAlign w:val="center"/>
          </w:tcPr>
          <w:p w14:paraId="12CC40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714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restart"/>
            <w:noWrap w:val="0"/>
            <w:vAlign w:val="center"/>
          </w:tcPr>
          <w:p w14:paraId="1899DB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其他</w:t>
            </w:r>
          </w:p>
        </w:tc>
        <w:tc>
          <w:tcPr>
            <w:tcW w:w="1928" w:type="pct"/>
            <w:shd w:val="clear" w:color="auto" w:fill="auto"/>
            <w:noWrap w:val="0"/>
            <w:vAlign w:val="center"/>
          </w:tcPr>
          <w:p w14:paraId="5123FC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保安室</w:t>
            </w:r>
          </w:p>
        </w:tc>
        <w:tc>
          <w:tcPr>
            <w:tcW w:w="2101" w:type="dxa"/>
            <w:noWrap w:val="0"/>
            <w:vAlign w:val="center"/>
          </w:tcPr>
          <w:p w14:paraId="0B2C6C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342" w:type="dxa"/>
            <w:noWrap w:val="0"/>
            <w:vAlign w:val="center"/>
          </w:tcPr>
          <w:p w14:paraId="528F25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6FD7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19" w:type="pct"/>
            <w:vMerge w:val="continue"/>
            <w:noWrap w:val="0"/>
            <w:vAlign w:val="center"/>
          </w:tcPr>
          <w:p w14:paraId="293D63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928" w:type="pct"/>
            <w:shd w:val="clear" w:color="auto" w:fill="auto"/>
            <w:noWrap w:val="0"/>
            <w:vAlign w:val="center"/>
          </w:tcPr>
          <w:p w14:paraId="54116C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综合楼</w:t>
            </w:r>
          </w:p>
        </w:tc>
        <w:tc>
          <w:tcPr>
            <w:tcW w:w="2101" w:type="dxa"/>
            <w:noWrap w:val="0"/>
            <w:vAlign w:val="center"/>
          </w:tcPr>
          <w:p w14:paraId="601BA9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342" w:type="dxa"/>
            <w:noWrap w:val="0"/>
            <w:vAlign w:val="center"/>
          </w:tcPr>
          <w:p w14:paraId="18B681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bl>
    <w:p w14:paraId="2CC54449">
      <w:pPr>
        <w:pStyle w:val="41"/>
        <w:ind w:firstLine="420"/>
        <w:rPr>
          <w:rFonts w:hint="eastAsia"/>
          <w:color w:val="000000"/>
          <w:highlight w:val="none"/>
        </w:rPr>
      </w:pPr>
    </w:p>
    <w:p w14:paraId="03FD8034">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highlight w:val="none"/>
        </w:rPr>
        <w:t>监测结果表明</w:t>
      </w:r>
      <w:r>
        <w:rPr>
          <w:rFonts w:hint="eastAsia"/>
          <w:highlight w:val="none"/>
          <w:lang w:eastAsia="zh-CN"/>
        </w:rPr>
        <w:t>，</w:t>
      </w:r>
      <w:r>
        <w:rPr>
          <w:rFonts w:hint="default" w:ascii="Times New Roman" w:hAnsi="Times New Roman"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线路1#电磁监测断面</w:t>
      </w:r>
      <w:r>
        <w:rPr>
          <w:rFonts w:hint="default" w:ascii="Times New Roman" w:hAnsi="Times New Roman" w:cs="Times New Roman"/>
          <w:color w:val="000000" w:themeColor="text1"/>
          <w:sz w:val="24"/>
          <w:szCs w:val="24"/>
          <w14:textFill>
            <w14:solidFill>
              <w14:schemeClr w14:val="tx1"/>
            </w14:solidFill>
          </w14:textFill>
        </w:rPr>
        <w:t>工频电场强度</w:t>
      </w:r>
      <w:r>
        <w:rPr>
          <w:rFonts w:hint="eastAsia" w:ascii="Times New Roman" w:hAnsi="Times New Roman" w:cs="Times New Roman"/>
          <w:color w:val="000000" w:themeColor="text1"/>
          <w:sz w:val="24"/>
          <w:szCs w:val="24"/>
          <w:lang w:val="en-US" w:eastAsia="zh-CN"/>
          <w14:textFill>
            <w14:solidFill>
              <w14:schemeClr w14:val="tx1"/>
            </w14:solidFill>
          </w14:textFill>
        </w:rPr>
        <w:t>最大值为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612.513</w:t>
      </w:r>
      <w:r>
        <w:rPr>
          <w:rFonts w:hint="default" w:ascii="Times New Roman" w:hAnsi="Times New Roman"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lang w:val="en-US" w:eastAsia="zh-CN"/>
          <w14:textFill>
            <w14:solidFill>
              <w14:schemeClr w14:val="tx1"/>
            </w14:solidFill>
          </w14:textFill>
        </w:rPr>
        <w:t>，出现在距边导线对地投影0m处</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工频磁感应强度</w:t>
      </w:r>
      <w:r>
        <w:rPr>
          <w:rFonts w:hint="eastAsia" w:ascii="Times New Roman" w:hAnsi="Times New Roman" w:cs="Times New Roman"/>
          <w:color w:val="000000" w:themeColor="text1"/>
          <w:sz w:val="24"/>
          <w:szCs w:val="24"/>
          <w:lang w:val="en-US" w:eastAsia="zh-CN"/>
          <w14:textFill>
            <w14:solidFill>
              <w14:schemeClr w14:val="tx1"/>
            </w14:solidFill>
          </w14:textFill>
        </w:rPr>
        <w:t>最大为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2.251</w:t>
      </w:r>
      <w:r>
        <w:rPr>
          <w:rFonts w:hint="default" w:ascii="Times New Roman" w:hAnsi="Times New Roman" w:eastAsia="宋体" w:cs="Times New Roman"/>
          <w:color w:val="000000" w:themeColor="text1"/>
          <w:sz w:val="24"/>
          <w:szCs w:val="24"/>
          <w14:textFill>
            <w14:solidFill>
              <w14:schemeClr w14:val="tx1"/>
            </w14:solidFill>
          </w14:textFill>
        </w:rPr>
        <w:t>μT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出现在110k</w:t>
      </w:r>
      <w:r>
        <w:rPr>
          <w:rFonts w:hint="eastAsia" w:cs="Times New Roman"/>
          <w:color w:val="000000" w:themeColor="text1"/>
          <w:sz w:val="24"/>
          <w:szCs w:val="24"/>
          <w:lang w:val="en-US" w:eastAsia="zh-CN"/>
          <w14:textFill>
            <w14:solidFill>
              <w14:schemeClr w14:val="tx1"/>
            </w14:solidFill>
          </w14:textFill>
        </w:rPr>
        <w:t>V</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输电线路中垂线正下方</w:t>
      </w:r>
      <w:r>
        <w:rPr>
          <w:rFonts w:hint="eastAsia" w:cs="Times New Roman"/>
          <w:color w:val="000000" w:themeColor="text1"/>
          <w:sz w:val="24"/>
          <w:szCs w:val="24"/>
          <w:lang w:val="en-US" w:eastAsia="zh-CN"/>
          <w14:textFill>
            <w14:solidFill>
              <w14:schemeClr w14:val="tx1"/>
            </w14:solidFill>
          </w14:textFill>
        </w:rPr>
        <w:t>。2#电磁监测断面</w:t>
      </w:r>
      <w:r>
        <w:rPr>
          <w:rFonts w:hint="default" w:ascii="Times New Roman" w:hAnsi="Times New Roman" w:cs="Times New Roman"/>
          <w:color w:val="000000" w:themeColor="text1"/>
          <w:sz w:val="24"/>
          <w:szCs w:val="24"/>
          <w14:textFill>
            <w14:solidFill>
              <w14:schemeClr w14:val="tx1"/>
            </w14:solidFill>
          </w14:textFill>
        </w:rPr>
        <w:t>工频电场强度</w:t>
      </w:r>
      <w:r>
        <w:rPr>
          <w:rFonts w:hint="eastAsia" w:ascii="Times New Roman" w:hAnsi="Times New Roman" w:cs="Times New Roman"/>
          <w:color w:val="000000" w:themeColor="text1"/>
          <w:sz w:val="24"/>
          <w:szCs w:val="24"/>
          <w:lang w:val="en-US" w:eastAsia="zh-CN"/>
          <w14:textFill>
            <w14:solidFill>
              <w14:schemeClr w14:val="tx1"/>
            </w14:solidFill>
          </w14:textFill>
        </w:rPr>
        <w:t>最大值为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583.490</w:t>
      </w:r>
      <w:r>
        <w:rPr>
          <w:rFonts w:hint="default" w:ascii="Times New Roman" w:hAnsi="Times New Roman"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lang w:val="en-US" w:eastAsia="zh-CN"/>
          <w14:textFill>
            <w14:solidFill>
              <w14:schemeClr w14:val="tx1"/>
            </w14:solidFill>
          </w14:textFill>
        </w:rPr>
        <w:t>，出现在距边导线对地投影0m处</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工频磁感应强度</w:t>
      </w:r>
      <w:r>
        <w:rPr>
          <w:rFonts w:hint="eastAsia" w:ascii="Times New Roman" w:hAnsi="Times New Roman" w:cs="Times New Roman"/>
          <w:color w:val="000000" w:themeColor="text1"/>
          <w:sz w:val="24"/>
          <w:szCs w:val="24"/>
          <w:lang w:val="en-US" w:eastAsia="zh-CN"/>
          <w14:textFill>
            <w14:solidFill>
              <w14:schemeClr w14:val="tx1"/>
            </w14:solidFill>
          </w14:textFill>
        </w:rPr>
        <w:t>最大为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2.240</w:t>
      </w:r>
      <w:r>
        <w:rPr>
          <w:rFonts w:hint="default" w:ascii="Times New Roman" w:hAnsi="Times New Roman" w:eastAsia="宋体" w:cs="Times New Roman"/>
          <w:color w:val="000000" w:themeColor="text1"/>
          <w:sz w:val="24"/>
          <w:szCs w:val="24"/>
          <w14:textFill>
            <w14:solidFill>
              <w14:schemeClr w14:val="tx1"/>
            </w14:solidFill>
          </w14:textFill>
        </w:rPr>
        <w:t>μT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出现在110k</w:t>
      </w:r>
      <w:r>
        <w:rPr>
          <w:rFonts w:hint="eastAsia" w:cs="Times New Roman"/>
          <w:color w:val="000000" w:themeColor="text1"/>
          <w:sz w:val="24"/>
          <w:szCs w:val="24"/>
          <w:lang w:val="en-US" w:eastAsia="zh-CN"/>
          <w14:textFill>
            <w14:solidFill>
              <w14:schemeClr w14:val="tx1"/>
            </w14:solidFill>
          </w14:textFill>
        </w:rPr>
        <w:t>V</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输电线路中垂线正下方</w:t>
      </w:r>
      <w:r>
        <w:rPr>
          <w:rFonts w:hint="eastAsia" w:ascii="Times New Roman" w:hAnsi="Times New Roman" w:cs="Times New Roman"/>
          <w:color w:val="000000" w:themeColor="text1"/>
          <w:sz w:val="24"/>
          <w:szCs w:val="24"/>
          <w:lang w:val="en-US" w:eastAsia="zh-CN"/>
          <w14:textFill>
            <w14:solidFill>
              <w14:schemeClr w14:val="tx1"/>
            </w14:solidFill>
          </w14:textFill>
        </w:rPr>
        <w:t>。升压站场</w:t>
      </w:r>
      <w:r>
        <w:rPr>
          <w:rFonts w:hint="eastAsia"/>
          <w:color w:val="000000" w:themeColor="text1"/>
          <w:sz w:val="24"/>
          <w:szCs w:val="24"/>
          <w:highlight w:val="none"/>
          <w:lang w:val="en-US" w:eastAsia="zh-CN"/>
          <w14:textFill>
            <w14:solidFill>
              <w14:schemeClr w14:val="tx1"/>
            </w14:solidFill>
          </w14:textFill>
        </w:rPr>
        <w:t>界四周及</w:t>
      </w:r>
      <w:r>
        <w:rPr>
          <w:rFonts w:hint="eastAsia" w:ascii="Times New Roman" w:hAnsi="Times New Roman"/>
          <w:color w:val="000000" w:themeColor="text1"/>
          <w:sz w:val="24"/>
          <w:szCs w:val="24"/>
          <w:highlight w:val="none"/>
          <w14:textFill>
            <w14:solidFill>
              <w14:schemeClr w14:val="tx1"/>
            </w14:solidFill>
          </w14:textFill>
        </w:rPr>
        <w:t>电磁环境敏感目标</w:t>
      </w:r>
      <w:r>
        <w:rPr>
          <w:rFonts w:hint="eastAsia"/>
          <w:color w:val="000000" w:themeColor="text1"/>
          <w:sz w:val="24"/>
          <w:szCs w:val="24"/>
          <w:highlight w:val="none"/>
          <w:lang w:val="en-US" w:eastAsia="zh-CN"/>
          <w14:textFill>
            <w14:solidFill>
              <w14:schemeClr w14:val="tx1"/>
            </w14:solidFill>
          </w14:textFill>
        </w:rPr>
        <w:t>处</w:t>
      </w:r>
      <w:r>
        <w:rPr>
          <w:rFonts w:hint="default"/>
          <w:color w:val="000000" w:themeColor="text1"/>
          <w:sz w:val="24"/>
          <w:szCs w:val="24"/>
          <w:highlight w:val="none"/>
          <w14:textFill>
            <w14:solidFill>
              <w14:schemeClr w14:val="tx1"/>
            </w14:solidFill>
          </w14:textFill>
        </w:rPr>
        <w:t>工频电场强度</w:t>
      </w:r>
      <w:r>
        <w:rPr>
          <w:rFonts w:hint="eastAsia"/>
          <w:color w:val="000000" w:themeColor="text1"/>
          <w:sz w:val="24"/>
          <w:szCs w:val="24"/>
          <w:highlight w:val="none"/>
          <w:lang w:val="en-US" w:eastAsia="zh-CN"/>
          <w14:textFill>
            <w14:solidFill>
              <w14:schemeClr w14:val="tx1"/>
            </w14:solidFill>
          </w14:textFill>
        </w:rPr>
        <w:t>最大值</w:t>
      </w:r>
      <w:r>
        <w:rPr>
          <w:rFonts w:hint="default"/>
          <w:color w:val="000000" w:themeColor="text1"/>
          <w:sz w:val="24"/>
          <w:szCs w:val="24"/>
          <w:highlight w:val="none"/>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635.226</w:t>
      </w:r>
      <w:r>
        <w:rPr>
          <w:rFonts w:hint="default"/>
          <w:color w:val="000000" w:themeColor="text1"/>
          <w:sz w:val="24"/>
          <w:szCs w:val="24"/>
          <w:highlight w:val="none"/>
          <w14:textFill>
            <w14:solidFill>
              <w14:schemeClr w14:val="tx1"/>
            </w14:solidFill>
          </w14:textFill>
        </w:rPr>
        <w:t>V/m，工频磁感应强度为</w:t>
      </w:r>
      <w:r>
        <w:rPr>
          <w:rFonts w:hint="eastAsia" w:cs="Times New Roman"/>
          <w:color w:val="000000" w:themeColor="text1"/>
          <w:sz w:val="24"/>
          <w:szCs w:val="24"/>
          <w:lang w:val="en-US" w:eastAsia="zh-CN"/>
          <w14:textFill>
            <w14:solidFill>
              <w14:schemeClr w14:val="tx1"/>
            </w14:solidFill>
          </w14:textFill>
        </w:rPr>
        <w:t>1.264</w:t>
      </w:r>
      <w:r>
        <w:rPr>
          <w:rFonts w:hint="default"/>
          <w:color w:val="000000" w:themeColor="text1"/>
          <w:sz w:val="24"/>
          <w:szCs w:val="24"/>
          <w:highlight w:val="none"/>
          <w14:textFill>
            <w14:solidFill>
              <w14:schemeClr w14:val="tx1"/>
            </w14:solidFill>
          </w14:textFill>
        </w:rPr>
        <w:t>μT</w:t>
      </w:r>
      <w:r>
        <w:rPr>
          <w:rFonts w:hint="eastAsia"/>
          <w:color w:val="000000" w:themeColor="text1"/>
          <w:sz w:val="24"/>
          <w:szCs w:val="24"/>
          <w:highlight w:val="none"/>
          <w:lang w:eastAsia="zh-CN"/>
          <w14:textFill>
            <w14:solidFill>
              <w14:schemeClr w14:val="tx1"/>
            </w14:solidFill>
          </w14:textFill>
        </w:rPr>
        <w:t>；</w:t>
      </w:r>
    </w:p>
    <w:p w14:paraId="71CFDE80">
      <w:pPr>
        <w:adjustRightInd w:val="0"/>
        <w:snapToGrid w:val="0"/>
        <w:spacing w:line="360" w:lineRule="auto"/>
        <w:ind w:firstLine="480" w:firstLineChars="200"/>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综上，本项目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各</w:t>
      </w:r>
      <w:r>
        <w:rPr>
          <w:rFonts w:hint="eastAsia" w:cs="Times New Roman"/>
          <w:color w:val="000000" w:themeColor="text1"/>
          <w:sz w:val="24"/>
          <w:szCs w:val="24"/>
          <w:lang w:val="en-US" w:eastAsia="zh-CN"/>
          <w14:textFill>
            <w14:solidFill>
              <w14:schemeClr w14:val="tx1"/>
            </w14:solidFill>
          </w14:textFill>
        </w:rPr>
        <w:t>电磁监测点</w:t>
      </w:r>
      <w:r>
        <w:rPr>
          <w:rFonts w:hint="eastAsia"/>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工频电场强度</w:t>
      </w:r>
      <w:r>
        <w:rPr>
          <w:rFonts w:hint="eastAsia" w:ascii="Times New Roman" w:hAnsi="Times New Roman" w:cs="Times New Roman"/>
          <w:color w:val="000000" w:themeColor="text1"/>
          <w:sz w:val="24"/>
          <w:szCs w:val="24"/>
          <w:lang w:val="en-US" w:eastAsia="zh-CN"/>
          <w14:textFill>
            <w14:solidFill>
              <w14:schemeClr w14:val="tx1"/>
            </w14:solidFill>
          </w14:textFill>
        </w:rPr>
        <w:t>和</w:t>
      </w:r>
      <w:r>
        <w:rPr>
          <w:rFonts w:hint="default" w:ascii="Times New Roman" w:hAnsi="Times New Roman" w:cs="Times New Roman"/>
          <w:color w:val="000000" w:themeColor="text1"/>
          <w:sz w:val="24"/>
          <w:szCs w:val="24"/>
          <w14:textFill>
            <w14:solidFill>
              <w14:schemeClr w14:val="tx1"/>
            </w14:solidFill>
          </w14:textFill>
        </w:rPr>
        <w:t>工频磁感应强度</w:t>
      </w:r>
      <w:r>
        <w:rPr>
          <w:rFonts w:hint="eastAsia" w:cs="Times New Roman"/>
          <w:color w:val="000000" w:themeColor="text1"/>
          <w:sz w:val="24"/>
          <w:szCs w:val="24"/>
          <w:lang w:val="en-US" w:eastAsia="zh-CN"/>
          <w14:textFill>
            <w14:solidFill>
              <w14:schemeClr w14:val="tx1"/>
            </w14:solidFill>
          </w14:textFill>
        </w:rPr>
        <w:t>均</w:t>
      </w:r>
      <w:r>
        <w:rPr>
          <w:rFonts w:hint="default" w:ascii="Times New Roman" w:hAnsi="Times New Roman" w:cs="Times New Roman"/>
          <w:color w:val="000000" w:themeColor="text1"/>
          <w:sz w:val="24"/>
          <w:szCs w:val="24"/>
          <w14:textFill>
            <w14:solidFill>
              <w14:schemeClr w14:val="tx1"/>
            </w14:solidFill>
          </w14:textFill>
        </w:rPr>
        <w:t>可满足《电磁环境控制限值》(GB 8702-2014</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中的</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电场强度≤4000</w:t>
      </w:r>
      <w:r>
        <w:rPr>
          <w:rFonts w:hint="eastAsia"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14:textFill>
            <w14:solidFill>
              <w14:schemeClr w14:val="tx1"/>
            </w14:solidFill>
          </w14:textFill>
        </w:rPr>
        <w:t>；磁感应强度≤100</w:t>
      </w:r>
      <w:r>
        <w:rPr>
          <w:rFonts w:hint="default" w:ascii="Times New Roman" w:hAnsi="Times New Roman" w:eastAsia="宋体" w:cs="Times New Roman"/>
          <w:color w:val="000000" w:themeColor="text1"/>
          <w:sz w:val="24"/>
          <w:szCs w:val="24"/>
          <w14:textFill>
            <w14:solidFill>
              <w14:schemeClr w14:val="tx1"/>
            </w14:solidFill>
          </w14:textFill>
        </w:rPr>
        <w:t>μT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公众曝露控制限值要求</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表明该区域在本线路的运行条件下的</w:t>
      </w:r>
      <w:r>
        <w:rPr>
          <w:rFonts w:hint="eastAsia" w:cs="Times New Roman"/>
          <w:color w:val="000000" w:themeColor="text1"/>
          <w:sz w:val="24"/>
          <w:szCs w:val="24"/>
          <w:lang w:eastAsia="zh-CN"/>
          <w14:textFill>
            <w14:solidFill>
              <w14:schemeClr w14:val="tx1"/>
            </w14:solidFill>
          </w14:textFill>
        </w:rPr>
        <w:t>电磁环境质量现状良好。</w:t>
      </w:r>
    </w:p>
    <w:p w14:paraId="27130707">
      <w:pPr>
        <w:pStyle w:val="3"/>
        <w:keepLines/>
        <w:pageBreakBefore w:val="0"/>
        <w:tabs>
          <w:tab w:val="left" w:pos="425"/>
        </w:tabs>
        <w:kinsoku/>
        <w:wordWrap/>
        <w:topLinePunct w:val="0"/>
        <w:autoSpaceDE/>
        <w:autoSpaceDN/>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Times New Roman"/>
          <w:b/>
          <w:bCs w:val="0"/>
          <w:color w:val="000000"/>
          <w:kern w:val="0"/>
          <w:sz w:val="24"/>
          <w:szCs w:val="24"/>
          <w:lang w:val="en-US" w:eastAsia="zh-CN" w:bidi="ar-SA"/>
        </w:rPr>
      </w:pPr>
      <w:r>
        <w:rPr>
          <w:rFonts w:hint="eastAsia" w:eastAsia="宋体" w:cs="Times New Roman"/>
          <w:b/>
          <w:bCs w:val="0"/>
          <w:color w:val="000000"/>
          <w:kern w:val="0"/>
          <w:sz w:val="24"/>
          <w:szCs w:val="24"/>
          <w:lang w:val="en-US" w:eastAsia="zh-CN" w:bidi="ar-SA"/>
        </w:rPr>
        <w:t>3</w:t>
      </w:r>
      <w:r>
        <w:rPr>
          <w:rFonts w:hint="eastAsia" w:ascii="Times New Roman" w:hAnsi="Times New Roman" w:eastAsia="宋体" w:cs="Times New Roman"/>
          <w:b/>
          <w:bCs w:val="0"/>
          <w:color w:val="000000"/>
          <w:kern w:val="0"/>
          <w:sz w:val="24"/>
          <w:szCs w:val="24"/>
          <w:lang w:val="en-US" w:eastAsia="zh-CN" w:bidi="ar-SA"/>
        </w:rPr>
        <w:t>电磁环境保护措施</w:t>
      </w:r>
      <w:bookmarkEnd w:id="55"/>
      <w:bookmarkEnd w:id="56"/>
      <w:bookmarkEnd w:id="57"/>
      <w:bookmarkEnd w:id="58"/>
    </w:p>
    <w:p w14:paraId="75BAE620">
      <w:pPr>
        <w:pageBreakBefore w:val="0"/>
        <w:numPr>
          <w:ilvl w:val="0"/>
          <w:numId w:val="0"/>
        </w:numPr>
        <w:kinsoku/>
        <w:wordWrap/>
        <w:topLinePunct w:val="0"/>
        <w:autoSpaceDE/>
        <w:autoSpaceDN/>
        <w:bidi w:val="0"/>
        <w:adjustRightInd w:val="0"/>
        <w:snapToGrid w:val="0"/>
        <w:spacing w:line="360" w:lineRule="auto"/>
        <w:ind w:right="0" w:rightChars="0" w:firstLine="480" w:firstLineChars="200"/>
        <w:textAlignment w:val="auto"/>
        <w:rPr>
          <w:rFonts w:hint="eastAsia" w:ascii="Times New Roman" w:hAnsi="Times New Roman"/>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1</w:t>
      </w:r>
      <w:r>
        <w:rPr>
          <w:rFonts w:hint="eastAsia"/>
          <w:color w:val="000000"/>
          <w:sz w:val="24"/>
          <w:highlight w:val="none"/>
          <w:lang w:eastAsia="zh-CN"/>
        </w:rPr>
        <w:t>）</w:t>
      </w:r>
      <w:r>
        <w:rPr>
          <w:rFonts w:hint="eastAsia" w:ascii="Times New Roman" w:hAnsi="Times New Roman"/>
          <w:color w:val="000000"/>
          <w:sz w:val="24"/>
          <w:highlight w:val="none"/>
        </w:rPr>
        <w:t>线路选线合理，已经避开居民</w:t>
      </w:r>
      <w:r>
        <w:rPr>
          <w:rFonts w:hint="eastAsia" w:ascii="Times New Roman" w:hAnsi="Times New Roman"/>
          <w:color w:val="000000"/>
          <w:sz w:val="24"/>
          <w:highlight w:val="none"/>
          <w:lang w:eastAsia="zh-CN"/>
        </w:rPr>
        <w:t>聚集</w:t>
      </w:r>
      <w:r>
        <w:rPr>
          <w:rFonts w:hint="eastAsia" w:ascii="Times New Roman" w:hAnsi="Times New Roman"/>
          <w:color w:val="000000"/>
          <w:sz w:val="24"/>
          <w:highlight w:val="none"/>
        </w:rPr>
        <w:t>区。线路建成后，应加强输电线路防护距离宣传教育和督察工作。</w:t>
      </w:r>
    </w:p>
    <w:p w14:paraId="74CA89CC">
      <w:pPr>
        <w:pageBreakBefore w:val="0"/>
        <w:kinsoku/>
        <w:wordWrap/>
        <w:topLinePunct w:val="0"/>
        <w:autoSpaceDE/>
        <w:autoSpaceDN/>
        <w:bidi w:val="0"/>
        <w:adjustRightInd w:val="0"/>
        <w:snapToGrid w:val="0"/>
        <w:spacing w:line="360" w:lineRule="auto"/>
        <w:ind w:right="0" w:firstLine="480" w:firstLineChars="200"/>
        <w:textAlignment w:val="auto"/>
        <w:rPr>
          <w:rFonts w:hint="eastAsia" w:ascii="Times New Roman" w:hAnsi="Times New Roman"/>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2</w:t>
      </w:r>
      <w:r>
        <w:rPr>
          <w:rFonts w:hint="eastAsia"/>
          <w:color w:val="000000"/>
          <w:sz w:val="24"/>
          <w:highlight w:val="none"/>
          <w:lang w:eastAsia="zh-CN"/>
        </w:rPr>
        <w:t>）</w:t>
      </w:r>
      <w:r>
        <w:rPr>
          <w:rFonts w:hint="eastAsia" w:ascii="Times New Roman" w:hAnsi="Times New Roman"/>
          <w:color w:val="000000"/>
          <w:sz w:val="24"/>
          <w:highlight w:val="none"/>
        </w:rPr>
        <w:t>线路选用的导线质量符合国家相关标准的要求，防止由于导线缺陷导致的电晕增加，降低线路运行时产生的可听噪声水平。</w:t>
      </w:r>
    </w:p>
    <w:p w14:paraId="72E37397">
      <w:pPr>
        <w:pageBreakBefore w:val="0"/>
        <w:kinsoku/>
        <w:wordWrap/>
        <w:topLinePunct w:val="0"/>
        <w:autoSpaceDE/>
        <w:autoSpaceDN/>
        <w:bidi w:val="0"/>
        <w:adjustRightInd w:val="0"/>
        <w:snapToGrid w:val="0"/>
        <w:spacing w:line="360" w:lineRule="auto"/>
        <w:ind w:right="0" w:firstLine="480" w:firstLineChars="200"/>
        <w:textAlignment w:val="auto"/>
        <w:rPr>
          <w:rFonts w:hint="eastAsia" w:ascii="Times New Roman" w:hAnsi="Times New Roman"/>
          <w:color w:val="000000"/>
          <w:sz w:val="24"/>
          <w:highlight w:val="none"/>
        </w:rPr>
      </w:pPr>
      <w:r>
        <w:rPr>
          <w:rFonts w:hint="eastAsia"/>
          <w:color w:val="000000"/>
          <w:sz w:val="24"/>
          <w:highlight w:val="none"/>
          <w:lang w:eastAsia="zh-CN"/>
        </w:rPr>
        <w:t>（</w:t>
      </w:r>
      <w:r>
        <w:rPr>
          <w:rFonts w:hint="eastAsia"/>
          <w:color w:val="000000"/>
          <w:sz w:val="24"/>
          <w:highlight w:val="none"/>
          <w:lang w:val="en-US" w:eastAsia="zh-CN"/>
        </w:rPr>
        <w:t>3</w:t>
      </w:r>
      <w:r>
        <w:rPr>
          <w:rFonts w:hint="eastAsia"/>
          <w:color w:val="000000"/>
          <w:sz w:val="24"/>
          <w:highlight w:val="none"/>
          <w:lang w:eastAsia="zh-CN"/>
        </w:rPr>
        <w:t>）</w:t>
      </w:r>
      <w:r>
        <w:rPr>
          <w:rFonts w:hint="eastAsia" w:ascii="Times New Roman" w:hAnsi="Times New Roman"/>
          <w:color w:val="000000"/>
          <w:sz w:val="24"/>
          <w:highlight w:val="none"/>
        </w:rPr>
        <w:t>做好警示和防护指示标志及环保标志的悬挂设立工作。</w:t>
      </w:r>
    </w:p>
    <w:p w14:paraId="45E5F074">
      <w:pPr>
        <w:pStyle w:val="11"/>
        <w:pageBreakBefore w:val="0"/>
        <w:kinsoku/>
        <w:wordWrap/>
        <w:topLinePunct w:val="0"/>
        <w:autoSpaceDE/>
        <w:autoSpaceDN/>
        <w:bidi w:val="0"/>
        <w:snapToGrid w:val="0"/>
        <w:spacing w:before="0" w:after="0" w:line="360" w:lineRule="auto"/>
        <w:ind w:left="0" w:leftChars="0" w:right="0" w:firstLine="480" w:firstLineChars="200"/>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（4）</w:t>
      </w:r>
      <w:r>
        <w:rPr>
          <w:rFonts w:hint="eastAsia" w:ascii="Times New Roman" w:hAnsi="Times New Roman" w:eastAsia="宋体" w:cs="Times New Roman"/>
          <w:color w:val="000000"/>
          <w:kern w:val="2"/>
          <w:sz w:val="24"/>
          <w:szCs w:val="24"/>
          <w:highlight w:val="none"/>
          <w:lang w:val="en-US" w:eastAsia="zh-CN" w:bidi="ar-SA"/>
        </w:rPr>
        <w:t>制定安全操作规程，加强职工安全教育，加强电磁水平监测。</w:t>
      </w:r>
    </w:p>
    <w:p w14:paraId="08138973">
      <w:pPr>
        <w:pStyle w:val="11"/>
        <w:pageBreakBefore w:val="0"/>
        <w:kinsoku/>
        <w:wordWrap/>
        <w:topLinePunct w:val="0"/>
        <w:autoSpaceDE/>
        <w:autoSpaceDN/>
        <w:bidi w:val="0"/>
        <w:snapToGrid w:val="0"/>
        <w:spacing w:before="0" w:after="0" w:line="360" w:lineRule="auto"/>
        <w:ind w:left="0" w:leftChars="0" w:right="0" w:firstLine="480" w:firstLineChars="200"/>
        <w:textAlignment w:val="auto"/>
        <w:rPr>
          <w:rFonts w:ascii="宋体" w:hAnsi="宋体" w:eastAsia="宋体" w:cs="宋体"/>
          <w:spacing w:val="-1"/>
          <w:sz w:val="24"/>
          <w:szCs w:val="24"/>
        </w:rPr>
      </w:pPr>
      <w:r>
        <w:rPr>
          <w:rFonts w:hint="eastAsia" w:cs="Times New Roman"/>
          <w:color w:val="000000"/>
          <w:kern w:val="2"/>
          <w:sz w:val="24"/>
          <w:szCs w:val="24"/>
          <w:highlight w:val="none"/>
          <w:lang w:val="en-US" w:eastAsia="zh-CN" w:bidi="ar-SA"/>
        </w:rPr>
        <w:t>（5）</w:t>
      </w:r>
      <w:r>
        <w:rPr>
          <w:rFonts w:ascii="宋体" w:hAnsi="宋体" w:eastAsia="宋体" w:cs="宋体"/>
          <w:spacing w:val="-3"/>
          <w:sz w:val="24"/>
          <w:szCs w:val="24"/>
        </w:rPr>
        <w:t>升压站及线路已安装符合设计、国家要求的配电</w:t>
      </w:r>
      <w:r>
        <w:rPr>
          <w:rFonts w:ascii="宋体" w:hAnsi="宋体" w:eastAsia="宋体" w:cs="宋体"/>
          <w:spacing w:val="-4"/>
          <w:sz w:val="24"/>
          <w:szCs w:val="24"/>
        </w:rPr>
        <w:t>设备，通过</w:t>
      </w:r>
      <w:r>
        <w:rPr>
          <w:rFonts w:ascii="宋体" w:hAnsi="宋体" w:eastAsia="宋体" w:cs="宋体"/>
          <w:spacing w:val="-3"/>
          <w:sz w:val="24"/>
          <w:szCs w:val="24"/>
        </w:rPr>
        <w:t>现场监测，</w:t>
      </w:r>
      <w:r>
        <w:rPr>
          <w:rFonts w:hint="eastAsia" w:ascii="宋体" w:hAnsi="宋体" w:cs="宋体"/>
          <w:spacing w:val="-3"/>
          <w:sz w:val="24"/>
          <w:szCs w:val="24"/>
          <w:lang w:val="en-US" w:eastAsia="zh-CN"/>
        </w:rPr>
        <w:t>工程</w:t>
      </w:r>
      <w:r>
        <w:rPr>
          <w:rFonts w:ascii="宋体" w:hAnsi="宋体" w:eastAsia="宋体" w:cs="宋体"/>
          <w:spacing w:val="-3"/>
          <w:sz w:val="24"/>
          <w:szCs w:val="24"/>
        </w:rPr>
        <w:t>运行期间产生的</w:t>
      </w:r>
      <w:r>
        <w:rPr>
          <w:rFonts w:hint="default" w:ascii="Times New Roman" w:hAnsi="Times New Roman" w:cs="Times New Roman"/>
          <w:color w:val="000000" w:themeColor="text1"/>
          <w:sz w:val="24"/>
          <w:szCs w:val="24"/>
          <w14:textFill>
            <w14:solidFill>
              <w14:schemeClr w14:val="tx1"/>
            </w14:solidFill>
          </w14:textFill>
        </w:rPr>
        <w:t>工频电场强度</w:t>
      </w:r>
      <w:r>
        <w:rPr>
          <w:rFonts w:hint="eastAsia" w:ascii="Times New Roman" w:hAnsi="Times New Roman" w:cs="Times New Roman"/>
          <w:color w:val="000000" w:themeColor="text1"/>
          <w:sz w:val="24"/>
          <w:szCs w:val="24"/>
          <w:lang w:val="en-US" w:eastAsia="zh-CN"/>
          <w14:textFill>
            <w14:solidFill>
              <w14:schemeClr w14:val="tx1"/>
            </w14:solidFill>
          </w14:textFill>
        </w:rPr>
        <w:t>和</w:t>
      </w:r>
      <w:r>
        <w:rPr>
          <w:rFonts w:hint="default" w:ascii="Times New Roman" w:hAnsi="Times New Roman" w:cs="Times New Roman"/>
          <w:color w:val="000000" w:themeColor="text1"/>
          <w:sz w:val="24"/>
          <w:szCs w:val="24"/>
          <w14:textFill>
            <w14:solidFill>
              <w14:schemeClr w14:val="tx1"/>
            </w14:solidFill>
          </w14:textFill>
        </w:rPr>
        <w:t>工频磁感应强度</w:t>
      </w:r>
      <w:r>
        <w:rPr>
          <w:rFonts w:ascii="宋体" w:hAnsi="宋体" w:eastAsia="宋体" w:cs="宋体"/>
          <w:spacing w:val="-3"/>
          <w:sz w:val="24"/>
          <w:szCs w:val="24"/>
        </w:rPr>
        <w:t>均符合国家标准限值要求。后续加强对工作人员进行有关电磁环境知识的培训，定期检查电器设备，加</w:t>
      </w:r>
      <w:r>
        <w:rPr>
          <w:rFonts w:ascii="宋体" w:hAnsi="宋体" w:eastAsia="宋体" w:cs="宋体"/>
          <w:spacing w:val="-1"/>
          <w:sz w:val="24"/>
          <w:szCs w:val="24"/>
        </w:rPr>
        <w:t>强设备日常管理和维护，避免设备损坏。</w:t>
      </w:r>
      <w:bookmarkEnd w:id="17"/>
      <w:bookmarkStart w:id="65" w:name="_Toc29134"/>
      <w:bookmarkStart w:id="66" w:name="_Toc27087"/>
      <w:bookmarkStart w:id="67" w:name="_Toc12072"/>
      <w:bookmarkStart w:id="68" w:name="_Toc8621"/>
    </w:p>
    <w:p w14:paraId="67B1CBD9">
      <w:pPr>
        <w:pStyle w:val="3"/>
        <w:keepLines/>
        <w:pageBreakBefore w:val="0"/>
        <w:tabs>
          <w:tab w:val="left" w:pos="425"/>
        </w:tabs>
        <w:kinsoku/>
        <w:wordWrap/>
        <w:topLinePunct w:val="0"/>
        <w:autoSpaceDE/>
        <w:autoSpaceDN/>
        <w:bidi w:val="0"/>
        <w:adjustRightInd w:val="0"/>
        <w:snapToGrid w:val="0"/>
        <w:spacing w:before="0" w:after="0" w:line="360" w:lineRule="auto"/>
        <w:ind w:left="0" w:leftChars="0" w:right="0" w:firstLine="0" w:firstLineChars="0"/>
        <w:jc w:val="both"/>
        <w:textAlignment w:val="auto"/>
        <w:rPr>
          <w:rFonts w:hint="eastAsia" w:ascii="Times New Roman" w:hAnsi="Times New Roman" w:eastAsia="宋体" w:cs="Times New Roman"/>
          <w:b/>
          <w:bCs w:val="0"/>
          <w:color w:val="000000"/>
          <w:kern w:val="0"/>
          <w:sz w:val="24"/>
          <w:szCs w:val="24"/>
          <w:lang w:val="en-US" w:eastAsia="zh-CN" w:bidi="ar-SA"/>
        </w:rPr>
      </w:pPr>
      <w:r>
        <w:rPr>
          <w:rFonts w:hint="eastAsia" w:ascii="Times New Roman" w:hAnsi="Times New Roman" w:eastAsia="宋体" w:cs="Times New Roman"/>
          <w:b/>
          <w:bCs w:val="0"/>
          <w:color w:val="000000"/>
          <w:kern w:val="0"/>
          <w:sz w:val="24"/>
          <w:szCs w:val="24"/>
          <w:lang w:val="en-US" w:eastAsia="zh-CN" w:bidi="ar-SA"/>
        </w:rPr>
        <w:t>4电磁环境影响评价结论</w:t>
      </w:r>
      <w:bookmarkEnd w:id="65"/>
      <w:bookmarkEnd w:id="66"/>
      <w:bookmarkEnd w:id="67"/>
      <w:bookmarkEnd w:id="68"/>
    </w:p>
    <w:p w14:paraId="546B828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outlineLvl w:val="9"/>
        <w:rPr>
          <w:rFonts w:hint="eastAsia" w:ascii="Times New Roman" w:hAnsi="Times New Roman" w:eastAsia="宋体" w:cs="Times New Roman"/>
          <w:b/>
          <w:bCs w:val="0"/>
          <w:color w:val="000000"/>
          <w:kern w:val="0"/>
          <w:sz w:val="24"/>
          <w:szCs w:val="24"/>
          <w:lang w:val="en-US" w:eastAsia="zh-CN" w:bidi="ar-SA"/>
        </w:rPr>
      </w:pPr>
      <w:r>
        <w:rPr>
          <w:rFonts w:hint="eastAsia" w:ascii="宋体" w:hAnsi="宋体"/>
          <w:color w:val="000000"/>
          <w:sz w:val="24"/>
          <w:highlight w:val="none"/>
        </w:rPr>
        <w:t>根据</w:t>
      </w:r>
      <w:r>
        <w:rPr>
          <w:rFonts w:hint="eastAsia" w:ascii="宋体" w:hAnsi="宋体"/>
          <w:color w:val="000000"/>
          <w:kern w:val="0"/>
          <w:sz w:val="24"/>
          <w:highlight w:val="none"/>
          <w:lang w:val="en-US" w:eastAsia="zh-CN"/>
        </w:rPr>
        <w:t>现状监测结果</w:t>
      </w:r>
      <w:r>
        <w:rPr>
          <w:rFonts w:hint="eastAsia" w:ascii="宋体" w:hAnsi="宋体"/>
          <w:color w:val="000000"/>
          <w:sz w:val="24"/>
          <w:highlight w:val="none"/>
        </w:rPr>
        <w:t>分析可知，</w:t>
      </w:r>
      <w:r>
        <w:rPr>
          <w:rFonts w:hint="eastAsia" w:ascii="宋体" w:hAnsi="宋体"/>
          <w:color w:val="000000"/>
          <w:sz w:val="24"/>
          <w:highlight w:val="none"/>
          <w:lang w:val="en-US" w:eastAsia="zh-CN"/>
        </w:rPr>
        <w:t>本工程</w:t>
      </w:r>
      <w:r>
        <w:rPr>
          <w:rFonts w:hint="eastAsia" w:ascii="宋体" w:hAnsi="宋体"/>
          <w:color w:val="000000"/>
          <w:sz w:val="24"/>
          <w:highlight w:val="none"/>
        </w:rPr>
        <w:t>运行产生的</w:t>
      </w:r>
      <w:r>
        <w:rPr>
          <w:rFonts w:ascii="宋体" w:hAnsi="宋体" w:eastAsia="宋体" w:cs="宋体"/>
          <w:spacing w:val="-1"/>
          <w:sz w:val="24"/>
          <w:szCs w:val="24"/>
        </w:rPr>
        <w:t>工频电场强度和工频磁</w:t>
      </w:r>
      <w:r>
        <w:rPr>
          <w:rFonts w:ascii="宋体" w:hAnsi="宋体" w:eastAsia="宋体" w:cs="宋体"/>
          <w:spacing w:val="-2"/>
          <w:sz w:val="24"/>
          <w:szCs w:val="24"/>
        </w:rPr>
        <w:t>感应强度均满足《电磁环</w:t>
      </w:r>
      <w:r>
        <w:rPr>
          <w:rFonts w:ascii="宋体" w:hAnsi="宋体" w:eastAsia="宋体" w:cs="宋体"/>
          <w:spacing w:val="1"/>
          <w:sz w:val="24"/>
          <w:szCs w:val="24"/>
        </w:rPr>
        <w:t>境控制限值》（</w:t>
      </w:r>
      <w:r>
        <w:rPr>
          <w:rFonts w:ascii="Times New Roman" w:hAnsi="Times New Roman" w:eastAsia="Times New Roman" w:cs="Times New Roman"/>
          <w:sz w:val="24"/>
          <w:szCs w:val="24"/>
        </w:rPr>
        <w:t>GB</w:t>
      </w:r>
      <w:r>
        <w:rPr>
          <w:rFonts w:hint="eastAsia" w:eastAsia="宋体" w:cs="Times New Roman"/>
          <w:sz w:val="24"/>
          <w:szCs w:val="24"/>
          <w:lang w:val="en-US" w:eastAsia="zh-CN"/>
        </w:rPr>
        <w:t xml:space="preserve"> </w:t>
      </w:r>
      <w:r>
        <w:rPr>
          <w:rFonts w:ascii="Times New Roman" w:hAnsi="Times New Roman" w:eastAsia="Times New Roman" w:cs="Times New Roman"/>
          <w:spacing w:val="1"/>
          <w:sz w:val="24"/>
          <w:szCs w:val="24"/>
        </w:rPr>
        <w:t>8702-2014</w:t>
      </w:r>
      <w:r>
        <w:rPr>
          <w:rFonts w:ascii="宋体" w:hAnsi="宋体" w:eastAsia="宋体" w:cs="宋体"/>
          <w:spacing w:val="1"/>
          <w:sz w:val="24"/>
          <w:szCs w:val="24"/>
        </w:rPr>
        <w:t>）中规</w:t>
      </w:r>
      <w:r>
        <w:rPr>
          <w:rFonts w:ascii="宋体" w:hAnsi="宋体" w:eastAsia="宋体" w:cs="宋体"/>
          <w:sz w:val="24"/>
          <w:szCs w:val="24"/>
        </w:rPr>
        <w:t>定的标准限值要求。从电磁环境保护角度分析，</w:t>
      </w:r>
      <w:r>
        <w:rPr>
          <w:rFonts w:ascii="宋体" w:hAnsi="宋体" w:eastAsia="宋体" w:cs="宋体"/>
          <w:spacing w:val="-2"/>
          <w:sz w:val="24"/>
          <w:szCs w:val="24"/>
        </w:rPr>
        <w:t>工程建设可行</w:t>
      </w:r>
      <w:r>
        <w:rPr>
          <w:rFonts w:hint="eastAsia" w:ascii="宋体" w:hAnsi="宋体" w:cs="宋体"/>
          <w:spacing w:val="-2"/>
          <w:sz w:val="24"/>
          <w:szCs w:val="24"/>
          <w:lang w:eastAsia="zh-CN"/>
        </w:rPr>
        <w:t>，</w:t>
      </w:r>
      <w:r>
        <w:rPr>
          <w:rFonts w:hint="eastAsia" w:ascii="宋体" w:hAnsi="宋体" w:cs="宋体"/>
          <w:spacing w:val="-2"/>
          <w:sz w:val="24"/>
          <w:szCs w:val="24"/>
          <w:lang w:val="en-US" w:eastAsia="zh-CN"/>
        </w:rPr>
        <w:t>采</w:t>
      </w:r>
      <w:r>
        <w:rPr>
          <w:rFonts w:hint="eastAsia" w:ascii="宋体" w:hAnsi="宋体" w:eastAsia="宋体" w:cs="宋体"/>
          <w:sz w:val="24"/>
          <w:szCs w:val="24"/>
          <w:lang w:val="en-US" w:eastAsia="zh-CN"/>
        </w:rPr>
        <w:t>取的电磁环境保护措施可行</w:t>
      </w:r>
      <w:r>
        <w:rPr>
          <w:rFonts w:hint="eastAsia" w:cs="宋体"/>
          <w:sz w:val="24"/>
          <w:szCs w:val="24"/>
          <w:lang w:val="en-US" w:eastAsia="zh-CN"/>
        </w:rPr>
        <w:t>。</w:t>
      </w:r>
    </w:p>
    <w:sectPr>
      <w:footerReference r:id="rId10"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auto"/>
    <w:pitch w:val="default"/>
    <w:sig w:usb0="00000000" w:usb1="0000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华文行楷">
    <w:altName w:val="微软雅黑"/>
    <w:panose1 w:val="02010800040101010101"/>
    <w:charset w:val="86"/>
    <w:family w:val="auto"/>
    <w:pitch w:val="default"/>
    <w:sig w:usb0="00000000" w:usb1="00000000" w:usb2="00000000" w:usb3="00000000" w:csb0="00040000" w:csb1="00000000"/>
  </w:font>
  <w:font w:name="Kingsoft UE">
    <w:panose1 w:val="02000100010000000000"/>
    <w:charset w:val="00"/>
    <w:family w:val="auto"/>
    <w:pitch w:val="default"/>
    <w:sig w:usb0="00000001" w:usb1="00004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08AC0">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F8470">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D4305">
    <w:pPr>
      <w:pStyle w:val="19"/>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FA492">
                          <w:pPr>
                            <w:pStyle w:val="19"/>
                            <w:rPr>
                              <w:rStyle w:val="33"/>
                              <w:rFonts w:ascii="宋体" w:hAnsi="宋体"/>
                              <w:sz w:val="28"/>
                              <w:szCs w:val="28"/>
                            </w:rPr>
                          </w:pPr>
                          <w:r>
                            <w:rPr>
                              <w:rStyle w:val="33"/>
                              <w:rFonts w:hint="eastAsia" w:ascii="宋体" w:hAnsi="宋体"/>
                              <w:sz w:val="28"/>
                              <w:szCs w:val="28"/>
                            </w:rPr>
                            <w:t>—</w:t>
                          </w:r>
                          <w:r>
                            <w:rPr>
                              <w:sz w:val="24"/>
                              <w:szCs w:val="24"/>
                            </w:rPr>
                            <w:fldChar w:fldCharType="begin"/>
                          </w:r>
                          <w:r>
                            <w:rPr>
                              <w:rStyle w:val="33"/>
                              <w:sz w:val="24"/>
                              <w:szCs w:val="24"/>
                            </w:rPr>
                            <w:instrText xml:space="preserve">PAGE  </w:instrText>
                          </w:r>
                          <w:r>
                            <w:rPr>
                              <w:sz w:val="24"/>
                              <w:szCs w:val="24"/>
                            </w:rPr>
                            <w:fldChar w:fldCharType="separate"/>
                          </w:r>
                          <w:r>
                            <w:rPr>
                              <w:rStyle w:val="33"/>
                              <w:sz w:val="24"/>
                              <w:szCs w:val="24"/>
                            </w:rPr>
                            <w:t>48</w:t>
                          </w:r>
                          <w:r>
                            <w:rPr>
                              <w:sz w:val="24"/>
                              <w:szCs w:val="24"/>
                            </w:rPr>
                            <w:fldChar w:fldCharType="end"/>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F2FA492">
                    <w:pPr>
                      <w:pStyle w:val="19"/>
                      <w:rPr>
                        <w:rStyle w:val="33"/>
                        <w:rFonts w:ascii="宋体" w:hAnsi="宋体"/>
                        <w:sz w:val="28"/>
                        <w:szCs w:val="28"/>
                      </w:rPr>
                    </w:pPr>
                    <w:r>
                      <w:rPr>
                        <w:rStyle w:val="33"/>
                        <w:rFonts w:hint="eastAsia" w:ascii="宋体" w:hAnsi="宋体"/>
                        <w:sz w:val="28"/>
                        <w:szCs w:val="28"/>
                      </w:rPr>
                      <w:t>—</w:t>
                    </w:r>
                    <w:r>
                      <w:rPr>
                        <w:sz w:val="24"/>
                        <w:szCs w:val="24"/>
                      </w:rPr>
                      <w:fldChar w:fldCharType="begin"/>
                    </w:r>
                    <w:r>
                      <w:rPr>
                        <w:rStyle w:val="33"/>
                        <w:sz w:val="24"/>
                        <w:szCs w:val="24"/>
                      </w:rPr>
                      <w:instrText xml:space="preserve">PAGE  </w:instrText>
                    </w:r>
                    <w:r>
                      <w:rPr>
                        <w:sz w:val="24"/>
                        <w:szCs w:val="24"/>
                      </w:rPr>
                      <w:fldChar w:fldCharType="separate"/>
                    </w:r>
                    <w:r>
                      <w:rPr>
                        <w:rStyle w:val="33"/>
                        <w:sz w:val="24"/>
                        <w:szCs w:val="24"/>
                      </w:rPr>
                      <w:t>48</w:t>
                    </w:r>
                    <w:r>
                      <w:rPr>
                        <w:sz w:val="24"/>
                        <w:szCs w:val="24"/>
                      </w:rPr>
                      <w:fldChar w:fldCharType="end"/>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CA0D3">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1B74B">
                          <w:pPr>
                            <w:pStyle w:val="19"/>
                            <w:rPr>
                              <w:rStyle w:val="33"/>
                              <w:rFonts w:ascii="宋体" w:hAnsi="宋体"/>
                              <w:sz w:val="28"/>
                              <w:szCs w:val="28"/>
                            </w:rPr>
                          </w:pPr>
                          <w:r>
                            <w:rPr>
                              <w:rStyle w:val="33"/>
                              <w:rFonts w:hint="eastAsia" w:ascii="宋体" w:hAnsi="宋体"/>
                              <w:sz w:val="28"/>
                              <w:szCs w:val="28"/>
                            </w:rPr>
                            <w:t>—</w:t>
                          </w:r>
                          <w:r>
                            <w:rPr>
                              <w:rFonts w:ascii="宋体" w:hAnsi="宋体"/>
                              <w:sz w:val="24"/>
                              <w:szCs w:val="24"/>
                            </w:rPr>
                            <w:fldChar w:fldCharType="begin"/>
                          </w:r>
                          <w:r>
                            <w:rPr>
                              <w:rStyle w:val="33"/>
                              <w:rFonts w:ascii="宋体" w:hAnsi="宋体"/>
                              <w:sz w:val="24"/>
                              <w:szCs w:val="24"/>
                            </w:rPr>
                            <w:instrText xml:space="preserve">PAGE  </w:instrText>
                          </w:r>
                          <w:r>
                            <w:rPr>
                              <w:rFonts w:ascii="宋体" w:hAnsi="宋体"/>
                              <w:sz w:val="24"/>
                              <w:szCs w:val="24"/>
                            </w:rPr>
                            <w:fldChar w:fldCharType="separate"/>
                          </w:r>
                          <w:r>
                            <w:rPr>
                              <w:rStyle w:val="33"/>
                              <w:rFonts w:ascii="宋体" w:hAnsi="宋体"/>
                              <w:sz w:val="24"/>
                              <w:szCs w:val="24"/>
                            </w:rPr>
                            <w:t>54</w:t>
                          </w:r>
                          <w:r>
                            <w:rPr>
                              <w:rFonts w:ascii="宋体" w:hAnsi="宋体"/>
                              <w:sz w:val="24"/>
                              <w:szCs w:val="24"/>
                            </w:rPr>
                            <w:fldChar w:fldCharType="end"/>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DD1B74B">
                    <w:pPr>
                      <w:pStyle w:val="19"/>
                      <w:rPr>
                        <w:rStyle w:val="33"/>
                        <w:rFonts w:ascii="宋体" w:hAnsi="宋体"/>
                        <w:sz w:val="28"/>
                        <w:szCs w:val="28"/>
                      </w:rPr>
                    </w:pPr>
                    <w:r>
                      <w:rPr>
                        <w:rStyle w:val="33"/>
                        <w:rFonts w:hint="eastAsia" w:ascii="宋体" w:hAnsi="宋体"/>
                        <w:sz w:val="28"/>
                        <w:szCs w:val="28"/>
                      </w:rPr>
                      <w:t>—</w:t>
                    </w:r>
                    <w:r>
                      <w:rPr>
                        <w:rFonts w:ascii="宋体" w:hAnsi="宋体"/>
                        <w:sz w:val="24"/>
                        <w:szCs w:val="24"/>
                      </w:rPr>
                      <w:fldChar w:fldCharType="begin"/>
                    </w:r>
                    <w:r>
                      <w:rPr>
                        <w:rStyle w:val="33"/>
                        <w:rFonts w:ascii="宋体" w:hAnsi="宋体"/>
                        <w:sz w:val="24"/>
                        <w:szCs w:val="24"/>
                      </w:rPr>
                      <w:instrText xml:space="preserve">PAGE  </w:instrText>
                    </w:r>
                    <w:r>
                      <w:rPr>
                        <w:rFonts w:ascii="宋体" w:hAnsi="宋体"/>
                        <w:sz w:val="24"/>
                        <w:szCs w:val="24"/>
                      </w:rPr>
                      <w:fldChar w:fldCharType="separate"/>
                    </w:r>
                    <w:r>
                      <w:rPr>
                        <w:rStyle w:val="33"/>
                        <w:rFonts w:ascii="宋体" w:hAnsi="宋体"/>
                        <w:sz w:val="24"/>
                        <w:szCs w:val="24"/>
                      </w:rPr>
                      <w:t>54</w:t>
                    </w:r>
                    <w:r>
                      <w:rPr>
                        <w:rFonts w:ascii="宋体" w:hAnsi="宋体"/>
                        <w:sz w:val="24"/>
                        <w:szCs w:val="24"/>
                      </w:rPr>
                      <w:fldChar w:fldCharType="end"/>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A022">
    <w:pPr>
      <w:pStyle w:val="19"/>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92443">
                          <w:pPr>
                            <w:pStyle w:val="19"/>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FD92443">
                    <w:pPr>
                      <w:pStyle w:val="19"/>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E2770">
    <w:pPr>
      <w:pStyle w:val="2"/>
      <w:pBdr>
        <w:bottom w:val="none" w:color="auto" w:sz="0" w:space="1"/>
      </w:pBdr>
      <w:rPr>
        <w:rFonts w:hint="eastAsia" w:ascii="华文行楷" w:hAnsi="Cambria" w:eastAsia="华文行楷"/>
        <w:sz w:val="32"/>
        <w:szCs w:val="32"/>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F7D47"/>
    <w:multiLevelType w:val="singleLevel"/>
    <w:tmpl w:val="860F7D47"/>
    <w:lvl w:ilvl="0" w:tentative="0">
      <w:start w:val="1"/>
      <w:numFmt w:val="decimal"/>
      <w:suff w:val="nothing"/>
      <w:lvlText w:val="（%1）"/>
      <w:lvlJc w:val="left"/>
    </w:lvl>
  </w:abstractNum>
  <w:abstractNum w:abstractNumId="1">
    <w:nsid w:val="88A8FD9B"/>
    <w:multiLevelType w:val="singleLevel"/>
    <w:tmpl w:val="88A8FD9B"/>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2">
    <w:nsid w:val="C6976A9E"/>
    <w:multiLevelType w:val="singleLevel"/>
    <w:tmpl w:val="C6976A9E"/>
    <w:lvl w:ilvl="0" w:tentative="0">
      <w:start w:val="6"/>
      <w:numFmt w:val="chineseCounting"/>
      <w:suff w:val="nothing"/>
      <w:lvlText w:val="%1、"/>
      <w:lvlJc w:val="left"/>
      <w:rPr>
        <w:rFonts w:hint="eastAsia"/>
      </w:rPr>
    </w:lvl>
  </w:abstractNum>
  <w:abstractNum w:abstractNumId="3">
    <w:nsid w:val="F784BB95"/>
    <w:multiLevelType w:val="singleLevel"/>
    <w:tmpl w:val="F784BB95"/>
    <w:lvl w:ilvl="0" w:tentative="0">
      <w:start w:val="5"/>
      <w:numFmt w:val="chineseCounting"/>
      <w:suff w:val="nothing"/>
      <w:lvlText w:val="%1、"/>
      <w:lvlJc w:val="left"/>
      <w:rPr>
        <w:rFonts w:hint="eastAsia"/>
      </w:rPr>
    </w:lvl>
  </w:abstractNum>
  <w:abstractNum w:abstractNumId="4">
    <w:nsid w:val="575B00DC"/>
    <w:multiLevelType w:val="multilevel"/>
    <w:tmpl w:val="575B00DC"/>
    <w:lvl w:ilvl="0" w:tentative="0">
      <w:start w:val="1"/>
      <w:numFmt w:val="decimal"/>
      <w:suff w:val="nothing"/>
      <w:lvlText w:val="第%1章  "/>
      <w:lvlJc w:val="center"/>
      <w:pPr>
        <w:ind w:left="1276" w:firstLine="0"/>
      </w:pPr>
      <w:rPr>
        <w:rFonts w:hint="eastAsia"/>
        <w:b w:val="0"/>
        <w:bCs w:val="0"/>
        <w:i w:val="0"/>
        <w:iCs w:val="0"/>
        <w:caps w:val="0"/>
        <w:smallCaps w:val="0"/>
        <w:strike w:val="0"/>
        <w:dstrike w:val="0"/>
        <w:vanish w:val="0"/>
        <w:color w:val="000000"/>
        <w:spacing w:val="0"/>
        <w:position w:val="0"/>
        <w:sz w:val="48"/>
        <w:szCs w:val="48"/>
        <w:u w:val="none"/>
        <w:vertAlign w:val="baseline"/>
        <w:lang w:val="en-US"/>
      </w:rPr>
    </w:lvl>
    <w:lvl w:ilvl="1" w:tentative="0">
      <w:start w:val="1"/>
      <w:numFmt w:val="decimal"/>
      <w:isLgl/>
      <w:suff w:val="nothing"/>
      <w:lvlText w:val="%1.%2 "/>
      <w:lvlJc w:val="left"/>
      <w:pPr>
        <w:ind w:left="0" w:firstLine="0"/>
      </w:pPr>
      <w:rPr>
        <w:rFonts w:hint="default" w:ascii="黑体" w:hAnsi="黑体" w:eastAsia="黑体" w:cs="Times New Roman"/>
        <w:b/>
        <w:bCs w:val="0"/>
        <w:i w:val="0"/>
        <w:iCs w:val="0"/>
        <w:caps w:val="0"/>
        <w:smallCaps w:val="0"/>
        <w:strike w:val="0"/>
        <w:dstrike w:val="0"/>
        <w:vanish w:val="0"/>
        <w:color w:val="000000"/>
        <w:spacing w:val="0"/>
        <w:position w:val="0"/>
        <w:sz w:val="30"/>
        <w:szCs w:val="30"/>
        <w:u w:val="none"/>
        <w:vertAlign w:val="baseline"/>
      </w:rPr>
    </w:lvl>
    <w:lvl w:ilvl="2" w:tentative="0">
      <w:start w:val="1"/>
      <w:numFmt w:val="decimal"/>
      <w:isLgl/>
      <w:suff w:val="nothing"/>
      <w:lvlText w:val="%1.%2.%3 "/>
      <w:lvlJc w:val="left"/>
      <w:pPr>
        <w:ind w:left="0" w:firstLine="0"/>
      </w:pPr>
      <w:rPr>
        <w:rFonts w:hint="eastAsia" w:cs="Times New Roman"/>
        <w:b/>
        <w:bCs w:val="0"/>
        <w:i w:val="0"/>
        <w:iCs w:val="0"/>
        <w:caps w:val="0"/>
        <w:smallCaps w:val="0"/>
        <w:strike w:val="0"/>
        <w:dstrike w:val="0"/>
        <w:vanish w:val="0"/>
        <w:color w:val="000000"/>
        <w:spacing w:val="0"/>
        <w:position w:val="0"/>
        <w:u w:val="none"/>
        <w:vertAlign w:val="baseline"/>
      </w:rPr>
    </w:lvl>
    <w:lvl w:ilvl="3" w:tentative="0">
      <w:start w:val="1"/>
      <w:numFmt w:val="decimal"/>
      <w:pStyle w:val="157"/>
      <w:isLgl/>
      <w:suff w:val="nothing"/>
      <w:lvlText w:val="%1.%2.%3.%4 "/>
      <w:lvlJc w:val="left"/>
      <w:pPr>
        <w:ind w:left="0" w:firstLine="0"/>
      </w:pPr>
      <w:rPr>
        <w:rFonts w:hint="eastAsia"/>
        <w:b w:val="0"/>
        <w:bCs w:val="0"/>
        <w:i w:val="0"/>
        <w:iCs w:val="0"/>
        <w:caps w:val="0"/>
        <w:smallCaps w:val="0"/>
        <w:strike w:val="0"/>
        <w:dstrike w:val="0"/>
        <w:vanish w:val="0"/>
        <w:color w:val="000000"/>
        <w:spacing w:val="0"/>
        <w:kern w:val="0"/>
        <w:position w:val="0"/>
        <w:u w:val="none"/>
        <w:vertAlign w:val="baseline"/>
      </w:rPr>
    </w:lvl>
    <w:lvl w:ilvl="4" w:tentative="0">
      <w:start w:val="1"/>
      <w:numFmt w:val="decimal"/>
      <w:isLgl/>
      <w:suff w:val="nothing"/>
      <w:lvlText w:val="%1.%2.%3.%4.%5  "/>
      <w:lvlJc w:val="left"/>
      <w:pPr>
        <w:ind w:left="425" w:firstLine="0"/>
      </w:pPr>
      <w:rPr>
        <w:rFonts w:hint="default" w:ascii="Arial" w:hAnsi="Arial" w:eastAsia="黑体" w:cs="Arial"/>
        <w:sz w:val="21"/>
        <w:szCs w:val="21"/>
      </w:rPr>
    </w:lvl>
    <w:lvl w:ilvl="5" w:tentative="0">
      <w:start w:val="1"/>
      <w:numFmt w:val="lowerLetter"/>
      <w:lvlText w:val="%6."/>
      <w:lvlJc w:val="left"/>
      <w:pPr>
        <w:tabs>
          <w:tab w:val="left" w:pos="2836"/>
        </w:tabs>
        <w:ind w:left="425" w:firstLine="0"/>
      </w:pPr>
      <w:rPr>
        <w:rFonts w:hint="eastAsia"/>
      </w:rPr>
    </w:lvl>
    <w:lvl w:ilvl="6" w:tentative="0">
      <w:start w:val="1"/>
      <w:numFmt w:val="lowerRoman"/>
      <w:lvlText w:val="%7."/>
      <w:lvlJc w:val="left"/>
      <w:pPr>
        <w:tabs>
          <w:tab w:val="left" w:pos="3262"/>
        </w:tabs>
        <w:ind w:left="425" w:firstLine="0"/>
      </w:pPr>
      <w:rPr>
        <w:rFonts w:hint="eastAsia"/>
      </w:rPr>
    </w:lvl>
    <w:lvl w:ilvl="7" w:tentative="0">
      <w:start w:val="1"/>
      <w:numFmt w:val="lowerLetter"/>
      <w:lvlText w:val="%8."/>
      <w:lvlJc w:val="left"/>
      <w:pPr>
        <w:tabs>
          <w:tab w:val="left" w:pos="3687"/>
        </w:tabs>
        <w:ind w:left="425" w:firstLine="0"/>
      </w:pPr>
      <w:rPr>
        <w:rFonts w:hint="eastAsia"/>
      </w:rPr>
    </w:lvl>
    <w:lvl w:ilvl="8" w:tentative="0">
      <w:start w:val="1"/>
      <w:numFmt w:val="lowerRoman"/>
      <w:lvlText w:val="%9."/>
      <w:lvlJc w:val="left"/>
      <w:pPr>
        <w:tabs>
          <w:tab w:val="left" w:pos="4112"/>
        </w:tabs>
        <w:ind w:left="425" w:firstLine="0"/>
      </w:pPr>
      <w:rPr>
        <w:rFonts w:hint="eastAsia"/>
      </w:rPr>
    </w:lvl>
  </w:abstractNum>
  <w:abstractNum w:abstractNumId="5">
    <w:nsid w:val="5BC1402C"/>
    <w:multiLevelType w:val="multilevel"/>
    <w:tmpl w:val="5BC1402C"/>
    <w:lvl w:ilvl="0" w:tentative="0">
      <w:start w:val="1"/>
      <w:numFmt w:val="decimal"/>
      <w:suff w:val="space"/>
      <w:lvlText w:val="第%1章"/>
      <w:lvlJc w:val="left"/>
      <w:pPr>
        <w:ind w:left="0" w:firstLine="0"/>
      </w:pPr>
      <w:rPr>
        <w:rFonts w:hint="eastAsia" w:ascii="隶书" w:eastAsia="隶书"/>
        <w:b/>
        <w:bCs/>
        <w:i w:val="0"/>
        <w:iCs w:val="0"/>
        <w:sz w:val="44"/>
        <w:szCs w:val="44"/>
        <w:lang w:val="en-US"/>
      </w:rPr>
    </w:lvl>
    <w:lvl w:ilvl="1" w:tentative="0">
      <w:start w:val="1"/>
      <w:numFmt w:val="decimal"/>
      <w:pStyle w:val="134"/>
      <w:suff w:val="space"/>
      <w:lvlText w:val="%1.%2"/>
      <w:lvlJc w:val="left"/>
      <w:pPr>
        <w:ind w:left="0" w:firstLine="0"/>
      </w:pPr>
      <w:rPr>
        <w:rFonts w:hint="eastAsia" w:ascii="黑体" w:hAnsi="黑体" w:eastAsia="黑体"/>
        <w:b/>
        <w:bCs/>
        <w:i w:val="0"/>
        <w:iCs w:val="0"/>
        <w:sz w:val="30"/>
        <w:szCs w:val="30"/>
      </w:rPr>
    </w:lvl>
    <w:lvl w:ilvl="2" w:tentative="0">
      <w:start w:val="1"/>
      <w:numFmt w:val="decimal"/>
      <w:pStyle w:val="132"/>
      <w:suff w:val="space"/>
      <w:lvlText w:val="%1.%2.%3"/>
      <w:lvlJc w:val="left"/>
      <w:pPr>
        <w:ind w:left="0" w:firstLine="0"/>
      </w:pPr>
      <w:rPr>
        <w:rFonts w:hint="eastAsia" w:ascii="宋体" w:hAnsi="宋体" w:eastAsia="宋体" w:cs="Times New Roman"/>
        <w:i w:val="0"/>
        <w:iCs w:val="0"/>
        <w:caps w:val="0"/>
        <w:smallCaps w:val="0"/>
        <w:spacing w:val="0"/>
      </w:rPr>
    </w:lvl>
    <w:lvl w:ilvl="3" w:tentative="0">
      <w:start w:val="1"/>
      <w:numFmt w:val="decimal"/>
      <w:pStyle w:val="146"/>
      <w:suff w:val="space"/>
      <w:lvlText w:val="%1.%2.%3.%4"/>
      <w:lvlJc w:val="left"/>
      <w:pPr>
        <w:ind w:left="0" w:firstLine="0"/>
      </w:pPr>
      <w:rPr>
        <w:rFonts w:hint="eastAsia" w:ascii="宋体" w:hAnsi="宋体" w:eastAsia="宋体" w:cs="Times New Roman"/>
        <w:i w:val="0"/>
        <w:iCs w:val="0"/>
        <w:caps w:val="0"/>
        <w:smallCaps w:val="0"/>
        <w:spacing w:val="0"/>
      </w:rPr>
    </w:lvl>
    <w:lvl w:ilvl="4" w:tentative="0">
      <w:start w:val="0"/>
      <w:numFmt w:val="decimal"/>
      <w:lvlText w:val="%5."/>
      <w:lvlJc w:val="left"/>
      <w:pPr>
        <w:tabs>
          <w:tab w:val="left" w:pos="3600"/>
        </w:tabs>
        <w:ind w:left="3600" w:hanging="360"/>
      </w:pPr>
      <w:rPr>
        <w:rFonts w:hint="eastAsia"/>
      </w:rPr>
    </w:lvl>
    <w:lvl w:ilvl="5" w:tentative="0">
      <w:start w:val="0"/>
      <w:numFmt w:val="decimal"/>
      <w:lvlText w:val="%6."/>
      <w:lvlJc w:val="left"/>
      <w:pPr>
        <w:tabs>
          <w:tab w:val="left" w:pos="4320"/>
        </w:tabs>
        <w:ind w:left="4320" w:hanging="360"/>
      </w:pPr>
      <w:rPr>
        <w:rFonts w:hint="eastAsia"/>
      </w:rPr>
    </w:lvl>
    <w:lvl w:ilvl="6" w:tentative="0">
      <w:start w:val="0"/>
      <w:numFmt w:val="decimal"/>
      <w:lvlText w:val="%7."/>
      <w:lvlJc w:val="left"/>
      <w:pPr>
        <w:tabs>
          <w:tab w:val="left" w:pos="5040"/>
        </w:tabs>
        <w:ind w:left="5040" w:hanging="360"/>
      </w:pPr>
      <w:rPr>
        <w:rFonts w:hint="eastAsia"/>
      </w:rPr>
    </w:lvl>
    <w:lvl w:ilvl="7" w:tentative="0">
      <w:start w:val="0"/>
      <w:numFmt w:val="decimal"/>
      <w:lvlText w:val="%8."/>
      <w:lvlJc w:val="left"/>
      <w:pPr>
        <w:tabs>
          <w:tab w:val="left" w:pos="5760"/>
        </w:tabs>
        <w:ind w:left="5760" w:hanging="360"/>
      </w:pPr>
      <w:rPr>
        <w:rFonts w:hint="eastAsia"/>
      </w:rPr>
    </w:lvl>
    <w:lvl w:ilvl="8" w:tentative="0">
      <w:start w:val="0"/>
      <w:numFmt w:val="decimal"/>
      <w:lvlText w:val="%9."/>
      <w:lvlJc w:val="left"/>
      <w:pPr>
        <w:tabs>
          <w:tab w:val="left" w:pos="6480"/>
        </w:tabs>
        <w:ind w:left="6480" w:hanging="360"/>
      </w:pPr>
      <w:rPr>
        <w:rFonts w:hint="eastAsia"/>
      </w:rPr>
    </w:lvl>
  </w:abstractNum>
  <w:abstractNum w:abstractNumId="6">
    <w:nsid w:val="636C4E16"/>
    <w:multiLevelType w:val="singleLevel"/>
    <w:tmpl w:val="636C4E16"/>
    <w:lvl w:ilvl="0" w:tentative="0">
      <w:start w:val="1"/>
      <w:numFmt w:val="decimal"/>
      <w:suff w:val="nothing"/>
      <w:lvlText w:val="（%1）"/>
      <w:lvlJc w:val="left"/>
    </w:lvl>
  </w:abstractNum>
  <w:abstractNum w:abstractNumId="7">
    <w:nsid w:val="7B73DE5A"/>
    <w:multiLevelType w:val="singleLevel"/>
    <w:tmpl w:val="7B73DE5A"/>
    <w:lvl w:ilvl="0" w:tentative="0">
      <w:start w:val="2"/>
      <w:numFmt w:val="decimal"/>
      <w:suff w:val="nothing"/>
      <w:lvlText w:val="（%1）"/>
      <w:lvlJc w:val="left"/>
    </w:lvl>
  </w:abstractNum>
  <w:num w:numId="1">
    <w:abstractNumId w:val="1"/>
  </w:num>
  <w:num w:numId="2">
    <w:abstractNumId w:val="5"/>
  </w:num>
  <w:num w:numId="3">
    <w:abstractNumId w:val="4"/>
  </w:num>
  <w:num w:numId="4">
    <w:abstractNumId w:val="7"/>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NjAzMWJlZjFkMmQwODUwMTJkYzE2ODFiYmFmYTcifQ=="/>
  </w:docVars>
  <w:rsids>
    <w:rsidRoot w:val="00172A27"/>
    <w:rsid w:val="00004DD6"/>
    <w:rsid w:val="00005402"/>
    <w:rsid w:val="000060B3"/>
    <w:rsid w:val="00036835"/>
    <w:rsid w:val="000372FB"/>
    <w:rsid w:val="0004364B"/>
    <w:rsid w:val="00051C3C"/>
    <w:rsid w:val="00061B1F"/>
    <w:rsid w:val="000621D7"/>
    <w:rsid w:val="00071C32"/>
    <w:rsid w:val="000733C4"/>
    <w:rsid w:val="00074783"/>
    <w:rsid w:val="00077863"/>
    <w:rsid w:val="0008070B"/>
    <w:rsid w:val="000810AC"/>
    <w:rsid w:val="00081A02"/>
    <w:rsid w:val="00082231"/>
    <w:rsid w:val="00090847"/>
    <w:rsid w:val="00091E1A"/>
    <w:rsid w:val="00092509"/>
    <w:rsid w:val="00092D38"/>
    <w:rsid w:val="0009377B"/>
    <w:rsid w:val="000942B7"/>
    <w:rsid w:val="00095FC4"/>
    <w:rsid w:val="000A20C9"/>
    <w:rsid w:val="000B058F"/>
    <w:rsid w:val="000B4467"/>
    <w:rsid w:val="000B4DB9"/>
    <w:rsid w:val="000B6818"/>
    <w:rsid w:val="000C09AC"/>
    <w:rsid w:val="000C0FD3"/>
    <w:rsid w:val="000C5F90"/>
    <w:rsid w:val="000C6BB2"/>
    <w:rsid w:val="000C767F"/>
    <w:rsid w:val="000D5A44"/>
    <w:rsid w:val="000D7379"/>
    <w:rsid w:val="000E3ED2"/>
    <w:rsid w:val="0010601C"/>
    <w:rsid w:val="001113BD"/>
    <w:rsid w:val="00114D1E"/>
    <w:rsid w:val="00120610"/>
    <w:rsid w:val="001213B9"/>
    <w:rsid w:val="00131F42"/>
    <w:rsid w:val="00132E71"/>
    <w:rsid w:val="00133387"/>
    <w:rsid w:val="001357F1"/>
    <w:rsid w:val="00135F10"/>
    <w:rsid w:val="00140FA8"/>
    <w:rsid w:val="00142FEB"/>
    <w:rsid w:val="00143A2D"/>
    <w:rsid w:val="00145A41"/>
    <w:rsid w:val="00147BF7"/>
    <w:rsid w:val="00151675"/>
    <w:rsid w:val="00155F01"/>
    <w:rsid w:val="00157435"/>
    <w:rsid w:val="0017504D"/>
    <w:rsid w:val="0017671A"/>
    <w:rsid w:val="00177422"/>
    <w:rsid w:val="001808E0"/>
    <w:rsid w:val="00180C4F"/>
    <w:rsid w:val="00184590"/>
    <w:rsid w:val="001870D1"/>
    <w:rsid w:val="0018781E"/>
    <w:rsid w:val="0019262D"/>
    <w:rsid w:val="001A1734"/>
    <w:rsid w:val="001A1B35"/>
    <w:rsid w:val="001A48A2"/>
    <w:rsid w:val="001A6F61"/>
    <w:rsid w:val="001B72B8"/>
    <w:rsid w:val="001C00B8"/>
    <w:rsid w:val="001C5FBD"/>
    <w:rsid w:val="001C69B3"/>
    <w:rsid w:val="001D5595"/>
    <w:rsid w:val="001D7874"/>
    <w:rsid w:val="001D7D62"/>
    <w:rsid w:val="001D7F22"/>
    <w:rsid w:val="001E4B55"/>
    <w:rsid w:val="001F0F17"/>
    <w:rsid w:val="001F1CBA"/>
    <w:rsid w:val="001F3347"/>
    <w:rsid w:val="001F3A16"/>
    <w:rsid w:val="001F69E4"/>
    <w:rsid w:val="002125B4"/>
    <w:rsid w:val="002127AE"/>
    <w:rsid w:val="002155B8"/>
    <w:rsid w:val="002168C5"/>
    <w:rsid w:val="00224839"/>
    <w:rsid w:val="002249B2"/>
    <w:rsid w:val="00226574"/>
    <w:rsid w:val="002278EC"/>
    <w:rsid w:val="0023280E"/>
    <w:rsid w:val="002377D1"/>
    <w:rsid w:val="002401CD"/>
    <w:rsid w:val="00241FB8"/>
    <w:rsid w:val="002506BC"/>
    <w:rsid w:val="00254345"/>
    <w:rsid w:val="00264557"/>
    <w:rsid w:val="00272358"/>
    <w:rsid w:val="002805AB"/>
    <w:rsid w:val="002807FE"/>
    <w:rsid w:val="00284204"/>
    <w:rsid w:val="0028794D"/>
    <w:rsid w:val="00291773"/>
    <w:rsid w:val="00292E3C"/>
    <w:rsid w:val="002A168C"/>
    <w:rsid w:val="002A1DEC"/>
    <w:rsid w:val="002A3DC7"/>
    <w:rsid w:val="002B179A"/>
    <w:rsid w:val="002B49E2"/>
    <w:rsid w:val="002B6714"/>
    <w:rsid w:val="002B6923"/>
    <w:rsid w:val="002B7B00"/>
    <w:rsid w:val="002B7C44"/>
    <w:rsid w:val="002C1F5F"/>
    <w:rsid w:val="002C2B17"/>
    <w:rsid w:val="002D269B"/>
    <w:rsid w:val="002D3DD0"/>
    <w:rsid w:val="002D418B"/>
    <w:rsid w:val="002D78DE"/>
    <w:rsid w:val="002E01C1"/>
    <w:rsid w:val="002E1F3A"/>
    <w:rsid w:val="002E298A"/>
    <w:rsid w:val="002E790A"/>
    <w:rsid w:val="002F0CED"/>
    <w:rsid w:val="002F1AAE"/>
    <w:rsid w:val="00300A52"/>
    <w:rsid w:val="00301978"/>
    <w:rsid w:val="0030261A"/>
    <w:rsid w:val="0030332C"/>
    <w:rsid w:val="00303F39"/>
    <w:rsid w:val="0030467A"/>
    <w:rsid w:val="003051C2"/>
    <w:rsid w:val="003100B7"/>
    <w:rsid w:val="00312296"/>
    <w:rsid w:val="00314F0E"/>
    <w:rsid w:val="00321D8E"/>
    <w:rsid w:val="00325928"/>
    <w:rsid w:val="003309F7"/>
    <w:rsid w:val="00332863"/>
    <w:rsid w:val="0033684D"/>
    <w:rsid w:val="00337B42"/>
    <w:rsid w:val="00341B42"/>
    <w:rsid w:val="0034348F"/>
    <w:rsid w:val="003455F1"/>
    <w:rsid w:val="00346D42"/>
    <w:rsid w:val="00353C9B"/>
    <w:rsid w:val="00356653"/>
    <w:rsid w:val="0035743F"/>
    <w:rsid w:val="00357BE2"/>
    <w:rsid w:val="00357F1B"/>
    <w:rsid w:val="0036170C"/>
    <w:rsid w:val="00366E0F"/>
    <w:rsid w:val="00381040"/>
    <w:rsid w:val="00381A72"/>
    <w:rsid w:val="00384676"/>
    <w:rsid w:val="00390857"/>
    <w:rsid w:val="003A4BF3"/>
    <w:rsid w:val="003A6B66"/>
    <w:rsid w:val="003B420D"/>
    <w:rsid w:val="003C468C"/>
    <w:rsid w:val="003C6C16"/>
    <w:rsid w:val="003D21B2"/>
    <w:rsid w:val="003D794D"/>
    <w:rsid w:val="003E2DAE"/>
    <w:rsid w:val="003E2E74"/>
    <w:rsid w:val="003E3058"/>
    <w:rsid w:val="003E76A9"/>
    <w:rsid w:val="003F02F7"/>
    <w:rsid w:val="003F0809"/>
    <w:rsid w:val="003F6A8C"/>
    <w:rsid w:val="003F755C"/>
    <w:rsid w:val="00406F01"/>
    <w:rsid w:val="00414886"/>
    <w:rsid w:val="00415385"/>
    <w:rsid w:val="00416D50"/>
    <w:rsid w:val="00416FD5"/>
    <w:rsid w:val="00417772"/>
    <w:rsid w:val="004206B3"/>
    <w:rsid w:val="00420E6A"/>
    <w:rsid w:val="00425A9E"/>
    <w:rsid w:val="00426D6B"/>
    <w:rsid w:val="00427394"/>
    <w:rsid w:val="004273E1"/>
    <w:rsid w:val="00431E6C"/>
    <w:rsid w:val="00432DB7"/>
    <w:rsid w:val="00433CE7"/>
    <w:rsid w:val="0043711D"/>
    <w:rsid w:val="00452738"/>
    <w:rsid w:val="00456091"/>
    <w:rsid w:val="00466321"/>
    <w:rsid w:val="00466446"/>
    <w:rsid w:val="0046695A"/>
    <w:rsid w:val="00484B9B"/>
    <w:rsid w:val="004855F6"/>
    <w:rsid w:val="0048661E"/>
    <w:rsid w:val="0048778A"/>
    <w:rsid w:val="00494670"/>
    <w:rsid w:val="00494FFB"/>
    <w:rsid w:val="004A3823"/>
    <w:rsid w:val="004C3D27"/>
    <w:rsid w:val="004D10CB"/>
    <w:rsid w:val="004D1F95"/>
    <w:rsid w:val="004D6899"/>
    <w:rsid w:val="004E0DA4"/>
    <w:rsid w:val="004E43BF"/>
    <w:rsid w:val="004E6946"/>
    <w:rsid w:val="004E6A27"/>
    <w:rsid w:val="004F072A"/>
    <w:rsid w:val="004F1AD8"/>
    <w:rsid w:val="005039CB"/>
    <w:rsid w:val="0050558F"/>
    <w:rsid w:val="00506286"/>
    <w:rsid w:val="0050638A"/>
    <w:rsid w:val="005076B2"/>
    <w:rsid w:val="00510813"/>
    <w:rsid w:val="00511990"/>
    <w:rsid w:val="00511DE0"/>
    <w:rsid w:val="0051343C"/>
    <w:rsid w:val="00514870"/>
    <w:rsid w:val="00514B9B"/>
    <w:rsid w:val="00515DF6"/>
    <w:rsid w:val="00517F02"/>
    <w:rsid w:val="00524303"/>
    <w:rsid w:val="005258A2"/>
    <w:rsid w:val="005401AE"/>
    <w:rsid w:val="00542E07"/>
    <w:rsid w:val="00545424"/>
    <w:rsid w:val="005539A0"/>
    <w:rsid w:val="00554A7B"/>
    <w:rsid w:val="0055572C"/>
    <w:rsid w:val="00555EE5"/>
    <w:rsid w:val="005574FC"/>
    <w:rsid w:val="0056106A"/>
    <w:rsid w:val="005613C8"/>
    <w:rsid w:val="0056761C"/>
    <w:rsid w:val="005720AE"/>
    <w:rsid w:val="005725CC"/>
    <w:rsid w:val="00581CE3"/>
    <w:rsid w:val="0058782D"/>
    <w:rsid w:val="00592E7E"/>
    <w:rsid w:val="00594D77"/>
    <w:rsid w:val="005969E4"/>
    <w:rsid w:val="00597AD7"/>
    <w:rsid w:val="005A06B7"/>
    <w:rsid w:val="005A1759"/>
    <w:rsid w:val="005A68A7"/>
    <w:rsid w:val="005B5220"/>
    <w:rsid w:val="005C170C"/>
    <w:rsid w:val="005C381C"/>
    <w:rsid w:val="005C6ECC"/>
    <w:rsid w:val="005D36AB"/>
    <w:rsid w:val="005E7679"/>
    <w:rsid w:val="0061143F"/>
    <w:rsid w:val="00612477"/>
    <w:rsid w:val="00617CC3"/>
    <w:rsid w:val="0062410A"/>
    <w:rsid w:val="006360BD"/>
    <w:rsid w:val="006374B1"/>
    <w:rsid w:val="006377A6"/>
    <w:rsid w:val="00637A3D"/>
    <w:rsid w:val="0064073D"/>
    <w:rsid w:val="006411EF"/>
    <w:rsid w:val="006505A4"/>
    <w:rsid w:val="00652A56"/>
    <w:rsid w:val="00653EA5"/>
    <w:rsid w:val="00654CB1"/>
    <w:rsid w:val="00661709"/>
    <w:rsid w:val="006633A5"/>
    <w:rsid w:val="0066676C"/>
    <w:rsid w:val="00673F21"/>
    <w:rsid w:val="006748B8"/>
    <w:rsid w:val="0067511B"/>
    <w:rsid w:val="006775C3"/>
    <w:rsid w:val="00683614"/>
    <w:rsid w:val="00686BFD"/>
    <w:rsid w:val="006914EB"/>
    <w:rsid w:val="0069290A"/>
    <w:rsid w:val="00693903"/>
    <w:rsid w:val="0069775A"/>
    <w:rsid w:val="00697813"/>
    <w:rsid w:val="006A2E96"/>
    <w:rsid w:val="006A3EE8"/>
    <w:rsid w:val="006A72BF"/>
    <w:rsid w:val="006B03F2"/>
    <w:rsid w:val="006B1272"/>
    <w:rsid w:val="006B37DC"/>
    <w:rsid w:val="006B4F68"/>
    <w:rsid w:val="006B77AF"/>
    <w:rsid w:val="006B77D3"/>
    <w:rsid w:val="006C0592"/>
    <w:rsid w:val="006C272E"/>
    <w:rsid w:val="006C5479"/>
    <w:rsid w:val="006D0BD7"/>
    <w:rsid w:val="006D13B5"/>
    <w:rsid w:val="006D5795"/>
    <w:rsid w:val="006D6F3B"/>
    <w:rsid w:val="006E12FF"/>
    <w:rsid w:val="006E607E"/>
    <w:rsid w:val="006E7D03"/>
    <w:rsid w:val="006F6BED"/>
    <w:rsid w:val="006F7BC5"/>
    <w:rsid w:val="0070061B"/>
    <w:rsid w:val="00702FEE"/>
    <w:rsid w:val="007046C4"/>
    <w:rsid w:val="00706C5D"/>
    <w:rsid w:val="0072241E"/>
    <w:rsid w:val="00727D75"/>
    <w:rsid w:val="00731D33"/>
    <w:rsid w:val="00732922"/>
    <w:rsid w:val="00735D43"/>
    <w:rsid w:val="0075162E"/>
    <w:rsid w:val="00754034"/>
    <w:rsid w:val="00754D8C"/>
    <w:rsid w:val="00756556"/>
    <w:rsid w:val="007618C4"/>
    <w:rsid w:val="00767980"/>
    <w:rsid w:val="00770B19"/>
    <w:rsid w:val="00771B68"/>
    <w:rsid w:val="0077463F"/>
    <w:rsid w:val="007836EA"/>
    <w:rsid w:val="00784CDA"/>
    <w:rsid w:val="0078530A"/>
    <w:rsid w:val="0078789C"/>
    <w:rsid w:val="007906C4"/>
    <w:rsid w:val="007923D9"/>
    <w:rsid w:val="007940EA"/>
    <w:rsid w:val="007967E8"/>
    <w:rsid w:val="007A2170"/>
    <w:rsid w:val="007A22BF"/>
    <w:rsid w:val="007A26CB"/>
    <w:rsid w:val="007A3323"/>
    <w:rsid w:val="007A7B97"/>
    <w:rsid w:val="007B72B8"/>
    <w:rsid w:val="007B7A58"/>
    <w:rsid w:val="007C0F2D"/>
    <w:rsid w:val="007C21B5"/>
    <w:rsid w:val="007D14BF"/>
    <w:rsid w:val="007D396B"/>
    <w:rsid w:val="007D6A53"/>
    <w:rsid w:val="007E262A"/>
    <w:rsid w:val="007E4BD2"/>
    <w:rsid w:val="007E5FEE"/>
    <w:rsid w:val="007E6FCC"/>
    <w:rsid w:val="007F0A1D"/>
    <w:rsid w:val="007F4F52"/>
    <w:rsid w:val="00801393"/>
    <w:rsid w:val="00802F88"/>
    <w:rsid w:val="00810A06"/>
    <w:rsid w:val="0081293E"/>
    <w:rsid w:val="00815465"/>
    <w:rsid w:val="00817E9A"/>
    <w:rsid w:val="008235B3"/>
    <w:rsid w:val="00827C2C"/>
    <w:rsid w:val="008306BD"/>
    <w:rsid w:val="00831A80"/>
    <w:rsid w:val="00833743"/>
    <w:rsid w:val="008340A4"/>
    <w:rsid w:val="00851B77"/>
    <w:rsid w:val="0086566A"/>
    <w:rsid w:val="00867AD3"/>
    <w:rsid w:val="0087135F"/>
    <w:rsid w:val="00872D94"/>
    <w:rsid w:val="00880364"/>
    <w:rsid w:val="008805A8"/>
    <w:rsid w:val="00887AB3"/>
    <w:rsid w:val="00890A2E"/>
    <w:rsid w:val="00891592"/>
    <w:rsid w:val="0089189B"/>
    <w:rsid w:val="00891E9E"/>
    <w:rsid w:val="008A2F68"/>
    <w:rsid w:val="008A77FC"/>
    <w:rsid w:val="008B1117"/>
    <w:rsid w:val="008B4FA6"/>
    <w:rsid w:val="008B5282"/>
    <w:rsid w:val="008B7C17"/>
    <w:rsid w:val="008C2D01"/>
    <w:rsid w:val="008C40E6"/>
    <w:rsid w:val="008C55DF"/>
    <w:rsid w:val="008D0F7A"/>
    <w:rsid w:val="008D138C"/>
    <w:rsid w:val="008D39C4"/>
    <w:rsid w:val="008D68E4"/>
    <w:rsid w:val="008E0506"/>
    <w:rsid w:val="008E0CFF"/>
    <w:rsid w:val="008E5D6B"/>
    <w:rsid w:val="008E7532"/>
    <w:rsid w:val="008E76F0"/>
    <w:rsid w:val="008F15FE"/>
    <w:rsid w:val="008F2D29"/>
    <w:rsid w:val="008F5187"/>
    <w:rsid w:val="008F60D8"/>
    <w:rsid w:val="00902727"/>
    <w:rsid w:val="00902C2A"/>
    <w:rsid w:val="0090312B"/>
    <w:rsid w:val="00906786"/>
    <w:rsid w:val="0091736D"/>
    <w:rsid w:val="009209CD"/>
    <w:rsid w:val="009215C6"/>
    <w:rsid w:val="0092676D"/>
    <w:rsid w:val="0093037A"/>
    <w:rsid w:val="00936276"/>
    <w:rsid w:val="0093689B"/>
    <w:rsid w:val="00940541"/>
    <w:rsid w:val="0094154D"/>
    <w:rsid w:val="009511AC"/>
    <w:rsid w:val="0095155F"/>
    <w:rsid w:val="00954429"/>
    <w:rsid w:val="009563CE"/>
    <w:rsid w:val="00960C8B"/>
    <w:rsid w:val="0096331B"/>
    <w:rsid w:val="009646FB"/>
    <w:rsid w:val="00973FB8"/>
    <w:rsid w:val="00974B11"/>
    <w:rsid w:val="00976328"/>
    <w:rsid w:val="0097680D"/>
    <w:rsid w:val="00976CE3"/>
    <w:rsid w:val="00981497"/>
    <w:rsid w:val="00982438"/>
    <w:rsid w:val="00982938"/>
    <w:rsid w:val="0098404C"/>
    <w:rsid w:val="00985283"/>
    <w:rsid w:val="00994E27"/>
    <w:rsid w:val="00995992"/>
    <w:rsid w:val="00996106"/>
    <w:rsid w:val="009A03E5"/>
    <w:rsid w:val="009A0F3B"/>
    <w:rsid w:val="009A1BB4"/>
    <w:rsid w:val="009A2628"/>
    <w:rsid w:val="009A3200"/>
    <w:rsid w:val="009B0897"/>
    <w:rsid w:val="009B0E35"/>
    <w:rsid w:val="009B7BD9"/>
    <w:rsid w:val="009C15CF"/>
    <w:rsid w:val="009C34F0"/>
    <w:rsid w:val="009C378C"/>
    <w:rsid w:val="009C7DD5"/>
    <w:rsid w:val="009D2009"/>
    <w:rsid w:val="009E091E"/>
    <w:rsid w:val="009E227D"/>
    <w:rsid w:val="009E5019"/>
    <w:rsid w:val="009F0F2A"/>
    <w:rsid w:val="009F56B9"/>
    <w:rsid w:val="009F6822"/>
    <w:rsid w:val="009F6B30"/>
    <w:rsid w:val="009F6BF3"/>
    <w:rsid w:val="009F7630"/>
    <w:rsid w:val="009F7F15"/>
    <w:rsid w:val="00A04F1B"/>
    <w:rsid w:val="00A0501B"/>
    <w:rsid w:val="00A123C1"/>
    <w:rsid w:val="00A14947"/>
    <w:rsid w:val="00A23291"/>
    <w:rsid w:val="00A27B3E"/>
    <w:rsid w:val="00A32A83"/>
    <w:rsid w:val="00A368DB"/>
    <w:rsid w:val="00A36F91"/>
    <w:rsid w:val="00A40CC8"/>
    <w:rsid w:val="00A423AA"/>
    <w:rsid w:val="00A43673"/>
    <w:rsid w:val="00A44D0B"/>
    <w:rsid w:val="00A53EC6"/>
    <w:rsid w:val="00A55C0F"/>
    <w:rsid w:val="00A61D55"/>
    <w:rsid w:val="00A6347D"/>
    <w:rsid w:val="00A641FB"/>
    <w:rsid w:val="00A67D58"/>
    <w:rsid w:val="00A70BF8"/>
    <w:rsid w:val="00A81265"/>
    <w:rsid w:val="00A8546E"/>
    <w:rsid w:val="00A86D3B"/>
    <w:rsid w:val="00A8713F"/>
    <w:rsid w:val="00A90BA1"/>
    <w:rsid w:val="00A97A9A"/>
    <w:rsid w:val="00AA0671"/>
    <w:rsid w:val="00AA2531"/>
    <w:rsid w:val="00AA3456"/>
    <w:rsid w:val="00AA3923"/>
    <w:rsid w:val="00AA5B86"/>
    <w:rsid w:val="00AA654D"/>
    <w:rsid w:val="00AB1E09"/>
    <w:rsid w:val="00AB5330"/>
    <w:rsid w:val="00AB62BA"/>
    <w:rsid w:val="00AB7747"/>
    <w:rsid w:val="00AC14CE"/>
    <w:rsid w:val="00AC2A56"/>
    <w:rsid w:val="00AC750E"/>
    <w:rsid w:val="00AD055E"/>
    <w:rsid w:val="00AD47A7"/>
    <w:rsid w:val="00AD6BF9"/>
    <w:rsid w:val="00AE3FC9"/>
    <w:rsid w:val="00AE4619"/>
    <w:rsid w:val="00AF0CBF"/>
    <w:rsid w:val="00AF23AE"/>
    <w:rsid w:val="00AF257F"/>
    <w:rsid w:val="00AF33CF"/>
    <w:rsid w:val="00AF4D50"/>
    <w:rsid w:val="00AF5F5C"/>
    <w:rsid w:val="00AF6179"/>
    <w:rsid w:val="00AF6811"/>
    <w:rsid w:val="00B00FC0"/>
    <w:rsid w:val="00B02961"/>
    <w:rsid w:val="00B03C85"/>
    <w:rsid w:val="00B0507A"/>
    <w:rsid w:val="00B1295A"/>
    <w:rsid w:val="00B13E4C"/>
    <w:rsid w:val="00B1537E"/>
    <w:rsid w:val="00B20A45"/>
    <w:rsid w:val="00B22C5C"/>
    <w:rsid w:val="00B24F30"/>
    <w:rsid w:val="00B26E46"/>
    <w:rsid w:val="00B318C0"/>
    <w:rsid w:val="00B31ABF"/>
    <w:rsid w:val="00B33BE3"/>
    <w:rsid w:val="00B425FD"/>
    <w:rsid w:val="00B441F6"/>
    <w:rsid w:val="00B44B2D"/>
    <w:rsid w:val="00B52690"/>
    <w:rsid w:val="00B53B5D"/>
    <w:rsid w:val="00B561ED"/>
    <w:rsid w:val="00B566E0"/>
    <w:rsid w:val="00B57A83"/>
    <w:rsid w:val="00B57C98"/>
    <w:rsid w:val="00B6055E"/>
    <w:rsid w:val="00B62B4D"/>
    <w:rsid w:val="00B6317D"/>
    <w:rsid w:val="00B7723F"/>
    <w:rsid w:val="00B80534"/>
    <w:rsid w:val="00B8433C"/>
    <w:rsid w:val="00B85F78"/>
    <w:rsid w:val="00B86E0D"/>
    <w:rsid w:val="00B87491"/>
    <w:rsid w:val="00B9303B"/>
    <w:rsid w:val="00B935B8"/>
    <w:rsid w:val="00B96EE1"/>
    <w:rsid w:val="00BA29E9"/>
    <w:rsid w:val="00BA7142"/>
    <w:rsid w:val="00BB237C"/>
    <w:rsid w:val="00BB41A3"/>
    <w:rsid w:val="00BC2499"/>
    <w:rsid w:val="00BC2853"/>
    <w:rsid w:val="00BC32DC"/>
    <w:rsid w:val="00BC35B6"/>
    <w:rsid w:val="00BD1B51"/>
    <w:rsid w:val="00BD4596"/>
    <w:rsid w:val="00BE1405"/>
    <w:rsid w:val="00BE312D"/>
    <w:rsid w:val="00BE34BC"/>
    <w:rsid w:val="00BF1C20"/>
    <w:rsid w:val="00BF3B49"/>
    <w:rsid w:val="00C10578"/>
    <w:rsid w:val="00C135BC"/>
    <w:rsid w:val="00C15C95"/>
    <w:rsid w:val="00C177F8"/>
    <w:rsid w:val="00C20DF5"/>
    <w:rsid w:val="00C2255B"/>
    <w:rsid w:val="00C2596A"/>
    <w:rsid w:val="00C27537"/>
    <w:rsid w:val="00C328FE"/>
    <w:rsid w:val="00C33507"/>
    <w:rsid w:val="00C34104"/>
    <w:rsid w:val="00C40F2C"/>
    <w:rsid w:val="00C411EF"/>
    <w:rsid w:val="00C4409D"/>
    <w:rsid w:val="00C44E72"/>
    <w:rsid w:val="00C450C3"/>
    <w:rsid w:val="00C453AF"/>
    <w:rsid w:val="00C45A06"/>
    <w:rsid w:val="00C47E5B"/>
    <w:rsid w:val="00C524B9"/>
    <w:rsid w:val="00C528D4"/>
    <w:rsid w:val="00C56BFC"/>
    <w:rsid w:val="00C61E4B"/>
    <w:rsid w:val="00C621A8"/>
    <w:rsid w:val="00C621AB"/>
    <w:rsid w:val="00C642A4"/>
    <w:rsid w:val="00C64BFF"/>
    <w:rsid w:val="00C704E9"/>
    <w:rsid w:val="00C763C9"/>
    <w:rsid w:val="00C771D0"/>
    <w:rsid w:val="00C80057"/>
    <w:rsid w:val="00C82232"/>
    <w:rsid w:val="00C82913"/>
    <w:rsid w:val="00C95A94"/>
    <w:rsid w:val="00C972B1"/>
    <w:rsid w:val="00CA297E"/>
    <w:rsid w:val="00CA2CCE"/>
    <w:rsid w:val="00CA43FD"/>
    <w:rsid w:val="00CA63F7"/>
    <w:rsid w:val="00CA7EF8"/>
    <w:rsid w:val="00CC0711"/>
    <w:rsid w:val="00CC174D"/>
    <w:rsid w:val="00CC3BF1"/>
    <w:rsid w:val="00CC489B"/>
    <w:rsid w:val="00CC4F79"/>
    <w:rsid w:val="00CC5BC6"/>
    <w:rsid w:val="00CD2BCD"/>
    <w:rsid w:val="00CD3A4C"/>
    <w:rsid w:val="00CE10E9"/>
    <w:rsid w:val="00CE2910"/>
    <w:rsid w:val="00CE5393"/>
    <w:rsid w:val="00CF36BE"/>
    <w:rsid w:val="00CF3B3E"/>
    <w:rsid w:val="00CF3D0A"/>
    <w:rsid w:val="00CF5500"/>
    <w:rsid w:val="00CF6000"/>
    <w:rsid w:val="00D003F3"/>
    <w:rsid w:val="00D03026"/>
    <w:rsid w:val="00D0364F"/>
    <w:rsid w:val="00D04FCE"/>
    <w:rsid w:val="00D06834"/>
    <w:rsid w:val="00D2013C"/>
    <w:rsid w:val="00D21B64"/>
    <w:rsid w:val="00D23242"/>
    <w:rsid w:val="00D24FF0"/>
    <w:rsid w:val="00D254B8"/>
    <w:rsid w:val="00D308ED"/>
    <w:rsid w:val="00D35C22"/>
    <w:rsid w:val="00D36D86"/>
    <w:rsid w:val="00D379E4"/>
    <w:rsid w:val="00D428AA"/>
    <w:rsid w:val="00D44F3C"/>
    <w:rsid w:val="00D5063D"/>
    <w:rsid w:val="00D50A34"/>
    <w:rsid w:val="00D51FFA"/>
    <w:rsid w:val="00D53EFA"/>
    <w:rsid w:val="00D5688F"/>
    <w:rsid w:val="00D61D4D"/>
    <w:rsid w:val="00D71CDA"/>
    <w:rsid w:val="00D816FF"/>
    <w:rsid w:val="00D9012D"/>
    <w:rsid w:val="00D94A7C"/>
    <w:rsid w:val="00D95896"/>
    <w:rsid w:val="00DA559A"/>
    <w:rsid w:val="00DB080D"/>
    <w:rsid w:val="00DB2983"/>
    <w:rsid w:val="00DB4F82"/>
    <w:rsid w:val="00DC021A"/>
    <w:rsid w:val="00DC1257"/>
    <w:rsid w:val="00DC3DC0"/>
    <w:rsid w:val="00DC5B2B"/>
    <w:rsid w:val="00DC5DFE"/>
    <w:rsid w:val="00DC5E6F"/>
    <w:rsid w:val="00DC6100"/>
    <w:rsid w:val="00DD318D"/>
    <w:rsid w:val="00DD6E87"/>
    <w:rsid w:val="00DE6E4A"/>
    <w:rsid w:val="00DF1010"/>
    <w:rsid w:val="00DF2E12"/>
    <w:rsid w:val="00DF4AEE"/>
    <w:rsid w:val="00DF514A"/>
    <w:rsid w:val="00DF6690"/>
    <w:rsid w:val="00DF6804"/>
    <w:rsid w:val="00DF7788"/>
    <w:rsid w:val="00E0358D"/>
    <w:rsid w:val="00E039D2"/>
    <w:rsid w:val="00E04323"/>
    <w:rsid w:val="00E070A2"/>
    <w:rsid w:val="00E20163"/>
    <w:rsid w:val="00E22BDE"/>
    <w:rsid w:val="00E2656A"/>
    <w:rsid w:val="00E30246"/>
    <w:rsid w:val="00E3250F"/>
    <w:rsid w:val="00E3646C"/>
    <w:rsid w:val="00E412D0"/>
    <w:rsid w:val="00E41996"/>
    <w:rsid w:val="00E474A5"/>
    <w:rsid w:val="00E51C96"/>
    <w:rsid w:val="00E56322"/>
    <w:rsid w:val="00E60982"/>
    <w:rsid w:val="00E6284A"/>
    <w:rsid w:val="00E62C62"/>
    <w:rsid w:val="00E654C1"/>
    <w:rsid w:val="00E65D97"/>
    <w:rsid w:val="00E665F3"/>
    <w:rsid w:val="00E72A5A"/>
    <w:rsid w:val="00E72C9D"/>
    <w:rsid w:val="00E73354"/>
    <w:rsid w:val="00E9242D"/>
    <w:rsid w:val="00E97436"/>
    <w:rsid w:val="00E978F7"/>
    <w:rsid w:val="00EA518C"/>
    <w:rsid w:val="00EB13E2"/>
    <w:rsid w:val="00EB44F4"/>
    <w:rsid w:val="00EB5255"/>
    <w:rsid w:val="00EB5C47"/>
    <w:rsid w:val="00ED0639"/>
    <w:rsid w:val="00ED6778"/>
    <w:rsid w:val="00ED6B4D"/>
    <w:rsid w:val="00EE18A4"/>
    <w:rsid w:val="00EE2D86"/>
    <w:rsid w:val="00EF1EB9"/>
    <w:rsid w:val="00EF4755"/>
    <w:rsid w:val="00EF64EF"/>
    <w:rsid w:val="00EF7135"/>
    <w:rsid w:val="00F027DB"/>
    <w:rsid w:val="00F0315F"/>
    <w:rsid w:val="00F0574E"/>
    <w:rsid w:val="00F12554"/>
    <w:rsid w:val="00F14A7A"/>
    <w:rsid w:val="00F15794"/>
    <w:rsid w:val="00F22985"/>
    <w:rsid w:val="00F24C2F"/>
    <w:rsid w:val="00F24E8C"/>
    <w:rsid w:val="00F251A6"/>
    <w:rsid w:val="00F30CA0"/>
    <w:rsid w:val="00F3383E"/>
    <w:rsid w:val="00F37089"/>
    <w:rsid w:val="00F41321"/>
    <w:rsid w:val="00F465A7"/>
    <w:rsid w:val="00F50B7C"/>
    <w:rsid w:val="00F51E82"/>
    <w:rsid w:val="00F550E6"/>
    <w:rsid w:val="00F630DA"/>
    <w:rsid w:val="00F71BC3"/>
    <w:rsid w:val="00F74345"/>
    <w:rsid w:val="00F7489D"/>
    <w:rsid w:val="00F75777"/>
    <w:rsid w:val="00F800DB"/>
    <w:rsid w:val="00F80A0A"/>
    <w:rsid w:val="00F82B19"/>
    <w:rsid w:val="00F831FF"/>
    <w:rsid w:val="00F85738"/>
    <w:rsid w:val="00F86950"/>
    <w:rsid w:val="00F9212D"/>
    <w:rsid w:val="00F965DA"/>
    <w:rsid w:val="00FA12F9"/>
    <w:rsid w:val="00FA406A"/>
    <w:rsid w:val="00FB4082"/>
    <w:rsid w:val="00FB4547"/>
    <w:rsid w:val="00FB503A"/>
    <w:rsid w:val="00FB516C"/>
    <w:rsid w:val="00FB611E"/>
    <w:rsid w:val="00FB782D"/>
    <w:rsid w:val="00FB7DE2"/>
    <w:rsid w:val="00FC6EA1"/>
    <w:rsid w:val="00FD0236"/>
    <w:rsid w:val="00FD131B"/>
    <w:rsid w:val="00FD18F4"/>
    <w:rsid w:val="00FD54DB"/>
    <w:rsid w:val="00FD619F"/>
    <w:rsid w:val="00FE7A8F"/>
    <w:rsid w:val="00FF40AC"/>
    <w:rsid w:val="01017684"/>
    <w:rsid w:val="010B405F"/>
    <w:rsid w:val="010D3379"/>
    <w:rsid w:val="010E4841"/>
    <w:rsid w:val="010F1DA1"/>
    <w:rsid w:val="01101675"/>
    <w:rsid w:val="01153701"/>
    <w:rsid w:val="01153FF6"/>
    <w:rsid w:val="0116312F"/>
    <w:rsid w:val="0119677B"/>
    <w:rsid w:val="011C44BE"/>
    <w:rsid w:val="011E76C7"/>
    <w:rsid w:val="01213882"/>
    <w:rsid w:val="012339BE"/>
    <w:rsid w:val="01233FB5"/>
    <w:rsid w:val="01260E98"/>
    <w:rsid w:val="012662A3"/>
    <w:rsid w:val="0127533C"/>
    <w:rsid w:val="0128016F"/>
    <w:rsid w:val="01284C10"/>
    <w:rsid w:val="01290F7E"/>
    <w:rsid w:val="012913E6"/>
    <w:rsid w:val="01297B2E"/>
    <w:rsid w:val="012A50C7"/>
    <w:rsid w:val="012A6BDB"/>
    <w:rsid w:val="012B4701"/>
    <w:rsid w:val="012D28AE"/>
    <w:rsid w:val="012E74A2"/>
    <w:rsid w:val="01311D17"/>
    <w:rsid w:val="01356453"/>
    <w:rsid w:val="0136557F"/>
    <w:rsid w:val="013730A5"/>
    <w:rsid w:val="01395CAB"/>
    <w:rsid w:val="01396E1E"/>
    <w:rsid w:val="013B2B96"/>
    <w:rsid w:val="013E61E2"/>
    <w:rsid w:val="01431A4A"/>
    <w:rsid w:val="014A3A81"/>
    <w:rsid w:val="014E3892"/>
    <w:rsid w:val="014F03EF"/>
    <w:rsid w:val="01514167"/>
    <w:rsid w:val="01524DE4"/>
    <w:rsid w:val="0157639B"/>
    <w:rsid w:val="015809C4"/>
    <w:rsid w:val="015974C0"/>
    <w:rsid w:val="015D0D5E"/>
    <w:rsid w:val="015D1E09"/>
    <w:rsid w:val="01644352"/>
    <w:rsid w:val="016A3B9C"/>
    <w:rsid w:val="01710365"/>
    <w:rsid w:val="01714809"/>
    <w:rsid w:val="01722330"/>
    <w:rsid w:val="017D4F5C"/>
    <w:rsid w:val="017E2971"/>
    <w:rsid w:val="018448D4"/>
    <w:rsid w:val="0187402D"/>
    <w:rsid w:val="018C0C9E"/>
    <w:rsid w:val="018C1643"/>
    <w:rsid w:val="018C567E"/>
    <w:rsid w:val="018F2EE2"/>
    <w:rsid w:val="01944054"/>
    <w:rsid w:val="01994C0C"/>
    <w:rsid w:val="019E3A87"/>
    <w:rsid w:val="01A22C15"/>
    <w:rsid w:val="01A403E2"/>
    <w:rsid w:val="01A52705"/>
    <w:rsid w:val="01A544B3"/>
    <w:rsid w:val="01A56261"/>
    <w:rsid w:val="01A57BC2"/>
    <w:rsid w:val="01A61B7D"/>
    <w:rsid w:val="01A64EB5"/>
    <w:rsid w:val="01AA3190"/>
    <w:rsid w:val="01AA53FC"/>
    <w:rsid w:val="01AD573E"/>
    <w:rsid w:val="01AE3368"/>
    <w:rsid w:val="01AF70E0"/>
    <w:rsid w:val="01B36BD0"/>
    <w:rsid w:val="01B82438"/>
    <w:rsid w:val="01BA6EE8"/>
    <w:rsid w:val="01BB5A85"/>
    <w:rsid w:val="01BB7C7F"/>
    <w:rsid w:val="01C0753F"/>
    <w:rsid w:val="01C506B1"/>
    <w:rsid w:val="01C71CB0"/>
    <w:rsid w:val="01C7267B"/>
    <w:rsid w:val="01C74429"/>
    <w:rsid w:val="01C963F3"/>
    <w:rsid w:val="01CA5CC8"/>
    <w:rsid w:val="01CC7C92"/>
    <w:rsid w:val="01D17056"/>
    <w:rsid w:val="01D31020"/>
    <w:rsid w:val="01D32518"/>
    <w:rsid w:val="01D32DCE"/>
    <w:rsid w:val="01D35FC9"/>
    <w:rsid w:val="01D802DD"/>
    <w:rsid w:val="01D81E3B"/>
    <w:rsid w:val="01DE4D61"/>
    <w:rsid w:val="01E07299"/>
    <w:rsid w:val="01E274B5"/>
    <w:rsid w:val="01E44FDB"/>
    <w:rsid w:val="01E628ED"/>
    <w:rsid w:val="01E925F2"/>
    <w:rsid w:val="01E943A0"/>
    <w:rsid w:val="01EC3E90"/>
    <w:rsid w:val="01EF0E2C"/>
    <w:rsid w:val="01F21448"/>
    <w:rsid w:val="01F25DAB"/>
    <w:rsid w:val="01FA47FF"/>
    <w:rsid w:val="01FD0480"/>
    <w:rsid w:val="01FD609D"/>
    <w:rsid w:val="01FF0DD2"/>
    <w:rsid w:val="01FF1E15"/>
    <w:rsid w:val="02016A0F"/>
    <w:rsid w:val="02024F9C"/>
    <w:rsid w:val="02025461"/>
    <w:rsid w:val="020359F8"/>
    <w:rsid w:val="020531A4"/>
    <w:rsid w:val="02083795"/>
    <w:rsid w:val="020974AF"/>
    <w:rsid w:val="020F0807"/>
    <w:rsid w:val="0210549F"/>
    <w:rsid w:val="021533E7"/>
    <w:rsid w:val="021A27AB"/>
    <w:rsid w:val="021D673F"/>
    <w:rsid w:val="021E019D"/>
    <w:rsid w:val="021F7DC1"/>
    <w:rsid w:val="02216E5A"/>
    <w:rsid w:val="02223D56"/>
    <w:rsid w:val="022340D0"/>
    <w:rsid w:val="022655F4"/>
    <w:rsid w:val="02274B3E"/>
    <w:rsid w:val="02290C40"/>
    <w:rsid w:val="022A6766"/>
    <w:rsid w:val="02315AA6"/>
    <w:rsid w:val="02317AF5"/>
    <w:rsid w:val="0233386D"/>
    <w:rsid w:val="023575E5"/>
    <w:rsid w:val="023870D5"/>
    <w:rsid w:val="023A2E4D"/>
    <w:rsid w:val="023A5733"/>
    <w:rsid w:val="023B3DA9"/>
    <w:rsid w:val="023D293E"/>
    <w:rsid w:val="023F0464"/>
    <w:rsid w:val="023F5CB7"/>
    <w:rsid w:val="02445A7A"/>
    <w:rsid w:val="02454DE4"/>
    <w:rsid w:val="02474A19"/>
    <w:rsid w:val="0247556A"/>
    <w:rsid w:val="0248052C"/>
    <w:rsid w:val="02510197"/>
    <w:rsid w:val="02581525"/>
    <w:rsid w:val="025963C8"/>
    <w:rsid w:val="025A34EF"/>
    <w:rsid w:val="02614E03"/>
    <w:rsid w:val="0261662C"/>
    <w:rsid w:val="02647ECA"/>
    <w:rsid w:val="02661E94"/>
    <w:rsid w:val="0267359E"/>
    <w:rsid w:val="02682A2A"/>
    <w:rsid w:val="02685C0C"/>
    <w:rsid w:val="02693733"/>
    <w:rsid w:val="02697903"/>
    <w:rsid w:val="026C4FD1"/>
    <w:rsid w:val="026E2AF7"/>
    <w:rsid w:val="026E6F9B"/>
    <w:rsid w:val="026E7509"/>
    <w:rsid w:val="027108F1"/>
    <w:rsid w:val="027A149C"/>
    <w:rsid w:val="027C3466"/>
    <w:rsid w:val="027C346C"/>
    <w:rsid w:val="02814F7F"/>
    <w:rsid w:val="0286044B"/>
    <w:rsid w:val="028642E4"/>
    <w:rsid w:val="02881E0B"/>
    <w:rsid w:val="028C6B80"/>
    <w:rsid w:val="028E13EB"/>
    <w:rsid w:val="02924A37"/>
    <w:rsid w:val="029307AF"/>
    <w:rsid w:val="02931780"/>
    <w:rsid w:val="0295339B"/>
    <w:rsid w:val="02964D02"/>
    <w:rsid w:val="02976A84"/>
    <w:rsid w:val="02994018"/>
    <w:rsid w:val="029A7D90"/>
    <w:rsid w:val="029D33DC"/>
    <w:rsid w:val="029D4898"/>
    <w:rsid w:val="029F7154"/>
    <w:rsid w:val="02A51626"/>
    <w:rsid w:val="02A641F7"/>
    <w:rsid w:val="02A67723"/>
    <w:rsid w:val="02AB5498"/>
    <w:rsid w:val="02B32C29"/>
    <w:rsid w:val="02B56978"/>
    <w:rsid w:val="02B81FC4"/>
    <w:rsid w:val="02BA21E0"/>
    <w:rsid w:val="02BD1F86"/>
    <w:rsid w:val="02C16C9B"/>
    <w:rsid w:val="02C31095"/>
    <w:rsid w:val="02C40969"/>
    <w:rsid w:val="02C62933"/>
    <w:rsid w:val="02C848FD"/>
    <w:rsid w:val="02C92423"/>
    <w:rsid w:val="02CC4F2C"/>
    <w:rsid w:val="02D26338"/>
    <w:rsid w:val="02D50DC8"/>
    <w:rsid w:val="02D52B76"/>
    <w:rsid w:val="02DA018C"/>
    <w:rsid w:val="02DC5445"/>
    <w:rsid w:val="02DE7C7D"/>
    <w:rsid w:val="02E103E9"/>
    <w:rsid w:val="02E35293"/>
    <w:rsid w:val="02E828A9"/>
    <w:rsid w:val="02EB4148"/>
    <w:rsid w:val="02EE59E6"/>
    <w:rsid w:val="02F037D2"/>
    <w:rsid w:val="02F2197A"/>
    <w:rsid w:val="02F23728"/>
    <w:rsid w:val="02F53218"/>
    <w:rsid w:val="02F56D74"/>
    <w:rsid w:val="02F94AB6"/>
    <w:rsid w:val="02F96569"/>
    <w:rsid w:val="02FA4CF5"/>
    <w:rsid w:val="02FC1D07"/>
    <w:rsid w:val="02FD5496"/>
    <w:rsid w:val="02FE20CD"/>
    <w:rsid w:val="02FF5E45"/>
    <w:rsid w:val="03004097"/>
    <w:rsid w:val="03062D2F"/>
    <w:rsid w:val="030A0A72"/>
    <w:rsid w:val="030D40BE"/>
    <w:rsid w:val="030F53B2"/>
    <w:rsid w:val="031418F0"/>
    <w:rsid w:val="0316119C"/>
    <w:rsid w:val="031622A1"/>
    <w:rsid w:val="031C69F7"/>
    <w:rsid w:val="032255CB"/>
    <w:rsid w:val="03237D85"/>
    <w:rsid w:val="03280EF8"/>
    <w:rsid w:val="032A4C70"/>
    <w:rsid w:val="032A6093"/>
    <w:rsid w:val="032B09E8"/>
    <w:rsid w:val="03323B24"/>
    <w:rsid w:val="033243BE"/>
    <w:rsid w:val="033248DF"/>
    <w:rsid w:val="03337D64"/>
    <w:rsid w:val="03373831"/>
    <w:rsid w:val="03382E6A"/>
    <w:rsid w:val="033D136D"/>
    <w:rsid w:val="033D21D3"/>
    <w:rsid w:val="033E696D"/>
    <w:rsid w:val="033F10D0"/>
    <w:rsid w:val="03411A70"/>
    <w:rsid w:val="03411FB9"/>
    <w:rsid w:val="034456E0"/>
    <w:rsid w:val="034730E7"/>
    <w:rsid w:val="034A2143"/>
    <w:rsid w:val="034D449E"/>
    <w:rsid w:val="03547F3F"/>
    <w:rsid w:val="0355497F"/>
    <w:rsid w:val="03555A65"/>
    <w:rsid w:val="03561F09"/>
    <w:rsid w:val="035A3F4A"/>
    <w:rsid w:val="03621D87"/>
    <w:rsid w:val="03655BEF"/>
    <w:rsid w:val="03681C3C"/>
    <w:rsid w:val="036916A9"/>
    <w:rsid w:val="036B31E7"/>
    <w:rsid w:val="036E391D"/>
    <w:rsid w:val="03743AAD"/>
    <w:rsid w:val="0374413D"/>
    <w:rsid w:val="03750ED4"/>
    <w:rsid w:val="03767EB5"/>
    <w:rsid w:val="03771E7F"/>
    <w:rsid w:val="037B54CB"/>
    <w:rsid w:val="037E4FBC"/>
    <w:rsid w:val="03822CFE"/>
    <w:rsid w:val="038500F8"/>
    <w:rsid w:val="03861E59"/>
    <w:rsid w:val="03863E70"/>
    <w:rsid w:val="03870314"/>
    <w:rsid w:val="038832EC"/>
    <w:rsid w:val="03885EBA"/>
    <w:rsid w:val="038B0CC3"/>
    <w:rsid w:val="038F1A7B"/>
    <w:rsid w:val="039074B0"/>
    <w:rsid w:val="03931459"/>
    <w:rsid w:val="039532DB"/>
    <w:rsid w:val="039B790E"/>
    <w:rsid w:val="03A013D6"/>
    <w:rsid w:val="03A27EF1"/>
    <w:rsid w:val="03A32105"/>
    <w:rsid w:val="03A33962"/>
    <w:rsid w:val="03A5079A"/>
    <w:rsid w:val="03AE2E66"/>
    <w:rsid w:val="03B22EB7"/>
    <w:rsid w:val="03B60BF9"/>
    <w:rsid w:val="03B70C87"/>
    <w:rsid w:val="03B86720"/>
    <w:rsid w:val="03B86871"/>
    <w:rsid w:val="03B92498"/>
    <w:rsid w:val="03BD3D36"/>
    <w:rsid w:val="03C07382"/>
    <w:rsid w:val="03C2134C"/>
    <w:rsid w:val="03C84489"/>
    <w:rsid w:val="03C87CAE"/>
    <w:rsid w:val="03D26FD0"/>
    <w:rsid w:val="03D66BA6"/>
    <w:rsid w:val="03D8291E"/>
    <w:rsid w:val="03D90444"/>
    <w:rsid w:val="03D96696"/>
    <w:rsid w:val="03E17E35"/>
    <w:rsid w:val="03E2554B"/>
    <w:rsid w:val="03E47515"/>
    <w:rsid w:val="03E47CA3"/>
    <w:rsid w:val="03E80687"/>
    <w:rsid w:val="03EA7B21"/>
    <w:rsid w:val="03EE2A99"/>
    <w:rsid w:val="03EE3EEF"/>
    <w:rsid w:val="03F31506"/>
    <w:rsid w:val="03F77F39"/>
    <w:rsid w:val="03FB660C"/>
    <w:rsid w:val="04073203"/>
    <w:rsid w:val="040807DF"/>
    <w:rsid w:val="04096518"/>
    <w:rsid w:val="040B0379"/>
    <w:rsid w:val="040E4592"/>
    <w:rsid w:val="04114082"/>
    <w:rsid w:val="041D1819"/>
    <w:rsid w:val="041D47D5"/>
    <w:rsid w:val="041F0F8C"/>
    <w:rsid w:val="041F679F"/>
    <w:rsid w:val="04201D38"/>
    <w:rsid w:val="04206073"/>
    <w:rsid w:val="04247911"/>
    <w:rsid w:val="04287291"/>
    <w:rsid w:val="042913CB"/>
    <w:rsid w:val="042C0EBC"/>
    <w:rsid w:val="04302177"/>
    <w:rsid w:val="04351B1E"/>
    <w:rsid w:val="04365896"/>
    <w:rsid w:val="04376843"/>
    <w:rsid w:val="04394CEA"/>
    <w:rsid w:val="043A5387"/>
    <w:rsid w:val="043C637E"/>
    <w:rsid w:val="043D6C25"/>
    <w:rsid w:val="043E2B83"/>
    <w:rsid w:val="043F0BEF"/>
    <w:rsid w:val="043F299D"/>
    <w:rsid w:val="04441D61"/>
    <w:rsid w:val="04472FBC"/>
    <w:rsid w:val="0449381C"/>
    <w:rsid w:val="045033FD"/>
    <w:rsid w:val="0451447E"/>
    <w:rsid w:val="04532D85"/>
    <w:rsid w:val="045521C0"/>
    <w:rsid w:val="04556D4F"/>
    <w:rsid w:val="04576943"/>
    <w:rsid w:val="045F0922"/>
    <w:rsid w:val="045F4DED"/>
    <w:rsid w:val="04606912"/>
    <w:rsid w:val="04634541"/>
    <w:rsid w:val="046449A2"/>
    <w:rsid w:val="04673CA2"/>
    <w:rsid w:val="04695C6C"/>
    <w:rsid w:val="04697A1A"/>
    <w:rsid w:val="046B478A"/>
    <w:rsid w:val="046C12B8"/>
    <w:rsid w:val="04702B56"/>
    <w:rsid w:val="04722D72"/>
    <w:rsid w:val="0473673D"/>
    <w:rsid w:val="047775AF"/>
    <w:rsid w:val="047F0FEB"/>
    <w:rsid w:val="0482288A"/>
    <w:rsid w:val="04836CFC"/>
    <w:rsid w:val="048671F6"/>
    <w:rsid w:val="04893C18"/>
    <w:rsid w:val="048A5D2C"/>
    <w:rsid w:val="048B4DDE"/>
    <w:rsid w:val="048C6FF4"/>
    <w:rsid w:val="04912ACD"/>
    <w:rsid w:val="0495080F"/>
    <w:rsid w:val="04956A61"/>
    <w:rsid w:val="04966335"/>
    <w:rsid w:val="04972690"/>
    <w:rsid w:val="04974587"/>
    <w:rsid w:val="049820AD"/>
    <w:rsid w:val="04983E5B"/>
    <w:rsid w:val="049C7DEF"/>
    <w:rsid w:val="049F0586"/>
    <w:rsid w:val="04A4119D"/>
    <w:rsid w:val="04A96068"/>
    <w:rsid w:val="04AC5B58"/>
    <w:rsid w:val="04AD7905"/>
    <w:rsid w:val="04AE18D1"/>
    <w:rsid w:val="04B73B3F"/>
    <w:rsid w:val="04B8274F"/>
    <w:rsid w:val="04BA64C7"/>
    <w:rsid w:val="04BC223F"/>
    <w:rsid w:val="04BE3343"/>
    <w:rsid w:val="04C04179"/>
    <w:rsid w:val="04C06AED"/>
    <w:rsid w:val="04C5780A"/>
    <w:rsid w:val="04C80BE4"/>
    <w:rsid w:val="04C9670A"/>
    <w:rsid w:val="04CB3E7D"/>
    <w:rsid w:val="04CE0634"/>
    <w:rsid w:val="04CE7A37"/>
    <w:rsid w:val="04CF5D26"/>
    <w:rsid w:val="04D07A99"/>
    <w:rsid w:val="04D728EB"/>
    <w:rsid w:val="04DF7CDC"/>
    <w:rsid w:val="04E13A54"/>
    <w:rsid w:val="04E35A1E"/>
    <w:rsid w:val="04E50456"/>
    <w:rsid w:val="04E571B3"/>
    <w:rsid w:val="04E83035"/>
    <w:rsid w:val="04E9263C"/>
    <w:rsid w:val="04EA0483"/>
    <w:rsid w:val="04EC3FFC"/>
    <w:rsid w:val="04ED23F9"/>
    <w:rsid w:val="04EE66D1"/>
    <w:rsid w:val="04F217BD"/>
    <w:rsid w:val="04F449E4"/>
    <w:rsid w:val="04FA2BEF"/>
    <w:rsid w:val="05065269"/>
    <w:rsid w:val="05094D59"/>
    <w:rsid w:val="050A034B"/>
    <w:rsid w:val="050B2B9A"/>
    <w:rsid w:val="050B2D5E"/>
    <w:rsid w:val="050D65F7"/>
    <w:rsid w:val="05112128"/>
    <w:rsid w:val="051226DC"/>
    <w:rsid w:val="05160777"/>
    <w:rsid w:val="05177476"/>
    <w:rsid w:val="051849A5"/>
    <w:rsid w:val="05190B1C"/>
    <w:rsid w:val="051A6F66"/>
    <w:rsid w:val="051E0804"/>
    <w:rsid w:val="05237BC9"/>
    <w:rsid w:val="05260B18"/>
    <w:rsid w:val="052778F4"/>
    <w:rsid w:val="052878D5"/>
    <w:rsid w:val="052B4CCF"/>
    <w:rsid w:val="052D54D9"/>
    <w:rsid w:val="052E44FE"/>
    <w:rsid w:val="052E656D"/>
    <w:rsid w:val="05316EB5"/>
    <w:rsid w:val="05322742"/>
    <w:rsid w:val="05353DA0"/>
    <w:rsid w:val="05361737"/>
    <w:rsid w:val="05383F82"/>
    <w:rsid w:val="0539563E"/>
    <w:rsid w:val="053F1371"/>
    <w:rsid w:val="05410997"/>
    <w:rsid w:val="0541768F"/>
    <w:rsid w:val="0543026B"/>
    <w:rsid w:val="054A409D"/>
    <w:rsid w:val="054C5DAB"/>
    <w:rsid w:val="054D1275"/>
    <w:rsid w:val="054F6C10"/>
    <w:rsid w:val="05542478"/>
    <w:rsid w:val="05557F9E"/>
    <w:rsid w:val="05575AC4"/>
    <w:rsid w:val="055A55B4"/>
    <w:rsid w:val="055B3806"/>
    <w:rsid w:val="055C36E7"/>
    <w:rsid w:val="055F4769"/>
    <w:rsid w:val="056243EA"/>
    <w:rsid w:val="05663F59"/>
    <w:rsid w:val="05697192"/>
    <w:rsid w:val="05697868"/>
    <w:rsid w:val="056B77C2"/>
    <w:rsid w:val="056D0012"/>
    <w:rsid w:val="05704312"/>
    <w:rsid w:val="05721148"/>
    <w:rsid w:val="05721E18"/>
    <w:rsid w:val="0575419C"/>
    <w:rsid w:val="05760640"/>
    <w:rsid w:val="057723B1"/>
    <w:rsid w:val="057D4AD5"/>
    <w:rsid w:val="0580326D"/>
    <w:rsid w:val="0580501B"/>
    <w:rsid w:val="0583250B"/>
    <w:rsid w:val="05854823"/>
    <w:rsid w:val="0586414C"/>
    <w:rsid w:val="058B7228"/>
    <w:rsid w:val="058C1C12"/>
    <w:rsid w:val="058C3E4F"/>
    <w:rsid w:val="058E1B01"/>
    <w:rsid w:val="05940AC6"/>
    <w:rsid w:val="05946D18"/>
    <w:rsid w:val="059565ED"/>
    <w:rsid w:val="05993FCE"/>
    <w:rsid w:val="05997E8B"/>
    <w:rsid w:val="059E4921"/>
    <w:rsid w:val="05A03AC2"/>
    <w:rsid w:val="05A52CD4"/>
    <w:rsid w:val="05A625A8"/>
    <w:rsid w:val="05A75BC0"/>
    <w:rsid w:val="05AB7BBE"/>
    <w:rsid w:val="05AE092A"/>
    <w:rsid w:val="05AE1D40"/>
    <w:rsid w:val="05AF58A3"/>
    <w:rsid w:val="05B11678"/>
    <w:rsid w:val="05B41BCB"/>
    <w:rsid w:val="05B42F17"/>
    <w:rsid w:val="05B4479C"/>
    <w:rsid w:val="05B44CC5"/>
    <w:rsid w:val="05B747B5"/>
    <w:rsid w:val="05BE78F1"/>
    <w:rsid w:val="05C24554"/>
    <w:rsid w:val="05C56ED2"/>
    <w:rsid w:val="05C63ACD"/>
    <w:rsid w:val="05C869C2"/>
    <w:rsid w:val="05CA273A"/>
    <w:rsid w:val="05CC64B2"/>
    <w:rsid w:val="05D13AC9"/>
    <w:rsid w:val="05D435B9"/>
    <w:rsid w:val="05D709B3"/>
    <w:rsid w:val="05DC19BB"/>
    <w:rsid w:val="05DE136C"/>
    <w:rsid w:val="05DE5F2E"/>
    <w:rsid w:val="05E141D3"/>
    <w:rsid w:val="05E25CD6"/>
    <w:rsid w:val="05E27A84"/>
    <w:rsid w:val="05E51322"/>
    <w:rsid w:val="05E7509A"/>
    <w:rsid w:val="05EC26B0"/>
    <w:rsid w:val="05EC7543"/>
    <w:rsid w:val="05EF03F3"/>
    <w:rsid w:val="05EF21A1"/>
    <w:rsid w:val="05F257ED"/>
    <w:rsid w:val="05F65D6E"/>
    <w:rsid w:val="05F83EAE"/>
    <w:rsid w:val="05F872A7"/>
    <w:rsid w:val="05FC513C"/>
    <w:rsid w:val="05FD1502"/>
    <w:rsid w:val="05FE4192"/>
    <w:rsid w:val="060043AE"/>
    <w:rsid w:val="06021ED4"/>
    <w:rsid w:val="06043E9E"/>
    <w:rsid w:val="06085010"/>
    <w:rsid w:val="060914B4"/>
    <w:rsid w:val="060A6FDB"/>
    <w:rsid w:val="060C68AF"/>
    <w:rsid w:val="061036C7"/>
    <w:rsid w:val="06103EF9"/>
    <w:rsid w:val="06141C07"/>
    <w:rsid w:val="0614477E"/>
    <w:rsid w:val="061614DB"/>
    <w:rsid w:val="0616717C"/>
    <w:rsid w:val="06175254"/>
    <w:rsid w:val="06177E24"/>
    <w:rsid w:val="06190FCC"/>
    <w:rsid w:val="06191074"/>
    <w:rsid w:val="061A046F"/>
    <w:rsid w:val="061B2F96"/>
    <w:rsid w:val="061B67B3"/>
    <w:rsid w:val="06223E34"/>
    <w:rsid w:val="06230B53"/>
    <w:rsid w:val="06257970"/>
    <w:rsid w:val="062736E9"/>
    <w:rsid w:val="06283A43"/>
    <w:rsid w:val="062B45E1"/>
    <w:rsid w:val="06304C93"/>
    <w:rsid w:val="0633208D"/>
    <w:rsid w:val="06345D7F"/>
    <w:rsid w:val="06367D9A"/>
    <w:rsid w:val="06381753"/>
    <w:rsid w:val="063858F6"/>
    <w:rsid w:val="063B3638"/>
    <w:rsid w:val="063E0A32"/>
    <w:rsid w:val="063E7D85"/>
    <w:rsid w:val="0640297E"/>
    <w:rsid w:val="06420522"/>
    <w:rsid w:val="06426774"/>
    <w:rsid w:val="0646234A"/>
    <w:rsid w:val="06475578"/>
    <w:rsid w:val="064A13E1"/>
    <w:rsid w:val="064A228E"/>
    <w:rsid w:val="064C13A1"/>
    <w:rsid w:val="064E5119"/>
    <w:rsid w:val="06530982"/>
    <w:rsid w:val="065B3392"/>
    <w:rsid w:val="065C5B88"/>
    <w:rsid w:val="065F4421"/>
    <w:rsid w:val="06624721"/>
    <w:rsid w:val="06652463"/>
    <w:rsid w:val="06654211"/>
    <w:rsid w:val="06695AAF"/>
    <w:rsid w:val="066C559F"/>
    <w:rsid w:val="066E7451"/>
    <w:rsid w:val="0670306E"/>
    <w:rsid w:val="06712BB6"/>
    <w:rsid w:val="067A40B5"/>
    <w:rsid w:val="067A4160"/>
    <w:rsid w:val="067B0805"/>
    <w:rsid w:val="067B1570"/>
    <w:rsid w:val="067C2CE7"/>
    <w:rsid w:val="067C6867"/>
    <w:rsid w:val="067F2717"/>
    <w:rsid w:val="06840B3B"/>
    <w:rsid w:val="068428E9"/>
    <w:rsid w:val="06861130"/>
    <w:rsid w:val="068A3C77"/>
    <w:rsid w:val="068A46C6"/>
    <w:rsid w:val="068B1EC9"/>
    <w:rsid w:val="068F08D5"/>
    <w:rsid w:val="06933FF6"/>
    <w:rsid w:val="069468A4"/>
    <w:rsid w:val="06986394"/>
    <w:rsid w:val="069A095C"/>
    <w:rsid w:val="069D1BFD"/>
    <w:rsid w:val="069D746D"/>
    <w:rsid w:val="069F36E6"/>
    <w:rsid w:val="06A20FC1"/>
    <w:rsid w:val="06A42A78"/>
    <w:rsid w:val="06A64F55"/>
    <w:rsid w:val="06A82B4A"/>
    <w:rsid w:val="06AB091A"/>
    <w:rsid w:val="06AC1E40"/>
    <w:rsid w:val="06AE7966"/>
    <w:rsid w:val="06B31420"/>
    <w:rsid w:val="06B61737"/>
    <w:rsid w:val="06B75327"/>
    <w:rsid w:val="06B84059"/>
    <w:rsid w:val="06B917F9"/>
    <w:rsid w:val="06BA27AF"/>
    <w:rsid w:val="06BA2C89"/>
    <w:rsid w:val="06BA6465"/>
    <w:rsid w:val="06BB116A"/>
    <w:rsid w:val="06BC6A39"/>
    <w:rsid w:val="06BD229F"/>
    <w:rsid w:val="06BD404D"/>
    <w:rsid w:val="06C3547C"/>
    <w:rsid w:val="06C40E4E"/>
    <w:rsid w:val="06C4362D"/>
    <w:rsid w:val="06C57799"/>
    <w:rsid w:val="06C675E8"/>
    <w:rsid w:val="06C75A8A"/>
    <w:rsid w:val="06CC603E"/>
    <w:rsid w:val="06CE625A"/>
    <w:rsid w:val="06D0600D"/>
    <w:rsid w:val="06D17F46"/>
    <w:rsid w:val="06D3561E"/>
    <w:rsid w:val="06D66661"/>
    <w:rsid w:val="06D80E87"/>
    <w:rsid w:val="06D82C35"/>
    <w:rsid w:val="06DF0467"/>
    <w:rsid w:val="06DF2215"/>
    <w:rsid w:val="06E15F8D"/>
    <w:rsid w:val="06E67100"/>
    <w:rsid w:val="06E67AC8"/>
    <w:rsid w:val="06E8598E"/>
    <w:rsid w:val="06E92E40"/>
    <w:rsid w:val="06EE06AA"/>
    <w:rsid w:val="06EF3008"/>
    <w:rsid w:val="06F16A0F"/>
    <w:rsid w:val="06F84AE5"/>
    <w:rsid w:val="06F94257"/>
    <w:rsid w:val="06FA704F"/>
    <w:rsid w:val="06FB0B6A"/>
    <w:rsid w:val="06FF01C2"/>
    <w:rsid w:val="06FF6413"/>
    <w:rsid w:val="07007C56"/>
    <w:rsid w:val="07024AB1"/>
    <w:rsid w:val="07027CB2"/>
    <w:rsid w:val="070512E0"/>
    <w:rsid w:val="07085F9B"/>
    <w:rsid w:val="0709328D"/>
    <w:rsid w:val="070954E4"/>
    <w:rsid w:val="07097292"/>
    <w:rsid w:val="070B300A"/>
    <w:rsid w:val="070B4DB8"/>
    <w:rsid w:val="070E6216"/>
    <w:rsid w:val="07117EF5"/>
    <w:rsid w:val="071340E5"/>
    <w:rsid w:val="07146D98"/>
    <w:rsid w:val="0716601B"/>
    <w:rsid w:val="07181D94"/>
    <w:rsid w:val="071D4B4F"/>
    <w:rsid w:val="071D508F"/>
    <w:rsid w:val="071F0864"/>
    <w:rsid w:val="071F0978"/>
    <w:rsid w:val="07247C28"/>
    <w:rsid w:val="072639A0"/>
    <w:rsid w:val="07267E44"/>
    <w:rsid w:val="072713FE"/>
    <w:rsid w:val="07287718"/>
    <w:rsid w:val="07293586"/>
    <w:rsid w:val="07295285"/>
    <w:rsid w:val="072A23D5"/>
    <w:rsid w:val="072D4D2F"/>
    <w:rsid w:val="072D59A7"/>
    <w:rsid w:val="072E0AA7"/>
    <w:rsid w:val="073267E9"/>
    <w:rsid w:val="0737795B"/>
    <w:rsid w:val="073837E6"/>
    <w:rsid w:val="07397B77"/>
    <w:rsid w:val="073B28E5"/>
    <w:rsid w:val="073F0F06"/>
    <w:rsid w:val="073F50CC"/>
    <w:rsid w:val="07442078"/>
    <w:rsid w:val="0744651C"/>
    <w:rsid w:val="07474FE1"/>
    <w:rsid w:val="0747530C"/>
    <w:rsid w:val="07483930"/>
    <w:rsid w:val="07483EE2"/>
    <w:rsid w:val="07495F1C"/>
    <w:rsid w:val="074A55B8"/>
    <w:rsid w:val="074F739B"/>
    <w:rsid w:val="07520C39"/>
    <w:rsid w:val="07524795"/>
    <w:rsid w:val="07591FC8"/>
    <w:rsid w:val="07595578"/>
    <w:rsid w:val="075A5E7B"/>
    <w:rsid w:val="07630750"/>
    <w:rsid w:val="07636392"/>
    <w:rsid w:val="0765096C"/>
    <w:rsid w:val="07675A5B"/>
    <w:rsid w:val="076A6065"/>
    <w:rsid w:val="07707311"/>
    <w:rsid w:val="07716A06"/>
    <w:rsid w:val="0771747D"/>
    <w:rsid w:val="07742336"/>
    <w:rsid w:val="07762B7A"/>
    <w:rsid w:val="07770C56"/>
    <w:rsid w:val="0777297F"/>
    <w:rsid w:val="077922F3"/>
    <w:rsid w:val="077E1111"/>
    <w:rsid w:val="077E1A2E"/>
    <w:rsid w:val="0780140B"/>
    <w:rsid w:val="07835838"/>
    <w:rsid w:val="07852DBD"/>
    <w:rsid w:val="07886409"/>
    <w:rsid w:val="07890F47"/>
    <w:rsid w:val="078A2181"/>
    <w:rsid w:val="078C4C2A"/>
    <w:rsid w:val="078D3A1F"/>
    <w:rsid w:val="078F2413"/>
    <w:rsid w:val="07907110"/>
    <w:rsid w:val="07911761"/>
    <w:rsid w:val="07927288"/>
    <w:rsid w:val="07941EA7"/>
    <w:rsid w:val="0797664C"/>
    <w:rsid w:val="0798441F"/>
    <w:rsid w:val="079A613C"/>
    <w:rsid w:val="079B438E"/>
    <w:rsid w:val="079F3753"/>
    <w:rsid w:val="07A1396F"/>
    <w:rsid w:val="07A31495"/>
    <w:rsid w:val="07A317FC"/>
    <w:rsid w:val="07A51020"/>
    <w:rsid w:val="07AA2823"/>
    <w:rsid w:val="07AF4222"/>
    <w:rsid w:val="07B01E92"/>
    <w:rsid w:val="07B0770E"/>
    <w:rsid w:val="07B471FE"/>
    <w:rsid w:val="07B74F40"/>
    <w:rsid w:val="07B92A66"/>
    <w:rsid w:val="07BF4B02"/>
    <w:rsid w:val="07C21FD0"/>
    <w:rsid w:val="07C33549"/>
    <w:rsid w:val="07C338E5"/>
    <w:rsid w:val="07C5765D"/>
    <w:rsid w:val="07C65866"/>
    <w:rsid w:val="07C75183"/>
    <w:rsid w:val="07C82CA9"/>
    <w:rsid w:val="07C82F2A"/>
    <w:rsid w:val="07CB52ED"/>
    <w:rsid w:val="07CE68C8"/>
    <w:rsid w:val="07D17DB0"/>
    <w:rsid w:val="07D50775"/>
    <w:rsid w:val="07D57174"/>
    <w:rsid w:val="07D653C6"/>
    <w:rsid w:val="07D7113E"/>
    <w:rsid w:val="07D97ECC"/>
    <w:rsid w:val="07DB29DD"/>
    <w:rsid w:val="07DB478B"/>
    <w:rsid w:val="07DC6755"/>
    <w:rsid w:val="07E06427"/>
    <w:rsid w:val="07E1193E"/>
    <w:rsid w:val="07E42658"/>
    <w:rsid w:val="07EA0E72"/>
    <w:rsid w:val="07EA3217"/>
    <w:rsid w:val="07F05F64"/>
    <w:rsid w:val="07F1019C"/>
    <w:rsid w:val="07F84128"/>
    <w:rsid w:val="07F910B5"/>
    <w:rsid w:val="07FB6BDB"/>
    <w:rsid w:val="07FE25A7"/>
    <w:rsid w:val="07FE2B6F"/>
    <w:rsid w:val="07FF5650"/>
    <w:rsid w:val="08000695"/>
    <w:rsid w:val="0802440D"/>
    <w:rsid w:val="08034185"/>
    <w:rsid w:val="080812F8"/>
    <w:rsid w:val="080D30D8"/>
    <w:rsid w:val="080D3DC3"/>
    <w:rsid w:val="080E4506"/>
    <w:rsid w:val="08135F0E"/>
    <w:rsid w:val="08161C67"/>
    <w:rsid w:val="08163A15"/>
    <w:rsid w:val="081B102B"/>
    <w:rsid w:val="082537F9"/>
    <w:rsid w:val="0825634E"/>
    <w:rsid w:val="08266813"/>
    <w:rsid w:val="08281F50"/>
    <w:rsid w:val="082B7863"/>
    <w:rsid w:val="082C5D89"/>
    <w:rsid w:val="082D0D5E"/>
    <w:rsid w:val="0832086E"/>
    <w:rsid w:val="083420ED"/>
    <w:rsid w:val="08385F48"/>
    <w:rsid w:val="083D3697"/>
    <w:rsid w:val="083D48CB"/>
    <w:rsid w:val="083E11BD"/>
    <w:rsid w:val="08400A92"/>
    <w:rsid w:val="0842784B"/>
    <w:rsid w:val="084762C4"/>
    <w:rsid w:val="084A5FDC"/>
    <w:rsid w:val="084D609E"/>
    <w:rsid w:val="084E1AF7"/>
    <w:rsid w:val="084E3F07"/>
    <w:rsid w:val="08510257"/>
    <w:rsid w:val="08514A4D"/>
    <w:rsid w:val="085845EB"/>
    <w:rsid w:val="08585DDB"/>
    <w:rsid w:val="085B3B1D"/>
    <w:rsid w:val="085D7896"/>
    <w:rsid w:val="085E534E"/>
    <w:rsid w:val="08601134"/>
    <w:rsid w:val="08624EAC"/>
    <w:rsid w:val="08630002"/>
    <w:rsid w:val="08646E76"/>
    <w:rsid w:val="0865499C"/>
    <w:rsid w:val="0865674A"/>
    <w:rsid w:val="08660909"/>
    <w:rsid w:val="08662BC9"/>
    <w:rsid w:val="086C1887"/>
    <w:rsid w:val="0870264D"/>
    <w:rsid w:val="08713341"/>
    <w:rsid w:val="0874698D"/>
    <w:rsid w:val="08752E31"/>
    <w:rsid w:val="087A0447"/>
    <w:rsid w:val="0885365E"/>
    <w:rsid w:val="088968DD"/>
    <w:rsid w:val="088A4403"/>
    <w:rsid w:val="088B5201"/>
    <w:rsid w:val="088E3280"/>
    <w:rsid w:val="08934557"/>
    <w:rsid w:val="08961E02"/>
    <w:rsid w:val="089808CE"/>
    <w:rsid w:val="08981E21"/>
    <w:rsid w:val="089B216C"/>
    <w:rsid w:val="089F7EAE"/>
    <w:rsid w:val="08A13C26"/>
    <w:rsid w:val="08A2174C"/>
    <w:rsid w:val="08A30046"/>
    <w:rsid w:val="08A355D6"/>
    <w:rsid w:val="08A41020"/>
    <w:rsid w:val="08A57CB9"/>
    <w:rsid w:val="08A6311E"/>
    <w:rsid w:val="08A96637"/>
    <w:rsid w:val="08AD7905"/>
    <w:rsid w:val="08AE00F1"/>
    <w:rsid w:val="08B12819"/>
    <w:rsid w:val="08B33B0B"/>
    <w:rsid w:val="08B33B34"/>
    <w:rsid w:val="08B35707"/>
    <w:rsid w:val="08B47F18"/>
    <w:rsid w:val="08B576D2"/>
    <w:rsid w:val="08B60D54"/>
    <w:rsid w:val="08B7793C"/>
    <w:rsid w:val="08B80F70"/>
    <w:rsid w:val="08B919E5"/>
    <w:rsid w:val="08BB280E"/>
    <w:rsid w:val="08BF22FE"/>
    <w:rsid w:val="08C43471"/>
    <w:rsid w:val="08C66057"/>
    <w:rsid w:val="08C711B3"/>
    <w:rsid w:val="08C77405"/>
    <w:rsid w:val="08C94F2B"/>
    <w:rsid w:val="08CE42EF"/>
    <w:rsid w:val="08D00D2E"/>
    <w:rsid w:val="08D15B8E"/>
    <w:rsid w:val="08D33572"/>
    <w:rsid w:val="08D65C03"/>
    <w:rsid w:val="08D774A1"/>
    <w:rsid w:val="08D77648"/>
    <w:rsid w:val="08DA2C94"/>
    <w:rsid w:val="08E04023"/>
    <w:rsid w:val="08E104C7"/>
    <w:rsid w:val="08E17003"/>
    <w:rsid w:val="08E92ED7"/>
    <w:rsid w:val="08E9380A"/>
    <w:rsid w:val="08EB00D1"/>
    <w:rsid w:val="08EC0C19"/>
    <w:rsid w:val="08ED132A"/>
    <w:rsid w:val="08EE45D4"/>
    <w:rsid w:val="08EE4992"/>
    <w:rsid w:val="08F04266"/>
    <w:rsid w:val="08F17FDE"/>
    <w:rsid w:val="08F30F9E"/>
    <w:rsid w:val="08F57ACE"/>
    <w:rsid w:val="08FB181D"/>
    <w:rsid w:val="0902043D"/>
    <w:rsid w:val="09047D11"/>
    <w:rsid w:val="09061CDB"/>
    <w:rsid w:val="090728DE"/>
    <w:rsid w:val="09075043"/>
    <w:rsid w:val="0908551E"/>
    <w:rsid w:val="091066B6"/>
    <w:rsid w:val="091361A6"/>
    <w:rsid w:val="0916757C"/>
    <w:rsid w:val="09175C96"/>
    <w:rsid w:val="091A5787"/>
    <w:rsid w:val="091E5277"/>
    <w:rsid w:val="09216933"/>
    <w:rsid w:val="092217DD"/>
    <w:rsid w:val="09295200"/>
    <w:rsid w:val="092959CA"/>
    <w:rsid w:val="092B3B9D"/>
    <w:rsid w:val="092C51BE"/>
    <w:rsid w:val="09322AD0"/>
    <w:rsid w:val="09347C54"/>
    <w:rsid w:val="09385C0D"/>
    <w:rsid w:val="093A7294"/>
    <w:rsid w:val="093E2947"/>
    <w:rsid w:val="093E76C7"/>
    <w:rsid w:val="09410F65"/>
    <w:rsid w:val="09436A8B"/>
    <w:rsid w:val="09440A55"/>
    <w:rsid w:val="0946032A"/>
    <w:rsid w:val="0946657C"/>
    <w:rsid w:val="09475E50"/>
    <w:rsid w:val="095166D2"/>
    <w:rsid w:val="09524F20"/>
    <w:rsid w:val="095347F5"/>
    <w:rsid w:val="0955714E"/>
    <w:rsid w:val="095C18FB"/>
    <w:rsid w:val="0960323B"/>
    <w:rsid w:val="09622C8A"/>
    <w:rsid w:val="09652EA6"/>
    <w:rsid w:val="096612C0"/>
    <w:rsid w:val="09664528"/>
    <w:rsid w:val="096B1B3E"/>
    <w:rsid w:val="096B4234"/>
    <w:rsid w:val="096D62B7"/>
    <w:rsid w:val="09727371"/>
    <w:rsid w:val="09736C45"/>
    <w:rsid w:val="09756E61"/>
    <w:rsid w:val="097A6225"/>
    <w:rsid w:val="097B71D6"/>
    <w:rsid w:val="097C79A3"/>
    <w:rsid w:val="097D1872"/>
    <w:rsid w:val="097D32BF"/>
    <w:rsid w:val="097F75FA"/>
    <w:rsid w:val="09827358"/>
    <w:rsid w:val="098350DA"/>
    <w:rsid w:val="0989552E"/>
    <w:rsid w:val="09896468"/>
    <w:rsid w:val="098B0432"/>
    <w:rsid w:val="098D5395"/>
    <w:rsid w:val="098F1CD1"/>
    <w:rsid w:val="0992531D"/>
    <w:rsid w:val="09934D51"/>
    <w:rsid w:val="099472E7"/>
    <w:rsid w:val="099A2423"/>
    <w:rsid w:val="099B67B3"/>
    <w:rsid w:val="099F7A3A"/>
    <w:rsid w:val="09A55222"/>
    <w:rsid w:val="09A63C90"/>
    <w:rsid w:val="09A727B4"/>
    <w:rsid w:val="09AB1135"/>
    <w:rsid w:val="09AC751C"/>
    <w:rsid w:val="09AF4572"/>
    <w:rsid w:val="09B03DEC"/>
    <w:rsid w:val="09B305E8"/>
    <w:rsid w:val="09B554AF"/>
    <w:rsid w:val="09B5725D"/>
    <w:rsid w:val="09BC683E"/>
    <w:rsid w:val="09BF1E8A"/>
    <w:rsid w:val="09C31548"/>
    <w:rsid w:val="09C474A0"/>
    <w:rsid w:val="09C520EB"/>
    <w:rsid w:val="09C556F2"/>
    <w:rsid w:val="09C946BD"/>
    <w:rsid w:val="09CA0F5B"/>
    <w:rsid w:val="09D65B51"/>
    <w:rsid w:val="09D8429B"/>
    <w:rsid w:val="09DA2B0B"/>
    <w:rsid w:val="09E518F1"/>
    <w:rsid w:val="09E77203"/>
    <w:rsid w:val="09EA0C98"/>
    <w:rsid w:val="09ED69F7"/>
    <w:rsid w:val="09EF4C97"/>
    <w:rsid w:val="09F75AC8"/>
    <w:rsid w:val="09FB5325"/>
    <w:rsid w:val="09FC30DE"/>
    <w:rsid w:val="0A03621B"/>
    <w:rsid w:val="0A0930C3"/>
    <w:rsid w:val="0A0A57FB"/>
    <w:rsid w:val="0A0D0E47"/>
    <w:rsid w:val="0A116B8A"/>
    <w:rsid w:val="0A1641A0"/>
    <w:rsid w:val="0A195A3E"/>
    <w:rsid w:val="0A1A6DA9"/>
    <w:rsid w:val="0A1B17B6"/>
    <w:rsid w:val="0A1B7A08"/>
    <w:rsid w:val="0A1D6885"/>
    <w:rsid w:val="0A1E12A6"/>
    <w:rsid w:val="0A206DCD"/>
    <w:rsid w:val="0A216696"/>
    <w:rsid w:val="0A232419"/>
    <w:rsid w:val="0A263993"/>
    <w:rsid w:val="0A2C5771"/>
    <w:rsid w:val="0A2D3AC2"/>
    <w:rsid w:val="0A2E2F9F"/>
    <w:rsid w:val="0A2E3071"/>
    <w:rsid w:val="0A307A5B"/>
    <w:rsid w:val="0A342878"/>
    <w:rsid w:val="0A382368"/>
    <w:rsid w:val="0A397E8E"/>
    <w:rsid w:val="0A3A5298"/>
    <w:rsid w:val="0A3D1562"/>
    <w:rsid w:val="0A3D48EC"/>
    <w:rsid w:val="0A40746F"/>
    <w:rsid w:val="0A416E32"/>
    <w:rsid w:val="0A426D43"/>
    <w:rsid w:val="0A430D0D"/>
    <w:rsid w:val="0A432ABB"/>
    <w:rsid w:val="0A456833"/>
    <w:rsid w:val="0A4725AB"/>
    <w:rsid w:val="0A4800D1"/>
    <w:rsid w:val="0A481E7F"/>
    <w:rsid w:val="0A4958A2"/>
    <w:rsid w:val="0A4B77A0"/>
    <w:rsid w:val="0A4B7B0B"/>
    <w:rsid w:val="0A4C7BC2"/>
    <w:rsid w:val="0A5237B5"/>
    <w:rsid w:val="0A5254C4"/>
    <w:rsid w:val="0A530F50"/>
    <w:rsid w:val="0A546A76"/>
    <w:rsid w:val="0A5C1B18"/>
    <w:rsid w:val="0A603AE7"/>
    <w:rsid w:val="0A6056C8"/>
    <w:rsid w:val="0A625B1C"/>
    <w:rsid w:val="0A636CB9"/>
    <w:rsid w:val="0A643107"/>
    <w:rsid w:val="0A653C8D"/>
    <w:rsid w:val="0A682522"/>
    <w:rsid w:val="0A694CE4"/>
    <w:rsid w:val="0A695069"/>
    <w:rsid w:val="0A6C3624"/>
    <w:rsid w:val="0A6C3824"/>
    <w:rsid w:val="0A6C3DC0"/>
    <w:rsid w:val="0A6F2CC2"/>
    <w:rsid w:val="0A71587A"/>
    <w:rsid w:val="0A7315F2"/>
    <w:rsid w:val="0A7361E8"/>
    <w:rsid w:val="0A764C3F"/>
    <w:rsid w:val="0A786C09"/>
    <w:rsid w:val="0A7C3410"/>
    <w:rsid w:val="0A7D5788"/>
    <w:rsid w:val="0A7E1D45"/>
    <w:rsid w:val="0A880D8C"/>
    <w:rsid w:val="0A884A5E"/>
    <w:rsid w:val="0A884AC2"/>
    <w:rsid w:val="0A895661"/>
    <w:rsid w:val="0A96708F"/>
    <w:rsid w:val="0A9926DB"/>
    <w:rsid w:val="0A9B6F5B"/>
    <w:rsid w:val="0A9D01ED"/>
    <w:rsid w:val="0AA01CBB"/>
    <w:rsid w:val="0AA07F0D"/>
    <w:rsid w:val="0AA403A8"/>
    <w:rsid w:val="0AA42B08"/>
    <w:rsid w:val="0AA46D88"/>
    <w:rsid w:val="0AA6567E"/>
    <w:rsid w:val="0AA7409F"/>
    <w:rsid w:val="0AA755DF"/>
    <w:rsid w:val="0AAD45ED"/>
    <w:rsid w:val="0AB319EF"/>
    <w:rsid w:val="0AB70FA0"/>
    <w:rsid w:val="0ABB6AF5"/>
    <w:rsid w:val="0ABD3DBD"/>
    <w:rsid w:val="0AC46F27"/>
    <w:rsid w:val="0AC57974"/>
    <w:rsid w:val="0AC7549A"/>
    <w:rsid w:val="0ACA6D38"/>
    <w:rsid w:val="0ACA6E10"/>
    <w:rsid w:val="0ACB13FB"/>
    <w:rsid w:val="0ACB4F8A"/>
    <w:rsid w:val="0AD32091"/>
    <w:rsid w:val="0AD51D9B"/>
    <w:rsid w:val="0AD61B81"/>
    <w:rsid w:val="0AD77EF4"/>
    <w:rsid w:val="0AD81455"/>
    <w:rsid w:val="0AD83203"/>
    <w:rsid w:val="0AD90D88"/>
    <w:rsid w:val="0ADD2F10"/>
    <w:rsid w:val="0ADD4EFD"/>
    <w:rsid w:val="0ADE4F8F"/>
    <w:rsid w:val="0AE55920"/>
    <w:rsid w:val="0AE71A84"/>
    <w:rsid w:val="0AE83751"/>
    <w:rsid w:val="0AEA2F37"/>
    <w:rsid w:val="0AEA6F5A"/>
    <w:rsid w:val="0AED2402"/>
    <w:rsid w:val="0AEE60B4"/>
    <w:rsid w:val="0AEE6ECB"/>
    <w:rsid w:val="0AEF3D01"/>
    <w:rsid w:val="0AF049F1"/>
    <w:rsid w:val="0AF338CE"/>
    <w:rsid w:val="0AF344E1"/>
    <w:rsid w:val="0AF50259"/>
    <w:rsid w:val="0AF85654"/>
    <w:rsid w:val="0AFA3582"/>
    <w:rsid w:val="0AFB5144"/>
    <w:rsid w:val="0AFB74CF"/>
    <w:rsid w:val="0AFD0EBC"/>
    <w:rsid w:val="0B023CF4"/>
    <w:rsid w:val="0B046F56"/>
    <w:rsid w:val="0B09160F"/>
    <w:rsid w:val="0B0A1F19"/>
    <w:rsid w:val="0B0F5FEB"/>
    <w:rsid w:val="0B100BEF"/>
    <w:rsid w:val="0B10295D"/>
    <w:rsid w:val="0B115B9B"/>
    <w:rsid w:val="0B120D44"/>
    <w:rsid w:val="0B122928"/>
    <w:rsid w:val="0B1306DF"/>
    <w:rsid w:val="0B154446"/>
    <w:rsid w:val="0B154457"/>
    <w:rsid w:val="0B161F7E"/>
    <w:rsid w:val="0B186B99"/>
    <w:rsid w:val="0B1A7CC0"/>
    <w:rsid w:val="0B1B1342"/>
    <w:rsid w:val="0B1D0E04"/>
    <w:rsid w:val="0B294C45"/>
    <w:rsid w:val="0B2C3401"/>
    <w:rsid w:val="0B330D82"/>
    <w:rsid w:val="0B3501C0"/>
    <w:rsid w:val="0B352404"/>
    <w:rsid w:val="0B3568A8"/>
    <w:rsid w:val="0B36617C"/>
    <w:rsid w:val="0B380146"/>
    <w:rsid w:val="0B3E74B3"/>
    <w:rsid w:val="0B41349E"/>
    <w:rsid w:val="0B420FC5"/>
    <w:rsid w:val="0B43079A"/>
    <w:rsid w:val="0B440899"/>
    <w:rsid w:val="0B442301"/>
    <w:rsid w:val="0B460A68"/>
    <w:rsid w:val="0B484392"/>
    <w:rsid w:val="0B492353"/>
    <w:rsid w:val="0B536DFE"/>
    <w:rsid w:val="0B557BA5"/>
    <w:rsid w:val="0B562520"/>
    <w:rsid w:val="0B5639AD"/>
    <w:rsid w:val="0B574A70"/>
    <w:rsid w:val="0B582596"/>
    <w:rsid w:val="0B5B2ED0"/>
    <w:rsid w:val="0B5D1B3B"/>
    <w:rsid w:val="0B626F71"/>
    <w:rsid w:val="0B642CE9"/>
    <w:rsid w:val="0B655FB4"/>
    <w:rsid w:val="0B6E6509"/>
    <w:rsid w:val="0B703DB8"/>
    <w:rsid w:val="0B705B32"/>
    <w:rsid w:val="0B723658"/>
    <w:rsid w:val="0B73117E"/>
    <w:rsid w:val="0B772A1C"/>
    <w:rsid w:val="0B7C44D7"/>
    <w:rsid w:val="0B7C6285"/>
    <w:rsid w:val="0B867103"/>
    <w:rsid w:val="0B8769D7"/>
    <w:rsid w:val="0B882E7B"/>
    <w:rsid w:val="0B892750"/>
    <w:rsid w:val="0B8B296C"/>
    <w:rsid w:val="0B8C3FEE"/>
    <w:rsid w:val="0B8E08F4"/>
    <w:rsid w:val="0B8E1B84"/>
    <w:rsid w:val="0B8E7D66"/>
    <w:rsid w:val="0B9026B1"/>
    <w:rsid w:val="0B925AA8"/>
    <w:rsid w:val="0B931BB0"/>
    <w:rsid w:val="0B995089"/>
    <w:rsid w:val="0B996E37"/>
    <w:rsid w:val="0B9C6927"/>
    <w:rsid w:val="0B9F6417"/>
    <w:rsid w:val="0BA15CEB"/>
    <w:rsid w:val="0BA436F8"/>
    <w:rsid w:val="0BA8707A"/>
    <w:rsid w:val="0BAB6B6A"/>
    <w:rsid w:val="0BAE21B6"/>
    <w:rsid w:val="0BAF37C2"/>
    <w:rsid w:val="0BB023D2"/>
    <w:rsid w:val="0BB15EB5"/>
    <w:rsid w:val="0BB33886"/>
    <w:rsid w:val="0BB7042D"/>
    <w:rsid w:val="0BB974D9"/>
    <w:rsid w:val="0BBB6DAE"/>
    <w:rsid w:val="0BBC48D3"/>
    <w:rsid w:val="0BBF6171"/>
    <w:rsid w:val="0BC727C6"/>
    <w:rsid w:val="0BC867E1"/>
    <w:rsid w:val="0BC96FF0"/>
    <w:rsid w:val="0BCF66B4"/>
    <w:rsid w:val="0BD04822"/>
    <w:rsid w:val="0BD27BF6"/>
    <w:rsid w:val="0BD30473"/>
    <w:rsid w:val="0BD31C1D"/>
    <w:rsid w:val="0BD95485"/>
    <w:rsid w:val="0BDA2FAB"/>
    <w:rsid w:val="0BDD7AC5"/>
    <w:rsid w:val="0BDE0CED"/>
    <w:rsid w:val="0BDE6F3F"/>
    <w:rsid w:val="0BDF6813"/>
    <w:rsid w:val="0BE24ED0"/>
    <w:rsid w:val="0BE300B2"/>
    <w:rsid w:val="0BE42BDC"/>
    <w:rsid w:val="0BE61950"/>
    <w:rsid w:val="0BEB250F"/>
    <w:rsid w:val="0BEF4CA9"/>
    <w:rsid w:val="0BF17A23"/>
    <w:rsid w:val="0BF21F5D"/>
    <w:rsid w:val="0BF55B23"/>
    <w:rsid w:val="0BF56037"/>
    <w:rsid w:val="0BF60A72"/>
    <w:rsid w:val="0BF73B5D"/>
    <w:rsid w:val="0BFC3D4F"/>
    <w:rsid w:val="0BFE3236"/>
    <w:rsid w:val="0C043A20"/>
    <w:rsid w:val="0C063434"/>
    <w:rsid w:val="0C083FBC"/>
    <w:rsid w:val="0C0B13B7"/>
    <w:rsid w:val="0C0B585A"/>
    <w:rsid w:val="0C0D512F"/>
    <w:rsid w:val="0C0F70F9"/>
    <w:rsid w:val="0C1110C3"/>
    <w:rsid w:val="0C126BE9"/>
    <w:rsid w:val="0C1464BD"/>
    <w:rsid w:val="0C18239B"/>
    <w:rsid w:val="0C190C72"/>
    <w:rsid w:val="0C1A03FD"/>
    <w:rsid w:val="0C1A0C5A"/>
    <w:rsid w:val="0C1F1EFB"/>
    <w:rsid w:val="0C204ACC"/>
    <w:rsid w:val="0C230DF6"/>
    <w:rsid w:val="0C26093E"/>
    <w:rsid w:val="0C284F37"/>
    <w:rsid w:val="0C2A5600"/>
    <w:rsid w:val="0C2B1A59"/>
    <w:rsid w:val="0C2C3124"/>
    <w:rsid w:val="0C2C59FF"/>
    <w:rsid w:val="0C2C7CAB"/>
    <w:rsid w:val="0C2D252D"/>
    <w:rsid w:val="0C2F32F7"/>
    <w:rsid w:val="0C331801"/>
    <w:rsid w:val="0C346B5F"/>
    <w:rsid w:val="0C3628D7"/>
    <w:rsid w:val="0C363D42"/>
    <w:rsid w:val="0C3721AC"/>
    <w:rsid w:val="0C3923C8"/>
    <w:rsid w:val="0C3A6B03"/>
    <w:rsid w:val="0C3B1C9C"/>
    <w:rsid w:val="0C3B3C7D"/>
    <w:rsid w:val="0C3C625D"/>
    <w:rsid w:val="0C3E353A"/>
    <w:rsid w:val="0C402AA0"/>
    <w:rsid w:val="0C43126A"/>
    <w:rsid w:val="0C436DA2"/>
    <w:rsid w:val="0C4F3999"/>
    <w:rsid w:val="0C4F422A"/>
    <w:rsid w:val="0C4F4E1F"/>
    <w:rsid w:val="0C50326D"/>
    <w:rsid w:val="0C523489"/>
    <w:rsid w:val="0C530905"/>
    <w:rsid w:val="0C5414EA"/>
    <w:rsid w:val="0C564D28"/>
    <w:rsid w:val="0C5701CA"/>
    <w:rsid w:val="0C581959"/>
    <w:rsid w:val="0C582550"/>
    <w:rsid w:val="0C5B40EC"/>
    <w:rsid w:val="0C5E1E2E"/>
    <w:rsid w:val="0C5F5B47"/>
    <w:rsid w:val="0C654F6B"/>
    <w:rsid w:val="0C671408"/>
    <w:rsid w:val="0C691A33"/>
    <w:rsid w:val="0C6A1390"/>
    <w:rsid w:val="0C6A75EB"/>
    <w:rsid w:val="0C6C00A7"/>
    <w:rsid w:val="0C6E7F2D"/>
    <w:rsid w:val="0C701305"/>
    <w:rsid w:val="0C71193A"/>
    <w:rsid w:val="0C711B61"/>
    <w:rsid w:val="0C7B653C"/>
    <w:rsid w:val="0C7E427E"/>
    <w:rsid w:val="0C7E602C"/>
    <w:rsid w:val="0C7E65A6"/>
    <w:rsid w:val="0C7E7DDA"/>
    <w:rsid w:val="0C807FF6"/>
    <w:rsid w:val="0C811679"/>
    <w:rsid w:val="0C813935"/>
    <w:rsid w:val="0C81444B"/>
    <w:rsid w:val="0C821421"/>
    <w:rsid w:val="0C825B1D"/>
    <w:rsid w:val="0C8D57BE"/>
    <w:rsid w:val="0C8F3D96"/>
    <w:rsid w:val="0C913FB2"/>
    <w:rsid w:val="0C99751F"/>
    <w:rsid w:val="0C9B273A"/>
    <w:rsid w:val="0C9B605C"/>
    <w:rsid w:val="0C9E3D6D"/>
    <w:rsid w:val="0CA23383"/>
    <w:rsid w:val="0CA26BA2"/>
    <w:rsid w:val="0CA710DF"/>
    <w:rsid w:val="0CA75CDB"/>
    <w:rsid w:val="0CA830A9"/>
    <w:rsid w:val="0CAA5073"/>
    <w:rsid w:val="0CAB2EAE"/>
    <w:rsid w:val="0CAF4438"/>
    <w:rsid w:val="0CAF4601"/>
    <w:rsid w:val="0CB101B0"/>
    <w:rsid w:val="0CB72376"/>
    <w:rsid w:val="0CB82E5D"/>
    <w:rsid w:val="0CBA3508"/>
    <w:rsid w:val="0CBB2DDD"/>
    <w:rsid w:val="0CBD286A"/>
    <w:rsid w:val="0CBD4DA7"/>
    <w:rsid w:val="0CBD6B55"/>
    <w:rsid w:val="0CBF26C9"/>
    <w:rsid w:val="0CC2416B"/>
    <w:rsid w:val="0CC430CE"/>
    <w:rsid w:val="0CC872A8"/>
    <w:rsid w:val="0CCA2D7E"/>
    <w:rsid w:val="0CCA74C4"/>
    <w:rsid w:val="0CCC4FEA"/>
    <w:rsid w:val="0CCC6D98"/>
    <w:rsid w:val="0CCD60D2"/>
    <w:rsid w:val="0CD02D66"/>
    <w:rsid w:val="0CD20069"/>
    <w:rsid w:val="0CD36378"/>
    <w:rsid w:val="0CDC3B9F"/>
    <w:rsid w:val="0CDD71F7"/>
    <w:rsid w:val="0CDF1CB3"/>
    <w:rsid w:val="0CE265BB"/>
    <w:rsid w:val="0CE51C08"/>
    <w:rsid w:val="0CE5259D"/>
    <w:rsid w:val="0CE73BD2"/>
    <w:rsid w:val="0CEA5470"/>
    <w:rsid w:val="0CEB1914"/>
    <w:rsid w:val="0CEF0CD8"/>
    <w:rsid w:val="0CF4009D"/>
    <w:rsid w:val="0CFA1A3F"/>
    <w:rsid w:val="0CFA1B57"/>
    <w:rsid w:val="0CFE2CC9"/>
    <w:rsid w:val="0D004C93"/>
    <w:rsid w:val="0D02504D"/>
    <w:rsid w:val="0D0C4CF8"/>
    <w:rsid w:val="0D0E32E0"/>
    <w:rsid w:val="0D0E3617"/>
    <w:rsid w:val="0D156991"/>
    <w:rsid w:val="0D166FB7"/>
    <w:rsid w:val="0D1D1C55"/>
    <w:rsid w:val="0D2050CE"/>
    <w:rsid w:val="0D20772E"/>
    <w:rsid w:val="0D2173BD"/>
    <w:rsid w:val="0D240982"/>
    <w:rsid w:val="0D2564A8"/>
    <w:rsid w:val="0D26523F"/>
    <w:rsid w:val="0D270472"/>
    <w:rsid w:val="0D2766C4"/>
    <w:rsid w:val="0D2A0BBA"/>
    <w:rsid w:val="0D2A1D10"/>
    <w:rsid w:val="0D2C5A88"/>
    <w:rsid w:val="0D330BC5"/>
    <w:rsid w:val="0D350DE1"/>
    <w:rsid w:val="0D357C04"/>
    <w:rsid w:val="0D38267F"/>
    <w:rsid w:val="0D38442D"/>
    <w:rsid w:val="0D3861DB"/>
    <w:rsid w:val="0D3A1F53"/>
    <w:rsid w:val="0D3B3F1D"/>
    <w:rsid w:val="0D3D37F2"/>
    <w:rsid w:val="0D3F0A29"/>
    <w:rsid w:val="0D3F3A0E"/>
    <w:rsid w:val="0D3F57BC"/>
    <w:rsid w:val="0D407D87"/>
    <w:rsid w:val="0D416E24"/>
    <w:rsid w:val="0D43553D"/>
    <w:rsid w:val="0D4373BF"/>
    <w:rsid w:val="0D4622F1"/>
    <w:rsid w:val="0D4B4161"/>
    <w:rsid w:val="0D4C414A"/>
    <w:rsid w:val="0D4C612B"/>
    <w:rsid w:val="0D5711A1"/>
    <w:rsid w:val="0D573276"/>
    <w:rsid w:val="0D584706"/>
    <w:rsid w:val="0D5A25F6"/>
    <w:rsid w:val="0D5F5E5E"/>
    <w:rsid w:val="0D5F7C0C"/>
    <w:rsid w:val="0D6214AA"/>
    <w:rsid w:val="0D621C7D"/>
    <w:rsid w:val="0D6276FC"/>
    <w:rsid w:val="0D635669"/>
    <w:rsid w:val="0D645222"/>
    <w:rsid w:val="0D665303"/>
    <w:rsid w:val="0D682F64"/>
    <w:rsid w:val="0D696CDD"/>
    <w:rsid w:val="0D6A2410"/>
    <w:rsid w:val="0D6F24EF"/>
    <w:rsid w:val="0D75742F"/>
    <w:rsid w:val="0D7A12B9"/>
    <w:rsid w:val="0D7A4A46"/>
    <w:rsid w:val="0D7B1A2C"/>
    <w:rsid w:val="0D804114"/>
    <w:rsid w:val="0D837D9E"/>
    <w:rsid w:val="0D847672"/>
    <w:rsid w:val="0D881F3F"/>
    <w:rsid w:val="0D8B0A01"/>
    <w:rsid w:val="0D900286"/>
    <w:rsid w:val="0D904269"/>
    <w:rsid w:val="0D933D59"/>
    <w:rsid w:val="0D9644B5"/>
    <w:rsid w:val="0D984ECC"/>
    <w:rsid w:val="0DA6690A"/>
    <w:rsid w:val="0DA970D9"/>
    <w:rsid w:val="0DAA3780"/>
    <w:rsid w:val="0DAB400E"/>
    <w:rsid w:val="0DAC357C"/>
    <w:rsid w:val="0DAE2941"/>
    <w:rsid w:val="0DAE649D"/>
    <w:rsid w:val="0DAF0B93"/>
    <w:rsid w:val="0DB25F8E"/>
    <w:rsid w:val="0DB42637"/>
    <w:rsid w:val="0DB53CD0"/>
    <w:rsid w:val="0DB55A7E"/>
    <w:rsid w:val="0DB8731C"/>
    <w:rsid w:val="0DBF4B4E"/>
    <w:rsid w:val="0DC14423"/>
    <w:rsid w:val="0DC42165"/>
    <w:rsid w:val="0DC712F2"/>
    <w:rsid w:val="0DC83702"/>
    <w:rsid w:val="0DCB34F3"/>
    <w:rsid w:val="0DCF31C7"/>
    <w:rsid w:val="0DD04666"/>
    <w:rsid w:val="0DD1461D"/>
    <w:rsid w:val="0DD24882"/>
    <w:rsid w:val="0DD677A0"/>
    <w:rsid w:val="0DD71E98"/>
    <w:rsid w:val="0DD8588A"/>
    <w:rsid w:val="0DD95C10"/>
    <w:rsid w:val="0DDA3736"/>
    <w:rsid w:val="0DDC74AE"/>
    <w:rsid w:val="0DDE7A16"/>
    <w:rsid w:val="0DE00CB6"/>
    <w:rsid w:val="0DEA1BCB"/>
    <w:rsid w:val="0DEE2D3E"/>
    <w:rsid w:val="0DF01CA5"/>
    <w:rsid w:val="0DF26CD2"/>
    <w:rsid w:val="0DF67B82"/>
    <w:rsid w:val="0DF72D4B"/>
    <w:rsid w:val="0DF9022C"/>
    <w:rsid w:val="0DF91E0E"/>
    <w:rsid w:val="0DF94DB5"/>
    <w:rsid w:val="0DFA7935"/>
    <w:rsid w:val="0DFF4F4B"/>
    <w:rsid w:val="0E0367E9"/>
    <w:rsid w:val="0E042561"/>
    <w:rsid w:val="0E045665"/>
    <w:rsid w:val="0E0662D9"/>
    <w:rsid w:val="0E0802A4"/>
    <w:rsid w:val="0E082052"/>
    <w:rsid w:val="0E091074"/>
    <w:rsid w:val="0E0F33E0"/>
    <w:rsid w:val="0E121122"/>
    <w:rsid w:val="0E1924B1"/>
    <w:rsid w:val="0E1A1D85"/>
    <w:rsid w:val="0E1C3D4F"/>
    <w:rsid w:val="0E2055ED"/>
    <w:rsid w:val="0E233E16"/>
    <w:rsid w:val="0E2844A2"/>
    <w:rsid w:val="0E2A021A"/>
    <w:rsid w:val="0E2A0240"/>
    <w:rsid w:val="0E303356"/>
    <w:rsid w:val="0E370B89"/>
    <w:rsid w:val="0E39220B"/>
    <w:rsid w:val="0E3E1F17"/>
    <w:rsid w:val="0E3E3CC5"/>
    <w:rsid w:val="0E3E3EFD"/>
    <w:rsid w:val="0E43308A"/>
    <w:rsid w:val="0E451CEB"/>
    <w:rsid w:val="0E462B7A"/>
    <w:rsid w:val="0E467A00"/>
    <w:rsid w:val="0E4C4179"/>
    <w:rsid w:val="0E4D215A"/>
    <w:rsid w:val="0E4D2AEF"/>
    <w:rsid w:val="0E4E370C"/>
    <w:rsid w:val="0E4F083D"/>
    <w:rsid w:val="0E4F7C80"/>
    <w:rsid w:val="0E5139F9"/>
    <w:rsid w:val="0E5306B0"/>
    <w:rsid w:val="0E547045"/>
    <w:rsid w:val="0E552DBD"/>
    <w:rsid w:val="0E5A03D3"/>
    <w:rsid w:val="0E5C56E8"/>
    <w:rsid w:val="0E5D6419"/>
    <w:rsid w:val="0E5E1C72"/>
    <w:rsid w:val="0E5F7C2F"/>
    <w:rsid w:val="0E645FD4"/>
    <w:rsid w:val="0E651252"/>
    <w:rsid w:val="0E6548C0"/>
    <w:rsid w:val="0E6574A4"/>
    <w:rsid w:val="0E682AF0"/>
    <w:rsid w:val="0E6A6868"/>
    <w:rsid w:val="0E6B438E"/>
    <w:rsid w:val="0E6B6937"/>
    <w:rsid w:val="0E6D45AA"/>
    <w:rsid w:val="0E6F3E7F"/>
    <w:rsid w:val="0E721BC1"/>
    <w:rsid w:val="0E73034D"/>
    <w:rsid w:val="0E741495"/>
    <w:rsid w:val="0E745939"/>
    <w:rsid w:val="0E7D2A40"/>
    <w:rsid w:val="0E7E6F16"/>
    <w:rsid w:val="0E824E77"/>
    <w:rsid w:val="0E835B7C"/>
    <w:rsid w:val="0E83604E"/>
    <w:rsid w:val="0E8362E3"/>
    <w:rsid w:val="0E83792A"/>
    <w:rsid w:val="0E884F40"/>
    <w:rsid w:val="0E892318"/>
    <w:rsid w:val="0E8C4A31"/>
    <w:rsid w:val="0E8D07A9"/>
    <w:rsid w:val="0E910299"/>
    <w:rsid w:val="0E924011"/>
    <w:rsid w:val="0E927B6D"/>
    <w:rsid w:val="0E941B37"/>
    <w:rsid w:val="0E947D89"/>
    <w:rsid w:val="0E953034"/>
    <w:rsid w:val="0E964541"/>
    <w:rsid w:val="0EA0228A"/>
    <w:rsid w:val="0EA0672E"/>
    <w:rsid w:val="0EA72878"/>
    <w:rsid w:val="0EA97D69"/>
    <w:rsid w:val="0EAA3109"/>
    <w:rsid w:val="0EAC50D3"/>
    <w:rsid w:val="0EAD12BB"/>
    <w:rsid w:val="0EAD60FB"/>
    <w:rsid w:val="0EAF4DB3"/>
    <w:rsid w:val="0EB16245"/>
    <w:rsid w:val="0EB2020F"/>
    <w:rsid w:val="0EB256CB"/>
    <w:rsid w:val="0EB6385C"/>
    <w:rsid w:val="0EB9334C"/>
    <w:rsid w:val="0EBB5316"/>
    <w:rsid w:val="0EBE0962"/>
    <w:rsid w:val="0EBE4E06"/>
    <w:rsid w:val="0EC266A4"/>
    <w:rsid w:val="0ECA5559"/>
    <w:rsid w:val="0ECB4844"/>
    <w:rsid w:val="0ECB5DC3"/>
    <w:rsid w:val="0ECF0DC1"/>
    <w:rsid w:val="0ED131F4"/>
    <w:rsid w:val="0ED70B14"/>
    <w:rsid w:val="0ED71A24"/>
    <w:rsid w:val="0ED74921"/>
    <w:rsid w:val="0ED91C40"/>
    <w:rsid w:val="0EDE69A8"/>
    <w:rsid w:val="0EE3661B"/>
    <w:rsid w:val="0EE36E7C"/>
    <w:rsid w:val="0EE4486D"/>
    <w:rsid w:val="0EE859DF"/>
    <w:rsid w:val="0EEA1757"/>
    <w:rsid w:val="0EEA79A9"/>
    <w:rsid w:val="0EEF618A"/>
    <w:rsid w:val="0EEF6D6E"/>
    <w:rsid w:val="0EF12AE6"/>
    <w:rsid w:val="0EF56A7A"/>
    <w:rsid w:val="0EFA4090"/>
    <w:rsid w:val="0EFB1BB6"/>
    <w:rsid w:val="0EFB5712"/>
    <w:rsid w:val="0EFB7C61"/>
    <w:rsid w:val="0EFD76DC"/>
    <w:rsid w:val="0F006EC2"/>
    <w:rsid w:val="0F0547E3"/>
    <w:rsid w:val="0F0654FC"/>
    <w:rsid w:val="0F0767AD"/>
    <w:rsid w:val="0F0942D3"/>
    <w:rsid w:val="0F0B4A0A"/>
    <w:rsid w:val="0F102B00"/>
    <w:rsid w:val="0F125876"/>
    <w:rsid w:val="0F13775A"/>
    <w:rsid w:val="0F16254C"/>
    <w:rsid w:val="0F184516"/>
    <w:rsid w:val="0F192A43"/>
    <w:rsid w:val="0F1B3897"/>
    <w:rsid w:val="0F20466E"/>
    <w:rsid w:val="0F205179"/>
    <w:rsid w:val="0F252A34"/>
    <w:rsid w:val="0F2729AB"/>
    <w:rsid w:val="0F2904D1"/>
    <w:rsid w:val="0F2A5FF8"/>
    <w:rsid w:val="0F2C7FC2"/>
    <w:rsid w:val="0F30565D"/>
    <w:rsid w:val="0F3B0205"/>
    <w:rsid w:val="0F3D5D2B"/>
    <w:rsid w:val="0F3D72AA"/>
    <w:rsid w:val="0F403A6D"/>
    <w:rsid w:val="0F4059D8"/>
    <w:rsid w:val="0F410916"/>
    <w:rsid w:val="0F421DA6"/>
    <w:rsid w:val="0F422FA1"/>
    <w:rsid w:val="0F43274F"/>
    <w:rsid w:val="0F486D1A"/>
    <w:rsid w:val="0F4C0664"/>
    <w:rsid w:val="0F4E0BB1"/>
    <w:rsid w:val="0F4F0957"/>
    <w:rsid w:val="0F501F02"/>
    <w:rsid w:val="0F5615D4"/>
    <w:rsid w:val="0F5802B4"/>
    <w:rsid w:val="0F5903DB"/>
    <w:rsid w:val="0F593FC0"/>
    <w:rsid w:val="0F5970AC"/>
    <w:rsid w:val="0F5B3EE0"/>
    <w:rsid w:val="0F5D63CD"/>
    <w:rsid w:val="0F5F45FE"/>
    <w:rsid w:val="0F5F5CA1"/>
    <w:rsid w:val="0F6459AD"/>
    <w:rsid w:val="0F6634D4"/>
    <w:rsid w:val="0F6B63B1"/>
    <w:rsid w:val="0F704352"/>
    <w:rsid w:val="0F73174D"/>
    <w:rsid w:val="0F7816D8"/>
    <w:rsid w:val="0F786D63"/>
    <w:rsid w:val="0F7A0392"/>
    <w:rsid w:val="0F7B5503"/>
    <w:rsid w:val="0F7F00F1"/>
    <w:rsid w:val="0F825E34"/>
    <w:rsid w:val="0F8A6A96"/>
    <w:rsid w:val="0F930041"/>
    <w:rsid w:val="0F955B67"/>
    <w:rsid w:val="0F957573"/>
    <w:rsid w:val="0F964CB9"/>
    <w:rsid w:val="0F987405"/>
    <w:rsid w:val="0F987666"/>
    <w:rsid w:val="0F9A112B"/>
    <w:rsid w:val="0F9E0235"/>
    <w:rsid w:val="0FA4224E"/>
    <w:rsid w:val="0FA45C75"/>
    <w:rsid w:val="0FA47B58"/>
    <w:rsid w:val="0FA638D0"/>
    <w:rsid w:val="0FA947FC"/>
    <w:rsid w:val="0FAF7A34"/>
    <w:rsid w:val="0FB1673D"/>
    <w:rsid w:val="0FB26719"/>
    <w:rsid w:val="0FB47476"/>
    <w:rsid w:val="0FB51D65"/>
    <w:rsid w:val="0FB75ADD"/>
    <w:rsid w:val="0FB87AA7"/>
    <w:rsid w:val="0FB94AA9"/>
    <w:rsid w:val="0FBD6E6C"/>
    <w:rsid w:val="0FC1695C"/>
    <w:rsid w:val="0FC226D4"/>
    <w:rsid w:val="0FCA3251"/>
    <w:rsid w:val="0FCB77DB"/>
    <w:rsid w:val="0FCE2E27"/>
    <w:rsid w:val="0FD03043"/>
    <w:rsid w:val="0FD146C5"/>
    <w:rsid w:val="0FD3043D"/>
    <w:rsid w:val="0FD61CDB"/>
    <w:rsid w:val="0FD77F2D"/>
    <w:rsid w:val="0FD85A54"/>
    <w:rsid w:val="0FDD0B99"/>
    <w:rsid w:val="0FDF3286"/>
    <w:rsid w:val="0FDF5034"/>
    <w:rsid w:val="0FE73EE9"/>
    <w:rsid w:val="0FED4496"/>
    <w:rsid w:val="0FEF4FCB"/>
    <w:rsid w:val="0FF00FEF"/>
    <w:rsid w:val="0FF17F33"/>
    <w:rsid w:val="0FF30ADF"/>
    <w:rsid w:val="0FF42EF0"/>
    <w:rsid w:val="0FF46D31"/>
    <w:rsid w:val="0FF4755A"/>
    <w:rsid w:val="0FF533BD"/>
    <w:rsid w:val="10046849"/>
    <w:rsid w:val="10075589"/>
    <w:rsid w:val="100804F4"/>
    <w:rsid w:val="100827DD"/>
    <w:rsid w:val="100D7DF3"/>
    <w:rsid w:val="10125409"/>
    <w:rsid w:val="101738D4"/>
    <w:rsid w:val="10182BB7"/>
    <w:rsid w:val="1019547C"/>
    <w:rsid w:val="101C13FE"/>
    <w:rsid w:val="102173FB"/>
    <w:rsid w:val="1025513D"/>
    <w:rsid w:val="10264A11"/>
    <w:rsid w:val="102A1367"/>
    <w:rsid w:val="102B2027"/>
    <w:rsid w:val="102C76B3"/>
    <w:rsid w:val="102D2243"/>
    <w:rsid w:val="102E1B18"/>
    <w:rsid w:val="102F05E9"/>
    <w:rsid w:val="10334B10"/>
    <w:rsid w:val="103510F8"/>
    <w:rsid w:val="103709CC"/>
    <w:rsid w:val="10375DC2"/>
    <w:rsid w:val="10376C1E"/>
    <w:rsid w:val="103A04BC"/>
    <w:rsid w:val="103E640D"/>
    <w:rsid w:val="103F7CB7"/>
    <w:rsid w:val="10415578"/>
    <w:rsid w:val="10441512"/>
    <w:rsid w:val="1045758D"/>
    <w:rsid w:val="10463305"/>
    <w:rsid w:val="104650B3"/>
    <w:rsid w:val="10482BD9"/>
    <w:rsid w:val="104906FF"/>
    <w:rsid w:val="104D2599"/>
    <w:rsid w:val="10545A22"/>
    <w:rsid w:val="105637F3"/>
    <w:rsid w:val="105772C0"/>
    <w:rsid w:val="105C0433"/>
    <w:rsid w:val="105E064F"/>
    <w:rsid w:val="105E23FD"/>
    <w:rsid w:val="105E41AB"/>
    <w:rsid w:val="105F579E"/>
    <w:rsid w:val="10604293"/>
    <w:rsid w:val="10613C9B"/>
    <w:rsid w:val="106164CC"/>
    <w:rsid w:val="106243A4"/>
    <w:rsid w:val="106612B1"/>
    <w:rsid w:val="10685029"/>
    <w:rsid w:val="106D0892"/>
    <w:rsid w:val="106D2F64"/>
    <w:rsid w:val="10702130"/>
    <w:rsid w:val="107134FF"/>
    <w:rsid w:val="107439CE"/>
    <w:rsid w:val="1074469F"/>
    <w:rsid w:val="10772EA5"/>
    <w:rsid w:val="1077526D"/>
    <w:rsid w:val="107A08AF"/>
    <w:rsid w:val="107B4D5D"/>
    <w:rsid w:val="107E484D"/>
    <w:rsid w:val="107E676C"/>
    <w:rsid w:val="1081691B"/>
    <w:rsid w:val="10833C11"/>
    <w:rsid w:val="10855FBF"/>
    <w:rsid w:val="10863702"/>
    <w:rsid w:val="108C6184"/>
    <w:rsid w:val="108E2A27"/>
    <w:rsid w:val="108E3427"/>
    <w:rsid w:val="109220A6"/>
    <w:rsid w:val="10966B96"/>
    <w:rsid w:val="10967DE9"/>
    <w:rsid w:val="109700E7"/>
    <w:rsid w:val="109E0A4B"/>
    <w:rsid w:val="10A17310"/>
    <w:rsid w:val="10A32505"/>
    <w:rsid w:val="10AC1352"/>
    <w:rsid w:val="10AE7046"/>
    <w:rsid w:val="10AF2C58"/>
    <w:rsid w:val="10B1077E"/>
    <w:rsid w:val="10B169D0"/>
    <w:rsid w:val="10B63710"/>
    <w:rsid w:val="10B72A0C"/>
    <w:rsid w:val="10BB33AB"/>
    <w:rsid w:val="10C2298C"/>
    <w:rsid w:val="10C5247C"/>
    <w:rsid w:val="10C64BE8"/>
    <w:rsid w:val="10CB10F9"/>
    <w:rsid w:val="10D26947"/>
    <w:rsid w:val="10D46DB0"/>
    <w:rsid w:val="10D95F27"/>
    <w:rsid w:val="10DA6205"/>
    <w:rsid w:val="10DE353E"/>
    <w:rsid w:val="10E024DA"/>
    <w:rsid w:val="10E30B54"/>
    <w:rsid w:val="10E32902"/>
    <w:rsid w:val="10E35ABE"/>
    <w:rsid w:val="10E761E5"/>
    <w:rsid w:val="10EA5A3E"/>
    <w:rsid w:val="10EA6658"/>
    <w:rsid w:val="10EB501B"/>
    <w:rsid w:val="10EB7E81"/>
    <w:rsid w:val="10EC17B7"/>
    <w:rsid w:val="10EC5C5A"/>
    <w:rsid w:val="10EE19D3"/>
    <w:rsid w:val="10F10820"/>
    <w:rsid w:val="10F361C8"/>
    <w:rsid w:val="10F66AD9"/>
    <w:rsid w:val="10F90330"/>
    <w:rsid w:val="10FD39C4"/>
    <w:rsid w:val="10FD7E68"/>
    <w:rsid w:val="110034B4"/>
    <w:rsid w:val="11005262"/>
    <w:rsid w:val="11034D52"/>
    <w:rsid w:val="1103679F"/>
    <w:rsid w:val="11037CFB"/>
    <w:rsid w:val="110412E2"/>
    <w:rsid w:val="11050ACA"/>
    <w:rsid w:val="110F6D60"/>
    <w:rsid w:val="1111121D"/>
    <w:rsid w:val="11113E4D"/>
    <w:rsid w:val="11124F95"/>
    <w:rsid w:val="11135711"/>
    <w:rsid w:val="11174F6F"/>
    <w:rsid w:val="111807FE"/>
    <w:rsid w:val="11186A50"/>
    <w:rsid w:val="111B6540"/>
    <w:rsid w:val="111C2F7A"/>
    <w:rsid w:val="111F6A23"/>
    <w:rsid w:val="1122167C"/>
    <w:rsid w:val="112453F4"/>
    <w:rsid w:val="11292A0B"/>
    <w:rsid w:val="112C24FB"/>
    <w:rsid w:val="112C741F"/>
    <w:rsid w:val="11307256"/>
    <w:rsid w:val="11317B11"/>
    <w:rsid w:val="11335637"/>
    <w:rsid w:val="11357601"/>
    <w:rsid w:val="113621FF"/>
    <w:rsid w:val="11380EA0"/>
    <w:rsid w:val="113B0990"/>
    <w:rsid w:val="11407D54"/>
    <w:rsid w:val="114A0BD3"/>
    <w:rsid w:val="114A2981"/>
    <w:rsid w:val="114A29CE"/>
    <w:rsid w:val="114C66F9"/>
    <w:rsid w:val="114E6F0F"/>
    <w:rsid w:val="114E763B"/>
    <w:rsid w:val="11531836"/>
    <w:rsid w:val="11595733"/>
    <w:rsid w:val="115B693C"/>
    <w:rsid w:val="115D0CBD"/>
    <w:rsid w:val="115D4462"/>
    <w:rsid w:val="115E01DA"/>
    <w:rsid w:val="11665CA1"/>
    <w:rsid w:val="11673533"/>
    <w:rsid w:val="1167572B"/>
    <w:rsid w:val="116C28F7"/>
    <w:rsid w:val="117008E4"/>
    <w:rsid w:val="117417AC"/>
    <w:rsid w:val="1174364F"/>
    <w:rsid w:val="11743D26"/>
    <w:rsid w:val="117619C8"/>
    <w:rsid w:val="117A5014"/>
    <w:rsid w:val="117D4B05"/>
    <w:rsid w:val="117F087D"/>
    <w:rsid w:val="11800151"/>
    <w:rsid w:val="11823EC9"/>
    <w:rsid w:val="118353EB"/>
    <w:rsid w:val="11845F20"/>
    <w:rsid w:val="11847C41"/>
    <w:rsid w:val="11875983"/>
    <w:rsid w:val="118C2F9A"/>
    <w:rsid w:val="118D733C"/>
    <w:rsid w:val="119105B0"/>
    <w:rsid w:val="11951E4E"/>
    <w:rsid w:val="11963E18"/>
    <w:rsid w:val="11967974"/>
    <w:rsid w:val="11A1591C"/>
    <w:rsid w:val="11AA463D"/>
    <w:rsid w:val="11AC7198"/>
    <w:rsid w:val="11AD6919"/>
    <w:rsid w:val="11AE509C"/>
    <w:rsid w:val="11B2304F"/>
    <w:rsid w:val="11B5729C"/>
    <w:rsid w:val="11B624C7"/>
    <w:rsid w:val="11B62CDC"/>
    <w:rsid w:val="11B7573D"/>
    <w:rsid w:val="11BA3663"/>
    <w:rsid w:val="11BD6FF4"/>
    <w:rsid w:val="11BD7880"/>
    <w:rsid w:val="11BF336F"/>
    <w:rsid w:val="11C6025A"/>
    <w:rsid w:val="11C75D80"/>
    <w:rsid w:val="11C81293"/>
    <w:rsid w:val="11CA3C1A"/>
    <w:rsid w:val="11CC3396"/>
    <w:rsid w:val="11D02E86"/>
    <w:rsid w:val="11D107A7"/>
    <w:rsid w:val="11D72467"/>
    <w:rsid w:val="11DA3D05"/>
    <w:rsid w:val="11DB3ACB"/>
    <w:rsid w:val="11DC43AF"/>
    <w:rsid w:val="11DD1A47"/>
    <w:rsid w:val="11DD55A3"/>
    <w:rsid w:val="11DF30C9"/>
    <w:rsid w:val="11DF3506"/>
    <w:rsid w:val="11E044D7"/>
    <w:rsid w:val="11E34251"/>
    <w:rsid w:val="11E360D3"/>
    <w:rsid w:val="11E6793E"/>
    <w:rsid w:val="11E903EC"/>
    <w:rsid w:val="11E90C4E"/>
    <w:rsid w:val="11EB3091"/>
    <w:rsid w:val="11ED2BDB"/>
    <w:rsid w:val="11EE77B0"/>
    <w:rsid w:val="11F254F3"/>
    <w:rsid w:val="11F748B7"/>
    <w:rsid w:val="11FE3E97"/>
    <w:rsid w:val="12011292"/>
    <w:rsid w:val="120142CA"/>
    <w:rsid w:val="12040D82"/>
    <w:rsid w:val="12046F80"/>
    <w:rsid w:val="12063E95"/>
    <w:rsid w:val="120711AA"/>
    <w:rsid w:val="12075296"/>
    <w:rsid w:val="12086AC4"/>
    <w:rsid w:val="120D4DF6"/>
    <w:rsid w:val="12111206"/>
    <w:rsid w:val="121216F1"/>
    <w:rsid w:val="121429E2"/>
    <w:rsid w:val="12154D3D"/>
    <w:rsid w:val="12185560"/>
    <w:rsid w:val="121D1E44"/>
    <w:rsid w:val="121D3BF2"/>
    <w:rsid w:val="122172CE"/>
    <w:rsid w:val="122375E8"/>
    <w:rsid w:val="12237953"/>
    <w:rsid w:val="12241424"/>
    <w:rsid w:val="122670DE"/>
    <w:rsid w:val="12281213"/>
    <w:rsid w:val="122907E8"/>
    <w:rsid w:val="1229111C"/>
    <w:rsid w:val="12296A3A"/>
    <w:rsid w:val="122A5BEE"/>
    <w:rsid w:val="122B1AC0"/>
    <w:rsid w:val="122D2087"/>
    <w:rsid w:val="122D652B"/>
    <w:rsid w:val="122F22A3"/>
    <w:rsid w:val="12331667"/>
    <w:rsid w:val="12371157"/>
    <w:rsid w:val="123B1342"/>
    <w:rsid w:val="123E0FFD"/>
    <w:rsid w:val="123E4294"/>
    <w:rsid w:val="123F000C"/>
    <w:rsid w:val="12402707"/>
    <w:rsid w:val="124473D0"/>
    <w:rsid w:val="1246393C"/>
    <w:rsid w:val="12477B58"/>
    <w:rsid w:val="12485112"/>
    <w:rsid w:val="124B311E"/>
    <w:rsid w:val="125360FB"/>
    <w:rsid w:val="12555A81"/>
    <w:rsid w:val="12582E7C"/>
    <w:rsid w:val="125C1712"/>
    <w:rsid w:val="126006AE"/>
    <w:rsid w:val="12631F4C"/>
    <w:rsid w:val="126B0E01"/>
    <w:rsid w:val="126B2BAF"/>
    <w:rsid w:val="126B7053"/>
    <w:rsid w:val="126E269F"/>
    <w:rsid w:val="126E404A"/>
    <w:rsid w:val="126F6B43"/>
    <w:rsid w:val="127001C5"/>
    <w:rsid w:val="12706417"/>
    <w:rsid w:val="1273087D"/>
    <w:rsid w:val="12784513"/>
    <w:rsid w:val="127A7296"/>
    <w:rsid w:val="127C300E"/>
    <w:rsid w:val="12802AFE"/>
    <w:rsid w:val="128123D2"/>
    <w:rsid w:val="12831785"/>
    <w:rsid w:val="12833699"/>
    <w:rsid w:val="12834530"/>
    <w:rsid w:val="1283614B"/>
    <w:rsid w:val="12851EC3"/>
    <w:rsid w:val="12854960"/>
    <w:rsid w:val="1288647B"/>
    <w:rsid w:val="12891287"/>
    <w:rsid w:val="128B2877"/>
    <w:rsid w:val="128B5D17"/>
    <w:rsid w:val="1299033E"/>
    <w:rsid w:val="1299085F"/>
    <w:rsid w:val="129B31AF"/>
    <w:rsid w:val="129C720C"/>
    <w:rsid w:val="129E6A42"/>
    <w:rsid w:val="12A165D1"/>
    <w:rsid w:val="12A36BB7"/>
    <w:rsid w:val="12A6008B"/>
    <w:rsid w:val="12A644BF"/>
    <w:rsid w:val="12A83E03"/>
    <w:rsid w:val="12A844AF"/>
    <w:rsid w:val="12A96EF4"/>
    <w:rsid w:val="12AB2CA4"/>
    <w:rsid w:val="12AD100B"/>
    <w:rsid w:val="12B26A30"/>
    <w:rsid w:val="12B74046"/>
    <w:rsid w:val="12B91361"/>
    <w:rsid w:val="12BB3B36"/>
    <w:rsid w:val="12BB691C"/>
    <w:rsid w:val="12BC7810"/>
    <w:rsid w:val="12BD702D"/>
    <w:rsid w:val="12C07991"/>
    <w:rsid w:val="12C10A21"/>
    <w:rsid w:val="12C127C8"/>
    <w:rsid w:val="12C16C73"/>
    <w:rsid w:val="12C50136"/>
    <w:rsid w:val="12C56EB8"/>
    <w:rsid w:val="12C624DB"/>
    <w:rsid w:val="12C83EF1"/>
    <w:rsid w:val="12CA1FCB"/>
    <w:rsid w:val="12CB0C7C"/>
    <w:rsid w:val="12CB18A0"/>
    <w:rsid w:val="12CD73C6"/>
    <w:rsid w:val="12D0549C"/>
    <w:rsid w:val="12D70244"/>
    <w:rsid w:val="12D76496"/>
    <w:rsid w:val="12D9220E"/>
    <w:rsid w:val="12D93FBD"/>
    <w:rsid w:val="12DA2E7C"/>
    <w:rsid w:val="12DE6CAE"/>
    <w:rsid w:val="12E110C3"/>
    <w:rsid w:val="12E27315"/>
    <w:rsid w:val="12E84200"/>
    <w:rsid w:val="12E92C46"/>
    <w:rsid w:val="12EB3CF0"/>
    <w:rsid w:val="12EB47EA"/>
    <w:rsid w:val="12ED7A68"/>
    <w:rsid w:val="12F06675"/>
    <w:rsid w:val="12F57F45"/>
    <w:rsid w:val="12F62DC0"/>
    <w:rsid w:val="12F870B3"/>
    <w:rsid w:val="12F901BB"/>
    <w:rsid w:val="12F9640D"/>
    <w:rsid w:val="12FB03D7"/>
    <w:rsid w:val="12FB2185"/>
    <w:rsid w:val="12FC1266"/>
    <w:rsid w:val="12FC2B62"/>
    <w:rsid w:val="12FE3A23"/>
    <w:rsid w:val="13003D08"/>
    <w:rsid w:val="130A061A"/>
    <w:rsid w:val="130A3102"/>
    <w:rsid w:val="130C34E6"/>
    <w:rsid w:val="13103CCD"/>
    <w:rsid w:val="13120645"/>
    <w:rsid w:val="131274CE"/>
    <w:rsid w:val="13135720"/>
    <w:rsid w:val="131511AD"/>
    <w:rsid w:val="13177B69"/>
    <w:rsid w:val="13182D37"/>
    <w:rsid w:val="131C20FB"/>
    <w:rsid w:val="13240780"/>
    <w:rsid w:val="132711CC"/>
    <w:rsid w:val="13274D28"/>
    <w:rsid w:val="13290E76"/>
    <w:rsid w:val="132F2576"/>
    <w:rsid w:val="132F432F"/>
    <w:rsid w:val="13356587"/>
    <w:rsid w:val="13373B73"/>
    <w:rsid w:val="13384A4A"/>
    <w:rsid w:val="133D09EF"/>
    <w:rsid w:val="133E6515"/>
    <w:rsid w:val="1340228E"/>
    <w:rsid w:val="134112D7"/>
    <w:rsid w:val="13432777"/>
    <w:rsid w:val="13451652"/>
    <w:rsid w:val="13452433"/>
    <w:rsid w:val="1345619B"/>
    <w:rsid w:val="1347127E"/>
    <w:rsid w:val="134D3450"/>
    <w:rsid w:val="134D57F7"/>
    <w:rsid w:val="134F0723"/>
    <w:rsid w:val="13517FF7"/>
    <w:rsid w:val="13541895"/>
    <w:rsid w:val="13573268"/>
    <w:rsid w:val="13651E57"/>
    <w:rsid w:val="13654EEB"/>
    <w:rsid w:val="13685340"/>
    <w:rsid w:val="136C3083"/>
    <w:rsid w:val="136F5212"/>
    <w:rsid w:val="13712447"/>
    <w:rsid w:val="137133DE"/>
    <w:rsid w:val="13714C80"/>
    <w:rsid w:val="13763F01"/>
    <w:rsid w:val="13767A5D"/>
    <w:rsid w:val="1379754E"/>
    <w:rsid w:val="137E6912"/>
    <w:rsid w:val="13807518"/>
    <w:rsid w:val="138228A6"/>
    <w:rsid w:val="13824654"/>
    <w:rsid w:val="13851B5B"/>
    <w:rsid w:val="13855EF2"/>
    <w:rsid w:val="13877EBC"/>
    <w:rsid w:val="13881F85"/>
    <w:rsid w:val="1388476E"/>
    <w:rsid w:val="13893C35"/>
    <w:rsid w:val="138A41D4"/>
    <w:rsid w:val="138E124B"/>
    <w:rsid w:val="138E2FF9"/>
    <w:rsid w:val="138F2051"/>
    <w:rsid w:val="13951726"/>
    <w:rsid w:val="139879D4"/>
    <w:rsid w:val="13995D25"/>
    <w:rsid w:val="139F2458"/>
    <w:rsid w:val="13A740BB"/>
    <w:rsid w:val="13AA1191"/>
    <w:rsid w:val="13AC7923"/>
    <w:rsid w:val="13AE0697"/>
    <w:rsid w:val="13AE5449"/>
    <w:rsid w:val="13AF4D1D"/>
    <w:rsid w:val="13B011C1"/>
    <w:rsid w:val="13B12EDD"/>
    <w:rsid w:val="13B30CB1"/>
    <w:rsid w:val="13B32A60"/>
    <w:rsid w:val="13B3480E"/>
    <w:rsid w:val="13B62550"/>
    <w:rsid w:val="13B640F8"/>
    <w:rsid w:val="13BB1914"/>
    <w:rsid w:val="13BC5DB8"/>
    <w:rsid w:val="13BD37AB"/>
    <w:rsid w:val="13BD568C"/>
    <w:rsid w:val="13C15367"/>
    <w:rsid w:val="13CC1D73"/>
    <w:rsid w:val="13CC46AD"/>
    <w:rsid w:val="13D17672"/>
    <w:rsid w:val="13E175CD"/>
    <w:rsid w:val="13E26EA1"/>
    <w:rsid w:val="13E57E0B"/>
    <w:rsid w:val="13E62E35"/>
    <w:rsid w:val="13E7143F"/>
    <w:rsid w:val="13E96481"/>
    <w:rsid w:val="13EE5846"/>
    <w:rsid w:val="13F015BE"/>
    <w:rsid w:val="13F05A62"/>
    <w:rsid w:val="13F2683A"/>
    <w:rsid w:val="13F310AE"/>
    <w:rsid w:val="13F47103"/>
    <w:rsid w:val="13F53078"/>
    <w:rsid w:val="13F76DF0"/>
    <w:rsid w:val="13FA068E"/>
    <w:rsid w:val="13FF3EF7"/>
    <w:rsid w:val="14011A1D"/>
    <w:rsid w:val="140137CB"/>
    <w:rsid w:val="140339AE"/>
    <w:rsid w:val="14096B23"/>
    <w:rsid w:val="14134D08"/>
    <w:rsid w:val="14142E4D"/>
    <w:rsid w:val="14164D9C"/>
    <w:rsid w:val="141A2ADF"/>
    <w:rsid w:val="141A488D"/>
    <w:rsid w:val="141A7F1B"/>
    <w:rsid w:val="141B23B3"/>
    <w:rsid w:val="141B6690"/>
    <w:rsid w:val="141D5E0F"/>
    <w:rsid w:val="14213FC1"/>
    <w:rsid w:val="14217850"/>
    <w:rsid w:val="14264FE0"/>
    <w:rsid w:val="142851FC"/>
    <w:rsid w:val="14290F74"/>
    <w:rsid w:val="142B0848"/>
    <w:rsid w:val="142E0338"/>
    <w:rsid w:val="142F76A5"/>
    <w:rsid w:val="14337E55"/>
    <w:rsid w:val="143538C7"/>
    <w:rsid w:val="1437543F"/>
    <w:rsid w:val="14396509"/>
    <w:rsid w:val="144204BF"/>
    <w:rsid w:val="144B2C98"/>
    <w:rsid w:val="14506500"/>
    <w:rsid w:val="14515DD5"/>
    <w:rsid w:val="145204CA"/>
    <w:rsid w:val="1458408B"/>
    <w:rsid w:val="145A66DC"/>
    <w:rsid w:val="145F6743"/>
    <w:rsid w:val="14601B0D"/>
    <w:rsid w:val="14620AB7"/>
    <w:rsid w:val="14627FE2"/>
    <w:rsid w:val="146752C6"/>
    <w:rsid w:val="146C3A9E"/>
    <w:rsid w:val="14715C1B"/>
    <w:rsid w:val="1473140B"/>
    <w:rsid w:val="147321EF"/>
    <w:rsid w:val="1479025D"/>
    <w:rsid w:val="147A17CF"/>
    <w:rsid w:val="147C5295"/>
    <w:rsid w:val="147D20BD"/>
    <w:rsid w:val="147D6BCA"/>
    <w:rsid w:val="148461AA"/>
    <w:rsid w:val="14851B53"/>
    <w:rsid w:val="148606D0"/>
    <w:rsid w:val="14883533"/>
    <w:rsid w:val="14885C9A"/>
    <w:rsid w:val="148D1503"/>
    <w:rsid w:val="14900FF3"/>
    <w:rsid w:val="14927E49"/>
    <w:rsid w:val="149363ED"/>
    <w:rsid w:val="14951F61"/>
    <w:rsid w:val="14976BDB"/>
    <w:rsid w:val="149A777C"/>
    <w:rsid w:val="149C7998"/>
    <w:rsid w:val="149F2FE4"/>
    <w:rsid w:val="149F4D92"/>
    <w:rsid w:val="14A14FAE"/>
    <w:rsid w:val="14A32AD4"/>
    <w:rsid w:val="14A34312"/>
    <w:rsid w:val="14A443BC"/>
    <w:rsid w:val="14A8633C"/>
    <w:rsid w:val="14AC01AB"/>
    <w:rsid w:val="14B44CE1"/>
    <w:rsid w:val="14B52807"/>
    <w:rsid w:val="14BC76F2"/>
    <w:rsid w:val="14C12F5A"/>
    <w:rsid w:val="14C33176"/>
    <w:rsid w:val="14C36FC7"/>
    <w:rsid w:val="14C50C9C"/>
    <w:rsid w:val="14C55396"/>
    <w:rsid w:val="14C73D39"/>
    <w:rsid w:val="14CC63C7"/>
    <w:rsid w:val="14CE4563"/>
    <w:rsid w:val="14CF1B1B"/>
    <w:rsid w:val="14D013EF"/>
    <w:rsid w:val="14D33163"/>
    <w:rsid w:val="14D7277E"/>
    <w:rsid w:val="14D94748"/>
    <w:rsid w:val="14DC7969"/>
    <w:rsid w:val="14DD2C3C"/>
    <w:rsid w:val="14DD6A07"/>
    <w:rsid w:val="14DD6F28"/>
    <w:rsid w:val="14E05AD6"/>
    <w:rsid w:val="14E135FC"/>
    <w:rsid w:val="14E76E65"/>
    <w:rsid w:val="14E8052F"/>
    <w:rsid w:val="14EB4588"/>
    <w:rsid w:val="14EC447B"/>
    <w:rsid w:val="14ED31F4"/>
    <w:rsid w:val="14ED5408"/>
    <w:rsid w:val="14F15DED"/>
    <w:rsid w:val="14F25809"/>
    <w:rsid w:val="14F509BB"/>
    <w:rsid w:val="14F50E56"/>
    <w:rsid w:val="14F757F3"/>
    <w:rsid w:val="14F804F4"/>
    <w:rsid w:val="14F9476E"/>
    <w:rsid w:val="14FB4921"/>
    <w:rsid w:val="14FB646C"/>
    <w:rsid w:val="14FC19BF"/>
    <w:rsid w:val="14FE7D0A"/>
    <w:rsid w:val="150115A9"/>
    <w:rsid w:val="150317C5"/>
    <w:rsid w:val="150C0679"/>
    <w:rsid w:val="150D2743"/>
    <w:rsid w:val="150D7BA8"/>
    <w:rsid w:val="150F0169"/>
    <w:rsid w:val="15115C90"/>
    <w:rsid w:val="151412DC"/>
    <w:rsid w:val="15147EEB"/>
    <w:rsid w:val="15152C6A"/>
    <w:rsid w:val="15163A03"/>
    <w:rsid w:val="15170DCC"/>
    <w:rsid w:val="151B6C2C"/>
    <w:rsid w:val="151B7EE7"/>
    <w:rsid w:val="151C73D5"/>
    <w:rsid w:val="151D2886"/>
    <w:rsid w:val="15227E9D"/>
    <w:rsid w:val="152359C3"/>
    <w:rsid w:val="15263BEF"/>
    <w:rsid w:val="152754B3"/>
    <w:rsid w:val="15287943"/>
    <w:rsid w:val="15293018"/>
    <w:rsid w:val="152C0D1B"/>
    <w:rsid w:val="1537321C"/>
    <w:rsid w:val="15392B59"/>
    <w:rsid w:val="15396F94"/>
    <w:rsid w:val="153B0F5F"/>
    <w:rsid w:val="153B2D0D"/>
    <w:rsid w:val="154020D1"/>
    <w:rsid w:val="15453B8B"/>
    <w:rsid w:val="1548367B"/>
    <w:rsid w:val="15491A59"/>
    <w:rsid w:val="154C7F64"/>
    <w:rsid w:val="154D0C92"/>
    <w:rsid w:val="154E5766"/>
    <w:rsid w:val="15512530"/>
    <w:rsid w:val="15520056"/>
    <w:rsid w:val="1557566D"/>
    <w:rsid w:val="15585E82"/>
    <w:rsid w:val="155D5602"/>
    <w:rsid w:val="15602773"/>
    <w:rsid w:val="156166A0"/>
    <w:rsid w:val="15695ACC"/>
    <w:rsid w:val="156F0CA4"/>
    <w:rsid w:val="15712BD2"/>
    <w:rsid w:val="1571672E"/>
    <w:rsid w:val="157224A6"/>
    <w:rsid w:val="157601E9"/>
    <w:rsid w:val="15781EB2"/>
    <w:rsid w:val="15785D0F"/>
    <w:rsid w:val="15793835"/>
    <w:rsid w:val="157955E3"/>
    <w:rsid w:val="157B3666"/>
    <w:rsid w:val="157B75AD"/>
    <w:rsid w:val="157E709D"/>
    <w:rsid w:val="157F57CE"/>
    <w:rsid w:val="15826B8D"/>
    <w:rsid w:val="15843434"/>
    <w:rsid w:val="15875F52"/>
    <w:rsid w:val="158B33E1"/>
    <w:rsid w:val="158C0A10"/>
    <w:rsid w:val="158C5316"/>
    <w:rsid w:val="158D108E"/>
    <w:rsid w:val="158E56BC"/>
    <w:rsid w:val="158F4E06"/>
    <w:rsid w:val="15902BAD"/>
    <w:rsid w:val="15A05265"/>
    <w:rsid w:val="15A1784D"/>
    <w:rsid w:val="15A72150"/>
    <w:rsid w:val="15A7272E"/>
    <w:rsid w:val="15A80E34"/>
    <w:rsid w:val="15AF54A9"/>
    <w:rsid w:val="15B036FB"/>
    <w:rsid w:val="15B12EAB"/>
    <w:rsid w:val="15B30AF5"/>
    <w:rsid w:val="15B326F6"/>
    <w:rsid w:val="15B34F99"/>
    <w:rsid w:val="15B658B1"/>
    <w:rsid w:val="15B81A2B"/>
    <w:rsid w:val="15BF393E"/>
    <w:rsid w:val="15C011AF"/>
    <w:rsid w:val="15C03212"/>
    <w:rsid w:val="15C079D1"/>
    <w:rsid w:val="15C4191C"/>
    <w:rsid w:val="15C61EE5"/>
    <w:rsid w:val="15C947BC"/>
    <w:rsid w:val="15C9656A"/>
    <w:rsid w:val="15CA15FD"/>
    <w:rsid w:val="15D31197"/>
    <w:rsid w:val="15D32F45"/>
    <w:rsid w:val="15D34BAE"/>
    <w:rsid w:val="15D53161"/>
    <w:rsid w:val="15D623E2"/>
    <w:rsid w:val="15D6313D"/>
    <w:rsid w:val="15D767BC"/>
    <w:rsid w:val="15D849FF"/>
    <w:rsid w:val="15D867AD"/>
    <w:rsid w:val="15DA3CC3"/>
    <w:rsid w:val="15DD0268"/>
    <w:rsid w:val="15DD2016"/>
    <w:rsid w:val="15DD5B72"/>
    <w:rsid w:val="15DF7B3C"/>
    <w:rsid w:val="15E121FE"/>
    <w:rsid w:val="15E129D9"/>
    <w:rsid w:val="15E45152"/>
    <w:rsid w:val="15E46F00"/>
    <w:rsid w:val="15E52C78"/>
    <w:rsid w:val="15E74C42"/>
    <w:rsid w:val="15E96C0C"/>
    <w:rsid w:val="15EC0B64"/>
    <w:rsid w:val="15EC381A"/>
    <w:rsid w:val="15EF0127"/>
    <w:rsid w:val="15F264AA"/>
    <w:rsid w:val="15F55CFA"/>
    <w:rsid w:val="15F603F0"/>
    <w:rsid w:val="15F623A2"/>
    <w:rsid w:val="15F64E85"/>
    <w:rsid w:val="15F6732E"/>
    <w:rsid w:val="15F908D4"/>
    <w:rsid w:val="15F95EC8"/>
    <w:rsid w:val="15FB249C"/>
    <w:rsid w:val="16087E1D"/>
    <w:rsid w:val="16094BB9"/>
    <w:rsid w:val="160D3038"/>
    <w:rsid w:val="16117544"/>
    <w:rsid w:val="16164DE5"/>
    <w:rsid w:val="161746CA"/>
    <w:rsid w:val="161768F2"/>
    <w:rsid w:val="161C2B3E"/>
    <w:rsid w:val="161D68B6"/>
    <w:rsid w:val="16254DD9"/>
    <w:rsid w:val="1626659C"/>
    <w:rsid w:val="162714E3"/>
    <w:rsid w:val="162871F3"/>
    <w:rsid w:val="162B0FD3"/>
    <w:rsid w:val="162B2D81"/>
    <w:rsid w:val="162B4B2F"/>
    <w:rsid w:val="162D2CD7"/>
    <w:rsid w:val="1635775C"/>
    <w:rsid w:val="16361726"/>
    <w:rsid w:val="163651AC"/>
    <w:rsid w:val="163868AA"/>
    <w:rsid w:val="163C4F8E"/>
    <w:rsid w:val="163F682C"/>
    <w:rsid w:val="16421E79"/>
    <w:rsid w:val="164442E3"/>
    <w:rsid w:val="164B51D1"/>
    <w:rsid w:val="164D719B"/>
    <w:rsid w:val="1651030E"/>
    <w:rsid w:val="165464F3"/>
    <w:rsid w:val="1658169C"/>
    <w:rsid w:val="16674055"/>
    <w:rsid w:val="166824D6"/>
    <w:rsid w:val="166E331E"/>
    <w:rsid w:val="166F28BA"/>
    <w:rsid w:val="16752343"/>
    <w:rsid w:val="16764681"/>
    <w:rsid w:val="167C35DD"/>
    <w:rsid w:val="16822D1E"/>
    <w:rsid w:val="1682607B"/>
    <w:rsid w:val="16832BBD"/>
    <w:rsid w:val="1686545A"/>
    <w:rsid w:val="16866209"/>
    <w:rsid w:val="16872B71"/>
    <w:rsid w:val="16896004"/>
    <w:rsid w:val="168B7CC4"/>
    <w:rsid w:val="168C5CEE"/>
    <w:rsid w:val="168E50BE"/>
    <w:rsid w:val="16917DF9"/>
    <w:rsid w:val="16922E00"/>
    <w:rsid w:val="1693624A"/>
    <w:rsid w:val="169528F0"/>
    <w:rsid w:val="169A7F07"/>
    <w:rsid w:val="169C5A2D"/>
    <w:rsid w:val="169E17A5"/>
    <w:rsid w:val="169F1079"/>
    <w:rsid w:val="169F796D"/>
    <w:rsid w:val="16A14DF1"/>
    <w:rsid w:val="16A50D85"/>
    <w:rsid w:val="16A66ADA"/>
    <w:rsid w:val="16AA2483"/>
    <w:rsid w:val="16AA299B"/>
    <w:rsid w:val="16AB3EC2"/>
    <w:rsid w:val="16AE1553"/>
    <w:rsid w:val="16B54D41"/>
    <w:rsid w:val="16B74615"/>
    <w:rsid w:val="16C009D7"/>
    <w:rsid w:val="16D66A22"/>
    <w:rsid w:val="16DA0303"/>
    <w:rsid w:val="16DA6555"/>
    <w:rsid w:val="16E340AB"/>
    <w:rsid w:val="16E3540A"/>
    <w:rsid w:val="16E42F30"/>
    <w:rsid w:val="16E573D4"/>
    <w:rsid w:val="16E64EFA"/>
    <w:rsid w:val="16E92C4A"/>
    <w:rsid w:val="16EA49EA"/>
    <w:rsid w:val="16EB42BE"/>
    <w:rsid w:val="16EC01AC"/>
    <w:rsid w:val="16ED0036"/>
    <w:rsid w:val="16ED396B"/>
    <w:rsid w:val="16EF0253"/>
    <w:rsid w:val="16EF4171"/>
    <w:rsid w:val="16F13FCB"/>
    <w:rsid w:val="16F2564D"/>
    <w:rsid w:val="16F83DC9"/>
    <w:rsid w:val="16FE0496"/>
    <w:rsid w:val="1700420E"/>
    <w:rsid w:val="17022978"/>
    <w:rsid w:val="170571AC"/>
    <w:rsid w:val="170610F8"/>
    <w:rsid w:val="17084A1B"/>
    <w:rsid w:val="170A0BE8"/>
    <w:rsid w:val="170C3F40"/>
    <w:rsid w:val="170F17A6"/>
    <w:rsid w:val="170F4451"/>
    <w:rsid w:val="1713221D"/>
    <w:rsid w:val="1715004E"/>
    <w:rsid w:val="1715050E"/>
    <w:rsid w:val="17190E2C"/>
    <w:rsid w:val="171C4DC0"/>
    <w:rsid w:val="171F21BA"/>
    <w:rsid w:val="17245C02"/>
    <w:rsid w:val="17255A22"/>
    <w:rsid w:val="172577D0"/>
    <w:rsid w:val="17280928"/>
    <w:rsid w:val="172938B4"/>
    <w:rsid w:val="172D0D7B"/>
    <w:rsid w:val="172F064F"/>
    <w:rsid w:val="172F3D6B"/>
    <w:rsid w:val="172F4AF3"/>
    <w:rsid w:val="1731763D"/>
    <w:rsid w:val="17334B1E"/>
    <w:rsid w:val="17343EB7"/>
    <w:rsid w:val="173718C1"/>
    <w:rsid w:val="17375756"/>
    <w:rsid w:val="173C4B1A"/>
    <w:rsid w:val="173E6AE4"/>
    <w:rsid w:val="174165D4"/>
    <w:rsid w:val="17435A37"/>
    <w:rsid w:val="174449DA"/>
    <w:rsid w:val="174514D5"/>
    <w:rsid w:val="17485BB5"/>
    <w:rsid w:val="174C28FE"/>
    <w:rsid w:val="174D3ABB"/>
    <w:rsid w:val="174F6690"/>
    <w:rsid w:val="17517E56"/>
    <w:rsid w:val="17522883"/>
    <w:rsid w:val="1752433D"/>
    <w:rsid w:val="17531799"/>
    <w:rsid w:val="17544559"/>
    <w:rsid w:val="17571792"/>
    <w:rsid w:val="1757265E"/>
    <w:rsid w:val="17575DF8"/>
    <w:rsid w:val="175956CC"/>
    <w:rsid w:val="175A1E49"/>
    <w:rsid w:val="175B6BE2"/>
    <w:rsid w:val="175C51BC"/>
    <w:rsid w:val="175C5A0C"/>
    <w:rsid w:val="175D496F"/>
    <w:rsid w:val="175E7186"/>
    <w:rsid w:val="175F3626"/>
    <w:rsid w:val="176302F9"/>
    <w:rsid w:val="1763479D"/>
    <w:rsid w:val="1763654B"/>
    <w:rsid w:val="176522C3"/>
    <w:rsid w:val="1767428D"/>
    <w:rsid w:val="17674640"/>
    <w:rsid w:val="17676D50"/>
    <w:rsid w:val="176B6DEC"/>
    <w:rsid w:val="176D1ABA"/>
    <w:rsid w:val="17701D14"/>
    <w:rsid w:val="17735226"/>
    <w:rsid w:val="177C760C"/>
    <w:rsid w:val="177D585E"/>
    <w:rsid w:val="17805127"/>
    <w:rsid w:val="1785299A"/>
    <w:rsid w:val="17854713"/>
    <w:rsid w:val="178747E7"/>
    <w:rsid w:val="17887A4B"/>
    <w:rsid w:val="178A6137"/>
    <w:rsid w:val="178A7F7B"/>
    <w:rsid w:val="178F7340"/>
    <w:rsid w:val="179110D5"/>
    <w:rsid w:val="17916A9A"/>
    <w:rsid w:val="17935CA0"/>
    <w:rsid w:val="17966920"/>
    <w:rsid w:val="179901BE"/>
    <w:rsid w:val="179C05FC"/>
    <w:rsid w:val="179D7CAF"/>
    <w:rsid w:val="179E57D5"/>
    <w:rsid w:val="17A252C5"/>
    <w:rsid w:val="17A675DA"/>
    <w:rsid w:val="17A70B2D"/>
    <w:rsid w:val="17A74689"/>
    <w:rsid w:val="17AC1CA0"/>
    <w:rsid w:val="17B648CC"/>
    <w:rsid w:val="17B86896"/>
    <w:rsid w:val="17B9616B"/>
    <w:rsid w:val="17BD3EAD"/>
    <w:rsid w:val="17BD5C5B"/>
    <w:rsid w:val="17C309D6"/>
    <w:rsid w:val="17C67534"/>
    <w:rsid w:val="17C717D4"/>
    <w:rsid w:val="17CA65CA"/>
    <w:rsid w:val="17CC38C7"/>
    <w:rsid w:val="17CF1E32"/>
    <w:rsid w:val="17CF598E"/>
    <w:rsid w:val="17D05897"/>
    <w:rsid w:val="17D07906"/>
    <w:rsid w:val="17D10106"/>
    <w:rsid w:val="17D21088"/>
    <w:rsid w:val="17D27289"/>
    <w:rsid w:val="17D336B6"/>
    <w:rsid w:val="17DA4A5F"/>
    <w:rsid w:val="17DD62FD"/>
    <w:rsid w:val="17DE3E23"/>
    <w:rsid w:val="17E5229C"/>
    <w:rsid w:val="17E610B2"/>
    <w:rsid w:val="17E70043"/>
    <w:rsid w:val="17EB6C6C"/>
    <w:rsid w:val="17EC7C53"/>
    <w:rsid w:val="17EE22B8"/>
    <w:rsid w:val="17F02D96"/>
    <w:rsid w:val="17F11DA8"/>
    <w:rsid w:val="17F43647"/>
    <w:rsid w:val="17F453F5"/>
    <w:rsid w:val="17F55D8B"/>
    <w:rsid w:val="17F6539C"/>
    <w:rsid w:val="17F74355"/>
    <w:rsid w:val="17F81389"/>
    <w:rsid w:val="17F83137"/>
    <w:rsid w:val="17FC47C5"/>
    <w:rsid w:val="17FD074D"/>
    <w:rsid w:val="17FF44C5"/>
    <w:rsid w:val="17FF6273"/>
    <w:rsid w:val="18001696"/>
    <w:rsid w:val="18001FEB"/>
    <w:rsid w:val="18025D64"/>
    <w:rsid w:val="18027B3C"/>
    <w:rsid w:val="180715CC"/>
    <w:rsid w:val="18071A6A"/>
    <w:rsid w:val="18095344"/>
    <w:rsid w:val="180C273E"/>
    <w:rsid w:val="180C3847"/>
    <w:rsid w:val="180E64B6"/>
    <w:rsid w:val="1811244B"/>
    <w:rsid w:val="18131D1F"/>
    <w:rsid w:val="18194E5B"/>
    <w:rsid w:val="181A12FF"/>
    <w:rsid w:val="181B0BD3"/>
    <w:rsid w:val="1821268E"/>
    <w:rsid w:val="182447F6"/>
    <w:rsid w:val="1826220B"/>
    <w:rsid w:val="182C4B8E"/>
    <w:rsid w:val="182D42C1"/>
    <w:rsid w:val="182D4E29"/>
    <w:rsid w:val="182E6B59"/>
    <w:rsid w:val="182F467F"/>
    <w:rsid w:val="18300B23"/>
    <w:rsid w:val="183103F7"/>
    <w:rsid w:val="18315ADA"/>
    <w:rsid w:val="1833416F"/>
    <w:rsid w:val="18340622"/>
    <w:rsid w:val="18344781"/>
    <w:rsid w:val="18363C5F"/>
    <w:rsid w:val="183701D9"/>
    <w:rsid w:val="183A54FD"/>
    <w:rsid w:val="183C74C7"/>
    <w:rsid w:val="18414ADE"/>
    <w:rsid w:val="18452B6C"/>
    <w:rsid w:val="1849373C"/>
    <w:rsid w:val="1850222C"/>
    <w:rsid w:val="185265AD"/>
    <w:rsid w:val="18575CB1"/>
    <w:rsid w:val="185760AF"/>
    <w:rsid w:val="18581E27"/>
    <w:rsid w:val="185C07CF"/>
    <w:rsid w:val="185D1C5F"/>
    <w:rsid w:val="185F31B6"/>
    <w:rsid w:val="186049D2"/>
    <w:rsid w:val="186407CC"/>
    <w:rsid w:val="18664195"/>
    <w:rsid w:val="186A5908"/>
    <w:rsid w:val="187207A9"/>
    <w:rsid w:val="187546F0"/>
    <w:rsid w:val="187A7FF0"/>
    <w:rsid w:val="187D4542"/>
    <w:rsid w:val="18814EDA"/>
    <w:rsid w:val="188350F6"/>
    <w:rsid w:val="1888270D"/>
    <w:rsid w:val="188A04DE"/>
    <w:rsid w:val="188E5ACF"/>
    <w:rsid w:val="188E5C84"/>
    <w:rsid w:val="18932E60"/>
    <w:rsid w:val="18956BD8"/>
    <w:rsid w:val="18982224"/>
    <w:rsid w:val="189A5F9C"/>
    <w:rsid w:val="189F624C"/>
    <w:rsid w:val="189F6FF6"/>
    <w:rsid w:val="18A706B9"/>
    <w:rsid w:val="18A72E8E"/>
    <w:rsid w:val="18A84B5D"/>
    <w:rsid w:val="18A8690B"/>
    <w:rsid w:val="18AA5CB6"/>
    <w:rsid w:val="18B057C0"/>
    <w:rsid w:val="18B0640A"/>
    <w:rsid w:val="18B31317"/>
    <w:rsid w:val="18B74E5C"/>
    <w:rsid w:val="18C179CD"/>
    <w:rsid w:val="18C24FD7"/>
    <w:rsid w:val="18C35497"/>
    <w:rsid w:val="18C57EAA"/>
    <w:rsid w:val="18C66D91"/>
    <w:rsid w:val="18C84722"/>
    <w:rsid w:val="18C86456"/>
    <w:rsid w:val="18C87A43"/>
    <w:rsid w:val="18CE5C46"/>
    <w:rsid w:val="18D94D16"/>
    <w:rsid w:val="18DA6CE0"/>
    <w:rsid w:val="18DD746E"/>
    <w:rsid w:val="18E37943"/>
    <w:rsid w:val="18E436BB"/>
    <w:rsid w:val="18E5428A"/>
    <w:rsid w:val="18E611E1"/>
    <w:rsid w:val="18E627CD"/>
    <w:rsid w:val="18E67433"/>
    <w:rsid w:val="18E81A3F"/>
    <w:rsid w:val="18E92A1D"/>
    <w:rsid w:val="18EA6F23"/>
    <w:rsid w:val="18EB2C9C"/>
    <w:rsid w:val="18ED431E"/>
    <w:rsid w:val="18ED6A14"/>
    <w:rsid w:val="18EE0096"/>
    <w:rsid w:val="18EF2693"/>
    <w:rsid w:val="18EF6C62"/>
    <w:rsid w:val="18F02060"/>
    <w:rsid w:val="18F41B50"/>
    <w:rsid w:val="18F733EE"/>
    <w:rsid w:val="18F9502B"/>
    <w:rsid w:val="18F953B8"/>
    <w:rsid w:val="18FD242D"/>
    <w:rsid w:val="19033B41"/>
    <w:rsid w:val="190478B9"/>
    <w:rsid w:val="1907794E"/>
    <w:rsid w:val="190869DD"/>
    <w:rsid w:val="190C38B0"/>
    <w:rsid w:val="190D3E0E"/>
    <w:rsid w:val="190D42EB"/>
    <w:rsid w:val="190E24E6"/>
    <w:rsid w:val="191311B8"/>
    <w:rsid w:val="191A70DD"/>
    <w:rsid w:val="191C4C03"/>
    <w:rsid w:val="191D7DDA"/>
    <w:rsid w:val="191E097B"/>
    <w:rsid w:val="191E4E1F"/>
    <w:rsid w:val="191F1FD6"/>
    <w:rsid w:val="19212A90"/>
    <w:rsid w:val="192835A8"/>
    <w:rsid w:val="192A2B8B"/>
    <w:rsid w:val="192A37C4"/>
    <w:rsid w:val="192B12EA"/>
    <w:rsid w:val="192D6E10"/>
    <w:rsid w:val="192F6F1F"/>
    <w:rsid w:val="19314B52"/>
    <w:rsid w:val="193559DC"/>
    <w:rsid w:val="1938447B"/>
    <w:rsid w:val="19394EDE"/>
    <w:rsid w:val="193957B5"/>
    <w:rsid w:val="19397563"/>
    <w:rsid w:val="193B777F"/>
    <w:rsid w:val="19410B0E"/>
    <w:rsid w:val="19461C80"/>
    <w:rsid w:val="19477772"/>
    <w:rsid w:val="194A0BCA"/>
    <w:rsid w:val="194B7296"/>
    <w:rsid w:val="194F322A"/>
    <w:rsid w:val="19502AFF"/>
    <w:rsid w:val="19524F20"/>
    <w:rsid w:val="19560718"/>
    <w:rsid w:val="195645B9"/>
    <w:rsid w:val="19575C3B"/>
    <w:rsid w:val="195A0529"/>
    <w:rsid w:val="195B397D"/>
    <w:rsid w:val="195E521C"/>
    <w:rsid w:val="19600F94"/>
    <w:rsid w:val="196315DB"/>
    <w:rsid w:val="19645E03"/>
    <w:rsid w:val="1965563C"/>
    <w:rsid w:val="19660C48"/>
    <w:rsid w:val="19672D11"/>
    <w:rsid w:val="1968609A"/>
    <w:rsid w:val="196D12E1"/>
    <w:rsid w:val="196E7E2F"/>
    <w:rsid w:val="197131A1"/>
    <w:rsid w:val="19755131"/>
    <w:rsid w:val="197607B7"/>
    <w:rsid w:val="19783B9B"/>
    <w:rsid w:val="19785D35"/>
    <w:rsid w:val="197949FD"/>
    <w:rsid w:val="197C3E92"/>
    <w:rsid w:val="197E4A81"/>
    <w:rsid w:val="197E58BE"/>
    <w:rsid w:val="198033E4"/>
    <w:rsid w:val="19810F0A"/>
    <w:rsid w:val="1981715C"/>
    <w:rsid w:val="198253AE"/>
    <w:rsid w:val="19864EEB"/>
    <w:rsid w:val="198B401E"/>
    <w:rsid w:val="198C1D89"/>
    <w:rsid w:val="19923117"/>
    <w:rsid w:val="19946E8F"/>
    <w:rsid w:val="199476C8"/>
    <w:rsid w:val="199649B5"/>
    <w:rsid w:val="19966DA6"/>
    <w:rsid w:val="1998697F"/>
    <w:rsid w:val="19993273"/>
    <w:rsid w:val="199B021E"/>
    <w:rsid w:val="199B1FCC"/>
    <w:rsid w:val="199E1ABC"/>
    <w:rsid w:val="19A23403"/>
    <w:rsid w:val="19A5109C"/>
    <w:rsid w:val="19A54BF8"/>
    <w:rsid w:val="19AA66B3"/>
    <w:rsid w:val="19AB1EAD"/>
    <w:rsid w:val="19AC0C6E"/>
    <w:rsid w:val="19AF29E9"/>
    <w:rsid w:val="19AF2F90"/>
    <w:rsid w:val="19B14137"/>
    <w:rsid w:val="19B144CC"/>
    <w:rsid w:val="19B23C43"/>
    <w:rsid w:val="19B32B29"/>
    <w:rsid w:val="19B4308D"/>
    <w:rsid w:val="19B458E0"/>
    <w:rsid w:val="19B53DB9"/>
    <w:rsid w:val="19B5773D"/>
    <w:rsid w:val="19B80DD0"/>
    <w:rsid w:val="19B906A4"/>
    <w:rsid w:val="19B945F6"/>
    <w:rsid w:val="19BD0194"/>
    <w:rsid w:val="19BD63E6"/>
    <w:rsid w:val="19BE0A9E"/>
    <w:rsid w:val="19C257AA"/>
    <w:rsid w:val="19C5408B"/>
    <w:rsid w:val="19C9617A"/>
    <w:rsid w:val="19C96A80"/>
    <w:rsid w:val="19CD414F"/>
    <w:rsid w:val="19CE0F66"/>
    <w:rsid w:val="19CE316B"/>
    <w:rsid w:val="19D07257"/>
    <w:rsid w:val="19D674A8"/>
    <w:rsid w:val="19D87115"/>
    <w:rsid w:val="19D87DE6"/>
    <w:rsid w:val="19D92AF4"/>
    <w:rsid w:val="19DA3D88"/>
    <w:rsid w:val="19DD5322"/>
    <w:rsid w:val="19DE1F55"/>
    <w:rsid w:val="19E03E83"/>
    <w:rsid w:val="19E07D39"/>
    <w:rsid w:val="19E255FA"/>
    <w:rsid w:val="19E25E4D"/>
    <w:rsid w:val="19E636C9"/>
    <w:rsid w:val="19E75211"/>
    <w:rsid w:val="19EA2F53"/>
    <w:rsid w:val="19EA6AAF"/>
    <w:rsid w:val="19EC0A79"/>
    <w:rsid w:val="19EE2F22"/>
    <w:rsid w:val="19F4792E"/>
    <w:rsid w:val="19F618F8"/>
    <w:rsid w:val="19FD2C86"/>
    <w:rsid w:val="19FD3E10"/>
    <w:rsid w:val="1A004525"/>
    <w:rsid w:val="1A041EBA"/>
    <w:rsid w:val="1A0538E9"/>
    <w:rsid w:val="1A09162B"/>
    <w:rsid w:val="1A0A53A3"/>
    <w:rsid w:val="1A0E6C78"/>
    <w:rsid w:val="1A1572FB"/>
    <w:rsid w:val="1A165AF6"/>
    <w:rsid w:val="1A176D0F"/>
    <w:rsid w:val="1A19311C"/>
    <w:rsid w:val="1A1A3838"/>
    <w:rsid w:val="1A1B4EBB"/>
    <w:rsid w:val="1A1C66C0"/>
    <w:rsid w:val="1A1F0E4F"/>
    <w:rsid w:val="1A2024D1"/>
    <w:rsid w:val="1A231FC1"/>
    <w:rsid w:val="1A2763DD"/>
    <w:rsid w:val="1A2C0FB5"/>
    <w:rsid w:val="1A312930"/>
    <w:rsid w:val="1A3441CE"/>
    <w:rsid w:val="1A3507AD"/>
    <w:rsid w:val="1A3557AC"/>
    <w:rsid w:val="1A381F10"/>
    <w:rsid w:val="1A384C99"/>
    <w:rsid w:val="1A3D12D5"/>
    <w:rsid w:val="1A3F6DFB"/>
    <w:rsid w:val="1A42393B"/>
    <w:rsid w:val="1A43009A"/>
    <w:rsid w:val="1A435B4C"/>
    <w:rsid w:val="1A450189"/>
    <w:rsid w:val="1A4577D8"/>
    <w:rsid w:val="1A522E26"/>
    <w:rsid w:val="1A55661F"/>
    <w:rsid w:val="1A562397"/>
    <w:rsid w:val="1A564145"/>
    <w:rsid w:val="1A587EBD"/>
    <w:rsid w:val="1A5C07B5"/>
    <w:rsid w:val="1A5C61D3"/>
    <w:rsid w:val="1A5D54D3"/>
    <w:rsid w:val="1A5E7C1F"/>
    <w:rsid w:val="1A5F124B"/>
    <w:rsid w:val="1A646862"/>
    <w:rsid w:val="1A6525DA"/>
    <w:rsid w:val="1A681E40"/>
    <w:rsid w:val="1A6B5E42"/>
    <w:rsid w:val="1A6E76E0"/>
    <w:rsid w:val="1A7171D0"/>
    <w:rsid w:val="1A723EF5"/>
    <w:rsid w:val="1A7309F2"/>
    <w:rsid w:val="1A75281D"/>
    <w:rsid w:val="1A7703D9"/>
    <w:rsid w:val="1A7840BB"/>
    <w:rsid w:val="1A7E355A"/>
    <w:rsid w:val="1A7F3039"/>
    <w:rsid w:val="1A7F63F9"/>
    <w:rsid w:val="1A8173AA"/>
    <w:rsid w:val="1A845156"/>
    <w:rsid w:val="1A8567D8"/>
    <w:rsid w:val="1A872550"/>
    <w:rsid w:val="1A8A0541"/>
    <w:rsid w:val="1A8A67B3"/>
    <w:rsid w:val="1A8B2040"/>
    <w:rsid w:val="1A8B64E4"/>
    <w:rsid w:val="1A8D120A"/>
    <w:rsid w:val="1A8E1B30"/>
    <w:rsid w:val="1A911621"/>
    <w:rsid w:val="1A930EF5"/>
    <w:rsid w:val="1A9377AB"/>
    <w:rsid w:val="1A9609E5"/>
    <w:rsid w:val="1A9A2283"/>
    <w:rsid w:val="1A9D4B2C"/>
    <w:rsid w:val="1AA41354"/>
    <w:rsid w:val="1AA475A6"/>
    <w:rsid w:val="1AA66E7A"/>
    <w:rsid w:val="1AAC38DB"/>
    <w:rsid w:val="1AAD45DE"/>
    <w:rsid w:val="1AAD645B"/>
    <w:rsid w:val="1AAE3F81"/>
    <w:rsid w:val="1AAF0DCC"/>
    <w:rsid w:val="1AB31597"/>
    <w:rsid w:val="1AB377E9"/>
    <w:rsid w:val="1AB5530F"/>
    <w:rsid w:val="1AB772D9"/>
    <w:rsid w:val="1AB8095B"/>
    <w:rsid w:val="1ABD41C4"/>
    <w:rsid w:val="1ABE7431"/>
    <w:rsid w:val="1ABF1486"/>
    <w:rsid w:val="1ABF1CEA"/>
    <w:rsid w:val="1AC167D9"/>
    <w:rsid w:val="1AC35C7E"/>
    <w:rsid w:val="1AC5607F"/>
    <w:rsid w:val="1AC770B4"/>
    <w:rsid w:val="1AC77420"/>
    <w:rsid w:val="1AC90DBB"/>
    <w:rsid w:val="1ACC3506"/>
    <w:rsid w:val="1ACC4407"/>
    <w:rsid w:val="1AD0039B"/>
    <w:rsid w:val="1AD31C39"/>
    <w:rsid w:val="1AD33756"/>
    <w:rsid w:val="1AD339E7"/>
    <w:rsid w:val="1AD67034"/>
    <w:rsid w:val="1AD751A4"/>
    <w:rsid w:val="1AD87250"/>
    <w:rsid w:val="1ADA6B24"/>
    <w:rsid w:val="1ADB7C95"/>
    <w:rsid w:val="1ADF238C"/>
    <w:rsid w:val="1AE16104"/>
    <w:rsid w:val="1AE23C2A"/>
    <w:rsid w:val="1AE45BF4"/>
    <w:rsid w:val="1AE71241"/>
    <w:rsid w:val="1AE879F1"/>
    <w:rsid w:val="1AF0572E"/>
    <w:rsid w:val="1AF35E37"/>
    <w:rsid w:val="1AF37BE5"/>
    <w:rsid w:val="1AF53561"/>
    <w:rsid w:val="1AFA71C6"/>
    <w:rsid w:val="1AFA7273"/>
    <w:rsid w:val="1AFC6A9A"/>
    <w:rsid w:val="1AFD7122"/>
    <w:rsid w:val="1AFE48C4"/>
    <w:rsid w:val="1B0105E7"/>
    <w:rsid w:val="1B040045"/>
    <w:rsid w:val="1B046F80"/>
    <w:rsid w:val="1B0644E6"/>
    <w:rsid w:val="1B0818E3"/>
    <w:rsid w:val="1B102A59"/>
    <w:rsid w:val="1B1069E9"/>
    <w:rsid w:val="1B1464DA"/>
    <w:rsid w:val="1B151F36"/>
    <w:rsid w:val="1B1528B0"/>
    <w:rsid w:val="1B177D78"/>
    <w:rsid w:val="1B1A33C4"/>
    <w:rsid w:val="1B1E1106"/>
    <w:rsid w:val="1B1F017F"/>
    <w:rsid w:val="1B2078B8"/>
    <w:rsid w:val="1B211CC9"/>
    <w:rsid w:val="1B25058E"/>
    <w:rsid w:val="1B25501D"/>
    <w:rsid w:val="1B27238F"/>
    <w:rsid w:val="1B285AE1"/>
    <w:rsid w:val="1B2B4BC8"/>
    <w:rsid w:val="1B2E6E70"/>
    <w:rsid w:val="1B3267B5"/>
    <w:rsid w:val="1B375D24"/>
    <w:rsid w:val="1B391A9C"/>
    <w:rsid w:val="1B3D6F03"/>
    <w:rsid w:val="1B3E5460"/>
    <w:rsid w:val="1B40161D"/>
    <w:rsid w:val="1B410951"/>
    <w:rsid w:val="1B441859"/>
    <w:rsid w:val="1B4560C7"/>
    <w:rsid w:val="1B495073"/>
    <w:rsid w:val="1B4951CA"/>
    <w:rsid w:val="1B495A57"/>
    <w:rsid w:val="1B4D1A5C"/>
    <w:rsid w:val="1B4F12C0"/>
    <w:rsid w:val="1B522B5E"/>
    <w:rsid w:val="1B542D7A"/>
    <w:rsid w:val="1B5543FC"/>
    <w:rsid w:val="1B5871D7"/>
    <w:rsid w:val="1B5900B0"/>
    <w:rsid w:val="1B5C578B"/>
    <w:rsid w:val="1B642086"/>
    <w:rsid w:val="1B642891"/>
    <w:rsid w:val="1B6603B7"/>
    <w:rsid w:val="1B6606B1"/>
    <w:rsid w:val="1B667224"/>
    <w:rsid w:val="1B6B3C20"/>
    <w:rsid w:val="1B6D5DD1"/>
    <w:rsid w:val="1B6F3710"/>
    <w:rsid w:val="1B740D26"/>
    <w:rsid w:val="1B7725C5"/>
    <w:rsid w:val="1B781C36"/>
    <w:rsid w:val="1B80591D"/>
    <w:rsid w:val="1B830F69"/>
    <w:rsid w:val="1B83626B"/>
    <w:rsid w:val="1B862808"/>
    <w:rsid w:val="1B8821B2"/>
    <w:rsid w:val="1B886580"/>
    <w:rsid w:val="1B892D48"/>
    <w:rsid w:val="1B8B45DD"/>
    <w:rsid w:val="1B8B6070"/>
    <w:rsid w:val="1B8C2514"/>
    <w:rsid w:val="1B9063B3"/>
    <w:rsid w:val="1B931350"/>
    <w:rsid w:val="1B93683E"/>
    <w:rsid w:val="1B95289F"/>
    <w:rsid w:val="1B965141"/>
    <w:rsid w:val="1B972C67"/>
    <w:rsid w:val="1B974A15"/>
    <w:rsid w:val="1B982353"/>
    <w:rsid w:val="1B99078D"/>
    <w:rsid w:val="1B9A2198"/>
    <w:rsid w:val="1BA0144B"/>
    <w:rsid w:val="1BA01B1B"/>
    <w:rsid w:val="1BA07D6D"/>
    <w:rsid w:val="1BA51472"/>
    <w:rsid w:val="1BA56195"/>
    <w:rsid w:val="1BA620E3"/>
    <w:rsid w:val="1BA809D0"/>
    <w:rsid w:val="1BAB1AAC"/>
    <w:rsid w:val="1BAC6712"/>
    <w:rsid w:val="1BAD248A"/>
    <w:rsid w:val="1BAF6202"/>
    <w:rsid w:val="1BB11F7A"/>
    <w:rsid w:val="1BB2184F"/>
    <w:rsid w:val="1BB455C7"/>
    <w:rsid w:val="1BB6133F"/>
    <w:rsid w:val="1BC07075"/>
    <w:rsid w:val="1BC670A8"/>
    <w:rsid w:val="1BCF0653"/>
    <w:rsid w:val="1BCF2401"/>
    <w:rsid w:val="1BD6553D"/>
    <w:rsid w:val="1BDC5034"/>
    <w:rsid w:val="1BDC68CC"/>
    <w:rsid w:val="1BDD515D"/>
    <w:rsid w:val="1BE22134"/>
    <w:rsid w:val="1BE614F8"/>
    <w:rsid w:val="1BEA5AB2"/>
    <w:rsid w:val="1BEF4851"/>
    <w:rsid w:val="1BEF65FF"/>
    <w:rsid w:val="1BF025D7"/>
    <w:rsid w:val="1BF45058"/>
    <w:rsid w:val="1BFB1448"/>
    <w:rsid w:val="1BFB1712"/>
    <w:rsid w:val="1BFB2DBE"/>
    <w:rsid w:val="1BFE4A94"/>
    <w:rsid w:val="1C033E58"/>
    <w:rsid w:val="1C081A0E"/>
    <w:rsid w:val="1C0876C1"/>
    <w:rsid w:val="1C0A51E7"/>
    <w:rsid w:val="1C0F4EF3"/>
    <w:rsid w:val="1C1147C7"/>
    <w:rsid w:val="1C125103"/>
    <w:rsid w:val="1C152EB0"/>
    <w:rsid w:val="1C166281"/>
    <w:rsid w:val="1C18440A"/>
    <w:rsid w:val="1C1B3898"/>
    <w:rsid w:val="1C1B63C3"/>
    <w:rsid w:val="1C2B2B52"/>
    <w:rsid w:val="1C2C7853"/>
    <w:rsid w:val="1C2D48DC"/>
    <w:rsid w:val="1C2F794E"/>
    <w:rsid w:val="1C3B1844"/>
    <w:rsid w:val="1C3B7A96"/>
    <w:rsid w:val="1C3C7621"/>
    <w:rsid w:val="1C3E1334"/>
    <w:rsid w:val="1C413A7E"/>
    <w:rsid w:val="1C413DEA"/>
    <w:rsid w:val="1C444B9D"/>
    <w:rsid w:val="1C44694B"/>
    <w:rsid w:val="1C47220C"/>
    <w:rsid w:val="1C4C57FF"/>
    <w:rsid w:val="1C4D36AB"/>
    <w:rsid w:val="1C4E02F5"/>
    <w:rsid w:val="1C4E0B38"/>
    <w:rsid w:val="1C4E1577"/>
    <w:rsid w:val="1C4E2785"/>
    <w:rsid w:val="1C4E4299"/>
    <w:rsid w:val="1C5154C2"/>
    <w:rsid w:val="1C5172BA"/>
    <w:rsid w:val="1C533032"/>
    <w:rsid w:val="1C5611E1"/>
    <w:rsid w:val="1C591153"/>
    <w:rsid w:val="1C5D12C5"/>
    <w:rsid w:val="1C5E7925"/>
    <w:rsid w:val="1C5F3784"/>
    <w:rsid w:val="1C626DD1"/>
    <w:rsid w:val="1C6360EC"/>
    <w:rsid w:val="1C6568C1"/>
    <w:rsid w:val="1C676ADD"/>
    <w:rsid w:val="1C697479"/>
    <w:rsid w:val="1C6A2129"/>
    <w:rsid w:val="1C6B037B"/>
    <w:rsid w:val="1C6C7C4F"/>
    <w:rsid w:val="1C6E5776"/>
    <w:rsid w:val="1C7238D5"/>
    <w:rsid w:val="1C744D56"/>
    <w:rsid w:val="1C7879D5"/>
    <w:rsid w:val="1C7973A3"/>
    <w:rsid w:val="1C7B1E3F"/>
    <w:rsid w:val="1C7B7E93"/>
    <w:rsid w:val="1C7C7EF1"/>
    <w:rsid w:val="1C840575"/>
    <w:rsid w:val="1C844F99"/>
    <w:rsid w:val="1C890801"/>
    <w:rsid w:val="1C9012C6"/>
    <w:rsid w:val="1C9553F8"/>
    <w:rsid w:val="1C961170"/>
    <w:rsid w:val="1C996DA8"/>
    <w:rsid w:val="1C9A0C60"/>
    <w:rsid w:val="1C9B0535"/>
    <w:rsid w:val="1C9E67AC"/>
    <w:rsid w:val="1C9F202D"/>
    <w:rsid w:val="1CA05B4B"/>
    <w:rsid w:val="1CA060AC"/>
    <w:rsid w:val="1CA1494D"/>
    <w:rsid w:val="1CAA0778"/>
    <w:rsid w:val="1CAC629E"/>
    <w:rsid w:val="1CAF7890"/>
    <w:rsid w:val="1CB05D8E"/>
    <w:rsid w:val="1CB416A2"/>
    <w:rsid w:val="1CB533A4"/>
    <w:rsid w:val="1CB703A7"/>
    <w:rsid w:val="1CB810E7"/>
    <w:rsid w:val="1CBA09BB"/>
    <w:rsid w:val="1CBB4733"/>
    <w:rsid w:val="1CBD66FD"/>
    <w:rsid w:val="1CBF3D37"/>
    <w:rsid w:val="1CBF4223"/>
    <w:rsid w:val="1CC17F9B"/>
    <w:rsid w:val="1CC66279"/>
    <w:rsid w:val="1CC9080E"/>
    <w:rsid w:val="1CCB0E1A"/>
    <w:rsid w:val="1CD407F7"/>
    <w:rsid w:val="1CD43891"/>
    <w:rsid w:val="1CD513E5"/>
    <w:rsid w:val="1CD75CDD"/>
    <w:rsid w:val="1CD77D00"/>
    <w:rsid w:val="1CD87093"/>
    <w:rsid w:val="1CDC3027"/>
    <w:rsid w:val="1CDE324A"/>
    <w:rsid w:val="1CE0488E"/>
    <w:rsid w:val="1CE1523A"/>
    <w:rsid w:val="1CE26164"/>
    <w:rsid w:val="1CE64D30"/>
    <w:rsid w:val="1CE80F17"/>
    <w:rsid w:val="1CEB326A"/>
    <w:rsid w:val="1CEB5018"/>
    <w:rsid w:val="1CEC3C83"/>
    <w:rsid w:val="1CED62BC"/>
    <w:rsid w:val="1CEF7BCC"/>
    <w:rsid w:val="1CF163A7"/>
    <w:rsid w:val="1CF30371"/>
    <w:rsid w:val="1CF37F1C"/>
    <w:rsid w:val="1CF814E3"/>
    <w:rsid w:val="1CFA525B"/>
    <w:rsid w:val="1CFB4104"/>
    <w:rsid w:val="1CFD070F"/>
    <w:rsid w:val="1CFE7534"/>
    <w:rsid w:val="1CFF6D16"/>
    <w:rsid w:val="1D0165EA"/>
    <w:rsid w:val="1D020830"/>
    <w:rsid w:val="1D0936F0"/>
    <w:rsid w:val="1D0C4B86"/>
    <w:rsid w:val="1D0D1432"/>
    <w:rsid w:val="1D0E1DA1"/>
    <w:rsid w:val="1D1327C1"/>
    <w:rsid w:val="1D1455CF"/>
    <w:rsid w:val="1D153800"/>
    <w:rsid w:val="1D17405F"/>
    <w:rsid w:val="1D1A76AB"/>
    <w:rsid w:val="1D1B4B41"/>
    <w:rsid w:val="1D1C78C7"/>
    <w:rsid w:val="1D1E541A"/>
    <w:rsid w:val="1D210A3A"/>
    <w:rsid w:val="1D223AFA"/>
    <w:rsid w:val="1D2247B2"/>
    <w:rsid w:val="1D230C56"/>
    <w:rsid w:val="1D2642A2"/>
    <w:rsid w:val="1D271CD1"/>
    <w:rsid w:val="1D277858"/>
    <w:rsid w:val="1D28414B"/>
    <w:rsid w:val="1D290F49"/>
    <w:rsid w:val="1D2A0873"/>
    <w:rsid w:val="1D2B3667"/>
    <w:rsid w:val="1D2C5AC6"/>
    <w:rsid w:val="1D2D3883"/>
    <w:rsid w:val="1D2E13A9"/>
    <w:rsid w:val="1D3369BF"/>
    <w:rsid w:val="1D352737"/>
    <w:rsid w:val="1D3A5FA0"/>
    <w:rsid w:val="1D3A73D1"/>
    <w:rsid w:val="1D3B50C5"/>
    <w:rsid w:val="1D3C3AC6"/>
    <w:rsid w:val="1D401135"/>
    <w:rsid w:val="1D41732E"/>
    <w:rsid w:val="1D436562"/>
    <w:rsid w:val="1D4604A0"/>
    <w:rsid w:val="1D464944"/>
    <w:rsid w:val="1D4A4435"/>
    <w:rsid w:val="1D5030CD"/>
    <w:rsid w:val="1D506B65"/>
    <w:rsid w:val="1D51214C"/>
    <w:rsid w:val="1D5239B9"/>
    <w:rsid w:val="1D526E45"/>
    <w:rsid w:val="1D535AA1"/>
    <w:rsid w:val="1D594678"/>
    <w:rsid w:val="1D596426"/>
    <w:rsid w:val="1D5C4168"/>
    <w:rsid w:val="1D5D57EA"/>
    <w:rsid w:val="1D5E6E3B"/>
    <w:rsid w:val="1D5F6196"/>
    <w:rsid w:val="1D61177E"/>
    <w:rsid w:val="1D6132A5"/>
    <w:rsid w:val="1D631052"/>
    <w:rsid w:val="1D6628F1"/>
    <w:rsid w:val="1D6805C0"/>
    <w:rsid w:val="1D686669"/>
    <w:rsid w:val="1D721295"/>
    <w:rsid w:val="1D750D86"/>
    <w:rsid w:val="1D752B34"/>
    <w:rsid w:val="1D756A99"/>
    <w:rsid w:val="1D790876"/>
    <w:rsid w:val="1D7C2114"/>
    <w:rsid w:val="1D7D1FB1"/>
    <w:rsid w:val="1D8334A3"/>
    <w:rsid w:val="1D884F5D"/>
    <w:rsid w:val="1D893503"/>
    <w:rsid w:val="1D8D2195"/>
    <w:rsid w:val="1D8D60CF"/>
    <w:rsid w:val="1D8E3BF5"/>
    <w:rsid w:val="1D8E56D5"/>
    <w:rsid w:val="1D950DCC"/>
    <w:rsid w:val="1D954F84"/>
    <w:rsid w:val="1D956643"/>
    <w:rsid w:val="1D9E652E"/>
    <w:rsid w:val="1D9E6958"/>
    <w:rsid w:val="1DA030EA"/>
    <w:rsid w:val="1DA11DB1"/>
    <w:rsid w:val="1DA12787"/>
    <w:rsid w:val="1DA132D9"/>
    <w:rsid w:val="1DA24769"/>
    <w:rsid w:val="1DA32633"/>
    <w:rsid w:val="1DA91A6B"/>
    <w:rsid w:val="1DAB47A7"/>
    <w:rsid w:val="1DAB72A4"/>
    <w:rsid w:val="1DAF3F22"/>
    <w:rsid w:val="1DAF4298"/>
    <w:rsid w:val="1DAF5B89"/>
    <w:rsid w:val="1DB010E1"/>
    <w:rsid w:val="1DB220FB"/>
    <w:rsid w:val="1DB23D88"/>
    <w:rsid w:val="1DB7314C"/>
    <w:rsid w:val="1DB96EC4"/>
    <w:rsid w:val="1DBE44DB"/>
    <w:rsid w:val="1DC00CAC"/>
    <w:rsid w:val="1DC37593"/>
    <w:rsid w:val="1DC615E1"/>
    <w:rsid w:val="1DC72423"/>
    <w:rsid w:val="1DC80A69"/>
    <w:rsid w:val="1DCA10D2"/>
    <w:rsid w:val="1DCA1E2D"/>
    <w:rsid w:val="1DCB4E4A"/>
    <w:rsid w:val="1DCB5D76"/>
    <w:rsid w:val="1DCD2970"/>
    <w:rsid w:val="1DCE3FB7"/>
    <w:rsid w:val="1DCF5BFC"/>
    <w:rsid w:val="1DD22E06"/>
    <w:rsid w:val="1DDE4B7D"/>
    <w:rsid w:val="1DE005DE"/>
    <w:rsid w:val="1DE1641B"/>
    <w:rsid w:val="1DE3308C"/>
    <w:rsid w:val="1DE521EC"/>
    <w:rsid w:val="1DE57CB9"/>
    <w:rsid w:val="1DE859FC"/>
    <w:rsid w:val="1DEA3522"/>
    <w:rsid w:val="1DED6B6E"/>
    <w:rsid w:val="1DF113BD"/>
    <w:rsid w:val="1DF223D6"/>
    <w:rsid w:val="1DF4614E"/>
    <w:rsid w:val="1DF7774C"/>
    <w:rsid w:val="1DFA4C3B"/>
    <w:rsid w:val="1DFC163B"/>
    <w:rsid w:val="1DFC3255"/>
    <w:rsid w:val="1E012619"/>
    <w:rsid w:val="1E014B58"/>
    <w:rsid w:val="1E043956"/>
    <w:rsid w:val="1E067C30"/>
    <w:rsid w:val="1E1265D5"/>
    <w:rsid w:val="1E13619C"/>
    <w:rsid w:val="1E14234D"/>
    <w:rsid w:val="1E1862E1"/>
    <w:rsid w:val="1E1B11FB"/>
    <w:rsid w:val="1E1B7B7F"/>
    <w:rsid w:val="1E217C8F"/>
    <w:rsid w:val="1E2229E7"/>
    <w:rsid w:val="1E2527AC"/>
    <w:rsid w:val="1E256308"/>
    <w:rsid w:val="1E285DF8"/>
    <w:rsid w:val="1E29229C"/>
    <w:rsid w:val="1E2A6014"/>
    <w:rsid w:val="1E2C3B3A"/>
    <w:rsid w:val="1E2D3997"/>
    <w:rsid w:val="1E2F362A"/>
    <w:rsid w:val="1E312EFF"/>
    <w:rsid w:val="1E390005"/>
    <w:rsid w:val="1E3B3D7D"/>
    <w:rsid w:val="1E3D18A3"/>
    <w:rsid w:val="1E3E561C"/>
    <w:rsid w:val="1E4363C8"/>
    <w:rsid w:val="1E454BFC"/>
    <w:rsid w:val="1E473709"/>
    <w:rsid w:val="1E480248"/>
    <w:rsid w:val="1E4D682F"/>
    <w:rsid w:val="1E4F5A2F"/>
    <w:rsid w:val="1E5005BF"/>
    <w:rsid w:val="1E522E75"/>
    <w:rsid w:val="1E526375"/>
    <w:rsid w:val="1E546BED"/>
    <w:rsid w:val="1E567219"/>
    <w:rsid w:val="1E58492F"/>
    <w:rsid w:val="1E5A11E8"/>
    <w:rsid w:val="1E5A1A7D"/>
    <w:rsid w:val="1E605592"/>
    <w:rsid w:val="1E61054F"/>
    <w:rsid w:val="1E6432D4"/>
    <w:rsid w:val="1E661761"/>
    <w:rsid w:val="1E6757C2"/>
    <w:rsid w:val="1E676920"/>
    <w:rsid w:val="1E6D7CAF"/>
    <w:rsid w:val="1E707ECB"/>
    <w:rsid w:val="1E71280F"/>
    <w:rsid w:val="1E766B63"/>
    <w:rsid w:val="1E7964C4"/>
    <w:rsid w:val="1E7A43DA"/>
    <w:rsid w:val="1E7B3C38"/>
    <w:rsid w:val="1E7C1811"/>
    <w:rsid w:val="1E7E1EBC"/>
    <w:rsid w:val="1E803E86"/>
    <w:rsid w:val="1E806520"/>
    <w:rsid w:val="1E827C5E"/>
    <w:rsid w:val="1E8374C0"/>
    <w:rsid w:val="1E85149C"/>
    <w:rsid w:val="1E8707A4"/>
    <w:rsid w:val="1E8B2680"/>
    <w:rsid w:val="1E8C690E"/>
    <w:rsid w:val="1E8D74DD"/>
    <w:rsid w:val="1E8E0A96"/>
    <w:rsid w:val="1E8F542F"/>
    <w:rsid w:val="1E90231B"/>
    <w:rsid w:val="1E934A4F"/>
    <w:rsid w:val="1E9516DF"/>
    <w:rsid w:val="1E960FB4"/>
    <w:rsid w:val="1E984D2C"/>
    <w:rsid w:val="1E9E6C51"/>
    <w:rsid w:val="1EA03F8B"/>
    <w:rsid w:val="1EA2204E"/>
    <w:rsid w:val="1EA3341E"/>
    <w:rsid w:val="1EA543A2"/>
    <w:rsid w:val="1EA67927"/>
    <w:rsid w:val="1EA77665"/>
    <w:rsid w:val="1EA91DCD"/>
    <w:rsid w:val="1EA94204"/>
    <w:rsid w:val="1EA96F39"/>
    <w:rsid w:val="1EAA6A05"/>
    <w:rsid w:val="1EAB489E"/>
    <w:rsid w:val="1EB01574"/>
    <w:rsid w:val="1EB06519"/>
    <w:rsid w:val="1EB12D29"/>
    <w:rsid w:val="1EB1403F"/>
    <w:rsid w:val="1EB2002F"/>
    <w:rsid w:val="1EB4768C"/>
    <w:rsid w:val="1EB63404"/>
    <w:rsid w:val="1EBB0A1A"/>
    <w:rsid w:val="1EBB6C6C"/>
    <w:rsid w:val="1EBD0C36"/>
    <w:rsid w:val="1EC024D4"/>
    <w:rsid w:val="1EC45B21"/>
    <w:rsid w:val="1EC56347"/>
    <w:rsid w:val="1ECC2C27"/>
    <w:rsid w:val="1ED146E2"/>
    <w:rsid w:val="1ED61CF8"/>
    <w:rsid w:val="1ED720DB"/>
    <w:rsid w:val="1EDB10BC"/>
    <w:rsid w:val="1EDD4E34"/>
    <w:rsid w:val="1EDE6C90"/>
    <w:rsid w:val="1EDF0BAD"/>
    <w:rsid w:val="1EE00481"/>
    <w:rsid w:val="1EE066D3"/>
    <w:rsid w:val="1EE14925"/>
    <w:rsid w:val="1EE1770E"/>
    <w:rsid w:val="1EE2244B"/>
    <w:rsid w:val="1EE24276"/>
    <w:rsid w:val="1EE6018D"/>
    <w:rsid w:val="1EE7180F"/>
    <w:rsid w:val="1EEA662E"/>
    <w:rsid w:val="1EEC32CA"/>
    <w:rsid w:val="1EEC5078"/>
    <w:rsid w:val="1EF009FF"/>
    <w:rsid w:val="1EF1171F"/>
    <w:rsid w:val="1EF36406"/>
    <w:rsid w:val="1EF3668B"/>
    <w:rsid w:val="1EF503D0"/>
    <w:rsid w:val="1EF6578A"/>
    <w:rsid w:val="1EF67CA4"/>
    <w:rsid w:val="1EFA1543"/>
    <w:rsid w:val="1EFB350D"/>
    <w:rsid w:val="1EFC297D"/>
    <w:rsid w:val="1F06438B"/>
    <w:rsid w:val="1F071C53"/>
    <w:rsid w:val="1F0979D8"/>
    <w:rsid w:val="1F0B19A2"/>
    <w:rsid w:val="1F0E4FEE"/>
    <w:rsid w:val="1F1C3BAF"/>
    <w:rsid w:val="1F1D248B"/>
    <w:rsid w:val="1F1F369F"/>
    <w:rsid w:val="1F2111C5"/>
    <w:rsid w:val="1F234F3D"/>
    <w:rsid w:val="1F26058A"/>
    <w:rsid w:val="1F2760B0"/>
    <w:rsid w:val="1F3107CB"/>
    <w:rsid w:val="1F3146E8"/>
    <w:rsid w:val="1F3233D2"/>
    <w:rsid w:val="1F397990"/>
    <w:rsid w:val="1F3A1FE0"/>
    <w:rsid w:val="1F3A4035"/>
    <w:rsid w:val="1F3B48C3"/>
    <w:rsid w:val="1F3F164B"/>
    <w:rsid w:val="1F3F7791"/>
    <w:rsid w:val="1F417171"/>
    <w:rsid w:val="1F42113B"/>
    <w:rsid w:val="1F430CF7"/>
    <w:rsid w:val="1F434B1C"/>
    <w:rsid w:val="1F440886"/>
    <w:rsid w:val="1F44616C"/>
    <w:rsid w:val="1F464788"/>
    <w:rsid w:val="1F471D31"/>
    <w:rsid w:val="1F4924CA"/>
    <w:rsid w:val="1F502D2F"/>
    <w:rsid w:val="1F503858"/>
    <w:rsid w:val="1F576995"/>
    <w:rsid w:val="1F5844BB"/>
    <w:rsid w:val="1F5A303D"/>
    <w:rsid w:val="1F5C3833"/>
    <w:rsid w:val="1F5E5F75"/>
    <w:rsid w:val="1F5F117E"/>
    <w:rsid w:val="1F5F584A"/>
    <w:rsid w:val="1F615A66"/>
    <w:rsid w:val="1F626B9C"/>
    <w:rsid w:val="1F637F44"/>
    <w:rsid w:val="1F642E60"/>
    <w:rsid w:val="1F646CEA"/>
    <w:rsid w:val="1F6A2B6C"/>
    <w:rsid w:val="1F7237CF"/>
    <w:rsid w:val="1F740FB1"/>
    <w:rsid w:val="1F792DAF"/>
    <w:rsid w:val="1F7F2EEB"/>
    <w:rsid w:val="1F7F5EEC"/>
    <w:rsid w:val="1F811C64"/>
    <w:rsid w:val="1F8424B8"/>
    <w:rsid w:val="1F8D0609"/>
    <w:rsid w:val="1F902E99"/>
    <w:rsid w:val="1F903C55"/>
    <w:rsid w:val="1F941997"/>
    <w:rsid w:val="1F953961"/>
    <w:rsid w:val="1F95570F"/>
    <w:rsid w:val="1F973235"/>
    <w:rsid w:val="1F986E05"/>
    <w:rsid w:val="1F9A4AD4"/>
    <w:rsid w:val="1F9E45C4"/>
    <w:rsid w:val="1FA140B4"/>
    <w:rsid w:val="1FA31BDA"/>
    <w:rsid w:val="1FA45952"/>
    <w:rsid w:val="1FA91331"/>
    <w:rsid w:val="1FAA0DB7"/>
    <w:rsid w:val="1FAD3DC4"/>
    <w:rsid w:val="1FAE057F"/>
    <w:rsid w:val="1FAF4A23"/>
    <w:rsid w:val="1FB02549"/>
    <w:rsid w:val="1FB5190D"/>
    <w:rsid w:val="1FB81613"/>
    <w:rsid w:val="1FBA6F24"/>
    <w:rsid w:val="1FBC0EEE"/>
    <w:rsid w:val="1FC447F8"/>
    <w:rsid w:val="1FC55BF9"/>
    <w:rsid w:val="1FC61D6D"/>
    <w:rsid w:val="1FC97EC2"/>
    <w:rsid w:val="1FCC0EC7"/>
    <w:rsid w:val="1FCF29CF"/>
    <w:rsid w:val="1FD17FF8"/>
    <w:rsid w:val="1FD3793B"/>
    <w:rsid w:val="1FD72C6D"/>
    <w:rsid w:val="1FD91AA0"/>
    <w:rsid w:val="1FDB48E0"/>
    <w:rsid w:val="1FDE2C12"/>
    <w:rsid w:val="1FE0288F"/>
    <w:rsid w:val="1FE12702"/>
    <w:rsid w:val="1FE346CD"/>
    <w:rsid w:val="1FE521F3"/>
    <w:rsid w:val="1FE613A1"/>
    <w:rsid w:val="1FE7539E"/>
    <w:rsid w:val="1FE848BB"/>
    <w:rsid w:val="1FEA7809"/>
    <w:rsid w:val="1FEB3581"/>
    <w:rsid w:val="1FED10A7"/>
    <w:rsid w:val="1FEE3F9D"/>
    <w:rsid w:val="1FEF4A96"/>
    <w:rsid w:val="1FF02946"/>
    <w:rsid w:val="1FF25C65"/>
    <w:rsid w:val="1FFC0D9F"/>
    <w:rsid w:val="2007660D"/>
    <w:rsid w:val="200B777F"/>
    <w:rsid w:val="200F101E"/>
    <w:rsid w:val="200F7270"/>
    <w:rsid w:val="20101593"/>
    <w:rsid w:val="2013251C"/>
    <w:rsid w:val="201605FE"/>
    <w:rsid w:val="201725C8"/>
    <w:rsid w:val="201A3EB0"/>
    <w:rsid w:val="201B5C14"/>
    <w:rsid w:val="201E2585"/>
    <w:rsid w:val="201E3957"/>
    <w:rsid w:val="20230F6D"/>
    <w:rsid w:val="20280331"/>
    <w:rsid w:val="20304BC9"/>
    <w:rsid w:val="20344F28"/>
    <w:rsid w:val="20350AB8"/>
    <w:rsid w:val="20384A18"/>
    <w:rsid w:val="2039253E"/>
    <w:rsid w:val="203F28D2"/>
    <w:rsid w:val="2040567B"/>
    <w:rsid w:val="20405BCB"/>
    <w:rsid w:val="2043516B"/>
    <w:rsid w:val="204607B7"/>
    <w:rsid w:val="204907EE"/>
    <w:rsid w:val="204E5283"/>
    <w:rsid w:val="20511636"/>
    <w:rsid w:val="205253AE"/>
    <w:rsid w:val="205630F0"/>
    <w:rsid w:val="20574252"/>
    <w:rsid w:val="20580C17"/>
    <w:rsid w:val="205832EF"/>
    <w:rsid w:val="205E4B0D"/>
    <w:rsid w:val="205F522A"/>
    <w:rsid w:val="20601879"/>
    <w:rsid w:val="20605D1D"/>
    <w:rsid w:val="20621A95"/>
    <w:rsid w:val="20631369"/>
    <w:rsid w:val="20636D70"/>
    <w:rsid w:val="206375BB"/>
    <w:rsid w:val="206550E2"/>
    <w:rsid w:val="20671BE0"/>
    <w:rsid w:val="206739E8"/>
    <w:rsid w:val="20692E24"/>
    <w:rsid w:val="206B3938"/>
    <w:rsid w:val="206D3F96"/>
    <w:rsid w:val="206F7D0E"/>
    <w:rsid w:val="2076109D"/>
    <w:rsid w:val="207B66B3"/>
    <w:rsid w:val="207C25DC"/>
    <w:rsid w:val="207F2647"/>
    <w:rsid w:val="20803CC9"/>
    <w:rsid w:val="20823EE5"/>
    <w:rsid w:val="20827B42"/>
    <w:rsid w:val="20847C5E"/>
    <w:rsid w:val="20895851"/>
    <w:rsid w:val="208E145F"/>
    <w:rsid w:val="208F3055"/>
    <w:rsid w:val="20902C53"/>
    <w:rsid w:val="20961596"/>
    <w:rsid w:val="20963CB8"/>
    <w:rsid w:val="209669C5"/>
    <w:rsid w:val="209854B7"/>
    <w:rsid w:val="20985EEE"/>
    <w:rsid w:val="20987265"/>
    <w:rsid w:val="209B6D55"/>
    <w:rsid w:val="209F11B8"/>
    <w:rsid w:val="20A0436C"/>
    <w:rsid w:val="20A81A1B"/>
    <w:rsid w:val="20A91472"/>
    <w:rsid w:val="20AE6EEB"/>
    <w:rsid w:val="20B07FB6"/>
    <w:rsid w:val="20B10327"/>
    <w:rsid w:val="20B16CE6"/>
    <w:rsid w:val="20B646FB"/>
    <w:rsid w:val="20B816B5"/>
    <w:rsid w:val="20BC7B42"/>
    <w:rsid w:val="20BD372D"/>
    <w:rsid w:val="20C26876"/>
    <w:rsid w:val="20C938C2"/>
    <w:rsid w:val="20CE2C87"/>
    <w:rsid w:val="20CE712B"/>
    <w:rsid w:val="20D109C9"/>
    <w:rsid w:val="20D14CCB"/>
    <w:rsid w:val="20D418D0"/>
    <w:rsid w:val="20D504B9"/>
    <w:rsid w:val="20D66A29"/>
    <w:rsid w:val="20DA53AA"/>
    <w:rsid w:val="20DB35F6"/>
    <w:rsid w:val="20E26732"/>
    <w:rsid w:val="20E424AA"/>
    <w:rsid w:val="20EC77BF"/>
    <w:rsid w:val="20EE7005"/>
    <w:rsid w:val="20F14BC7"/>
    <w:rsid w:val="20F36B91"/>
    <w:rsid w:val="20F6042F"/>
    <w:rsid w:val="20F73B7C"/>
    <w:rsid w:val="20FB5A46"/>
    <w:rsid w:val="20FD531A"/>
    <w:rsid w:val="21000617"/>
    <w:rsid w:val="21025026"/>
    <w:rsid w:val="21076170"/>
    <w:rsid w:val="21091F11"/>
    <w:rsid w:val="210A2D48"/>
    <w:rsid w:val="210C37AF"/>
    <w:rsid w:val="210D399D"/>
    <w:rsid w:val="210E2B59"/>
    <w:rsid w:val="21130FE1"/>
    <w:rsid w:val="211508B6"/>
    <w:rsid w:val="2117534C"/>
    <w:rsid w:val="21182154"/>
    <w:rsid w:val="211D2D14"/>
    <w:rsid w:val="211D776A"/>
    <w:rsid w:val="211F1820"/>
    <w:rsid w:val="211F7986"/>
    <w:rsid w:val="21221225"/>
    <w:rsid w:val="2123166E"/>
    <w:rsid w:val="212E3725"/>
    <w:rsid w:val="212E7BC9"/>
    <w:rsid w:val="213056EF"/>
    <w:rsid w:val="213077CB"/>
    <w:rsid w:val="21321E93"/>
    <w:rsid w:val="213452F0"/>
    <w:rsid w:val="213571AA"/>
    <w:rsid w:val="213B74B1"/>
    <w:rsid w:val="213C03AB"/>
    <w:rsid w:val="213F3D14"/>
    <w:rsid w:val="21424ABC"/>
    <w:rsid w:val="214271D1"/>
    <w:rsid w:val="21466CC1"/>
    <w:rsid w:val="21470C8B"/>
    <w:rsid w:val="21477C6D"/>
    <w:rsid w:val="214C004F"/>
    <w:rsid w:val="21550DCB"/>
    <w:rsid w:val="21555156"/>
    <w:rsid w:val="21577120"/>
    <w:rsid w:val="21586006"/>
    <w:rsid w:val="215A2310"/>
    <w:rsid w:val="215D04AF"/>
    <w:rsid w:val="215E4F0F"/>
    <w:rsid w:val="21621621"/>
    <w:rsid w:val="21635AC5"/>
    <w:rsid w:val="21644D58"/>
    <w:rsid w:val="2165568F"/>
    <w:rsid w:val="21661111"/>
    <w:rsid w:val="216830DB"/>
    <w:rsid w:val="216B0993"/>
    <w:rsid w:val="216B2BCB"/>
    <w:rsid w:val="216B497A"/>
    <w:rsid w:val="216C24A0"/>
    <w:rsid w:val="216D06F2"/>
    <w:rsid w:val="216E0690"/>
    <w:rsid w:val="21706E90"/>
    <w:rsid w:val="217A1B37"/>
    <w:rsid w:val="217C1E5C"/>
    <w:rsid w:val="217C26E3"/>
    <w:rsid w:val="217C6B87"/>
    <w:rsid w:val="217D46AD"/>
    <w:rsid w:val="21823A71"/>
    <w:rsid w:val="218C684C"/>
    <w:rsid w:val="218D48F0"/>
    <w:rsid w:val="219031C8"/>
    <w:rsid w:val="21913598"/>
    <w:rsid w:val="2192212D"/>
    <w:rsid w:val="21935C7E"/>
    <w:rsid w:val="21946C5A"/>
    <w:rsid w:val="219534E9"/>
    <w:rsid w:val="219C4B33"/>
    <w:rsid w:val="219F63D1"/>
    <w:rsid w:val="21A1039B"/>
    <w:rsid w:val="21A32365"/>
    <w:rsid w:val="21A460DD"/>
    <w:rsid w:val="21A734D8"/>
    <w:rsid w:val="21A97250"/>
    <w:rsid w:val="21AA4E00"/>
    <w:rsid w:val="21AB746C"/>
    <w:rsid w:val="21AB7DE6"/>
    <w:rsid w:val="21AE4866"/>
    <w:rsid w:val="21AE5D82"/>
    <w:rsid w:val="21AF0D0A"/>
    <w:rsid w:val="21B172CA"/>
    <w:rsid w:val="21B17BF7"/>
    <w:rsid w:val="21B17FE2"/>
    <w:rsid w:val="21B35FFD"/>
    <w:rsid w:val="21BB2196"/>
    <w:rsid w:val="21BB766A"/>
    <w:rsid w:val="21BE67BE"/>
    <w:rsid w:val="21BF0821"/>
    <w:rsid w:val="21C13980"/>
    <w:rsid w:val="21C65756"/>
    <w:rsid w:val="21C67E02"/>
    <w:rsid w:val="21C74CE1"/>
    <w:rsid w:val="21C916A0"/>
    <w:rsid w:val="21CA1C53"/>
    <w:rsid w:val="21CB71C6"/>
    <w:rsid w:val="21CE7D40"/>
    <w:rsid w:val="21CF6866"/>
    <w:rsid w:val="21D15C23"/>
    <w:rsid w:val="21D4251F"/>
    <w:rsid w:val="21DA23CA"/>
    <w:rsid w:val="21DD349D"/>
    <w:rsid w:val="21DE318A"/>
    <w:rsid w:val="21DE339D"/>
    <w:rsid w:val="21E11BD0"/>
    <w:rsid w:val="21E23CDF"/>
    <w:rsid w:val="21E34627"/>
    <w:rsid w:val="21E703B5"/>
    <w:rsid w:val="21E80B68"/>
    <w:rsid w:val="21E8617E"/>
    <w:rsid w:val="21EE1DF4"/>
    <w:rsid w:val="21EF55AB"/>
    <w:rsid w:val="21EF5B80"/>
    <w:rsid w:val="21F229A5"/>
    <w:rsid w:val="21F52495"/>
    <w:rsid w:val="21F66F4C"/>
    <w:rsid w:val="21F93D33"/>
    <w:rsid w:val="21FF50C2"/>
    <w:rsid w:val="22001A2C"/>
    <w:rsid w:val="220426D8"/>
    <w:rsid w:val="22077ED1"/>
    <w:rsid w:val="220A4192"/>
    <w:rsid w:val="220F17A9"/>
    <w:rsid w:val="22111048"/>
    <w:rsid w:val="22124264"/>
    <w:rsid w:val="22182566"/>
    <w:rsid w:val="22192627"/>
    <w:rsid w:val="22197450"/>
    <w:rsid w:val="221A1EFC"/>
    <w:rsid w:val="221B63A0"/>
    <w:rsid w:val="221C5C74"/>
    <w:rsid w:val="221F2A19"/>
    <w:rsid w:val="221F7512"/>
    <w:rsid w:val="2221772E"/>
    <w:rsid w:val="22224AD9"/>
    <w:rsid w:val="22230DB0"/>
    <w:rsid w:val="22237002"/>
    <w:rsid w:val="22280ABD"/>
    <w:rsid w:val="223226C3"/>
    <w:rsid w:val="22396618"/>
    <w:rsid w:val="223C1E72"/>
    <w:rsid w:val="223D65C0"/>
    <w:rsid w:val="223F4E21"/>
    <w:rsid w:val="22477195"/>
    <w:rsid w:val="224A27E1"/>
    <w:rsid w:val="224B0307"/>
    <w:rsid w:val="224B1156"/>
    <w:rsid w:val="224F5F4C"/>
    <w:rsid w:val="22521696"/>
    <w:rsid w:val="22557E77"/>
    <w:rsid w:val="22576990"/>
    <w:rsid w:val="22590C76"/>
    <w:rsid w:val="225B161E"/>
    <w:rsid w:val="225B2FBD"/>
    <w:rsid w:val="225B4C6A"/>
    <w:rsid w:val="22600256"/>
    <w:rsid w:val="22621BE8"/>
    <w:rsid w:val="22636E4D"/>
    <w:rsid w:val="22646776"/>
    <w:rsid w:val="2268661C"/>
    <w:rsid w:val="22696912"/>
    <w:rsid w:val="226A2E83"/>
    <w:rsid w:val="226F2247"/>
    <w:rsid w:val="226F3FF6"/>
    <w:rsid w:val="22721D38"/>
    <w:rsid w:val="22732EF1"/>
    <w:rsid w:val="227821C1"/>
    <w:rsid w:val="227B0BEC"/>
    <w:rsid w:val="227B1480"/>
    <w:rsid w:val="227C2F22"/>
    <w:rsid w:val="227C4964"/>
    <w:rsid w:val="228201CD"/>
    <w:rsid w:val="22835CF3"/>
    <w:rsid w:val="2284478D"/>
    <w:rsid w:val="22853658"/>
    <w:rsid w:val="22864750"/>
    <w:rsid w:val="228850B7"/>
    <w:rsid w:val="228A0E2F"/>
    <w:rsid w:val="228A52D3"/>
    <w:rsid w:val="228E4DC3"/>
    <w:rsid w:val="22916662"/>
    <w:rsid w:val="22941CAE"/>
    <w:rsid w:val="22963C78"/>
    <w:rsid w:val="2298362E"/>
    <w:rsid w:val="229B128E"/>
    <w:rsid w:val="229B3A5D"/>
    <w:rsid w:val="229C0B63"/>
    <w:rsid w:val="229E2B2D"/>
    <w:rsid w:val="22A068A5"/>
    <w:rsid w:val="22A2261D"/>
    <w:rsid w:val="22A24FDC"/>
    <w:rsid w:val="22A27557"/>
    <w:rsid w:val="22A42509"/>
    <w:rsid w:val="22A548BF"/>
    <w:rsid w:val="22A85759"/>
    <w:rsid w:val="22B13EF7"/>
    <w:rsid w:val="22B1460E"/>
    <w:rsid w:val="22B30673"/>
    <w:rsid w:val="22B60525"/>
    <w:rsid w:val="22B620DE"/>
    <w:rsid w:val="22B6264B"/>
    <w:rsid w:val="22B746D8"/>
    <w:rsid w:val="22B934C3"/>
    <w:rsid w:val="22B96452"/>
    <w:rsid w:val="22B97967"/>
    <w:rsid w:val="22BB548D"/>
    <w:rsid w:val="22BB723B"/>
    <w:rsid w:val="22BE343B"/>
    <w:rsid w:val="22C13E17"/>
    <w:rsid w:val="22C205C9"/>
    <w:rsid w:val="22C24A6D"/>
    <w:rsid w:val="22C2681B"/>
    <w:rsid w:val="22C500B9"/>
    <w:rsid w:val="22C51F32"/>
    <w:rsid w:val="22C5630B"/>
    <w:rsid w:val="22C81958"/>
    <w:rsid w:val="22C8518E"/>
    <w:rsid w:val="22CA56D0"/>
    <w:rsid w:val="22CA6328"/>
    <w:rsid w:val="22CE384A"/>
    <w:rsid w:val="22CE7985"/>
    <w:rsid w:val="22D14CB0"/>
    <w:rsid w:val="22D16A5E"/>
    <w:rsid w:val="22D30A28"/>
    <w:rsid w:val="22D327D6"/>
    <w:rsid w:val="22D40550"/>
    <w:rsid w:val="22D730B5"/>
    <w:rsid w:val="22D93B65"/>
    <w:rsid w:val="22D95913"/>
    <w:rsid w:val="22DD5403"/>
    <w:rsid w:val="22E542B8"/>
    <w:rsid w:val="22E70030"/>
    <w:rsid w:val="22EB3FC4"/>
    <w:rsid w:val="22EC3898"/>
    <w:rsid w:val="22EC5646"/>
    <w:rsid w:val="22EE5862"/>
    <w:rsid w:val="22EF3388"/>
    <w:rsid w:val="22F34C27"/>
    <w:rsid w:val="22F47480"/>
    <w:rsid w:val="22F664AA"/>
    <w:rsid w:val="22F71EB0"/>
    <w:rsid w:val="22F8671E"/>
    <w:rsid w:val="22F95FB5"/>
    <w:rsid w:val="22FA2B18"/>
    <w:rsid w:val="22FA4207"/>
    <w:rsid w:val="22FD5AA5"/>
    <w:rsid w:val="23005595"/>
    <w:rsid w:val="23023D91"/>
    <w:rsid w:val="23076924"/>
    <w:rsid w:val="23112F9B"/>
    <w:rsid w:val="23144B9D"/>
    <w:rsid w:val="23174635"/>
    <w:rsid w:val="231B417D"/>
    <w:rsid w:val="231B5F2B"/>
    <w:rsid w:val="231D7FE1"/>
    <w:rsid w:val="232272BA"/>
    <w:rsid w:val="23241284"/>
    <w:rsid w:val="232474D6"/>
    <w:rsid w:val="233157B8"/>
    <w:rsid w:val="233338D2"/>
    <w:rsid w:val="233518BC"/>
    <w:rsid w:val="23362D65"/>
    <w:rsid w:val="23366A59"/>
    <w:rsid w:val="23377209"/>
    <w:rsid w:val="233A0AA7"/>
    <w:rsid w:val="233B143B"/>
    <w:rsid w:val="233C28E7"/>
    <w:rsid w:val="233D2346"/>
    <w:rsid w:val="233E0F44"/>
    <w:rsid w:val="233F7E6C"/>
    <w:rsid w:val="23403BE4"/>
    <w:rsid w:val="23404A07"/>
    <w:rsid w:val="2342170A"/>
    <w:rsid w:val="234436D4"/>
    <w:rsid w:val="23452FA8"/>
    <w:rsid w:val="23483A3F"/>
    <w:rsid w:val="23490CEA"/>
    <w:rsid w:val="23496F3C"/>
    <w:rsid w:val="234A4691"/>
    <w:rsid w:val="234A579B"/>
    <w:rsid w:val="234B501F"/>
    <w:rsid w:val="234C2589"/>
    <w:rsid w:val="234C27FC"/>
    <w:rsid w:val="234D6204"/>
    <w:rsid w:val="23515DF1"/>
    <w:rsid w:val="23533917"/>
    <w:rsid w:val="23545958"/>
    <w:rsid w:val="23571659"/>
    <w:rsid w:val="235A3A9B"/>
    <w:rsid w:val="235A7FBB"/>
    <w:rsid w:val="235E5C65"/>
    <w:rsid w:val="23621DAC"/>
    <w:rsid w:val="236300EA"/>
    <w:rsid w:val="236B06A3"/>
    <w:rsid w:val="236B5698"/>
    <w:rsid w:val="236C340F"/>
    <w:rsid w:val="23702A53"/>
    <w:rsid w:val="2370624A"/>
    <w:rsid w:val="23733FB9"/>
    <w:rsid w:val="2375388E"/>
    <w:rsid w:val="23764904"/>
    <w:rsid w:val="23770DEF"/>
    <w:rsid w:val="2377320B"/>
    <w:rsid w:val="23784CAD"/>
    <w:rsid w:val="237875B4"/>
    <w:rsid w:val="237A0EA4"/>
    <w:rsid w:val="237C10C0"/>
    <w:rsid w:val="23804408"/>
    <w:rsid w:val="238241FC"/>
    <w:rsid w:val="23865BB6"/>
    <w:rsid w:val="23891D24"/>
    <w:rsid w:val="23907664"/>
    <w:rsid w:val="2398582A"/>
    <w:rsid w:val="239A32F4"/>
    <w:rsid w:val="239A60E6"/>
    <w:rsid w:val="239B0E1A"/>
    <w:rsid w:val="239C3FEB"/>
    <w:rsid w:val="239C76FD"/>
    <w:rsid w:val="239F4DAE"/>
    <w:rsid w:val="23A72A2D"/>
    <w:rsid w:val="23AC3027"/>
    <w:rsid w:val="23AF7074"/>
    <w:rsid w:val="23B32608"/>
    <w:rsid w:val="23B3628C"/>
    <w:rsid w:val="23B5012E"/>
    <w:rsid w:val="23B74319"/>
    <w:rsid w:val="23B870AF"/>
    <w:rsid w:val="23BD1E38"/>
    <w:rsid w:val="23BF0200"/>
    <w:rsid w:val="23C070E9"/>
    <w:rsid w:val="23C40371"/>
    <w:rsid w:val="23C52F15"/>
    <w:rsid w:val="23C93BD9"/>
    <w:rsid w:val="23CA2FF6"/>
    <w:rsid w:val="23D2079E"/>
    <w:rsid w:val="23D2469A"/>
    <w:rsid w:val="23D305B4"/>
    <w:rsid w:val="23D52F74"/>
    <w:rsid w:val="23D703BE"/>
    <w:rsid w:val="23D95F46"/>
    <w:rsid w:val="23DA7B95"/>
    <w:rsid w:val="23DE1C48"/>
    <w:rsid w:val="23E32EED"/>
    <w:rsid w:val="23E503D9"/>
    <w:rsid w:val="23E6478B"/>
    <w:rsid w:val="23E853DC"/>
    <w:rsid w:val="23ED1676"/>
    <w:rsid w:val="23F427B1"/>
    <w:rsid w:val="23F46EA8"/>
    <w:rsid w:val="23F70746"/>
    <w:rsid w:val="23FA0237"/>
    <w:rsid w:val="23FA2194"/>
    <w:rsid w:val="23FD1788"/>
    <w:rsid w:val="23FE1AD5"/>
    <w:rsid w:val="23FE66C5"/>
    <w:rsid w:val="24003A01"/>
    <w:rsid w:val="240210CD"/>
    <w:rsid w:val="24092228"/>
    <w:rsid w:val="240F3CE2"/>
    <w:rsid w:val="241237D2"/>
    <w:rsid w:val="24123EE0"/>
    <w:rsid w:val="24125580"/>
    <w:rsid w:val="24163433"/>
    <w:rsid w:val="24174945"/>
    <w:rsid w:val="241749DE"/>
    <w:rsid w:val="2419243D"/>
    <w:rsid w:val="241A2687"/>
    <w:rsid w:val="241A38D7"/>
    <w:rsid w:val="241A4435"/>
    <w:rsid w:val="241D6B0D"/>
    <w:rsid w:val="241E5CD3"/>
    <w:rsid w:val="2421689B"/>
    <w:rsid w:val="24217235"/>
    <w:rsid w:val="2423153B"/>
    <w:rsid w:val="24253506"/>
    <w:rsid w:val="242552B4"/>
    <w:rsid w:val="24266313"/>
    <w:rsid w:val="242A0B1C"/>
    <w:rsid w:val="242B03F0"/>
    <w:rsid w:val="242D23BA"/>
    <w:rsid w:val="24314074"/>
    <w:rsid w:val="24374FE7"/>
    <w:rsid w:val="243948BB"/>
    <w:rsid w:val="243A0633"/>
    <w:rsid w:val="243E5987"/>
    <w:rsid w:val="243F3E9B"/>
    <w:rsid w:val="24407927"/>
    <w:rsid w:val="24413208"/>
    <w:rsid w:val="24413A56"/>
    <w:rsid w:val="24445A19"/>
    <w:rsid w:val="2446347C"/>
    <w:rsid w:val="244A2F6C"/>
    <w:rsid w:val="244F7A17"/>
    <w:rsid w:val="245071DF"/>
    <w:rsid w:val="24525422"/>
    <w:rsid w:val="24533255"/>
    <w:rsid w:val="2464432F"/>
    <w:rsid w:val="246650C5"/>
    <w:rsid w:val="2467354B"/>
    <w:rsid w:val="24676446"/>
    <w:rsid w:val="24694035"/>
    <w:rsid w:val="246A0F18"/>
    <w:rsid w:val="246B6A3F"/>
    <w:rsid w:val="246E29A5"/>
    <w:rsid w:val="24700AC8"/>
    <w:rsid w:val="24704055"/>
    <w:rsid w:val="24743B45"/>
    <w:rsid w:val="247D6439"/>
    <w:rsid w:val="247E195A"/>
    <w:rsid w:val="24823344"/>
    <w:rsid w:val="24833B6B"/>
    <w:rsid w:val="24853FA4"/>
    <w:rsid w:val="24855D52"/>
    <w:rsid w:val="24861ACA"/>
    <w:rsid w:val="24863A74"/>
    <w:rsid w:val="24870184"/>
    <w:rsid w:val="2487559B"/>
    <w:rsid w:val="24882B9B"/>
    <w:rsid w:val="248875F1"/>
    <w:rsid w:val="248C70E1"/>
    <w:rsid w:val="248D2E59"/>
    <w:rsid w:val="248D4C07"/>
    <w:rsid w:val="248F084E"/>
    <w:rsid w:val="248F097F"/>
    <w:rsid w:val="2490058B"/>
    <w:rsid w:val="24932060"/>
    <w:rsid w:val="249736A6"/>
    <w:rsid w:val="249A3164"/>
    <w:rsid w:val="249B37C8"/>
    <w:rsid w:val="249C309C"/>
    <w:rsid w:val="249D7540"/>
    <w:rsid w:val="249F79D7"/>
    <w:rsid w:val="24A66AD5"/>
    <w:rsid w:val="24A7216D"/>
    <w:rsid w:val="24AE5267"/>
    <w:rsid w:val="24B16ABC"/>
    <w:rsid w:val="24B228BF"/>
    <w:rsid w:val="24B623B0"/>
    <w:rsid w:val="24BB4180"/>
    <w:rsid w:val="24BC0CFB"/>
    <w:rsid w:val="24BD373E"/>
    <w:rsid w:val="24BE3012"/>
    <w:rsid w:val="24BF09F7"/>
    <w:rsid w:val="24C148B0"/>
    <w:rsid w:val="24C22B02"/>
    <w:rsid w:val="24C3687B"/>
    <w:rsid w:val="24C525F3"/>
    <w:rsid w:val="24C91E6F"/>
    <w:rsid w:val="24CB478F"/>
    <w:rsid w:val="24D11A91"/>
    <w:rsid w:val="24D32F62"/>
    <w:rsid w:val="24D35C2C"/>
    <w:rsid w:val="24D475AB"/>
    <w:rsid w:val="24D942F0"/>
    <w:rsid w:val="24DB1E16"/>
    <w:rsid w:val="24DC16EA"/>
    <w:rsid w:val="24DD793C"/>
    <w:rsid w:val="24DE36B4"/>
    <w:rsid w:val="24E231A5"/>
    <w:rsid w:val="24E24F53"/>
    <w:rsid w:val="24E279EA"/>
    <w:rsid w:val="24E66EFD"/>
    <w:rsid w:val="24EA0ECD"/>
    <w:rsid w:val="24ED38F7"/>
    <w:rsid w:val="24EE7D9B"/>
    <w:rsid w:val="24F609FE"/>
    <w:rsid w:val="24F84776"/>
    <w:rsid w:val="24F904EE"/>
    <w:rsid w:val="24FE78B3"/>
    <w:rsid w:val="25071235"/>
    <w:rsid w:val="25072C0B"/>
    <w:rsid w:val="25090731"/>
    <w:rsid w:val="250A26FB"/>
    <w:rsid w:val="25102E98"/>
    <w:rsid w:val="2513335E"/>
    <w:rsid w:val="25184E18"/>
    <w:rsid w:val="251A2FF7"/>
    <w:rsid w:val="251B2BA7"/>
    <w:rsid w:val="251B66B7"/>
    <w:rsid w:val="251F61A7"/>
    <w:rsid w:val="25231339"/>
    <w:rsid w:val="252639AF"/>
    <w:rsid w:val="2527288B"/>
    <w:rsid w:val="2527505B"/>
    <w:rsid w:val="252A55B9"/>
    <w:rsid w:val="252B20D1"/>
    <w:rsid w:val="252C04AC"/>
    <w:rsid w:val="252D53FE"/>
    <w:rsid w:val="252F3F10"/>
    <w:rsid w:val="25304809"/>
    <w:rsid w:val="25311A36"/>
    <w:rsid w:val="25315EDA"/>
    <w:rsid w:val="2536704D"/>
    <w:rsid w:val="2539084A"/>
    <w:rsid w:val="253D15B0"/>
    <w:rsid w:val="25401A42"/>
    <w:rsid w:val="25407ECB"/>
    <w:rsid w:val="254259F1"/>
    <w:rsid w:val="25453733"/>
    <w:rsid w:val="254554E2"/>
    <w:rsid w:val="25494FD2"/>
    <w:rsid w:val="254C6870"/>
    <w:rsid w:val="255045B2"/>
    <w:rsid w:val="255120D8"/>
    <w:rsid w:val="255143DB"/>
    <w:rsid w:val="255148F0"/>
    <w:rsid w:val="25537E38"/>
    <w:rsid w:val="255418A8"/>
    <w:rsid w:val="25545725"/>
    <w:rsid w:val="25583467"/>
    <w:rsid w:val="255A0F8D"/>
    <w:rsid w:val="255D0A7D"/>
    <w:rsid w:val="255F47F5"/>
    <w:rsid w:val="255F65A3"/>
    <w:rsid w:val="2564005E"/>
    <w:rsid w:val="25651981"/>
    <w:rsid w:val="256718FC"/>
    <w:rsid w:val="257033D8"/>
    <w:rsid w:val="25714529"/>
    <w:rsid w:val="2572671A"/>
    <w:rsid w:val="257314CA"/>
    <w:rsid w:val="25733DFD"/>
    <w:rsid w:val="25777D91"/>
    <w:rsid w:val="257A33DD"/>
    <w:rsid w:val="257B7155"/>
    <w:rsid w:val="258204E4"/>
    <w:rsid w:val="25864737"/>
    <w:rsid w:val="25887057"/>
    <w:rsid w:val="25891872"/>
    <w:rsid w:val="258B4FC9"/>
    <w:rsid w:val="258C3110"/>
    <w:rsid w:val="258E5174"/>
    <w:rsid w:val="25916979"/>
    <w:rsid w:val="25951FC5"/>
    <w:rsid w:val="25982A33"/>
    <w:rsid w:val="25987D07"/>
    <w:rsid w:val="25A641D2"/>
    <w:rsid w:val="25A83A04"/>
    <w:rsid w:val="25AE752B"/>
    <w:rsid w:val="25B508B9"/>
    <w:rsid w:val="25BA1A2C"/>
    <w:rsid w:val="25BB046D"/>
    <w:rsid w:val="25BB39CC"/>
    <w:rsid w:val="25BC1C48"/>
    <w:rsid w:val="25BE21E1"/>
    <w:rsid w:val="25C1100C"/>
    <w:rsid w:val="25C13CA4"/>
    <w:rsid w:val="25C44658"/>
    <w:rsid w:val="25C603D0"/>
    <w:rsid w:val="25C844E9"/>
    <w:rsid w:val="25C97EC1"/>
    <w:rsid w:val="25CE3729"/>
    <w:rsid w:val="25CF02C4"/>
    <w:rsid w:val="25D06932"/>
    <w:rsid w:val="25D16D75"/>
    <w:rsid w:val="25D5565D"/>
    <w:rsid w:val="25D6739F"/>
    <w:rsid w:val="25D80104"/>
    <w:rsid w:val="25D839A0"/>
    <w:rsid w:val="25DD396C"/>
    <w:rsid w:val="25DD571A"/>
    <w:rsid w:val="25DE1BBE"/>
    <w:rsid w:val="25E116AE"/>
    <w:rsid w:val="25E67E4B"/>
    <w:rsid w:val="25E847EB"/>
    <w:rsid w:val="25E86F8A"/>
    <w:rsid w:val="25EC0ACB"/>
    <w:rsid w:val="25EC2D81"/>
    <w:rsid w:val="25EC3BAF"/>
    <w:rsid w:val="25F3318F"/>
    <w:rsid w:val="25F807A6"/>
    <w:rsid w:val="25F80BEF"/>
    <w:rsid w:val="25FC2044"/>
    <w:rsid w:val="25FF08CA"/>
    <w:rsid w:val="25FF2CBA"/>
    <w:rsid w:val="2601765A"/>
    <w:rsid w:val="260666B6"/>
    <w:rsid w:val="260A540C"/>
    <w:rsid w:val="260D07F6"/>
    <w:rsid w:val="261131C8"/>
    <w:rsid w:val="261455E0"/>
    <w:rsid w:val="26150CC1"/>
    <w:rsid w:val="26151358"/>
    <w:rsid w:val="261C45E5"/>
    <w:rsid w:val="26233A75"/>
    <w:rsid w:val="26243349"/>
    <w:rsid w:val="26284BE7"/>
    <w:rsid w:val="26290FEE"/>
    <w:rsid w:val="26292161"/>
    <w:rsid w:val="262B6B9F"/>
    <w:rsid w:val="262E1D2F"/>
    <w:rsid w:val="262E5F76"/>
    <w:rsid w:val="262F4B27"/>
    <w:rsid w:val="26332ED6"/>
    <w:rsid w:val="26340FEE"/>
    <w:rsid w:val="263D583D"/>
    <w:rsid w:val="263D6FF4"/>
    <w:rsid w:val="263F59E4"/>
    <w:rsid w:val="264158CF"/>
    <w:rsid w:val="26431A21"/>
    <w:rsid w:val="2644442D"/>
    <w:rsid w:val="264458DF"/>
    <w:rsid w:val="264B6B28"/>
    <w:rsid w:val="264D464E"/>
    <w:rsid w:val="264E75FD"/>
    <w:rsid w:val="264F486A"/>
    <w:rsid w:val="26527EC1"/>
    <w:rsid w:val="265B43D9"/>
    <w:rsid w:val="265C6E76"/>
    <w:rsid w:val="265D6995"/>
    <w:rsid w:val="266210F7"/>
    <w:rsid w:val="266C787F"/>
    <w:rsid w:val="266F0A68"/>
    <w:rsid w:val="266F27B7"/>
    <w:rsid w:val="26733121"/>
    <w:rsid w:val="26793695"/>
    <w:rsid w:val="267A619D"/>
    <w:rsid w:val="267A740D"/>
    <w:rsid w:val="267B575B"/>
    <w:rsid w:val="267B5911"/>
    <w:rsid w:val="26807653"/>
    <w:rsid w:val="26822758"/>
    <w:rsid w:val="268A7650"/>
    <w:rsid w:val="26906C30"/>
    <w:rsid w:val="269461EB"/>
    <w:rsid w:val="26971D6D"/>
    <w:rsid w:val="269C55D5"/>
    <w:rsid w:val="26A0179B"/>
    <w:rsid w:val="26A10E3D"/>
    <w:rsid w:val="26A32C20"/>
    <w:rsid w:val="26A34BB6"/>
    <w:rsid w:val="26A5092E"/>
    <w:rsid w:val="26A56238"/>
    <w:rsid w:val="26A57C4D"/>
    <w:rsid w:val="26A61FB0"/>
    <w:rsid w:val="26A76454"/>
    <w:rsid w:val="26A86FA5"/>
    <w:rsid w:val="26AA5F44"/>
    <w:rsid w:val="26AD1590"/>
    <w:rsid w:val="26B20955"/>
    <w:rsid w:val="26B20A47"/>
    <w:rsid w:val="26B2663E"/>
    <w:rsid w:val="26B31D13"/>
    <w:rsid w:val="26B97FE6"/>
    <w:rsid w:val="26BB3CAD"/>
    <w:rsid w:val="26BC3DAD"/>
    <w:rsid w:val="26BE379D"/>
    <w:rsid w:val="26BE554B"/>
    <w:rsid w:val="26BE72FA"/>
    <w:rsid w:val="26CC29FB"/>
    <w:rsid w:val="26D43996"/>
    <w:rsid w:val="26D5484D"/>
    <w:rsid w:val="26D75DB1"/>
    <w:rsid w:val="26D92385"/>
    <w:rsid w:val="26DB60FD"/>
    <w:rsid w:val="26DD354F"/>
    <w:rsid w:val="26DD5198"/>
    <w:rsid w:val="26DE5BEE"/>
    <w:rsid w:val="26E032E2"/>
    <w:rsid w:val="26E606A8"/>
    <w:rsid w:val="26EA363F"/>
    <w:rsid w:val="26EA5477"/>
    <w:rsid w:val="26EC0FC9"/>
    <w:rsid w:val="26EF7DFB"/>
    <w:rsid w:val="26F07A8B"/>
    <w:rsid w:val="26F23447"/>
    <w:rsid w:val="26F64CE5"/>
    <w:rsid w:val="26F969CE"/>
    <w:rsid w:val="26FB22FC"/>
    <w:rsid w:val="27055676"/>
    <w:rsid w:val="27070CA1"/>
    <w:rsid w:val="27075144"/>
    <w:rsid w:val="270A253F"/>
    <w:rsid w:val="270B606B"/>
    <w:rsid w:val="270D202F"/>
    <w:rsid w:val="27111B1F"/>
    <w:rsid w:val="271715FC"/>
    <w:rsid w:val="27190705"/>
    <w:rsid w:val="271B299E"/>
    <w:rsid w:val="271B70CC"/>
    <w:rsid w:val="27201D62"/>
    <w:rsid w:val="27221F7E"/>
    <w:rsid w:val="27231852"/>
    <w:rsid w:val="27257379"/>
    <w:rsid w:val="272730F1"/>
    <w:rsid w:val="27292282"/>
    <w:rsid w:val="2729330D"/>
    <w:rsid w:val="272A6446"/>
    <w:rsid w:val="272E69A6"/>
    <w:rsid w:val="27315287"/>
    <w:rsid w:val="27315D1D"/>
    <w:rsid w:val="27355340"/>
    <w:rsid w:val="27392E24"/>
    <w:rsid w:val="273D2914"/>
    <w:rsid w:val="273F48DE"/>
    <w:rsid w:val="2743550A"/>
    <w:rsid w:val="274516AA"/>
    <w:rsid w:val="274556D9"/>
    <w:rsid w:val="274A3283"/>
    <w:rsid w:val="274C2C9A"/>
    <w:rsid w:val="274D0351"/>
    <w:rsid w:val="274E29FD"/>
    <w:rsid w:val="274E5CE2"/>
    <w:rsid w:val="274F2647"/>
    <w:rsid w:val="27516DB9"/>
    <w:rsid w:val="27547C5E"/>
    <w:rsid w:val="275513EA"/>
    <w:rsid w:val="275859A0"/>
    <w:rsid w:val="2758774E"/>
    <w:rsid w:val="276002A5"/>
    <w:rsid w:val="276343C3"/>
    <w:rsid w:val="276500BD"/>
    <w:rsid w:val="2767173F"/>
    <w:rsid w:val="276A7481"/>
    <w:rsid w:val="276B7DA8"/>
    <w:rsid w:val="27702CEA"/>
    <w:rsid w:val="277057A2"/>
    <w:rsid w:val="27711D45"/>
    <w:rsid w:val="277B168E"/>
    <w:rsid w:val="277E173A"/>
    <w:rsid w:val="27802801"/>
    <w:rsid w:val="278247CB"/>
    <w:rsid w:val="27840D89"/>
    <w:rsid w:val="27846872"/>
    <w:rsid w:val="27895B59"/>
    <w:rsid w:val="278B7B24"/>
    <w:rsid w:val="278C48E9"/>
    <w:rsid w:val="278E3170"/>
    <w:rsid w:val="278F0C96"/>
    <w:rsid w:val="27914A0E"/>
    <w:rsid w:val="27932534"/>
    <w:rsid w:val="279A434D"/>
    <w:rsid w:val="279B763B"/>
    <w:rsid w:val="27A02EA3"/>
    <w:rsid w:val="27A224FA"/>
    <w:rsid w:val="27A50A15"/>
    <w:rsid w:val="27A75FE0"/>
    <w:rsid w:val="27A961FC"/>
    <w:rsid w:val="27B07E9C"/>
    <w:rsid w:val="27B5694E"/>
    <w:rsid w:val="27B94B2C"/>
    <w:rsid w:val="27BA189D"/>
    <w:rsid w:val="27BA7039"/>
    <w:rsid w:val="27C46B92"/>
    <w:rsid w:val="27C6290A"/>
    <w:rsid w:val="27C76FC8"/>
    <w:rsid w:val="27C825B8"/>
    <w:rsid w:val="27C93585"/>
    <w:rsid w:val="27CB5275"/>
    <w:rsid w:val="27CC4AE4"/>
    <w:rsid w:val="27D03788"/>
    <w:rsid w:val="27D05536"/>
    <w:rsid w:val="27D23027"/>
    <w:rsid w:val="27D25752"/>
    <w:rsid w:val="27DC36B5"/>
    <w:rsid w:val="27DD40F7"/>
    <w:rsid w:val="27E01783"/>
    <w:rsid w:val="27E34FFB"/>
    <w:rsid w:val="27E419C2"/>
    <w:rsid w:val="27E47CCE"/>
    <w:rsid w:val="27E92A9C"/>
    <w:rsid w:val="27E965F8"/>
    <w:rsid w:val="27EE3C0E"/>
    <w:rsid w:val="27F10F49"/>
    <w:rsid w:val="27F136FF"/>
    <w:rsid w:val="27F356C9"/>
    <w:rsid w:val="27F5599D"/>
    <w:rsid w:val="27F73F26"/>
    <w:rsid w:val="27F84A8D"/>
    <w:rsid w:val="27FC27CF"/>
    <w:rsid w:val="28042D18"/>
    <w:rsid w:val="280478D6"/>
    <w:rsid w:val="28090723"/>
    <w:rsid w:val="280B2A12"/>
    <w:rsid w:val="280C22E7"/>
    <w:rsid w:val="28104057"/>
    <w:rsid w:val="28117CD7"/>
    <w:rsid w:val="281210C5"/>
    <w:rsid w:val="281416F6"/>
    <w:rsid w:val="28161985"/>
    <w:rsid w:val="28165E23"/>
    <w:rsid w:val="28180C8B"/>
    <w:rsid w:val="281A4A03"/>
    <w:rsid w:val="281D44F4"/>
    <w:rsid w:val="281D62A2"/>
    <w:rsid w:val="28247630"/>
    <w:rsid w:val="282E6701"/>
    <w:rsid w:val="28302479"/>
    <w:rsid w:val="28321D4D"/>
    <w:rsid w:val="283261F1"/>
    <w:rsid w:val="28357A8F"/>
    <w:rsid w:val="283B235C"/>
    <w:rsid w:val="283D6356"/>
    <w:rsid w:val="284B72B3"/>
    <w:rsid w:val="284D4DD9"/>
    <w:rsid w:val="28547C0C"/>
    <w:rsid w:val="28551EE0"/>
    <w:rsid w:val="28595F19"/>
    <w:rsid w:val="285A12A4"/>
    <w:rsid w:val="285A34C6"/>
    <w:rsid w:val="285A74F6"/>
    <w:rsid w:val="285C326E"/>
    <w:rsid w:val="285E6FE6"/>
    <w:rsid w:val="286071FF"/>
    <w:rsid w:val="286363AA"/>
    <w:rsid w:val="28652C33"/>
    <w:rsid w:val="286640ED"/>
    <w:rsid w:val="28667C49"/>
    <w:rsid w:val="28676ADE"/>
    <w:rsid w:val="2868457E"/>
    <w:rsid w:val="28697739"/>
    <w:rsid w:val="286A598B"/>
    <w:rsid w:val="286C0340"/>
    <w:rsid w:val="286D44E6"/>
    <w:rsid w:val="286F64D0"/>
    <w:rsid w:val="28732366"/>
    <w:rsid w:val="28757E8C"/>
    <w:rsid w:val="28760480"/>
    <w:rsid w:val="287A0D53"/>
    <w:rsid w:val="287E4F92"/>
    <w:rsid w:val="28810F26"/>
    <w:rsid w:val="288129C2"/>
    <w:rsid w:val="2882656D"/>
    <w:rsid w:val="28840773"/>
    <w:rsid w:val="288602EB"/>
    <w:rsid w:val="288D3FB3"/>
    <w:rsid w:val="28902F18"/>
    <w:rsid w:val="2890633A"/>
    <w:rsid w:val="2891205C"/>
    <w:rsid w:val="28924EE2"/>
    <w:rsid w:val="289266E8"/>
    <w:rsid w:val="28926C90"/>
    <w:rsid w:val="28930C62"/>
    <w:rsid w:val="289372D6"/>
    <w:rsid w:val="289724F8"/>
    <w:rsid w:val="28983C59"/>
    <w:rsid w:val="28985CE4"/>
    <w:rsid w:val="289C176B"/>
    <w:rsid w:val="289D77B6"/>
    <w:rsid w:val="289E3886"/>
    <w:rsid w:val="289E73E3"/>
    <w:rsid w:val="289F315B"/>
    <w:rsid w:val="28A32C4B"/>
    <w:rsid w:val="28A349F9"/>
    <w:rsid w:val="28A5617B"/>
    <w:rsid w:val="28A802B7"/>
    <w:rsid w:val="28AF15F0"/>
    <w:rsid w:val="28AF339E"/>
    <w:rsid w:val="28B02089"/>
    <w:rsid w:val="28B17408"/>
    <w:rsid w:val="28B30DE2"/>
    <w:rsid w:val="28B906C0"/>
    <w:rsid w:val="28BB4127"/>
    <w:rsid w:val="28BD6AC7"/>
    <w:rsid w:val="28BD78E7"/>
    <w:rsid w:val="28BE1833"/>
    <w:rsid w:val="28C037FD"/>
    <w:rsid w:val="28C23180"/>
    <w:rsid w:val="28C477EA"/>
    <w:rsid w:val="28C606E7"/>
    <w:rsid w:val="28C66939"/>
    <w:rsid w:val="28CA391A"/>
    <w:rsid w:val="28CB21A2"/>
    <w:rsid w:val="28CE60E1"/>
    <w:rsid w:val="28CF517E"/>
    <w:rsid w:val="28D01566"/>
    <w:rsid w:val="28D040CB"/>
    <w:rsid w:val="28D21782"/>
    <w:rsid w:val="28DB0637"/>
    <w:rsid w:val="28DE3C83"/>
    <w:rsid w:val="28E82D54"/>
    <w:rsid w:val="28E8751C"/>
    <w:rsid w:val="28EB26BF"/>
    <w:rsid w:val="28EC644E"/>
    <w:rsid w:val="28F1221D"/>
    <w:rsid w:val="28F65471"/>
    <w:rsid w:val="28F95257"/>
    <w:rsid w:val="28FB4835"/>
    <w:rsid w:val="2900009D"/>
    <w:rsid w:val="29053FDD"/>
    <w:rsid w:val="290A0F1C"/>
    <w:rsid w:val="290B0297"/>
    <w:rsid w:val="290C07F0"/>
    <w:rsid w:val="290D27BA"/>
    <w:rsid w:val="290E307A"/>
    <w:rsid w:val="291122AA"/>
    <w:rsid w:val="29194CBB"/>
    <w:rsid w:val="291B6C85"/>
    <w:rsid w:val="291D60B8"/>
    <w:rsid w:val="291E0523"/>
    <w:rsid w:val="291E22D1"/>
    <w:rsid w:val="291F19B6"/>
    <w:rsid w:val="29206EB8"/>
    <w:rsid w:val="29211C83"/>
    <w:rsid w:val="292518B2"/>
    <w:rsid w:val="2927562A"/>
    <w:rsid w:val="292A336C"/>
    <w:rsid w:val="292A6EC8"/>
    <w:rsid w:val="292C2C40"/>
    <w:rsid w:val="292C49EE"/>
    <w:rsid w:val="292E4C0A"/>
    <w:rsid w:val="29317765"/>
    <w:rsid w:val="2932439A"/>
    <w:rsid w:val="29355772"/>
    <w:rsid w:val="29361D11"/>
    <w:rsid w:val="293D7816"/>
    <w:rsid w:val="2944518B"/>
    <w:rsid w:val="29464110"/>
    <w:rsid w:val="294855A0"/>
    <w:rsid w:val="294C58B8"/>
    <w:rsid w:val="294D282D"/>
    <w:rsid w:val="294E0E09"/>
    <w:rsid w:val="29514455"/>
    <w:rsid w:val="29542197"/>
    <w:rsid w:val="295705D9"/>
    <w:rsid w:val="29583A35"/>
    <w:rsid w:val="29595666"/>
    <w:rsid w:val="295E3016"/>
    <w:rsid w:val="29606D8E"/>
    <w:rsid w:val="29610BA9"/>
    <w:rsid w:val="296A3769"/>
    <w:rsid w:val="296C03F7"/>
    <w:rsid w:val="296C19AC"/>
    <w:rsid w:val="296E64EA"/>
    <w:rsid w:val="29730EAB"/>
    <w:rsid w:val="2973261D"/>
    <w:rsid w:val="2976210D"/>
    <w:rsid w:val="297665B1"/>
    <w:rsid w:val="297B7C0C"/>
    <w:rsid w:val="297D00A6"/>
    <w:rsid w:val="297D16EE"/>
    <w:rsid w:val="297E0FC2"/>
    <w:rsid w:val="297E1337"/>
    <w:rsid w:val="297E7214"/>
    <w:rsid w:val="297F5466"/>
    <w:rsid w:val="297F65C0"/>
    <w:rsid w:val="29842A7C"/>
    <w:rsid w:val="298505A2"/>
    <w:rsid w:val="298519D6"/>
    <w:rsid w:val="29852351"/>
    <w:rsid w:val="29874881"/>
    <w:rsid w:val="29890093"/>
    <w:rsid w:val="298A7967"/>
    <w:rsid w:val="298D006B"/>
    <w:rsid w:val="298E0913"/>
    <w:rsid w:val="298E35E5"/>
    <w:rsid w:val="298F4F7D"/>
    <w:rsid w:val="29915199"/>
    <w:rsid w:val="29932CBF"/>
    <w:rsid w:val="299802D6"/>
    <w:rsid w:val="2999069F"/>
    <w:rsid w:val="299B65B6"/>
    <w:rsid w:val="299D2868"/>
    <w:rsid w:val="29A053DC"/>
    <w:rsid w:val="29A056A2"/>
    <w:rsid w:val="29A17CE3"/>
    <w:rsid w:val="29A273A6"/>
    <w:rsid w:val="29A72BFB"/>
    <w:rsid w:val="29AB2D0F"/>
    <w:rsid w:val="29AD7F1A"/>
    <w:rsid w:val="29B11398"/>
    <w:rsid w:val="29B27D0E"/>
    <w:rsid w:val="29B57C6D"/>
    <w:rsid w:val="29C27101"/>
    <w:rsid w:val="29C42E79"/>
    <w:rsid w:val="29C54E43"/>
    <w:rsid w:val="29C9048F"/>
    <w:rsid w:val="29CE019B"/>
    <w:rsid w:val="29CE1F49"/>
    <w:rsid w:val="29CF3006"/>
    <w:rsid w:val="29D11A3A"/>
    <w:rsid w:val="29D12335"/>
    <w:rsid w:val="29D56F2D"/>
    <w:rsid w:val="29D9560F"/>
    <w:rsid w:val="29DD218D"/>
    <w:rsid w:val="29DD3F3B"/>
    <w:rsid w:val="29E02D8C"/>
    <w:rsid w:val="29E277A3"/>
    <w:rsid w:val="29E325E0"/>
    <w:rsid w:val="29E4176D"/>
    <w:rsid w:val="29E76B67"/>
    <w:rsid w:val="29EE439A"/>
    <w:rsid w:val="29EF0088"/>
    <w:rsid w:val="29F227F1"/>
    <w:rsid w:val="29F23E8A"/>
    <w:rsid w:val="29F2720C"/>
    <w:rsid w:val="29F37C02"/>
    <w:rsid w:val="29F633A4"/>
    <w:rsid w:val="29F64FFC"/>
    <w:rsid w:val="29F86FC6"/>
    <w:rsid w:val="29F92BBD"/>
    <w:rsid w:val="29F93010"/>
    <w:rsid w:val="2A005E7B"/>
    <w:rsid w:val="2A025F9F"/>
    <w:rsid w:val="2A041CB0"/>
    <w:rsid w:val="2A063491"/>
    <w:rsid w:val="2A094D30"/>
    <w:rsid w:val="2A0E1399"/>
    <w:rsid w:val="2A0F2842"/>
    <w:rsid w:val="2A0F7F3F"/>
    <w:rsid w:val="2A151926"/>
    <w:rsid w:val="2A157B78"/>
    <w:rsid w:val="2A1B45E1"/>
    <w:rsid w:val="2A1C0F07"/>
    <w:rsid w:val="2A224043"/>
    <w:rsid w:val="2A23570F"/>
    <w:rsid w:val="2A261D85"/>
    <w:rsid w:val="2A2658E2"/>
    <w:rsid w:val="2A2953D2"/>
    <w:rsid w:val="2A297180"/>
    <w:rsid w:val="2A2A502E"/>
    <w:rsid w:val="2A3049B2"/>
    <w:rsid w:val="2A336250"/>
    <w:rsid w:val="2A337FFE"/>
    <w:rsid w:val="2A355B25"/>
    <w:rsid w:val="2A3858F1"/>
    <w:rsid w:val="2A3A138D"/>
    <w:rsid w:val="2A3D2C2B"/>
    <w:rsid w:val="2A3F4BF2"/>
    <w:rsid w:val="2A4346E5"/>
    <w:rsid w:val="2A44045E"/>
    <w:rsid w:val="2A452503"/>
    <w:rsid w:val="2A454DC9"/>
    <w:rsid w:val="2A4639F8"/>
    <w:rsid w:val="2A472FF1"/>
    <w:rsid w:val="2A4915D0"/>
    <w:rsid w:val="2A497CBC"/>
    <w:rsid w:val="2A50295E"/>
    <w:rsid w:val="2A554419"/>
    <w:rsid w:val="2A5750AB"/>
    <w:rsid w:val="2A575F79"/>
    <w:rsid w:val="2A5833C3"/>
    <w:rsid w:val="2A5909AC"/>
    <w:rsid w:val="2A5C08E2"/>
    <w:rsid w:val="2A5D12BC"/>
    <w:rsid w:val="2A5F2BA2"/>
    <w:rsid w:val="2A6160D4"/>
    <w:rsid w:val="2A622692"/>
    <w:rsid w:val="2A663F30"/>
    <w:rsid w:val="2A666952"/>
    <w:rsid w:val="2A68414C"/>
    <w:rsid w:val="2A6C420C"/>
    <w:rsid w:val="2A6E6AE4"/>
    <w:rsid w:val="2A6E7289"/>
    <w:rsid w:val="2A720B27"/>
    <w:rsid w:val="2A73664D"/>
    <w:rsid w:val="2A75037D"/>
    <w:rsid w:val="2A77438F"/>
    <w:rsid w:val="2A7748C9"/>
    <w:rsid w:val="2A7A1FBE"/>
    <w:rsid w:val="2A7A5C2D"/>
    <w:rsid w:val="2A7E3970"/>
    <w:rsid w:val="2A7E571E"/>
    <w:rsid w:val="2A816161"/>
    <w:rsid w:val="2A816FBC"/>
    <w:rsid w:val="2A830A4B"/>
    <w:rsid w:val="2A832D34"/>
    <w:rsid w:val="2A842608"/>
    <w:rsid w:val="2A8A2B17"/>
    <w:rsid w:val="2A9067BA"/>
    <w:rsid w:val="2A92596F"/>
    <w:rsid w:val="2A932F00"/>
    <w:rsid w:val="2A950CB9"/>
    <w:rsid w:val="2A954AEA"/>
    <w:rsid w:val="2A9652C2"/>
    <w:rsid w:val="2A97233B"/>
    <w:rsid w:val="2A9C2048"/>
    <w:rsid w:val="2AA07CCA"/>
    <w:rsid w:val="2AA30B74"/>
    <w:rsid w:val="2AA36A2F"/>
    <w:rsid w:val="2AA42CAA"/>
    <w:rsid w:val="2AA64C74"/>
    <w:rsid w:val="2AAA36F6"/>
    <w:rsid w:val="2AAE5148"/>
    <w:rsid w:val="2AB033FD"/>
    <w:rsid w:val="2AB32EED"/>
    <w:rsid w:val="2AB96756"/>
    <w:rsid w:val="2ABB17C4"/>
    <w:rsid w:val="2ABB774C"/>
    <w:rsid w:val="2ABD6068"/>
    <w:rsid w:val="2ABE3D6C"/>
    <w:rsid w:val="2ABF7AE4"/>
    <w:rsid w:val="2AC05D36"/>
    <w:rsid w:val="2AC11AAE"/>
    <w:rsid w:val="2AC33130"/>
    <w:rsid w:val="2AC335E6"/>
    <w:rsid w:val="2AC450FA"/>
    <w:rsid w:val="2AC723BA"/>
    <w:rsid w:val="2AC83796"/>
    <w:rsid w:val="2AC84BEB"/>
    <w:rsid w:val="2ACA2711"/>
    <w:rsid w:val="2ACA6A8B"/>
    <w:rsid w:val="2ACB0237"/>
    <w:rsid w:val="2ACB7617"/>
    <w:rsid w:val="2AD1713D"/>
    <w:rsid w:val="2AD25A69"/>
    <w:rsid w:val="2AD410C5"/>
    <w:rsid w:val="2AD417E1"/>
    <w:rsid w:val="2AD4533E"/>
    <w:rsid w:val="2AD47FB7"/>
    <w:rsid w:val="2AD73018"/>
    <w:rsid w:val="2AD757E4"/>
    <w:rsid w:val="2AD86CB3"/>
    <w:rsid w:val="2AD90BA6"/>
    <w:rsid w:val="2ADB0606"/>
    <w:rsid w:val="2ADC0696"/>
    <w:rsid w:val="2ADC197E"/>
    <w:rsid w:val="2ADE6B4A"/>
    <w:rsid w:val="2AE22F42"/>
    <w:rsid w:val="2AE5754B"/>
    <w:rsid w:val="2AE632C3"/>
    <w:rsid w:val="2AEA10B9"/>
    <w:rsid w:val="2AED2B71"/>
    <w:rsid w:val="2AF518B3"/>
    <w:rsid w:val="2AFB6D6E"/>
    <w:rsid w:val="2AFC4894"/>
    <w:rsid w:val="2AFE4499"/>
    <w:rsid w:val="2AFF4363"/>
    <w:rsid w:val="2B05199B"/>
    <w:rsid w:val="2B055604"/>
    <w:rsid w:val="2B073905"/>
    <w:rsid w:val="2B0D0850"/>
    <w:rsid w:val="2B1020EE"/>
    <w:rsid w:val="2B114D48"/>
    <w:rsid w:val="2B125E66"/>
    <w:rsid w:val="2B1339FD"/>
    <w:rsid w:val="2B14220F"/>
    <w:rsid w:val="2B157704"/>
    <w:rsid w:val="2B163BA8"/>
    <w:rsid w:val="2B1971F4"/>
    <w:rsid w:val="2B1B11BE"/>
    <w:rsid w:val="2B1F092D"/>
    <w:rsid w:val="2B2106C7"/>
    <w:rsid w:val="2B2250C2"/>
    <w:rsid w:val="2B2773C0"/>
    <w:rsid w:val="2B297614"/>
    <w:rsid w:val="2B312790"/>
    <w:rsid w:val="2B3202B6"/>
    <w:rsid w:val="2B342280"/>
    <w:rsid w:val="2B381D70"/>
    <w:rsid w:val="2B3B716B"/>
    <w:rsid w:val="2B400C25"/>
    <w:rsid w:val="2B40163B"/>
    <w:rsid w:val="2B4324C3"/>
    <w:rsid w:val="2B4331DB"/>
    <w:rsid w:val="2B434271"/>
    <w:rsid w:val="2B457FE9"/>
    <w:rsid w:val="2B471FB3"/>
    <w:rsid w:val="2B481888"/>
    <w:rsid w:val="2B483D91"/>
    <w:rsid w:val="2B487ADA"/>
    <w:rsid w:val="2B4A3852"/>
    <w:rsid w:val="2B4D3E13"/>
    <w:rsid w:val="2B522706"/>
    <w:rsid w:val="2B597F39"/>
    <w:rsid w:val="2B5E10AB"/>
    <w:rsid w:val="2B5E72FD"/>
    <w:rsid w:val="2B612949"/>
    <w:rsid w:val="2B626DED"/>
    <w:rsid w:val="2B63015A"/>
    <w:rsid w:val="2B65243A"/>
    <w:rsid w:val="2B681F2A"/>
    <w:rsid w:val="2B6A7A50"/>
    <w:rsid w:val="2B6F150A"/>
    <w:rsid w:val="2B701C43"/>
    <w:rsid w:val="2B702ABA"/>
    <w:rsid w:val="2B732DA8"/>
    <w:rsid w:val="2B750DF0"/>
    <w:rsid w:val="2B7663F5"/>
    <w:rsid w:val="2B79767B"/>
    <w:rsid w:val="2B7B4934"/>
    <w:rsid w:val="2B7D3C27"/>
    <w:rsid w:val="2B7F6B4B"/>
    <w:rsid w:val="2B7F799F"/>
    <w:rsid w:val="2B844FB6"/>
    <w:rsid w:val="2B845D16"/>
    <w:rsid w:val="2B88586B"/>
    <w:rsid w:val="2B8925CC"/>
    <w:rsid w:val="2B8C79C6"/>
    <w:rsid w:val="2B8D0C77"/>
    <w:rsid w:val="2B911481"/>
    <w:rsid w:val="2B9920E3"/>
    <w:rsid w:val="2B993269"/>
    <w:rsid w:val="2B9A4D58"/>
    <w:rsid w:val="2B9D6077"/>
    <w:rsid w:val="2B9D6C16"/>
    <w:rsid w:val="2B9F23B4"/>
    <w:rsid w:val="2B9F24CD"/>
    <w:rsid w:val="2BA016C4"/>
    <w:rsid w:val="2BA139CE"/>
    <w:rsid w:val="2BA2368E"/>
    <w:rsid w:val="2BA452CB"/>
    <w:rsid w:val="2BA50A88"/>
    <w:rsid w:val="2BA773D4"/>
    <w:rsid w:val="2BA84BC4"/>
    <w:rsid w:val="2BA936A8"/>
    <w:rsid w:val="2BAA0E41"/>
    <w:rsid w:val="2BAC0255"/>
    <w:rsid w:val="2BAC2E33"/>
    <w:rsid w:val="2BAC62BA"/>
    <w:rsid w:val="2BAE2033"/>
    <w:rsid w:val="2BAE3DE1"/>
    <w:rsid w:val="2BAF1907"/>
    <w:rsid w:val="2BAF7B59"/>
    <w:rsid w:val="2BB05DAB"/>
    <w:rsid w:val="2BB1567F"/>
    <w:rsid w:val="2BB331A5"/>
    <w:rsid w:val="2BB346A9"/>
    <w:rsid w:val="2BB37649"/>
    <w:rsid w:val="2BB46F1D"/>
    <w:rsid w:val="2BB55F54"/>
    <w:rsid w:val="2BB807BB"/>
    <w:rsid w:val="2BB86A0D"/>
    <w:rsid w:val="2BBD04C8"/>
    <w:rsid w:val="2BC058C2"/>
    <w:rsid w:val="2BC2163A"/>
    <w:rsid w:val="2BC50879"/>
    <w:rsid w:val="2BCE6231"/>
    <w:rsid w:val="2BD3355D"/>
    <w:rsid w:val="2BD650E5"/>
    <w:rsid w:val="2BD80E5D"/>
    <w:rsid w:val="2BDB094E"/>
    <w:rsid w:val="2BDB2E11"/>
    <w:rsid w:val="2BDD3CFB"/>
    <w:rsid w:val="2BDF40C3"/>
    <w:rsid w:val="2BE041B6"/>
    <w:rsid w:val="2BE21AFE"/>
    <w:rsid w:val="2BE23A8A"/>
    <w:rsid w:val="2BE37D65"/>
    <w:rsid w:val="2BE94E19"/>
    <w:rsid w:val="2BEA293F"/>
    <w:rsid w:val="2BEA4F26"/>
    <w:rsid w:val="2BED68A1"/>
    <w:rsid w:val="2BEF7F55"/>
    <w:rsid w:val="2BF10171"/>
    <w:rsid w:val="2BF23C35"/>
    <w:rsid w:val="2BF27637"/>
    <w:rsid w:val="2BF65FB8"/>
    <w:rsid w:val="2BFA04AD"/>
    <w:rsid w:val="2BFB4B4C"/>
    <w:rsid w:val="2BFB5408"/>
    <w:rsid w:val="2BFF288E"/>
    <w:rsid w:val="2C0003B4"/>
    <w:rsid w:val="2C0130CB"/>
    <w:rsid w:val="2C025EDA"/>
    <w:rsid w:val="2C0269F8"/>
    <w:rsid w:val="2C0C6063"/>
    <w:rsid w:val="2C0C6D59"/>
    <w:rsid w:val="2C0F23A5"/>
    <w:rsid w:val="2C14634A"/>
    <w:rsid w:val="2C153E60"/>
    <w:rsid w:val="2C161986"/>
    <w:rsid w:val="2C181352"/>
    <w:rsid w:val="2C187060"/>
    <w:rsid w:val="2C1A3224"/>
    <w:rsid w:val="2C1F6A8C"/>
    <w:rsid w:val="2C216A60"/>
    <w:rsid w:val="2C2708A5"/>
    <w:rsid w:val="2C272785"/>
    <w:rsid w:val="2C295BA3"/>
    <w:rsid w:val="2C2A5683"/>
    <w:rsid w:val="2C2B0F13"/>
    <w:rsid w:val="2C302A48"/>
    <w:rsid w:val="2C3075D9"/>
    <w:rsid w:val="2C31056E"/>
    <w:rsid w:val="2C310A69"/>
    <w:rsid w:val="2C315A5A"/>
    <w:rsid w:val="2C335F5A"/>
    <w:rsid w:val="2C3478F5"/>
    <w:rsid w:val="2C35005E"/>
    <w:rsid w:val="2C3A5674"/>
    <w:rsid w:val="2C3B1030"/>
    <w:rsid w:val="2C3F0EDD"/>
    <w:rsid w:val="2C3F192C"/>
    <w:rsid w:val="2C4136BD"/>
    <w:rsid w:val="2C42277B"/>
    <w:rsid w:val="2C43689F"/>
    <w:rsid w:val="2C44309A"/>
    <w:rsid w:val="2C464019"/>
    <w:rsid w:val="2C484235"/>
    <w:rsid w:val="2C491D5B"/>
    <w:rsid w:val="2C4958B7"/>
    <w:rsid w:val="2C4B1C25"/>
    <w:rsid w:val="2C4E1120"/>
    <w:rsid w:val="2C4E622D"/>
    <w:rsid w:val="2C4E7372"/>
    <w:rsid w:val="2C506C46"/>
    <w:rsid w:val="2C514E95"/>
    <w:rsid w:val="2C5601E2"/>
    <w:rsid w:val="2C57559B"/>
    <w:rsid w:val="2C583D4C"/>
    <w:rsid w:val="2C5A7AC4"/>
    <w:rsid w:val="2C5D4EB5"/>
    <w:rsid w:val="2C6023A6"/>
    <w:rsid w:val="2C60599D"/>
    <w:rsid w:val="2C64737E"/>
    <w:rsid w:val="2C68749E"/>
    <w:rsid w:val="2C6941AB"/>
    <w:rsid w:val="2C694EB6"/>
    <w:rsid w:val="2C6B7F24"/>
    <w:rsid w:val="2C6F6A93"/>
    <w:rsid w:val="2C761784"/>
    <w:rsid w:val="2C792640"/>
    <w:rsid w:val="2C7A3CC3"/>
    <w:rsid w:val="2C7D37B3"/>
    <w:rsid w:val="2C7F39CF"/>
    <w:rsid w:val="2C8114F5"/>
    <w:rsid w:val="2C8150CE"/>
    <w:rsid w:val="2C820135"/>
    <w:rsid w:val="2C84143A"/>
    <w:rsid w:val="2C866895"/>
    <w:rsid w:val="2C8B506A"/>
    <w:rsid w:val="2C8C25FE"/>
    <w:rsid w:val="2C8D7E9A"/>
    <w:rsid w:val="2C9034E6"/>
    <w:rsid w:val="2C91044C"/>
    <w:rsid w:val="2C931228"/>
    <w:rsid w:val="2C9805ED"/>
    <w:rsid w:val="2C9A4365"/>
    <w:rsid w:val="2C9B3F26"/>
    <w:rsid w:val="2C9C1E8B"/>
    <w:rsid w:val="2C9E4F19"/>
    <w:rsid w:val="2C9F3729"/>
    <w:rsid w:val="2CA156F3"/>
    <w:rsid w:val="2CA86A82"/>
    <w:rsid w:val="2CA90A4C"/>
    <w:rsid w:val="2CAA4B64"/>
    <w:rsid w:val="2CAC416A"/>
    <w:rsid w:val="2CAC4FAC"/>
    <w:rsid w:val="2CAE7E10"/>
    <w:rsid w:val="2CB04AF3"/>
    <w:rsid w:val="2CB04C6B"/>
    <w:rsid w:val="2CB17CF5"/>
    <w:rsid w:val="2CB371D5"/>
    <w:rsid w:val="2CB573F1"/>
    <w:rsid w:val="2CBA540D"/>
    <w:rsid w:val="2CBB4661"/>
    <w:rsid w:val="2CBE44F7"/>
    <w:rsid w:val="2CBE62A5"/>
    <w:rsid w:val="2CC118F2"/>
    <w:rsid w:val="2CC94C4A"/>
    <w:rsid w:val="2CD07D87"/>
    <w:rsid w:val="2CD153CA"/>
    <w:rsid w:val="2CD258AD"/>
    <w:rsid w:val="2CD325A3"/>
    <w:rsid w:val="2CD3362A"/>
    <w:rsid w:val="2CD525A2"/>
    <w:rsid w:val="2CD613BD"/>
    <w:rsid w:val="2CD810FA"/>
    <w:rsid w:val="2CD94E8D"/>
    <w:rsid w:val="2CDA29B3"/>
    <w:rsid w:val="2CDC497D"/>
    <w:rsid w:val="2CDD05EA"/>
    <w:rsid w:val="2CDD56A8"/>
    <w:rsid w:val="2CE4151F"/>
    <w:rsid w:val="2CE455E0"/>
    <w:rsid w:val="2CE47373"/>
    <w:rsid w:val="2CE51C0C"/>
    <w:rsid w:val="2CE576AE"/>
    <w:rsid w:val="2CE83322"/>
    <w:rsid w:val="2CEB4DAF"/>
    <w:rsid w:val="2CED6B8B"/>
    <w:rsid w:val="2CEE645F"/>
    <w:rsid w:val="2CF25F4F"/>
    <w:rsid w:val="2CF27CFD"/>
    <w:rsid w:val="2CF47F19"/>
    <w:rsid w:val="2CF565D5"/>
    <w:rsid w:val="2CF57A70"/>
    <w:rsid w:val="2CF75313"/>
    <w:rsid w:val="2CFA4E04"/>
    <w:rsid w:val="2CFE66A2"/>
    <w:rsid w:val="2CFF241A"/>
    <w:rsid w:val="2D0253E0"/>
    <w:rsid w:val="2D03015C"/>
    <w:rsid w:val="2D031F0A"/>
    <w:rsid w:val="2D043769"/>
    <w:rsid w:val="2D047A30"/>
    <w:rsid w:val="2D081307"/>
    <w:rsid w:val="2D0A3299"/>
    <w:rsid w:val="2D0B0DBF"/>
    <w:rsid w:val="2D0B5263"/>
    <w:rsid w:val="2D0B7011"/>
    <w:rsid w:val="2D121841"/>
    <w:rsid w:val="2D157E8F"/>
    <w:rsid w:val="2D1759B5"/>
    <w:rsid w:val="2D197980"/>
    <w:rsid w:val="2D2307FE"/>
    <w:rsid w:val="2D2D2C93"/>
    <w:rsid w:val="2D2E0A6A"/>
    <w:rsid w:val="2D300825"/>
    <w:rsid w:val="2D314CC9"/>
    <w:rsid w:val="2D3227EF"/>
    <w:rsid w:val="2D32459D"/>
    <w:rsid w:val="2D3447B9"/>
    <w:rsid w:val="2D346567"/>
    <w:rsid w:val="2D346692"/>
    <w:rsid w:val="2D355E3C"/>
    <w:rsid w:val="2D371BB4"/>
    <w:rsid w:val="2D39592C"/>
    <w:rsid w:val="2D3E1194"/>
    <w:rsid w:val="2D3E1C0F"/>
    <w:rsid w:val="2D3E2F42"/>
    <w:rsid w:val="2D426ED6"/>
    <w:rsid w:val="2D436988"/>
    <w:rsid w:val="2D4A2C1F"/>
    <w:rsid w:val="2D4B56B9"/>
    <w:rsid w:val="2D4F15F3"/>
    <w:rsid w:val="2D524C40"/>
    <w:rsid w:val="2D542766"/>
    <w:rsid w:val="2D564730"/>
    <w:rsid w:val="2D572256"/>
    <w:rsid w:val="2D5A4F80"/>
    <w:rsid w:val="2D621DCA"/>
    <w:rsid w:val="2D6333A1"/>
    <w:rsid w:val="2D6339E7"/>
    <w:rsid w:val="2D67693D"/>
    <w:rsid w:val="2D687FBF"/>
    <w:rsid w:val="2D6A3B9D"/>
    <w:rsid w:val="2D6D55A2"/>
    <w:rsid w:val="2D6F176E"/>
    <w:rsid w:val="2D6F2435"/>
    <w:rsid w:val="2D720E3E"/>
    <w:rsid w:val="2D746964"/>
    <w:rsid w:val="2D76092E"/>
    <w:rsid w:val="2D7746A6"/>
    <w:rsid w:val="2D7C025A"/>
    <w:rsid w:val="2D7E3C87"/>
    <w:rsid w:val="2D8017AD"/>
    <w:rsid w:val="2D88240F"/>
    <w:rsid w:val="2D8D6234"/>
    <w:rsid w:val="2D8E6D48"/>
    <w:rsid w:val="2D952B39"/>
    <w:rsid w:val="2D957F46"/>
    <w:rsid w:val="2D962D7E"/>
    <w:rsid w:val="2D9E56F5"/>
    <w:rsid w:val="2DA059AB"/>
    <w:rsid w:val="2DA07759"/>
    <w:rsid w:val="2DA316A4"/>
    <w:rsid w:val="2DA354E2"/>
    <w:rsid w:val="2DA5392A"/>
    <w:rsid w:val="2DA921BD"/>
    <w:rsid w:val="2DAC1A1E"/>
    <w:rsid w:val="2DAF291A"/>
    <w:rsid w:val="2DB24B20"/>
    <w:rsid w:val="2DB43204"/>
    <w:rsid w:val="2DB87198"/>
    <w:rsid w:val="2DB96A6D"/>
    <w:rsid w:val="2DBA5C97"/>
    <w:rsid w:val="2DBD7453"/>
    <w:rsid w:val="2DBE22D5"/>
    <w:rsid w:val="2DC07527"/>
    <w:rsid w:val="2DC07DFB"/>
    <w:rsid w:val="2DC10BBC"/>
    <w:rsid w:val="2DC215B0"/>
    <w:rsid w:val="2DC21DC5"/>
    <w:rsid w:val="2DC32DE5"/>
    <w:rsid w:val="2DC93154"/>
    <w:rsid w:val="2DCA2A28"/>
    <w:rsid w:val="2DCB2781"/>
    <w:rsid w:val="2DCC054E"/>
    <w:rsid w:val="2DCC67A0"/>
    <w:rsid w:val="2DCD2787"/>
    <w:rsid w:val="2DD41AF8"/>
    <w:rsid w:val="2DD6761F"/>
    <w:rsid w:val="2DDD275B"/>
    <w:rsid w:val="2DDE5EB6"/>
    <w:rsid w:val="2DDF2E56"/>
    <w:rsid w:val="2DE03328"/>
    <w:rsid w:val="2DE03FF9"/>
    <w:rsid w:val="2DE27D71"/>
    <w:rsid w:val="2DE33AEA"/>
    <w:rsid w:val="2DE429BC"/>
    <w:rsid w:val="2DE47F8D"/>
    <w:rsid w:val="2DE735DA"/>
    <w:rsid w:val="2DEB702A"/>
    <w:rsid w:val="2DEC299E"/>
    <w:rsid w:val="2DF02CA4"/>
    <w:rsid w:val="2DF61A6F"/>
    <w:rsid w:val="2DF6381D"/>
    <w:rsid w:val="2DFB52D7"/>
    <w:rsid w:val="2E027D0C"/>
    <w:rsid w:val="2E100D83"/>
    <w:rsid w:val="2E105B97"/>
    <w:rsid w:val="2E133A2B"/>
    <w:rsid w:val="2E156399"/>
    <w:rsid w:val="2E1754F4"/>
    <w:rsid w:val="2E190FA2"/>
    <w:rsid w:val="2E1B2357"/>
    <w:rsid w:val="2E1B3283"/>
    <w:rsid w:val="2E1B7727"/>
    <w:rsid w:val="2E204D3E"/>
    <w:rsid w:val="2E233A7D"/>
    <w:rsid w:val="2E25123C"/>
    <w:rsid w:val="2E254FE0"/>
    <w:rsid w:val="2E291E44"/>
    <w:rsid w:val="2E295640"/>
    <w:rsid w:val="2E2E77C9"/>
    <w:rsid w:val="2E2F6D2F"/>
    <w:rsid w:val="2E344345"/>
    <w:rsid w:val="2E356016"/>
    <w:rsid w:val="2E397F51"/>
    <w:rsid w:val="2E3B3926"/>
    <w:rsid w:val="2E3B56D4"/>
    <w:rsid w:val="2E3D58F0"/>
    <w:rsid w:val="2E422F06"/>
    <w:rsid w:val="2E440A2C"/>
    <w:rsid w:val="2E451B2A"/>
    <w:rsid w:val="2E495378"/>
    <w:rsid w:val="2E4C78E1"/>
    <w:rsid w:val="2E513149"/>
    <w:rsid w:val="2E536EC1"/>
    <w:rsid w:val="2E546C9E"/>
    <w:rsid w:val="2E57641F"/>
    <w:rsid w:val="2E586286"/>
    <w:rsid w:val="2E5A0250"/>
    <w:rsid w:val="2E5F13C2"/>
    <w:rsid w:val="2E5F388F"/>
    <w:rsid w:val="2E5F4766"/>
    <w:rsid w:val="2E600CE3"/>
    <w:rsid w:val="2E607ADC"/>
    <w:rsid w:val="2E610457"/>
    <w:rsid w:val="2E652F0D"/>
    <w:rsid w:val="2E667F96"/>
    <w:rsid w:val="2E671B3F"/>
    <w:rsid w:val="2E671D49"/>
    <w:rsid w:val="2E67471B"/>
    <w:rsid w:val="2E6A21CE"/>
    <w:rsid w:val="2E6F1B6A"/>
    <w:rsid w:val="2E7035CF"/>
    <w:rsid w:val="2E703C46"/>
    <w:rsid w:val="2E734E6D"/>
    <w:rsid w:val="2E76670C"/>
    <w:rsid w:val="2E782484"/>
    <w:rsid w:val="2E790148"/>
    <w:rsid w:val="2E7A444E"/>
    <w:rsid w:val="2E7F40B7"/>
    <w:rsid w:val="2E8226AB"/>
    <w:rsid w:val="2E880E77"/>
    <w:rsid w:val="2E8C76CD"/>
    <w:rsid w:val="2E954DE4"/>
    <w:rsid w:val="2E975000"/>
    <w:rsid w:val="2E9A23CB"/>
    <w:rsid w:val="2E9A4A50"/>
    <w:rsid w:val="2E9C2616"/>
    <w:rsid w:val="2E9E5F25"/>
    <w:rsid w:val="2EA27805"/>
    <w:rsid w:val="2EA92D81"/>
    <w:rsid w:val="2EAE5EE7"/>
    <w:rsid w:val="2EB060C2"/>
    <w:rsid w:val="2EB115DE"/>
    <w:rsid w:val="2EB45BB2"/>
    <w:rsid w:val="2EB536D8"/>
    <w:rsid w:val="2EB67F0B"/>
    <w:rsid w:val="2EB92876"/>
    <w:rsid w:val="2EBB6501"/>
    <w:rsid w:val="2EBD4EC2"/>
    <w:rsid w:val="2EBE753E"/>
    <w:rsid w:val="2EC019CA"/>
    <w:rsid w:val="2EC27BA3"/>
    <w:rsid w:val="2ECB3F4C"/>
    <w:rsid w:val="2ECC7A5C"/>
    <w:rsid w:val="2ECF5480"/>
    <w:rsid w:val="2ED40002"/>
    <w:rsid w:val="2ED753FC"/>
    <w:rsid w:val="2EDC0C65"/>
    <w:rsid w:val="2EDC2A13"/>
    <w:rsid w:val="2EDC6725"/>
    <w:rsid w:val="2EE31FF3"/>
    <w:rsid w:val="2EE61AE3"/>
    <w:rsid w:val="2EE93382"/>
    <w:rsid w:val="2EEB0EA8"/>
    <w:rsid w:val="2EEB534C"/>
    <w:rsid w:val="2EED4C20"/>
    <w:rsid w:val="2EEE2746"/>
    <w:rsid w:val="2EF31870"/>
    <w:rsid w:val="2EF3330F"/>
    <w:rsid w:val="2EF44200"/>
    <w:rsid w:val="2EF64B1D"/>
    <w:rsid w:val="2EF7784D"/>
    <w:rsid w:val="2EF80F5B"/>
    <w:rsid w:val="2EFE507F"/>
    <w:rsid w:val="2EFF4953"/>
    <w:rsid w:val="2F0361F1"/>
    <w:rsid w:val="2F05640D"/>
    <w:rsid w:val="2F0B779C"/>
    <w:rsid w:val="2F106B60"/>
    <w:rsid w:val="2F1267F4"/>
    <w:rsid w:val="2F193C67"/>
    <w:rsid w:val="2F1F0B51"/>
    <w:rsid w:val="2F1F6DA3"/>
    <w:rsid w:val="2F236894"/>
    <w:rsid w:val="2F277269"/>
    <w:rsid w:val="2F2820FC"/>
    <w:rsid w:val="2F2D7712"/>
    <w:rsid w:val="2F2E531D"/>
    <w:rsid w:val="2F326AD7"/>
    <w:rsid w:val="2F336759"/>
    <w:rsid w:val="2F3565C7"/>
    <w:rsid w:val="2F370591"/>
    <w:rsid w:val="2F397E65"/>
    <w:rsid w:val="2F3A3D3C"/>
    <w:rsid w:val="2F3E0DA6"/>
    <w:rsid w:val="2F3F0ED9"/>
    <w:rsid w:val="2F3F4C50"/>
    <w:rsid w:val="2F400D8A"/>
    <w:rsid w:val="2F447611"/>
    <w:rsid w:val="2F464330"/>
    <w:rsid w:val="2F4A02C4"/>
    <w:rsid w:val="2F4B6A65"/>
    <w:rsid w:val="2F4D3910"/>
    <w:rsid w:val="2F4F1437"/>
    <w:rsid w:val="2F510054"/>
    <w:rsid w:val="2F561C30"/>
    <w:rsid w:val="2F561FC3"/>
    <w:rsid w:val="2F57653D"/>
    <w:rsid w:val="2F590507"/>
    <w:rsid w:val="2F590869"/>
    <w:rsid w:val="2F5C3134"/>
    <w:rsid w:val="2F5E167A"/>
    <w:rsid w:val="2F5F7A95"/>
    <w:rsid w:val="2F6173BC"/>
    <w:rsid w:val="2F6323C3"/>
    <w:rsid w:val="2F643F15"/>
    <w:rsid w:val="2F6475B3"/>
    <w:rsid w:val="2F665C5F"/>
    <w:rsid w:val="2F68074A"/>
    <w:rsid w:val="2F6824F8"/>
    <w:rsid w:val="2F6B1FE9"/>
    <w:rsid w:val="2F6C69D2"/>
    <w:rsid w:val="2F6F3887"/>
    <w:rsid w:val="2F7075FF"/>
    <w:rsid w:val="2F7C5FA4"/>
    <w:rsid w:val="2F807842"/>
    <w:rsid w:val="2F8337D6"/>
    <w:rsid w:val="2F834C43"/>
    <w:rsid w:val="2F846934"/>
    <w:rsid w:val="2F882B9B"/>
    <w:rsid w:val="2F893D30"/>
    <w:rsid w:val="2F8A5ED4"/>
    <w:rsid w:val="2F8B46C9"/>
    <w:rsid w:val="2F8F2A06"/>
    <w:rsid w:val="2F8F5CD7"/>
    <w:rsid w:val="2F923A19"/>
    <w:rsid w:val="2F950E14"/>
    <w:rsid w:val="2F960B66"/>
    <w:rsid w:val="2F963509"/>
    <w:rsid w:val="2F9B609A"/>
    <w:rsid w:val="2F9C03F4"/>
    <w:rsid w:val="2F9C6646"/>
    <w:rsid w:val="2F9E5968"/>
    <w:rsid w:val="2FA379D4"/>
    <w:rsid w:val="2FA554FB"/>
    <w:rsid w:val="2FAA36E3"/>
    <w:rsid w:val="2FAA688C"/>
    <w:rsid w:val="2FAB0637"/>
    <w:rsid w:val="2FB25651"/>
    <w:rsid w:val="2FB4417C"/>
    <w:rsid w:val="2FB56CF8"/>
    <w:rsid w:val="2FBE480E"/>
    <w:rsid w:val="2FBE7E21"/>
    <w:rsid w:val="2FC33BD3"/>
    <w:rsid w:val="2FC62219"/>
    <w:rsid w:val="2FC71915"/>
    <w:rsid w:val="2FC949E6"/>
    <w:rsid w:val="2FCA31B3"/>
    <w:rsid w:val="2FCB1ED7"/>
    <w:rsid w:val="2FCC27F9"/>
    <w:rsid w:val="2FCF2577"/>
    <w:rsid w:val="2FCF5C8E"/>
    <w:rsid w:val="2FCF7117"/>
    <w:rsid w:val="2FD065E6"/>
    <w:rsid w:val="2FD1009E"/>
    <w:rsid w:val="2FD12C52"/>
    <w:rsid w:val="2FD45DE0"/>
    <w:rsid w:val="2FD656B4"/>
    <w:rsid w:val="2FD858D0"/>
    <w:rsid w:val="2FD96870"/>
    <w:rsid w:val="2FDB53C0"/>
    <w:rsid w:val="2FDC0762"/>
    <w:rsid w:val="2FDD4C94"/>
    <w:rsid w:val="2FE1183A"/>
    <w:rsid w:val="2FE70C36"/>
    <w:rsid w:val="2FE80B7C"/>
    <w:rsid w:val="2FE861CD"/>
    <w:rsid w:val="2FEC4ED7"/>
    <w:rsid w:val="2FEE50F3"/>
    <w:rsid w:val="2FEF4E0F"/>
    <w:rsid w:val="2FF344B8"/>
    <w:rsid w:val="2FFB15BE"/>
    <w:rsid w:val="2FFB336C"/>
    <w:rsid w:val="2FFE2E5D"/>
    <w:rsid w:val="2FFE4C0B"/>
    <w:rsid w:val="30000983"/>
    <w:rsid w:val="300264A9"/>
    <w:rsid w:val="30085A89"/>
    <w:rsid w:val="30090737"/>
    <w:rsid w:val="300E1349"/>
    <w:rsid w:val="300F0BC6"/>
    <w:rsid w:val="3014170C"/>
    <w:rsid w:val="30182170"/>
    <w:rsid w:val="302503E9"/>
    <w:rsid w:val="302B141D"/>
    <w:rsid w:val="302C5C1C"/>
    <w:rsid w:val="302C7398"/>
    <w:rsid w:val="302E54F0"/>
    <w:rsid w:val="302F3016"/>
    <w:rsid w:val="30321580"/>
    <w:rsid w:val="3032417B"/>
    <w:rsid w:val="30330DD3"/>
    <w:rsid w:val="3034062C"/>
    <w:rsid w:val="30385D05"/>
    <w:rsid w:val="303E14AB"/>
    <w:rsid w:val="30403475"/>
    <w:rsid w:val="30452754"/>
    <w:rsid w:val="304614C0"/>
    <w:rsid w:val="30477119"/>
    <w:rsid w:val="304A78DE"/>
    <w:rsid w:val="304B1A67"/>
    <w:rsid w:val="304C1E1A"/>
    <w:rsid w:val="304D1074"/>
    <w:rsid w:val="304D5FF1"/>
    <w:rsid w:val="304E7940"/>
    <w:rsid w:val="305413D4"/>
    <w:rsid w:val="30550C17"/>
    <w:rsid w:val="30555D18"/>
    <w:rsid w:val="30562C99"/>
    <w:rsid w:val="30580BC9"/>
    <w:rsid w:val="305B02AF"/>
    <w:rsid w:val="305D7B83"/>
    <w:rsid w:val="3062519A"/>
    <w:rsid w:val="30645AD9"/>
    <w:rsid w:val="306727B0"/>
    <w:rsid w:val="3069477A"/>
    <w:rsid w:val="306A22A0"/>
    <w:rsid w:val="306B1215"/>
    <w:rsid w:val="306C3A94"/>
    <w:rsid w:val="30717AD3"/>
    <w:rsid w:val="307355F9"/>
    <w:rsid w:val="30737EF4"/>
    <w:rsid w:val="30751371"/>
    <w:rsid w:val="30753E7A"/>
    <w:rsid w:val="307F7AFA"/>
    <w:rsid w:val="30801AC4"/>
    <w:rsid w:val="30803872"/>
    <w:rsid w:val="30811EAD"/>
    <w:rsid w:val="308800EC"/>
    <w:rsid w:val="308C50DA"/>
    <w:rsid w:val="309017A4"/>
    <w:rsid w:val="309612E7"/>
    <w:rsid w:val="30963EC3"/>
    <w:rsid w:val="30964D84"/>
    <w:rsid w:val="30980BBB"/>
    <w:rsid w:val="309A0DD7"/>
    <w:rsid w:val="309A2B85"/>
    <w:rsid w:val="309A57C9"/>
    <w:rsid w:val="309B5472"/>
    <w:rsid w:val="309D4424"/>
    <w:rsid w:val="30A21A3A"/>
    <w:rsid w:val="30A26723"/>
    <w:rsid w:val="30A62585"/>
    <w:rsid w:val="30A65F29"/>
    <w:rsid w:val="30AE6631"/>
    <w:rsid w:val="30AF64B9"/>
    <w:rsid w:val="30B05F05"/>
    <w:rsid w:val="30B33C47"/>
    <w:rsid w:val="30B67293"/>
    <w:rsid w:val="30B8689C"/>
    <w:rsid w:val="30B874AF"/>
    <w:rsid w:val="30BA4FD6"/>
    <w:rsid w:val="30BE457D"/>
    <w:rsid w:val="30BF3D46"/>
    <w:rsid w:val="30C13746"/>
    <w:rsid w:val="30C3032E"/>
    <w:rsid w:val="30C40177"/>
    <w:rsid w:val="30C43CFA"/>
    <w:rsid w:val="30C61BCC"/>
    <w:rsid w:val="30C85944"/>
    <w:rsid w:val="30C9346B"/>
    <w:rsid w:val="30CA69B1"/>
    <w:rsid w:val="30CE6A2C"/>
    <w:rsid w:val="30CE6CD3"/>
    <w:rsid w:val="30D065A7"/>
    <w:rsid w:val="30D07FA5"/>
    <w:rsid w:val="30D50061"/>
    <w:rsid w:val="30D77936"/>
    <w:rsid w:val="30DA363F"/>
    <w:rsid w:val="30DA7426"/>
    <w:rsid w:val="30DF149B"/>
    <w:rsid w:val="30DF773C"/>
    <w:rsid w:val="30E12562"/>
    <w:rsid w:val="30E402A4"/>
    <w:rsid w:val="30E97669"/>
    <w:rsid w:val="30EB33E1"/>
    <w:rsid w:val="30EB518F"/>
    <w:rsid w:val="30ED546B"/>
    <w:rsid w:val="30EF4A32"/>
    <w:rsid w:val="30F229C1"/>
    <w:rsid w:val="30F346C8"/>
    <w:rsid w:val="30F56190"/>
    <w:rsid w:val="30FE5B94"/>
    <w:rsid w:val="30FF0C3A"/>
    <w:rsid w:val="310277C9"/>
    <w:rsid w:val="31027AA2"/>
    <w:rsid w:val="31044DF4"/>
    <w:rsid w:val="31077AEF"/>
    <w:rsid w:val="31091AB9"/>
    <w:rsid w:val="310E0E7D"/>
    <w:rsid w:val="310E70CF"/>
    <w:rsid w:val="31126BC0"/>
    <w:rsid w:val="31135930"/>
    <w:rsid w:val="31191AA6"/>
    <w:rsid w:val="31197F4E"/>
    <w:rsid w:val="311C0A7E"/>
    <w:rsid w:val="311E2ED7"/>
    <w:rsid w:val="311E37B6"/>
    <w:rsid w:val="312406A1"/>
    <w:rsid w:val="31266455"/>
    <w:rsid w:val="31280F0C"/>
    <w:rsid w:val="312A549D"/>
    <w:rsid w:val="312B7C81"/>
    <w:rsid w:val="31307FE3"/>
    <w:rsid w:val="31335D5C"/>
    <w:rsid w:val="3135465C"/>
    <w:rsid w:val="3138414C"/>
    <w:rsid w:val="3139239E"/>
    <w:rsid w:val="313C3C3D"/>
    <w:rsid w:val="313D0CF5"/>
    <w:rsid w:val="3140197F"/>
    <w:rsid w:val="31414A5E"/>
    <w:rsid w:val="3142274C"/>
    <w:rsid w:val="314677B2"/>
    <w:rsid w:val="31472781"/>
    <w:rsid w:val="314825E1"/>
    <w:rsid w:val="314A45AB"/>
    <w:rsid w:val="314A69CD"/>
    <w:rsid w:val="314D5E4A"/>
    <w:rsid w:val="314F1BC2"/>
    <w:rsid w:val="314F6C88"/>
    <w:rsid w:val="31532D34"/>
    <w:rsid w:val="315619EE"/>
    <w:rsid w:val="31563F8A"/>
    <w:rsid w:val="31572824"/>
    <w:rsid w:val="31592A40"/>
    <w:rsid w:val="315C449C"/>
    <w:rsid w:val="315F792B"/>
    <w:rsid w:val="3163566D"/>
    <w:rsid w:val="316A07AA"/>
    <w:rsid w:val="31707C28"/>
    <w:rsid w:val="31800DCC"/>
    <w:rsid w:val="3182255A"/>
    <w:rsid w:val="31825219"/>
    <w:rsid w:val="31853836"/>
    <w:rsid w:val="318D26EA"/>
    <w:rsid w:val="31943A79"/>
    <w:rsid w:val="31973569"/>
    <w:rsid w:val="3199444D"/>
    <w:rsid w:val="31996BAE"/>
    <w:rsid w:val="319A0963"/>
    <w:rsid w:val="319C292D"/>
    <w:rsid w:val="319E422D"/>
    <w:rsid w:val="319E48F7"/>
    <w:rsid w:val="319E66A5"/>
    <w:rsid w:val="31A35A6A"/>
    <w:rsid w:val="31A42843"/>
    <w:rsid w:val="31A60F11"/>
    <w:rsid w:val="31A7644C"/>
    <w:rsid w:val="31A85676"/>
    <w:rsid w:val="31A87135"/>
    <w:rsid w:val="31AA1B6E"/>
    <w:rsid w:val="31AD4B3A"/>
    <w:rsid w:val="31B163D9"/>
    <w:rsid w:val="31B17A40"/>
    <w:rsid w:val="31B25CAD"/>
    <w:rsid w:val="31B30944"/>
    <w:rsid w:val="31B45EC9"/>
    <w:rsid w:val="31B672AB"/>
    <w:rsid w:val="31B82709"/>
    <w:rsid w:val="31B934DF"/>
    <w:rsid w:val="31B95820"/>
    <w:rsid w:val="31BB1005"/>
    <w:rsid w:val="31BC3E2D"/>
    <w:rsid w:val="31BD2FCF"/>
    <w:rsid w:val="31C37EBA"/>
    <w:rsid w:val="31C525D3"/>
    <w:rsid w:val="31C75594"/>
    <w:rsid w:val="31CF0AB2"/>
    <w:rsid w:val="31CF2D03"/>
    <w:rsid w:val="31CF3CF6"/>
    <w:rsid w:val="31D05482"/>
    <w:rsid w:val="31D10829"/>
    <w:rsid w:val="31D16A7B"/>
    <w:rsid w:val="31D352F5"/>
    <w:rsid w:val="31D73965"/>
    <w:rsid w:val="31D9377A"/>
    <w:rsid w:val="31DD49E5"/>
    <w:rsid w:val="31DE6B06"/>
    <w:rsid w:val="31E0281A"/>
    <w:rsid w:val="31E16592"/>
    <w:rsid w:val="31E247E4"/>
    <w:rsid w:val="31E26229"/>
    <w:rsid w:val="31E56C42"/>
    <w:rsid w:val="31E71DFA"/>
    <w:rsid w:val="31EB11BF"/>
    <w:rsid w:val="31EF4885"/>
    <w:rsid w:val="31F14A27"/>
    <w:rsid w:val="31F369F1"/>
    <w:rsid w:val="31F46B25"/>
    <w:rsid w:val="31F6203D"/>
    <w:rsid w:val="31FA7F8F"/>
    <w:rsid w:val="31FB58A6"/>
    <w:rsid w:val="31FB7654"/>
    <w:rsid w:val="31FE3477"/>
    <w:rsid w:val="32004C6A"/>
    <w:rsid w:val="3203475A"/>
    <w:rsid w:val="320504D2"/>
    <w:rsid w:val="3208477D"/>
    <w:rsid w:val="320B54EE"/>
    <w:rsid w:val="320F4EAD"/>
    <w:rsid w:val="3212499D"/>
    <w:rsid w:val="321B1A07"/>
    <w:rsid w:val="321B5F48"/>
    <w:rsid w:val="32232583"/>
    <w:rsid w:val="322432E2"/>
    <w:rsid w:val="3227669B"/>
    <w:rsid w:val="322841C1"/>
    <w:rsid w:val="322A0611"/>
    <w:rsid w:val="322C3CB1"/>
    <w:rsid w:val="322E7A29"/>
    <w:rsid w:val="322F72FD"/>
    <w:rsid w:val="323112C7"/>
    <w:rsid w:val="32313075"/>
    <w:rsid w:val="32340937"/>
    <w:rsid w:val="323668DE"/>
    <w:rsid w:val="3239017C"/>
    <w:rsid w:val="323B3EF4"/>
    <w:rsid w:val="323B5CA2"/>
    <w:rsid w:val="323D1A1A"/>
    <w:rsid w:val="323D7C6C"/>
    <w:rsid w:val="323E7DF9"/>
    <w:rsid w:val="32400B34"/>
    <w:rsid w:val="3240775C"/>
    <w:rsid w:val="32430FFB"/>
    <w:rsid w:val="324616E0"/>
    <w:rsid w:val="324C26FE"/>
    <w:rsid w:val="324D4B77"/>
    <w:rsid w:val="3251196A"/>
    <w:rsid w:val="32513718"/>
    <w:rsid w:val="325227EC"/>
    <w:rsid w:val="325250B2"/>
    <w:rsid w:val="32546C1E"/>
    <w:rsid w:val="32560D2E"/>
    <w:rsid w:val="32583ECC"/>
    <w:rsid w:val="32586854"/>
    <w:rsid w:val="325D3E6B"/>
    <w:rsid w:val="325E4D95"/>
    <w:rsid w:val="3260395B"/>
    <w:rsid w:val="32625D14"/>
    <w:rsid w:val="32632466"/>
    <w:rsid w:val="32690A61"/>
    <w:rsid w:val="326A009E"/>
    <w:rsid w:val="326F3B9E"/>
    <w:rsid w:val="32737B32"/>
    <w:rsid w:val="32742892"/>
    <w:rsid w:val="32780180"/>
    <w:rsid w:val="32780CA4"/>
    <w:rsid w:val="32786EF6"/>
    <w:rsid w:val="327978FC"/>
    <w:rsid w:val="327B0795"/>
    <w:rsid w:val="327D1D8E"/>
    <w:rsid w:val="327F2033"/>
    <w:rsid w:val="32806F5D"/>
    <w:rsid w:val="3281224F"/>
    <w:rsid w:val="32834BE0"/>
    <w:rsid w:val="32847649"/>
    <w:rsid w:val="32851613"/>
    <w:rsid w:val="32863317"/>
    <w:rsid w:val="3287538B"/>
    <w:rsid w:val="32892EB1"/>
    <w:rsid w:val="328B5B85"/>
    <w:rsid w:val="328E04C8"/>
    <w:rsid w:val="32936626"/>
    <w:rsid w:val="3293788C"/>
    <w:rsid w:val="32953D1F"/>
    <w:rsid w:val="329D070B"/>
    <w:rsid w:val="329E6876"/>
    <w:rsid w:val="329F18A9"/>
    <w:rsid w:val="329F26D5"/>
    <w:rsid w:val="32A01FA9"/>
    <w:rsid w:val="32A10577"/>
    <w:rsid w:val="32A5100A"/>
    <w:rsid w:val="32A65360"/>
    <w:rsid w:val="32A828A2"/>
    <w:rsid w:val="32A97FCE"/>
    <w:rsid w:val="32AA2E28"/>
    <w:rsid w:val="32AB72CC"/>
    <w:rsid w:val="32AD603D"/>
    <w:rsid w:val="32AF07F2"/>
    <w:rsid w:val="32B048E2"/>
    <w:rsid w:val="32B053E4"/>
    <w:rsid w:val="32B67E18"/>
    <w:rsid w:val="32B85545"/>
    <w:rsid w:val="32BB6DE3"/>
    <w:rsid w:val="32BC3287"/>
    <w:rsid w:val="32BC4FC3"/>
    <w:rsid w:val="32BE2F60"/>
    <w:rsid w:val="32BF68D3"/>
    <w:rsid w:val="32C1089D"/>
    <w:rsid w:val="32C4038E"/>
    <w:rsid w:val="32C51A10"/>
    <w:rsid w:val="32C64902"/>
    <w:rsid w:val="32C71C2C"/>
    <w:rsid w:val="32C91500"/>
    <w:rsid w:val="32CE2FBA"/>
    <w:rsid w:val="32CF4502"/>
    <w:rsid w:val="32D54349"/>
    <w:rsid w:val="32D63C1D"/>
    <w:rsid w:val="32DA54BB"/>
    <w:rsid w:val="32DB1233"/>
    <w:rsid w:val="32DE7BE5"/>
    <w:rsid w:val="32DF0D23"/>
    <w:rsid w:val="32DF6F75"/>
    <w:rsid w:val="32E118DC"/>
    <w:rsid w:val="32E179A9"/>
    <w:rsid w:val="32E4633A"/>
    <w:rsid w:val="32E93950"/>
    <w:rsid w:val="32EB1476"/>
    <w:rsid w:val="32F01183"/>
    <w:rsid w:val="32F02F31"/>
    <w:rsid w:val="32F3657D"/>
    <w:rsid w:val="32F72511"/>
    <w:rsid w:val="32FC1D34"/>
    <w:rsid w:val="32FD564D"/>
    <w:rsid w:val="33032BD2"/>
    <w:rsid w:val="33044C2E"/>
    <w:rsid w:val="33062754"/>
    <w:rsid w:val="3307027A"/>
    <w:rsid w:val="330764F1"/>
    <w:rsid w:val="33086098"/>
    <w:rsid w:val="330864CC"/>
    <w:rsid w:val="330E1609"/>
    <w:rsid w:val="33130ECB"/>
    <w:rsid w:val="331429F5"/>
    <w:rsid w:val="33162750"/>
    <w:rsid w:val="331704BD"/>
    <w:rsid w:val="33177A3B"/>
    <w:rsid w:val="33184235"/>
    <w:rsid w:val="33195C7C"/>
    <w:rsid w:val="331A1D5C"/>
    <w:rsid w:val="331A7FAD"/>
    <w:rsid w:val="331C782B"/>
    <w:rsid w:val="331F55C4"/>
    <w:rsid w:val="33242BDA"/>
    <w:rsid w:val="33244988"/>
    <w:rsid w:val="3325167E"/>
    <w:rsid w:val="33266952"/>
    <w:rsid w:val="332826CA"/>
    <w:rsid w:val="332827DD"/>
    <w:rsid w:val="332B1863"/>
    <w:rsid w:val="332E4AF9"/>
    <w:rsid w:val="332F2AF7"/>
    <w:rsid w:val="333015F2"/>
    <w:rsid w:val="33311883"/>
    <w:rsid w:val="3334643D"/>
    <w:rsid w:val="333948D8"/>
    <w:rsid w:val="333A0650"/>
    <w:rsid w:val="333A23FE"/>
    <w:rsid w:val="333F17C2"/>
    <w:rsid w:val="33430544"/>
    <w:rsid w:val="334321B2"/>
    <w:rsid w:val="33437504"/>
    <w:rsid w:val="33462B51"/>
    <w:rsid w:val="33490893"/>
    <w:rsid w:val="33492641"/>
    <w:rsid w:val="334B38E8"/>
    <w:rsid w:val="334B460B"/>
    <w:rsid w:val="334B6320"/>
    <w:rsid w:val="334C1344"/>
    <w:rsid w:val="334C366E"/>
    <w:rsid w:val="334E5EA9"/>
    <w:rsid w:val="334E7BF4"/>
    <w:rsid w:val="335334BF"/>
    <w:rsid w:val="33550C7E"/>
    <w:rsid w:val="33574D5E"/>
    <w:rsid w:val="335C6818"/>
    <w:rsid w:val="335D7E9A"/>
    <w:rsid w:val="335E60EC"/>
    <w:rsid w:val="33613E2E"/>
    <w:rsid w:val="33680D19"/>
    <w:rsid w:val="336851BD"/>
    <w:rsid w:val="336D4581"/>
    <w:rsid w:val="336F654B"/>
    <w:rsid w:val="336F6A0D"/>
    <w:rsid w:val="33721B98"/>
    <w:rsid w:val="33743B62"/>
    <w:rsid w:val="337B4EF0"/>
    <w:rsid w:val="337C47C4"/>
    <w:rsid w:val="337D1DE2"/>
    <w:rsid w:val="337D2150"/>
    <w:rsid w:val="337F6063"/>
    <w:rsid w:val="338342F2"/>
    <w:rsid w:val="33842FAF"/>
    <w:rsid w:val="33845B84"/>
    <w:rsid w:val="33863895"/>
    <w:rsid w:val="338843BB"/>
    <w:rsid w:val="338B4A07"/>
    <w:rsid w:val="338B658E"/>
    <w:rsid w:val="338D69D1"/>
    <w:rsid w:val="339064C2"/>
    <w:rsid w:val="339A10EE"/>
    <w:rsid w:val="339B7340"/>
    <w:rsid w:val="339C09C3"/>
    <w:rsid w:val="339D76A0"/>
    <w:rsid w:val="339E0BDF"/>
    <w:rsid w:val="339E473B"/>
    <w:rsid w:val="33A1247D"/>
    <w:rsid w:val="33A12EF5"/>
    <w:rsid w:val="33A51F6D"/>
    <w:rsid w:val="33A53D1B"/>
    <w:rsid w:val="33A57F04"/>
    <w:rsid w:val="33A87367"/>
    <w:rsid w:val="33B64277"/>
    <w:rsid w:val="33B66B8B"/>
    <w:rsid w:val="33B73A4E"/>
    <w:rsid w:val="33B823B2"/>
    <w:rsid w:val="33B95A18"/>
    <w:rsid w:val="33BA52ED"/>
    <w:rsid w:val="33BC72B7"/>
    <w:rsid w:val="33C0280E"/>
    <w:rsid w:val="33C1667B"/>
    <w:rsid w:val="33C23478"/>
    <w:rsid w:val="33C341A1"/>
    <w:rsid w:val="33C817B8"/>
    <w:rsid w:val="33CE4E12"/>
    <w:rsid w:val="33D4015C"/>
    <w:rsid w:val="33D53ED4"/>
    <w:rsid w:val="33D628A9"/>
    <w:rsid w:val="33D74D57"/>
    <w:rsid w:val="33D77C4D"/>
    <w:rsid w:val="33D81379"/>
    <w:rsid w:val="33D91C17"/>
    <w:rsid w:val="33D934D4"/>
    <w:rsid w:val="33DC7D0F"/>
    <w:rsid w:val="33DE722D"/>
    <w:rsid w:val="33E365F1"/>
    <w:rsid w:val="33E52369"/>
    <w:rsid w:val="33E65B1A"/>
    <w:rsid w:val="33E660E2"/>
    <w:rsid w:val="33E800AC"/>
    <w:rsid w:val="33EC194A"/>
    <w:rsid w:val="33ED56C2"/>
    <w:rsid w:val="33EE273A"/>
    <w:rsid w:val="33EE7ED7"/>
    <w:rsid w:val="33F27333"/>
    <w:rsid w:val="33FB3370"/>
    <w:rsid w:val="33FE167D"/>
    <w:rsid w:val="33FE2F6A"/>
    <w:rsid w:val="34000F51"/>
    <w:rsid w:val="340439BA"/>
    <w:rsid w:val="34076784"/>
    <w:rsid w:val="340978C3"/>
    <w:rsid w:val="340C3D9A"/>
    <w:rsid w:val="340D7B12"/>
    <w:rsid w:val="340E07E5"/>
    <w:rsid w:val="340E164C"/>
    <w:rsid w:val="340F388A"/>
    <w:rsid w:val="341113B0"/>
    <w:rsid w:val="34125129"/>
    <w:rsid w:val="341317BA"/>
    <w:rsid w:val="34140EA1"/>
    <w:rsid w:val="341C486A"/>
    <w:rsid w:val="341C7D1A"/>
    <w:rsid w:val="341D32A3"/>
    <w:rsid w:val="341E0659"/>
    <w:rsid w:val="341F4465"/>
    <w:rsid w:val="34213456"/>
    <w:rsid w:val="3422536C"/>
    <w:rsid w:val="34235BF7"/>
    <w:rsid w:val="3429576C"/>
    <w:rsid w:val="342A1F36"/>
    <w:rsid w:val="342B1D46"/>
    <w:rsid w:val="342D2C90"/>
    <w:rsid w:val="343A368F"/>
    <w:rsid w:val="343B6F1E"/>
    <w:rsid w:val="343B77AA"/>
    <w:rsid w:val="343D21A6"/>
    <w:rsid w:val="344572AC"/>
    <w:rsid w:val="34476B93"/>
    <w:rsid w:val="344931C5"/>
    <w:rsid w:val="34496D9C"/>
    <w:rsid w:val="344C4197"/>
    <w:rsid w:val="344D7F0F"/>
    <w:rsid w:val="34513BB3"/>
    <w:rsid w:val="34545741"/>
    <w:rsid w:val="34586FDF"/>
    <w:rsid w:val="345A3DD4"/>
    <w:rsid w:val="345B2549"/>
    <w:rsid w:val="345B262C"/>
    <w:rsid w:val="345C0152"/>
    <w:rsid w:val="345D1EA3"/>
    <w:rsid w:val="345F2A91"/>
    <w:rsid w:val="34637732"/>
    <w:rsid w:val="346549E8"/>
    <w:rsid w:val="34670FD0"/>
    <w:rsid w:val="34692F9B"/>
    <w:rsid w:val="346A286F"/>
    <w:rsid w:val="346E55E0"/>
    <w:rsid w:val="3476022F"/>
    <w:rsid w:val="34781430"/>
    <w:rsid w:val="347879CC"/>
    <w:rsid w:val="347B0F20"/>
    <w:rsid w:val="347D07F4"/>
    <w:rsid w:val="347D6A46"/>
    <w:rsid w:val="347F0922"/>
    <w:rsid w:val="347F27BE"/>
    <w:rsid w:val="347F740C"/>
    <w:rsid w:val="34831B82"/>
    <w:rsid w:val="3483314F"/>
    <w:rsid w:val="34855134"/>
    <w:rsid w:val="348A2F11"/>
    <w:rsid w:val="348C0A37"/>
    <w:rsid w:val="348D1FF9"/>
    <w:rsid w:val="348E2A01"/>
    <w:rsid w:val="34902286"/>
    <w:rsid w:val="3491429F"/>
    <w:rsid w:val="3491604D"/>
    <w:rsid w:val="349161B8"/>
    <w:rsid w:val="34931DC5"/>
    <w:rsid w:val="34960042"/>
    <w:rsid w:val="34975C7C"/>
    <w:rsid w:val="349A3D01"/>
    <w:rsid w:val="349A75F8"/>
    <w:rsid w:val="349C0C76"/>
    <w:rsid w:val="349D2C44"/>
    <w:rsid w:val="349D49F2"/>
    <w:rsid w:val="34A43FD3"/>
    <w:rsid w:val="34A71D15"/>
    <w:rsid w:val="34AA710F"/>
    <w:rsid w:val="34AE30A3"/>
    <w:rsid w:val="34B32468"/>
    <w:rsid w:val="34B40572"/>
    <w:rsid w:val="34B47F8E"/>
    <w:rsid w:val="34B561E0"/>
    <w:rsid w:val="34B8182C"/>
    <w:rsid w:val="34BA1016"/>
    <w:rsid w:val="34BC62FF"/>
    <w:rsid w:val="34BD6E42"/>
    <w:rsid w:val="34C226AB"/>
    <w:rsid w:val="34C5219B"/>
    <w:rsid w:val="34C53F49"/>
    <w:rsid w:val="34CC177B"/>
    <w:rsid w:val="34CD7FCC"/>
    <w:rsid w:val="34D32B0A"/>
    <w:rsid w:val="34DD1293"/>
    <w:rsid w:val="34E1521C"/>
    <w:rsid w:val="34E16FD5"/>
    <w:rsid w:val="34E70033"/>
    <w:rsid w:val="34E754D7"/>
    <w:rsid w:val="34EC7728"/>
    <w:rsid w:val="34ED4B13"/>
    <w:rsid w:val="34F565DC"/>
    <w:rsid w:val="34F65EF8"/>
    <w:rsid w:val="34F66698"/>
    <w:rsid w:val="34F80FB8"/>
    <w:rsid w:val="34FE0704"/>
    <w:rsid w:val="35065E58"/>
    <w:rsid w:val="35066379"/>
    <w:rsid w:val="35066A3B"/>
    <w:rsid w:val="35076310"/>
    <w:rsid w:val="350B22A4"/>
    <w:rsid w:val="350B4052"/>
    <w:rsid w:val="350E5DAF"/>
    <w:rsid w:val="351078BA"/>
    <w:rsid w:val="35143245"/>
    <w:rsid w:val="351729F7"/>
    <w:rsid w:val="351A3898"/>
    <w:rsid w:val="351B7BD1"/>
    <w:rsid w:val="351F3659"/>
    <w:rsid w:val="35215623"/>
    <w:rsid w:val="3522139B"/>
    <w:rsid w:val="35245113"/>
    <w:rsid w:val="35252BA6"/>
    <w:rsid w:val="352929B7"/>
    <w:rsid w:val="352C3FC8"/>
    <w:rsid w:val="35301D0A"/>
    <w:rsid w:val="35305866"/>
    <w:rsid w:val="35317AFC"/>
    <w:rsid w:val="353702EB"/>
    <w:rsid w:val="35385BA1"/>
    <w:rsid w:val="35393375"/>
    <w:rsid w:val="353A4BA5"/>
    <w:rsid w:val="353E0766"/>
    <w:rsid w:val="353F3CFB"/>
    <w:rsid w:val="35401559"/>
    <w:rsid w:val="3543536B"/>
    <w:rsid w:val="354817CE"/>
    <w:rsid w:val="354B08F2"/>
    <w:rsid w:val="354F39CB"/>
    <w:rsid w:val="35533053"/>
    <w:rsid w:val="3556584A"/>
    <w:rsid w:val="355754E9"/>
    <w:rsid w:val="3558300F"/>
    <w:rsid w:val="355A1B9B"/>
    <w:rsid w:val="355A6D87"/>
    <w:rsid w:val="355C665B"/>
    <w:rsid w:val="355D6CD6"/>
    <w:rsid w:val="35645510"/>
    <w:rsid w:val="356814A4"/>
    <w:rsid w:val="356935AD"/>
    <w:rsid w:val="35696FCA"/>
    <w:rsid w:val="356B4AF0"/>
    <w:rsid w:val="356C2617"/>
    <w:rsid w:val="357065AB"/>
    <w:rsid w:val="35740DA6"/>
    <w:rsid w:val="35742162"/>
    <w:rsid w:val="35750057"/>
    <w:rsid w:val="357A3318"/>
    <w:rsid w:val="357A698D"/>
    <w:rsid w:val="357B225F"/>
    <w:rsid w:val="357B23B5"/>
    <w:rsid w:val="357E12DD"/>
    <w:rsid w:val="35845AAF"/>
    <w:rsid w:val="35871F43"/>
    <w:rsid w:val="3587295F"/>
    <w:rsid w:val="35887450"/>
    <w:rsid w:val="358C5FA8"/>
    <w:rsid w:val="358F4C83"/>
    <w:rsid w:val="359009FB"/>
    <w:rsid w:val="35907A1A"/>
    <w:rsid w:val="35941D23"/>
    <w:rsid w:val="359A7184"/>
    <w:rsid w:val="359E55F9"/>
    <w:rsid w:val="359F479A"/>
    <w:rsid w:val="35A3146B"/>
    <w:rsid w:val="35A324DC"/>
    <w:rsid w:val="35A65534"/>
    <w:rsid w:val="35A65B28"/>
    <w:rsid w:val="35AD6EB7"/>
    <w:rsid w:val="35AF0E81"/>
    <w:rsid w:val="35B028EA"/>
    <w:rsid w:val="35B069A7"/>
    <w:rsid w:val="35B06C76"/>
    <w:rsid w:val="35B30245"/>
    <w:rsid w:val="35B41B1F"/>
    <w:rsid w:val="35B9166D"/>
    <w:rsid w:val="35BB1081"/>
    <w:rsid w:val="35BF4E3C"/>
    <w:rsid w:val="35C15DF1"/>
    <w:rsid w:val="35C30488"/>
    <w:rsid w:val="35CC41AB"/>
    <w:rsid w:val="35CD07D9"/>
    <w:rsid w:val="35D02BA5"/>
    <w:rsid w:val="35D24B6F"/>
    <w:rsid w:val="35D97CAC"/>
    <w:rsid w:val="35DA1C76"/>
    <w:rsid w:val="35DB559B"/>
    <w:rsid w:val="35DC59EE"/>
    <w:rsid w:val="35DD75FE"/>
    <w:rsid w:val="35DE52C2"/>
    <w:rsid w:val="35E45907"/>
    <w:rsid w:val="35E46651"/>
    <w:rsid w:val="35E623C9"/>
    <w:rsid w:val="35E73BEC"/>
    <w:rsid w:val="35F03248"/>
    <w:rsid w:val="35F1149A"/>
    <w:rsid w:val="35F42D38"/>
    <w:rsid w:val="35F727E8"/>
    <w:rsid w:val="35F72828"/>
    <w:rsid w:val="35F97693"/>
    <w:rsid w:val="35FF348B"/>
    <w:rsid w:val="360016DD"/>
    <w:rsid w:val="36006A95"/>
    <w:rsid w:val="3600792F"/>
    <w:rsid w:val="36043580"/>
    <w:rsid w:val="36074A7F"/>
    <w:rsid w:val="360845B7"/>
    <w:rsid w:val="360A03EE"/>
    <w:rsid w:val="360B0081"/>
    <w:rsid w:val="360D4492"/>
    <w:rsid w:val="360E03C8"/>
    <w:rsid w:val="360E4154"/>
    <w:rsid w:val="360F1920"/>
    <w:rsid w:val="361015FB"/>
    <w:rsid w:val="36105698"/>
    <w:rsid w:val="361118DB"/>
    <w:rsid w:val="361179F3"/>
    <w:rsid w:val="361433DA"/>
    <w:rsid w:val="36151CDB"/>
    <w:rsid w:val="36160F00"/>
    <w:rsid w:val="361909F0"/>
    <w:rsid w:val="362058DB"/>
    <w:rsid w:val="36211653"/>
    <w:rsid w:val="36263AAD"/>
    <w:rsid w:val="3627310D"/>
    <w:rsid w:val="36280C33"/>
    <w:rsid w:val="36287B3C"/>
    <w:rsid w:val="362C191E"/>
    <w:rsid w:val="362D624A"/>
    <w:rsid w:val="362F1FC2"/>
    <w:rsid w:val="363059E3"/>
    <w:rsid w:val="36314CC8"/>
    <w:rsid w:val="36316394"/>
    <w:rsid w:val="36380454"/>
    <w:rsid w:val="36394B26"/>
    <w:rsid w:val="363C648D"/>
    <w:rsid w:val="363F2011"/>
    <w:rsid w:val="36463B94"/>
    <w:rsid w:val="36483084"/>
    <w:rsid w:val="364A0BAA"/>
    <w:rsid w:val="364C0EFB"/>
    <w:rsid w:val="364D0968"/>
    <w:rsid w:val="364D6578"/>
    <w:rsid w:val="364F61C0"/>
    <w:rsid w:val="364F7F6E"/>
    <w:rsid w:val="36523151"/>
    <w:rsid w:val="36525CB0"/>
    <w:rsid w:val="365612FD"/>
    <w:rsid w:val="36575075"/>
    <w:rsid w:val="365B25E1"/>
    <w:rsid w:val="365E6403"/>
    <w:rsid w:val="36665724"/>
    <w:rsid w:val="3667175C"/>
    <w:rsid w:val="366754AB"/>
    <w:rsid w:val="36694DAF"/>
    <w:rsid w:val="366A124C"/>
    <w:rsid w:val="366D4898"/>
    <w:rsid w:val="36721EA8"/>
    <w:rsid w:val="36730100"/>
    <w:rsid w:val="36743E79"/>
    <w:rsid w:val="3676374D"/>
    <w:rsid w:val="36775F58"/>
    <w:rsid w:val="367D2D2D"/>
    <w:rsid w:val="3685771A"/>
    <w:rsid w:val="368636C2"/>
    <w:rsid w:val="36894B9D"/>
    <w:rsid w:val="36897924"/>
    <w:rsid w:val="368A71F8"/>
    <w:rsid w:val="368C11C2"/>
    <w:rsid w:val="368E62C3"/>
    <w:rsid w:val="368F2A60"/>
    <w:rsid w:val="368F6DB0"/>
    <w:rsid w:val="36923549"/>
    <w:rsid w:val="36932551"/>
    <w:rsid w:val="36981915"/>
    <w:rsid w:val="369B27A6"/>
    <w:rsid w:val="369D4F5C"/>
    <w:rsid w:val="36A007CA"/>
    <w:rsid w:val="36A04B2A"/>
    <w:rsid w:val="36A52E64"/>
    <w:rsid w:val="36AC53C0"/>
    <w:rsid w:val="36AF19C0"/>
    <w:rsid w:val="36B75FBF"/>
    <w:rsid w:val="36B769EA"/>
    <w:rsid w:val="36B96E85"/>
    <w:rsid w:val="36BB5604"/>
    <w:rsid w:val="36BD0C45"/>
    <w:rsid w:val="36BF3346"/>
    <w:rsid w:val="36C070BE"/>
    <w:rsid w:val="36C50230"/>
    <w:rsid w:val="36C546D4"/>
    <w:rsid w:val="36C80F8C"/>
    <w:rsid w:val="36CB1861"/>
    <w:rsid w:val="36CF10AF"/>
    <w:rsid w:val="36D14E27"/>
    <w:rsid w:val="36D30B9F"/>
    <w:rsid w:val="36D36DF1"/>
    <w:rsid w:val="36D72807"/>
    <w:rsid w:val="36D8249B"/>
    <w:rsid w:val="36DB3EF8"/>
    <w:rsid w:val="36DB5CA6"/>
    <w:rsid w:val="36DF7544"/>
    <w:rsid w:val="36E0150E"/>
    <w:rsid w:val="36E763F9"/>
    <w:rsid w:val="36E83343"/>
    <w:rsid w:val="36E903C3"/>
    <w:rsid w:val="36E92171"/>
    <w:rsid w:val="36EA5EE9"/>
    <w:rsid w:val="36EE59D9"/>
    <w:rsid w:val="36EF52AD"/>
    <w:rsid w:val="36F079A3"/>
    <w:rsid w:val="36F11025"/>
    <w:rsid w:val="36F40B16"/>
    <w:rsid w:val="36F54FB9"/>
    <w:rsid w:val="36F61F51"/>
    <w:rsid w:val="36F90814"/>
    <w:rsid w:val="36FC282B"/>
    <w:rsid w:val="36FF3742"/>
    <w:rsid w:val="36FF7BE6"/>
    <w:rsid w:val="370116DB"/>
    <w:rsid w:val="37023232"/>
    <w:rsid w:val="370D41E5"/>
    <w:rsid w:val="37103BA1"/>
    <w:rsid w:val="3711264A"/>
    <w:rsid w:val="37113475"/>
    <w:rsid w:val="3715740A"/>
    <w:rsid w:val="3717227E"/>
    <w:rsid w:val="37184804"/>
    <w:rsid w:val="371B60A2"/>
    <w:rsid w:val="3720265B"/>
    <w:rsid w:val="37215DAE"/>
    <w:rsid w:val="37294D73"/>
    <w:rsid w:val="37321D6A"/>
    <w:rsid w:val="37357164"/>
    <w:rsid w:val="37362EDC"/>
    <w:rsid w:val="37386C54"/>
    <w:rsid w:val="373A0C1E"/>
    <w:rsid w:val="373A29CC"/>
    <w:rsid w:val="373D426B"/>
    <w:rsid w:val="37441582"/>
    <w:rsid w:val="37465815"/>
    <w:rsid w:val="3747333B"/>
    <w:rsid w:val="374A696C"/>
    <w:rsid w:val="374C2700"/>
    <w:rsid w:val="374F5539"/>
    <w:rsid w:val="37530EA1"/>
    <w:rsid w:val="37535BF4"/>
    <w:rsid w:val="375C149E"/>
    <w:rsid w:val="375E55E8"/>
    <w:rsid w:val="37607601"/>
    <w:rsid w:val="37617E69"/>
    <w:rsid w:val="376637C1"/>
    <w:rsid w:val="376E43E1"/>
    <w:rsid w:val="376F478B"/>
    <w:rsid w:val="3776777C"/>
    <w:rsid w:val="3778080A"/>
    <w:rsid w:val="37801980"/>
    <w:rsid w:val="378325C5"/>
    <w:rsid w:val="37840143"/>
    <w:rsid w:val="378679C0"/>
    <w:rsid w:val="37893954"/>
    <w:rsid w:val="378E5B5E"/>
    <w:rsid w:val="37936580"/>
    <w:rsid w:val="37966179"/>
    <w:rsid w:val="37977E1F"/>
    <w:rsid w:val="37985945"/>
    <w:rsid w:val="379876F3"/>
    <w:rsid w:val="37996FD7"/>
    <w:rsid w:val="379A26F0"/>
    <w:rsid w:val="379E7EB4"/>
    <w:rsid w:val="37A44600"/>
    <w:rsid w:val="37A662B4"/>
    <w:rsid w:val="37A8202C"/>
    <w:rsid w:val="37AA5FC1"/>
    <w:rsid w:val="37AB38CA"/>
    <w:rsid w:val="37AB5678"/>
    <w:rsid w:val="37AD7642"/>
    <w:rsid w:val="37B21366"/>
    <w:rsid w:val="37B24C58"/>
    <w:rsid w:val="37B41B04"/>
    <w:rsid w:val="37B7226F"/>
    <w:rsid w:val="37B837D9"/>
    <w:rsid w:val="37BE7477"/>
    <w:rsid w:val="37BF7375"/>
    <w:rsid w:val="37C17446"/>
    <w:rsid w:val="37C3031A"/>
    <w:rsid w:val="37C36E66"/>
    <w:rsid w:val="37C624B2"/>
    <w:rsid w:val="37C77948"/>
    <w:rsid w:val="37C92C33"/>
    <w:rsid w:val="37CB5D1A"/>
    <w:rsid w:val="37CB6AAC"/>
    <w:rsid w:val="37CB7AC8"/>
    <w:rsid w:val="37CD3840"/>
    <w:rsid w:val="37D3697D"/>
    <w:rsid w:val="37D44C05"/>
    <w:rsid w:val="37D526F5"/>
    <w:rsid w:val="37D746BF"/>
    <w:rsid w:val="37D7646D"/>
    <w:rsid w:val="37D94EA1"/>
    <w:rsid w:val="37DD7E02"/>
    <w:rsid w:val="37E00298"/>
    <w:rsid w:val="37E34E12"/>
    <w:rsid w:val="37E42938"/>
    <w:rsid w:val="37E82428"/>
    <w:rsid w:val="37E868CC"/>
    <w:rsid w:val="37F1138F"/>
    <w:rsid w:val="37F57E48"/>
    <w:rsid w:val="37F65520"/>
    <w:rsid w:val="37F7493E"/>
    <w:rsid w:val="37F76B0F"/>
    <w:rsid w:val="37F9283D"/>
    <w:rsid w:val="37FE1C4C"/>
    <w:rsid w:val="37FF7772"/>
    <w:rsid w:val="3805122C"/>
    <w:rsid w:val="3805726B"/>
    <w:rsid w:val="38060B00"/>
    <w:rsid w:val="38080218"/>
    <w:rsid w:val="38083E7D"/>
    <w:rsid w:val="381031A0"/>
    <w:rsid w:val="381274A5"/>
    <w:rsid w:val="3814146F"/>
    <w:rsid w:val="3814321D"/>
    <w:rsid w:val="38151BEF"/>
    <w:rsid w:val="38185092"/>
    <w:rsid w:val="381B0A50"/>
    <w:rsid w:val="3820717D"/>
    <w:rsid w:val="3821379A"/>
    <w:rsid w:val="382365DD"/>
    <w:rsid w:val="38241352"/>
    <w:rsid w:val="382947EF"/>
    <w:rsid w:val="382B0567"/>
    <w:rsid w:val="382C4A0B"/>
    <w:rsid w:val="38337C53"/>
    <w:rsid w:val="3834566E"/>
    <w:rsid w:val="383513E6"/>
    <w:rsid w:val="3838311F"/>
    <w:rsid w:val="38392C84"/>
    <w:rsid w:val="38397128"/>
    <w:rsid w:val="383C2774"/>
    <w:rsid w:val="38433B03"/>
    <w:rsid w:val="3846414C"/>
    <w:rsid w:val="384D32F9"/>
    <w:rsid w:val="384E1F23"/>
    <w:rsid w:val="384F4255"/>
    <w:rsid w:val="38507FCD"/>
    <w:rsid w:val="385201EA"/>
    <w:rsid w:val="38521F98"/>
    <w:rsid w:val="38553E1C"/>
    <w:rsid w:val="38575800"/>
    <w:rsid w:val="38593326"/>
    <w:rsid w:val="385A3F85"/>
    <w:rsid w:val="385F5004"/>
    <w:rsid w:val="38601AA0"/>
    <w:rsid w:val="38602906"/>
    <w:rsid w:val="3862667F"/>
    <w:rsid w:val="38651CCB"/>
    <w:rsid w:val="386677F1"/>
    <w:rsid w:val="386D6DD1"/>
    <w:rsid w:val="38704532"/>
    <w:rsid w:val="387243E8"/>
    <w:rsid w:val="38726196"/>
    <w:rsid w:val="38746F91"/>
    <w:rsid w:val="38750761"/>
    <w:rsid w:val="38771BE8"/>
    <w:rsid w:val="387939C8"/>
    <w:rsid w:val="38795776"/>
    <w:rsid w:val="387A00AD"/>
    <w:rsid w:val="388008B3"/>
    <w:rsid w:val="38824F83"/>
    <w:rsid w:val="3885461F"/>
    <w:rsid w:val="38855EC9"/>
    <w:rsid w:val="388C1EFF"/>
    <w:rsid w:val="38962237"/>
    <w:rsid w:val="389820A0"/>
    <w:rsid w:val="38986727"/>
    <w:rsid w:val="389B749B"/>
    <w:rsid w:val="389C3213"/>
    <w:rsid w:val="389E342F"/>
    <w:rsid w:val="38A924B0"/>
    <w:rsid w:val="38AC229C"/>
    <w:rsid w:val="38B16CBE"/>
    <w:rsid w:val="38B302F9"/>
    <w:rsid w:val="38B425CD"/>
    <w:rsid w:val="38B642D4"/>
    <w:rsid w:val="38B844F1"/>
    <w:rsid w:val="38BB4203"/>
    <w:rsid w:val="38C20ECB"/>
    <w:rsid w:val="38C5276A"/>
    <w:rsid w:val="38C56745"/>
    <w:rsid w:val="38C764E2"/>
    <w:rsid w:val="38C84008"/>
    <w:rsid w:val="38CA3484"/>
    <w:rsid w:val="38CB1838"/>
    <w:rsid w:val="38CD2A1D"/>
    <w:rsid w:val="38CF2BC1"/>
    <w:rsid w:val="38DE55D9"/>
    <w:rsid w:val="38DF7CCF"/>
    <w:rsid w:val="38E250CA"/>
    <w:rsid w:val="38E452E6"/>
    <w:rsid w:val="38E86458"/>
    <w:rsid w:val="38E93A71"/>
    <w:rsid w:val="38EA21D0"/>
    <w:rsid w:val="38EE7F12"/>
    <w:rsid w:val="38F02E97"/>
    <w:rsid w:val="38F12CD3"/>
    <w:rsid w:val="38F1355F"/>
    <w:rsid w:val="38F512A1"/>
    <w:rsid w:val="38F53E2C"/>
    <w:rsid w:val="38F848ED"/>
    <w:rsid w:val="38F90665"/>
    <w:rsid w:val="38F94775"/>
    <w:rsid w:val="38FA3DA1"/>
    <w:rsid w:val="38FD0155"/>
    <w:rsid w:val="390123BC"/>
    <w:rsid w:val="39022D24"/>
    <w:rsid w:val="3905525C"/>
    <w:rsid w:val="39057113"/>
    <w:rsid w:val="39074B30"/>
    <w:rsid w:val="39104D22"/>
    <w:rsid w:val="39111E53"/>
    <w:rsid w:val="39113C01"/>
    <w:rsid w:val="3911403F"/>
    <w:rsid w:val="391159AF"/>
    <w:rsid w:val="39184F8F"/>
    <w:rsid w:val="391D0123"/>
    <w:rsid w:val="391D07F7"/>
    <w:rsid w:val="391D4354"/>
    <w:rsid w:val="39203900"/>
    <w:rsid w:val="392216AE"/>
    <w:rsid w:val="392263C1"/>
    <w:rsid w:val="39260742"/>
    <w:rsid w:val="39262AC4"/>
    <w:rsid w:val="392668B8"/>
    <w:rsid w:val="392774A6"/>
    <w:rsid w:val="39290F4A"/>
    <w:rsid w:val="39292CF8"/>
    <w:rsid w:val="392971ED"/>
    <w:rsid w:val="392A2FD6"/>
    <w:rsid w:val="392C4597"/>
    <w:rsid w:val="392E6561"/>
    <w:rsid w:val="392F4087"/>
    <w:rsid w:val="393022D9"/>
    <w:rsid w:val="39325651"/>
    <w:rsid w:val="39335925"/>
    <w:rsid w:val="39355B41"/>
    <w:rsid w:val="393771F9"/>
    <w:rsid w:val="393873DF"/>
    <w:rsid w:val="393D57B7"/>
    <w:rsid w:val="393D67A4"/>
    <w:rsid w:val="393F076E"/>
    <w:rsid w:val="394418E0"/>
    <w:rsid w:val="39452EAF"/>
    <w:rsid w:val="39461AFC"/>
    <w:rsid w:val="394624FA"/>
    <w:rsid w:val="39462ABC"/>
    <w:rsid w:val="394713D0"/>
    <w:rsid w:val="3947692C"/>
    <w:rsid w:val="394B27E7"/>
    <w:rsid w:val="394E45BA"/>
    <w:rsid w:val="39502E0B"/>
    <w:rsid w:val="395153D2"/>
    <w:rsid w:val="39551D3F"/>
    <w:rsid w:val="39565AB7"/>
    <w:rsid w:val="39570F7F"/>
    <w:rsid w:val="395712EB"/>
    <w:rsid w:val="395A2F8C"/>
    <w:rsid w:val="395A55A8"/>
    <w:rsid w:val="3962445C"/>
    <w:rsid w:val="39657AA9"/>
    <w:rsid w:val="39674FEE"/>
    <w:rsid w:val="39682990"/>
    <w:rsid w:val="39691347"/>
    <w:rsid w:val="3969383E"/>
    <w:rsid w:val="39697599"/>
    <w:rsid w:val="396A50BF"/>
    <w:rsid w:val="396C0E37"/>
    <w:rsid w:val="396C11D4"/>
    <w:rsid w:val="396C7089"/>
    <w:rsid w:val="396D7197"/>
    <w:rsid w:val="39700927"/>
    <w:rsid w:val="39717EF4"/>
    <w:rsid w:val="39730AB9"/>
    <w:rsid w:val="397321C6"/>
    <w:rsid w:val="39736669"/>
    <w:rsid w:val="39776BAE"/>
    <w:rsid w:val="397865C9"/>
    <w:rsid w:val="397877DC"/>
    <w:rsid w:val="397B72CC"/>
    <w:rsid w:val="397D3044"/>
    <w:rsid w:val="397D3F60"/>
    <w:rsid w:val="397D4DF2"/>
    <w:rsid w:val="39822409"/>
    <w:rsid w:val="39825D37"/>
    <w:rsid w:val="398443D3"/>
    <w:rsid w:val="39871519"/>
    <w:rsid w:val="39873EC3"/>
    <w:rsid w:val="398919E9"/>
    <w:rsid w:val="398D62E7"/>
    <w:rsid w:val="39966DED"/>
    <w:rsid w:val="399703BB"/>
    <w:rsid w:val="39975106"/>
    <w:rsid w:val="39980BBE"/>
    <w:rsid w:val="399834E3"/>
    <w:rsid w:val="399A3DED"/>
    <w:rsid w:val="399A3F2C"/>
    <w:rsid w:val="39A13D2D"/>
    <w:rsid w:val="39A14A8C"/>
    <w:rsid w:val="39A24859"/>
    <w:rsid w:val="39A25A25"/>
    <w:rsid w:val="39A97DAF"/>
    <w:rsid w:val="39AB195F"/>
    <w:rsid w:val="39AB7BB1"/>
    <w:rsid w:val="39AE629E"/>
    <w:rsid w:val="39B117EC"/>
    <w:rsid w:val="39B20F40"/>
    <w:rsid w:val="39B27192"/>
    <w:rsid w:val="39B32F0A"/>
    <w:rsid w:val="39B75184"/>
    <w:rsid w:val="39BB2BAC"/>
    <w:rsid w:val="39BE5B37"/>
    <w:rsid w:val="39C96289"/>
    <w:rsid w:val="39CB3764"/>
    <w:rsid w:val="39CB40BB"/>
    <w:rsid w:val="39CD1864"/>
    <w:rsid w:val="39CD5D7A"/>
    <w:rsid w:val="39CE641A"/>
    <w:rsid w:val="39D51CFD"/>
    <w:rsid w:val="39D530E5"/>
    <w:rsid w:val="39D85D05"/>
    <w:rsid w:val="39D94E1A"/>
    <w:rsid w:val="39D96F6F"/>
    <w:rsid w:val="39D97124"/>
    <w:rsid w:val="39DD1909"/>
    <w:rsid w:val="39DF785B"/>
    <w:rsid w:val="39E41315"/>
    <w:rsid w:val="39E45350"/>
    <w:rsid w:val="39EC3D26"/>
    <w:rsid w:val="39F03816"/>
    <w:rsid w:val="39F10194"/>
    <w:rsid w:val="39F41A62"/>
    <w:rsid w:val="39F90772"/>
    <w:rsid w:val="39FA28E7"/>
    <w:rsid w:val="3A015A23"/>
    <w:rsid w:val="3A01783A"/>
    <w:rsid w:val="3A033A28"/>
    <w:rsid w:val="3A0379ED"/>
    <w:rsid w:val="3A044DC2"/>
    <w:rsid w:val="3A06303A"/>
    <w:rsid w:val="3A083141"/>
    <w:rsid w:val="3A0B68A2"/>
    <w:rsid w:val="3A0E5ACB"/>
    <w:rsid w:val="3A104AA6"/>
    <w:rsid w:val="3A115E55"/>
    <w:rsid w:val="3A175247"/>
    <w:rsid w:val="3A1E0383"/>
    <w:rsid w:val="3A202EBA"/>
    <w:rsid w:val="3A207323"/>
    <w:rsid w:val="3A212AC9"/>
    <w:rsid w:val="3A23599A"/>
    <w:rsid w:val="3A266C45"/>
    <w:rsid w:val="3A271F26"/>
    <w:rsid w:val="3A2A31CC"/>
    <w:rsid w:val="3A2B484E"/>
    <w:rsid w:val="3A2B4F33"/>
    <w:rsid w:val="3A2C570F"/>
    <w:rsid w:val="3A2F267C"/>
    <w:rsid w:val="3A3169B0"/>
    <w:rsid w:val="3A323E2F"/>
    <w:rsid w:val="3A347BA7"/>
    <w:rsid w:val="3A356F09"/>
    <w:rsid w:val="3A3951BD"/>
    <w:rsid w:val="3A396F6B"/>
    <w:rsid w:val="3A3B7187"/>
    <w:rsid w:val="3A3E27D3"/>
    <w:rsid w:val="3A40479E"/>
    <w:rsid w:val="3A43505D"/>
    <w:rsid w:val="3A45279A"/>
    <w:rsid w:val="3A4A561C"/>
    <w:rsid w:val="3A4B0AD6"/>
    <w:rsid w:val="3A4C0A74"/>
    <w:rsid w:val="3A4D2A17"/>
    <w:rsid w:val="3A4D3806"/>
    <w:rsid w:val="3A4D7408"/>
    <w:rsid w:val="3A4E0C27"/>
    <w:rsid w:val="3A4E43A5"/>
    <w:rsid w:val="3A4E5A4A"/>
    <w:rsid w:val="3A557B1D"/>
    <w:rsid w:val="3A59585F"/>
    <w:rsid w:val="3A59760D"/>
    <w:rsid w:val="3A5A625B"/>
    <w:rsid w:val="3A5B6822"/>
    <w:rsid w:val="3A5D24A2"/>
    <w:rsid w:val="3A614714"/>
    <w:rsid w:val="3A626F5D"/>
    <w:rsid w:val="3A641A18"/>
    <w:rsid w:val="3A683CF4"/>
    <w:rsid w:val="3A695377"/>
    <w:rsid w:val="3A6B7341"/>
    <w:rsid w:val="3A6C6A51"/>
    <w:rsid w:val="3A704957"/>
    <w:rsid w:val="3A797CAF"/>
    <w:rsid w:val="3A7B3181"/>
    <w:rsid w:val="3A7B57D6"/>
    <w:rsid w:val="3A7E263E"/>
    <w:rsid w:val="3A7E52C6"/>
    <w:rsid w:val="3A804B9A"/>
    <w:rsid w:val="3A810D66"/>
    <w:rsid w:val="3A872856"/>
    <w:rsid w:val="3A887EF3"/>
    <w:rsid w:val="3A8E45EB"/>
    <w:rsid w:val="3A8F302F"/>
    <w:rsid w:val="3A905C8A"/>
    <w:rsid w:val="3A9122A9"/>
    <w:rsid w:val="3A916DA7"/>
    <w:rsid w:val="3A946897"/>
    <w:rsid w:val="3A9932B0"/>
    <w:rsid w:val="3AA16E33"/>
    <w:rsid w:val="3AA17663"/>
    <w:rsid w:val="3AA20FB4"/>
    <w:rsid w:val="3AA50AA5"/>
    <w:rsid w:val="3AA72E3D"/>
    <w:rsid w:val="3AAD3D55"/>
    <w:rsid w:val="3AAD5BAB"/>
    <w:rsid w:val="3AAD7959"/>
    <w:rsid w:val="3AB14E09"/>
    <w:rsid w:val="3AB26D1E"/>
    <w:rsid w:val="3AB45085"/>
    <w:rsid w:val="3AB64766"/>
    <w:rsid w:val="3AB74334"/>
    <w:rsid w:val="3AB765DF"/>
    <w:rsid w:val="3ABE1B66"/>
    <w:rsid w:val="3AC0375C"/>
    <w:rsid w:val="3AC16F61"/>
    <w:rsid w:val="3AC30F2B"/>
    <w:rsid w:val="3AC64FFC"/>
    <w:rsid w:val="3AC85F3C"/>
    <w:rsid w:val="3AC95E1B"/>
    <w:rsid w:val="3ACB0053"/>
    <w:rsid w:val="3ACC4283"/>
    <w:rsid w:val="3ACD2A32"/>
    <w:rsid w:val="3AD35612"/>
    <w:rsid w:val="3AD44EE6"/>
    <w:rsid w:val="3AD82320"/>
    <w:rsid w:val="3ADB2718"/>
    <w:rsid w:val="3ADB6274"/>
    <w:rsid w:val="3ADE3FB6"/>
    <w:rsid w:val="3ADE5D64"/>
    <w:rsid w:val="3ADF7F71"/>
    <w:rsid w:val="3AE279B2"/>
    <w:rsid w:val="3AE50EA1"/>
    <w:rsid w:val="3AE535C6"/>
    <w:rsid w:val="3AEF1D20"/>
    <w:rsid w:val="3AF75099"/>
    <w:rsid w:val="3AFB6916"/>
    <w:rsid w:val="3AFB781A"/>
    <w:rsid w:val="3AFD279D"/>
    <w:rsid w:val="3AFD779E"/>
    <w:rsid w:val="3AFE1F63"/>
    <w:rsid w:val="3AFF762B"/>
    <w:rsid w:val="3B00217F"/>
    <w:rsid w:val="3B003F2D"/>
    <w:rsid w:val="3B027CA5"/>
    <w:rsid w:val="3B070E17"/>
    <w:rsid w:val="3B075DBD"/>
    <w:rsid w:val="3B0D1C2F"/>
    <w:rsid w:val="3B0D3370"/>
    <w:rsid w:val="3B0E664A"/>
    <w:rsid w:val="3B111C96"/>
    <w:rsid w:val="3B12602C"/>
    <w:rsid w:val="3B191766"/>
    <w:rsid w:val="3B196705"/>
    <w:rsid w:val="3B1F2605"/>
    <w:rsid w:val="3B2031E1"/>
    <w:rsid w:val="3B20637D"/>
    <w:rsid w:val="3B213E9A"/>
    <w:rsid w:val="3B217306"/>
    <w:rsid w:val="3B225C51"/>
    <w:rsid w:val="3B2714BA"/>
    <w:rsid w:val="3B286FE0"/>
    <w:rsid w:val="3B293484"/>
    <w:rsid w:val="3B2C6AD0"/>
    <w:rsid w:val="3B2D45F6"/>
    <w:rsid w:val="3B2E0A9A"/>
    <w:rsid w:val="3B2E2848"/>
    <w:rsid w:val="3B304812"/>
    <w:rsid w:val="3B321223"/>
    <w:rsid w:val="3B331C0C"/>
    <w:rsid w:val="3B3479AB"/>
    <w:rsid w:val="3B356969"/>
    <w:rsid w:val="3B3667C9"/>
    <w:rsid w:val="3B3763D1"/>
    <w:rsid w:val="3B40257B"/>
    <w:rsid w:val="3B404329"/>
    <w:rsid w:val="3B42376F"/>
    <w:rsid w:val="3B4262F3"/>
    <w:rsid w:val="3B440988"/>
    <w:rsid w:val="3B455D5F"/>
    <w:rsid w:val="3B4E14F1"/>
    <w:rsid w:val="3B4E2EEA"/>
    <w:rsid w:val="3B510614"/>
    <w:rsid w:val="3B521E9E"/>
    <w:rsid w:val="3B523786"/>
    <w:rsid w:val="3B5B1163"/>
    <w:rsid w:val="3B5B5607"/>
    <w:rsid w:val="3B5D137F"/>
    <w:rsid w:val="3B651FE2"/>
    <w:rsid w:val="3B654CB5"/>
    <w:rsid w:val="3B67139A"/>
    <w:rsid w:val="3B693880"/>
    <w:rsid w:val="3B6B283E"/>
    <w:rsid w:val="3B6E70E8"/>
    <w:rsid w:val="3B6F4C0F"/>
    <w:rsid w:val="3B710987"/>
    <w:rsid w:val="3B710C4C"/>
    <w:rsid w:val="3B716BD9"/>
    <w:rsid w:val="3B744E3E"/>
    <w:rsid w:val="3B750477"/>
    <w:rsid w:val="3B760E9F"/>
    <w:rsid w:val="3B765F9D"/>
    <w:rsid w:val="3B766B5A"/>
    <w:rsid w:val="3B787F67"/>
    <w:rsid w:val="3B7C3DEF"/>
    <w:rsid w:val="3B7D37CF"/>
    <w:rsid w:val="3B7F1C4D"/>
    <w:rsid w:val="3B800BCA"/>
    <w:rsid w:val="3B826AA8"/>
    <w:rsid w:val="3B853920"/>
    <w:rsid w:val="3B86552C"/>
    <w:rsid w:val="3B8763FC"/>
    <w:rsid w:val="3B8809EF"/>
    <w:rsid w:val="3B8A5BD4"/>
    <w:rsid w:val="3B90705F"/>
    <w:rsid w:val="3B9308FD"/>
    <w:rsid w:val="3B9528C7"/>
    <w:rsid w:val="3B954675"/>
    <w:rsid w:val="3B955524"/>
    <w:rsid w:val="3B9F54F4"/>
    <w:rsid w:val="3BA24FE4"/>
    <w:rsid w:val="3BA40D5C"/>
    <w:rsid w:val="3BA42B0A"/>
    <w:rsid w:val="3BA7020B"/>
    <w:rsid w:val="3BAB3E99"/>
    <w:rsid w:val="3BAE7642"/>
    <w:rsid w:val="3BAF7850"/>
    <w:rsid w:val="3BBA178F"/>
    <w:rsid w:val="3BBD3BCC"/>
    <w:rsid w:val="3BBF7944"/>
    <w:rsid w:val="3BC27434"/>
    <w:rsid w:val="3BC45BF8"/>
    <w:rsid w:val="3BC46D08"/>
    <w:rsid w:val="3BC767F9"/>
    <w:rsid w:val="3BC96A15"/>
    <w:rsid w:val="3BCD02B3"/>
    <w:rsid w:val="3BCD1B25"/>
    <w:rsid w:val="3BD038FF"/>
    <w:rsid w:val="3BD12F39"/>
    <w:rsid w:val="3BD327A0"/>
    <w:rsid w:val="3BD333EF"/>
    <w:rsid w:val="3BD50F16"/>
    <w:rsid w:val="3BD53828"/>
    <w:rsid w:val="3BD553B9"/>
    <w:rsid w:val="3BDB10B8"/>
    <w:rsid w:val="3BDD426E"/>
    <w:rsid w:val="3BDF09B4"/>
    <w:rsid w:val="3BE1343B"/>
    <w:rsid w:val="3BE41159"/>
    <w:rsid w:val="3BE42FED"/>
    <w:rsid w:val="3BE455FD"/>
    <w:rsid w:val="3BE6258E"/>
    <w:rsid w:val="3BE92C13"/>
    <w:rsid w:val="3BE949C1"/>
    <w:rsid w:val="3BED6453"/>
    <w:rsid w:val="3BEE0229"/>
    <w:rsid w:val="3BF21AC7"/>
    <w:rsid w:val="3BF43750"/>
    <w:rsid w:val="3BF55114"/>
    <w:rsid w:val="3BF82E56"/>
    <w:rsid w:val="3BFA6BCE"/>
    <w:rsid w:val="3BFC2946"/>
    <w:rsid w:val="3BFF34A2"/>
    <w:rsid w:val="3C027831"/>
    <w:rsid w:val="3C044147"/>
    <w:rsid w:val="3C067321"/>
    <w:rsid w:val="3C073008"/>
    <w:rsid w:val="3C074E47"/>
    <w:rsid w:val="3C074E88"/>
    <w:rsid w:val="3C0878F9"/>
    <w:rsid w:val="3C096E11"/>
    <w:rsid w:val="3C0A2738"/>
    <w:rsid w:val="3C1063F2"/>
    <w:rsid w:val="3C157564"/>
    <w:rsid w:val="3C1732DC"/>
    <w:rsid w:val="3C1908A3"/>
    <w:rsid w:val="3C1934F8"/>
    <w:rsid w:val="3C1A101E"/>
    <w:rsid w:val="3C1C4D96"/>
    <w:rsid w:val="3C1E0B0E"/>
    <w:rsid w:val="3C1F03C8"/>
    <w:rsid w:val="3C237ED3"/>
    <w:rsid w:val="3C2974B3"/>
    <w:rsid w:val="3C2A1DCA"/>
    <w:rsid w:val="3C2F6E1E"/>
    <w:rsid w:val="3C3136A4"/>
    <w:rsid w:val="3C3420E0"/>
    <w:rsid w:val="3C35598B"/>
    <w:rsid w:val="3C37572C"/>
    <w:rsid w:val="3C38549C"/>
    <w:rsid w:val="3C395948"/>
    <w:rsid w:val="3C3A3EEF"/>
    <w:rsid w:val="3C3D6D89"/>
    <w:rsid w:val="3C3D7615"/>
    <w:rsid w:val="3C3F57A5"/>
    <w:rsid w:val="3C4165AB"/>
    <w:rsid w:val="3C434BCC"/>
    <w:rsid w:val="3C447E49"/>
    <w:rsid w:val="3C485B8B"/>
    <w:rsid w:val="3C4936B2"/>
    <w:rsid w:val="3C4B567C"/>
    <w:rsid w:val="3C4B742A"/>
    <w:rsid w:val="3C4D13F4"/>
    <w:rsid w:val="3C4D14E0"/>
    <w:rsid w:val="3C4F64BA"/>
    <w:rsid w:val="3C5062E7"/>
    <w:rsid w:val="3C5067EE"/>
    <w:rsid w:val="3C513DFD"/>
    <w:rsid w:val="3C5448AE"/>
    <w:rsid w:val="3C5462DE"/>
    <w:rsid w:val="3C5A3D40"/>
    <w:rsid w:val="3C5A766D"/>
    <w:rsid w:val="3C5B7DA1"/>
    <w:rsid w:val="3C654FBA"/>
    <w:rsid w:val="3C667DC0"/>
    <w:rsid w:val="3C6B7ACC"/>
    <w:rsid w:val="3C6C0E2E"/>
    <w:rsid w:val="3C6D55F2"/>
    <w:rsid w:val="3C6F136A"/>
    <w:rsid w:val="3C6F3118"/>
    <w:rsid w:val="3C720E5A"/>
    <w:rsid w:val="3C721269"/>
    <w:rsid w:val="3C7249B6"/>
    <w:rsid w:val="3C780A0A"/>
    <w:rsid w:val="3C787BE6"/>
    <w:rsid w:val="3C7C3A87"/>
    <w:rsid w:val="3C7F70D3"/>
    <w:rsid w:val="3C805A5B"/>
    <w:rsid w:val="3C814BF9"/>
    <w:rsid w:val="3C851E2D"/>
    <w:rsid w:val="3C862FBA"/>
    <w:rsid w:val="3C86449E"/>
    <w:rsid w:val="3C885F88"/>
    <w:rsid w:val="3C8963AE"/>
    <w:rsid w:val="3C9B3F0D"/>
    <w:rsid w:val="3C9F793E"/>
    <w:rsid w:val="3CA01523"/>
    <w:rsid w:val="3CA07775"/>
    <w:rsid w:val="3CA56B3A"/>
    <w:rsid w:val="3CA628B2"/>
    <w:rsid w:val="3CAB4D29"/>
    <w:rsid w:val="3CAB7EC8"/>
    <w:rsid w:val="3CAD2A9D"/>
    <w:rsid w:val="3CAF1767"/>
    <w:rsid w:val="3CB03348"/>
    <w:rsid w:val="3CB10B9B"/>
    <w:rsid w:val="3CB13731"/>
    <w:rsid w:val="3CB23005"/>
    <w:rsid w:val="3CB46D7D"/>
    <w:rsid w:val="3CB66F99"/>
    <w:rsid w:val="3CBB635D"/>
    <w:rsid w:val="3CBD0327"/>
    <w:rsid w:val="3CBD456D"/>
    <w:rsid w:val="3CBE19AA"/>
    <w:rsid w:val="3CBF7C6B"/>
    <w:rsid w:val="3CC03C61"/>
    <w:rsid w:val="3CC05722"/>
    <w:rsid w:val="3CC2593E"/>
    <w:rsid w:val="3CC33464"/>
    <w:rsid w:val="3CC82828"/>
    <w:rsid w:val="3CC95063"/>
    <w:rsid w:val="3CCA034E"/>
    <w:rsid w:val="3CCA4AB6"/>
    <w:rsid w:val="3CCB40C7"/>
    <w:rsid w:val="3CCC056A"/>
    <w:rsid w:val="3CCD0262"/>
    <w:rsid w:val="3CCD74D6"/>
    <w:rsid w:val="3CCE71EB"/>
    <w:rsid w:val="3CCF005B"/>
    <w:rsid w:val="3CCF3BB7"/>
    <w:rsid w:val="3CD1792F"/>
    <w:rsid w:val="3CD811AB"/>
    <w:rsid w:val="3CDA245A"/>
    <w:rsid w:val="3CDC3B57"/>
    <w:rsid w:val="3CDD113C"/>
    <w:rsid w:val="3CE31A47"/>
    <w:rsid w:val="3CE8111C"/>
    <w:rsid w:val="3CE90D6E"/>
    <w:rsid w:val="3CEA6C44"/>
    <w:rsid w:val="3CEC364C"/>
    <w:rsid w:val="3CEC3A4B"/>
    <w:rsid w:val="3CEF24AB"/>
    <w:rsid w:val="3CEF3B27"/>
    <w:rsid w:val="3CF4186F"/>
    <w:rsid w:val="3CF47AC1"/>
    <w:rsid w:val="3CF7075F"/>
    <w:rsid w:val="3CFA6147"/>
    <w:rsid w:val="3CFC24D2"/>
    <w:rsid w:val="3CFD23DC"/>
    <w:rsid w:val="3D017874"/>
    <w:rsid w:val="3D031E2F"/>
    <w:rsid w:val="3D0D46DF"/>
    <w:rsid w:val="3D121CF5"/>
    <w:rsid w:val="3D163266"/>
    <w:rsid w:val="3D163594"/>
    <w:rsid w:val="3D16393C"/>
    <w:rsid w:val="3D18555E"/>
    <w:rsid w:val="3D190501"/>
    <w:rsid w:val="3D194D10"/>
    <w:rsid w:val="3D1D0DC6"/>
    <w:rsid w:val="3D1D4B08"/>
    <w:rsid w:val="3D1E06B7"/>
    <w:rsid w:val="3D227A37"/>
    <w:rsid w:val="3D235CB1"/>
    <w:rsid w:val="3D271C45"/>
    <w:rsid w:val="3D2757A1"/>
    <w:rsid w:val="3D2832C7"/>
    <w:rsid w:val="3D2C1009"/>
    <w:rsid w:val="3D3B177A"/>
    <w:rsid w:val="3D453E79"/>
    <w:rsid w:val="3D4635D0"/>
    <w:rsid w:val="3D47382B"/>
    <w:rsid w:val="3D475E43"/>
    <w:rsid w:val="3D477BF1"/>
    <w:rsid w:val="3D485717"/>
    <w:rsid w:val="3D4A5933"/>
    <w:rsid w:val="3D4C16AB"/>
    <w:rsid w:val="3D4D2D2E"/>
    <w:rsid w:val="3D4F22BE"/>
    <w:rsid w:val="3D4F2F4A"/>
    <w:rsid w:val="3D4F499E"/>
    <w:rsid w:val="3D513108"/>
    <w:rsid w:val="3D562F18"/>
    <w:rsid w:val="3D595B76"/>
    <w:rsid w:val="3D5E2147"/>
    <w:rsid w:val="3D60390D"/>
    <w:rsid w:val="3D60422F"/>
    <w:rsid w:val="3D624A2B"/>
    <w:rsid w:val="3D6720DC"/>
    <w:rsid w:val="3D6D009C"/>
    <w:rsid w:val="3D6E189E"/>
    <w:rsid w:val="3D712EC0"/>
    <w:rsid w:val="3D7824A0"/>
    <w:rsid w:val="3D783D8D"/>
    <w:rsid w:val="3D7B3D3F"/>
    <w:rsid w:val="3D7D206B"/>
    <w:rsid w:val="3D820C29"/>
    <w:rsid w:val="3D826E7B"/>
    <w:rsid w:val="3D840E45"/>
    <w:rsid w:val="3D8449A1"/>
    <w:rsid w:val="3D850719"/>
    <w:rsid w:val="3D862E81"/>
    <w:rsid w:val="3D8726E3"/>
    <w:rsid w:val="3D874491"/>
    <w:rsid w:val="3D87623F"/>
    <w:rsid w:val="3D89645B"/>
    <w:rsid w:val="3D8A3F82"/>
    <w:rsid w:val="3D8B14FA"/>
    <w:rsid w:val="3D8B21D4"/>
    <w:rsid w:val="3D8C76E0"/>
    <w:rsid w:val="3D8D74B5"/>
    <w:rsid w:val="3D90279B"/>
    <w:rsid w:val="3D903E83"/>
    <w:rsid w:val="3D924C38"/>
    <w:rsid w:val="3D932E36"/>
    <w:rsid w:val="3D965BA7"/>
    <w:rsid w:val="3D98044D"/>
    <w:rsid w:val="3D9848F1"/>
    <w:rsid w:val="3D995F73"/>
    <w:rsid w:val="3D9B1CEB"/>
    <w:rsid w:val="3D9D6CD4"/>
    <w:rsid w:val="3D9F76BF"/>
    <w:rsid w:val="3D9F7A2D"/>
    <w:rsid w:val="3DA05553"/>
    <w:rsid w:val="3DA94408"/>
    <w:rsid w:val="3DAE01CF"/>
    <w:rsid w:val="3DB159B2"/>
    <w:rsid w:val="3DB37034"/>
    <w:rsid w:val="3DB415A9"/>
    <w:rsid w:val="3DB47ECB"/>
    <w:rsid w:val="3DB84B21"/>
    <w:rsid w:val="3DBC05DF"/>
    <w:rsid w:val="3DC079A3"/>
    <w:rsid w:val="3DC15BF5"/>
    <w:rsid w:val="3DC2371B"/>
    <w:rsid w:val="3DC42B5C"/>
    <w:rsid w:val="3DC478D4"/>
    <w:rsid w:val="3DC96858"/>
    <w:rsid w:val="3DCB3C88"/>
    <w:rsid w:val="3DCE3BC3"/>
    <w:rsid w:val="3DCF679E"/>
    <w:rsid w:val="3DD5344F"/>
    <w:rsid w:val="3DD84CED"/>
    <w:rsid w:val="3DDA0A65"/>
    <w:rsid w:val="3DDB45ED"/>
    <w:rsid w:val="3DDC2A2F"/>
    <w:rsid w:val="3DDE0AF1"/>
    <w:rsid w:val="3DE52247"/>
    <w:rsid w:val="3DE713D4"/>
    <w:rsid w:val="3DEC63E4"/>
    <w:rsid w:val="3DED69EA"/>
    <w:rsid w:val="3DEE2762"/>
    <w:rsid w:val="3DF239A8"/>
    <w:rsid w:val="3DF24001"/>
    <w:rsid w:val="3DF32FC8"/>
    <w:rsid w:val="3DF71617"/>
    <w:rsid w:val="3DF96E5F"/>
    <w:rsid w:val="3DFD3021"/>
    <w:rsid w:val="3DFF227A"/>
    <w:rsid w:val="3E014244"/>
    <w:rsid w:val="3E0368E3"/>
    <w:rsid w:val="3E05231B"/>
    <w:rsid w:val="3E0930F8"/>
    <w:rsid w:val="3E0D0E3B"/>
    <w:rsid w:val="3E0D2F0E"/>
    <w:rsid w:val="3E0D35E4"/>
    <w:rsid w:val="3E0E4848"/>
    <w:rsid w:val="3E0E4BB3"/>
    <w:rsid w:val="3E0F3BDE"/>
    <w:rsid w:val="3E122F01"/>
    <w:rsid w:val="3E1324C9"/>
    <w:rsid w:val="3E174D2A"/>
    <w:rsid w:val="3E1D0952"/>
    <w:rsid w:val="3E246184"/>
    <w:rsid w:val="3E26518C"/>
    <w:rsid w:val="3E29379B"/>
    <w:rsid w:val="3E2A5150"/>
    <w:rsid w:val="3E2A7D12"/>
    <w:rsid w:val="3E2B306F"/>
    <w:rsid w:val="3E2B68C8"/>
    <w:rsid w:val="3E2C591D"/>
    <w:rsid w:val="3E304B29"/>
    <w:rsid w:val="3E3119F6"/>
    <w:rsid w:val="3E350391"/>
    <w:rsid w:val="3E371A14"/>
    <w:rsid w:val="3E377C66"/>
    <w:rsid w:val="3E3A59A8"/>
    <w:rsid w:val="3E3A6DCE"/>
    <w:rsid w:val="3E3C1E2A"/>
    <w:rsid w:val="3E3D2DA2"/>
    <w:rsid w:val="3E3E7246"/>
    <w:rsid w:val="3E403BBA"/>
    <w:rsid w:val="3E422F1D"/>
    <w:rsid w:val="3E432AAE"/>
    <w:rsid w:val="3E435CB3"/>
    <w:rsid w:val="3E437BFD"/>
    <w:rsid w:val="3E46434D"/>
    <w:rsid w:val="3E4839FF"/>
    <w:rsid w:val="3E497999"/>
    <w:rsid w:val="3E4B54BF"/>
    <w:rsid w:val="3E4D1237"/>
    <w:rsid w:val="3E547794"/>
    <w:rsid w:val="3E570308"/>
    <w:rsid w:val="3E573E64"/>
    <w:rsid w:val="3E574F0E"/>
    <w:rsid w:val="3E57542F"/>
    <w:rsid w:val="3E594080"/>
    <w:rsid w:val="3E5A0659"/>
    <w:rsid w:val="3E5A20E0"/>
    <w:rsid w:val="3E5E3444"/>
    <w:rsid w:val="3E614CE2"/>
    <w:rsid w:val="3E6673D1"/>
    <w:rsid w:val="3E6D498B"/>
    <w:rsid w:val="3E6E73FF"/>
    <w:rsid w:val="3E6F38A3"/>
    <w:rsid w:val="3E7013C9"/>
    <w:rsid w:val="3E725142"/>
    <w:rsid w:val="3E726C99"/>
    <w:rsid w:val="3E7A6E5F"/>
    <w:rsid w:val="3E7C1B1C"/>
    <w:rsid w:val="3E8135D7"/>
    <w:rsid w:val="3E815E94"/>
    <w:rsid w:val="3E817133"/>
    <w:rsid w:val="3E832EAB"/>
    <w:rsid w:val="3E84720A"/>
    <w:rsid w:val="3E8610BE"/>
    <w:rsid w:val="3E88226F"/>
    <w:rsid w:val="3E8A248B"/>
    <w:rsid w:val="3E8B1D5F"/>
    <w:rsid w:val="3E8D1F7B"/>
    <w:rsid w:val="3E8E35FE"/>
    <w:rsid w:val="3E8F7AA2"/>
    <w:rsid w:val="3E907376"/>
    <w:rsid w:val="3E9230EE"/>
    <w:rsid w:val="3E952BDE"/>
    <w:rsid w:val="3E957B05"/>
    <w:rsid w:val="3E9900C4"/>
    <w:rsid w:val="3E9A01F4"/>
    <w:rsid w:val="3E9A1FA2"/>
    <w:rsid w:val="3E9B4698"/>
    <w:rsid w:val="3E9F1EEC"/>
    <w:rsid w:val="3EA01CAF"/>
    <w:rsid w:val="3EA23AC2"/>
    <w:rsid w:val="3EA42E21"/>
    <w:rsid w:val="3EA94C99"/>
    <w:rsid w:val="3EAB41B0"/>
    <w:rsid w:val="3EAF5499"/>
    <w:rsid w:val="3EAF565D"/>
    <w:rsid w:val="3EB219E2"/>
    <w:rsid w:val="3EB5502E"/>
    <w:rsid w:val="3EB94B1E"/>
    <w:rsid w:val="3EB968CD"/>
    <w:rsid w:val="3EBA2645"/>
    <w:rsid w:val="3EBC6CF0"/>
    <w:rsid w:val="3EBD5DA9"/>
    <w:rsid w:val="3EBE1453"/>
    <w:rsid w:val="3EBE2135"/>
    <w:rsid w:val="3EBE3EE3"/>
    <w:rsid w:val="3EC0145C"/>
    <w:rsid w:val="3EC040FF"/>
    <w:rsid w:val="3EC11C25"/>
    <w:rsid w:val="3EC139D3"/>
    <w:rsid w:val="3EC314F9"/>
    <w:rsid w:val="3EC344A1"/>
    <w:rsid w:val="3EC55271"/>
    <w:rsid w:val="3ECA13E6"/>
    <w:rsid w:val="3ED43706"/>
    <w:rsid w:val="3ED5122D"/>
    <w:rsid w:val="3ED71449"/>
    <w:rsid w:val="3ED8393F"/>
    <w:rsid w:val="3EDA0523"/>
    <w:rsid w:val="3EDA3E98"/>
    <w:rsid w:val="3EE01D9D"/>
    <w:rsid w:val="3EE111AA"/>
    <w:rsid w:val="3EE14075"/>
    <w:rsid w:val="3EE2728E"/>
    <w:rsid w:val="3EE37DED"/>
    <w:rsid w:val="3EE66EC7"/>
    <w:rsid w:val="3EEA4CD8"/>
    <w:rsid w:val="3EEB27FE"/>
    <w:rsid w:val="3EEC4EF4"/>
    <w:rsid w:val="3EED479C"/>
    <w:rsid w:val="3EED47C8"/>
    <w:rsid w:val="3EEF22EE"/>
    <w:rsid w:val="3EF13EE8"/>
    <w:rsid w:val="3EF21DDE"/>
    <w:rsid w:val="3EF46ABF"/>
    <w:rsid w:val="3EF711ED"/>
    <w:rsid w:val="3EF73899"/>
    <w:rsid w:val="3EFA5AEB"/>
    <w:rsid w:val="3EFB0C93"/>
    <w:rsid w:val="3EFE0783"/>
    <w:rsid w:val="3EFE2A0E"/>
    <w:rsid w:val="3EFF11DF"/>
    <w:rsid w:val="3F0006E1"/>
    <w:rsid w:val="3F0062A9"/>
    <w:rsid w:val="3F0107B4"/>
    <w:rsid w:val="3F0833B0"/>
    <w:rsid w:val="3F0B4D59"/>
    <w:rsid w:val="3F0D5EEB"/>
    <w:rsid w:val="3F0F2990"/>
    <w:rsid w:val="3F10578C"/>
    <w:rsid w:val="3F114C3B"/>
    <w:rsid w:val="3F125FDD"/>
    <w:rsid w:val="3F137BFE"/>
    <w:rsid w:val="3F154F70"/>
    <w:rsid w:val="3F165ACD"/>
    <w:rsid w:val="3F1955BD"/>
    <w:rsid w:val="3F19736B"/>
    <w:rsid w:val="3F1A24E9"/>
    <w:rsid w:val="3F1E2BD3"/>
    <w:rsid w:val="3F1E7E2F"/>
    <w:rsid w:val="3F20694C"/>
    <w:rsid w:val="3F235D47"/>
    <w:rsid w:val="3F260A76"/>
    <w:rsid w:val="3F277CDA"/>
    <w:rsid w:val="3F2E3EB4"/>
    <w:rsid w:val="3F2F4DE1"/>
    <w:rsid w:val="3F2F6B8F"/>
    <w:rsid w:val="3F3348D1"/>
    <w:rsid w:val="3F373C95"/>
    <w:rsid w:val="3F3C52C8"/>
    <w:rsid w:val="3F3E3276"/>
    <w:rsid w:val="3F424B14"/>
    <w:rsid w:val="3F43263A"/>
    <w:rsid w:val="3F473ED8"/>
    <w:rsid w:val="3F4A7E6C"/>
    <w:rsid w:val="3F4C14EF"/>
    <w:rsid w:val="3F4E5442"/>
    <w:rsid w:val="3F512FA9"/>
    <w:rsid w:val="3F5317F6"/>
    <w:rsid w:val="3F567233"/>
    <w:rsid w:val="3F5900B0"/>
    <w:rsid w:val="3F5B4679"/>
    <w:rsid w:val="3F6046C3"/>
    <w:rsid w:val="3F61573B"/>
    <w:rsid w:val="3F630A4E"/>
    <w:rsid w:val="3F650802"/>
    <w:rsid w:val="3F6F78D3"/>
    <w:rsid w:val="3F731171"/>
    <w:rsid w:val="3F736810"/>
    <w:rsid w:val="3F740A45"/>
    <w:rsid w:val="3F76656C"/>
    <w:rsid w:val="3F7A3757"/>
    <w:rsid w:val="3F7A3E2D"/>
    <w:rsid w:val="3F7B233C"/>
    <w:rsid w:val="3F7D5B4C"/>
    <w:rsid w:val="3F865130"/>
    <w:rsid w:val="3F8847ED"/>
    <w:rsid w:val="3F89533D"/>
    <w:rsid w:val="3F8A0269"/>
    <w:rsid w:val="3F8C3FE1"/>
    <w:rsid w:val="3F9335C1"/>
    <w:rsid w:val="3F977363"/>
    <w:rsid w:val="3F991BF0"/>
    <w:rsid w:val="3F9B2476"/>
    <w:rsid w:val="3F9B5A43"/>
    <w:rsid w:val="3F9B7174"/>
    <w:rsid w:val="3F9E5AC2"/>
    <w:rsid w:val="3F9F3D14"/>
    <w:rsid w:val="3F9F4D18"/>
    <w:rsid w:val="3FA27361"/>
    <w:rsid w:val="3FA4273B"/>
    <w:rsid w:val="3FA52D38"/>
    <w:rsid w:val="3FA56E51"/>
    <w:rsid w:val="3FA96941"/>
    <w:rsid w:val="3FAC00F9"/>
    <w:rsid w:val="3FAF1A7E"/>
    <w:rsid w:val="3FB07769"/>
    <w:rsid w:val="3FB157F6"/>
    <w:rsid w:val="3FB30D82"/>
    <w:rsid w:val="3FB45360"/>
    <w:rsid w:val="3FB672B0"/>
    <w:rsid w:val="3FB777F2"/>
    <w:rsid w:val="3FB926FD"/>
    <w:rsid w:val="3FB928FC"/>
    <w:rsid w:val="3FBD66AA"/>
    <w:rsid w:val="3FC01EDD"/>
    <w:rsid w:val="3FC41D3D"/>
    <w:rsid w:val="3FC52C55"/>
    <w:rsid w:val="3FC574F3"/>
    <w:rsid w:val="3FC90D91"/>
    <w:rsid w:val="3FC96FE3"/>
    <w:rsid w:val="3FCA68B7"/>
    <w:rsid w:val="3FCD553C"/>
    <w:rsid w:val="3FD029F0"/>
    <w:rsid w:val="3FD13C3B"/>
    <w:rsid w:val="3FD17C46"/>
    <w:rsid w:val="3FD80FD4"/>
    <w:rsid w:val="3FD87226"/>
    <w:rsid w:val="3FDB2873"/>
    <w:rsid w:val="3FDF399D"/>
    <w:rsid w:val="3FE16874"/>
    <w:rsid w:val="3FE21E53"/>
    <w:rsid w:val="3FE74124"/>
    <w:rsid w:val="3FEA18BD"/>
    <w:rsid w:val="3FEC0F24"/>
    <w:rsid w:val="3FED763F"/>
    <w:rsid w:val="3FF027C2"/>
    <w:rsid w:val="3FF102E8"/>
    <w:rsid w:val="3FF32092"/>
    <w:rsid w:val="3FFE64BC"/>
    <w:rsid w:val="3FFF4431"/>
    <w:rsid w:val="4002441C"/>
    <w:rsid w:val="40035EED"/>
    <w:rsid w:val="400973E0"/>
    <w:rsid w:val="400A73D4"/>
    <w:rsid w:val="401144E6"/>
    <w:rsid w:val="401364B0"/>
    <w:rsid w:val="40152228"/>
    <w:rsid w:val="40155C28"/>
    <w:rsid w:val="40185875"/>
    <w:rsid w:val="401A15ED"/>
    <w:rsid w:val="401C35B7"/>
    <w:rsid w:val="401D10DD"/>
    <w:rsid w:val="401D3121"/>
    <w:rsid w:val="401D732F"/>
    <w:rsid w:val="401F39E9"/>
    <w:rsid w:val="401F5B4D"/>
    <w:rsid w:val="40224945"/>
    <w:rsid w:val="402406BD"/>
    <w:rsid w:val="40267F92"/>
    <w:rsid w:val="40291830"/>
    <w:rsid w:val="40297384"/>
    <w:rsid w:val="402B37FA"/>
    <w:rsid w:val="402B55A8"/>
    <w:rsid w:val="402B7E4E"/>
    <w:rsid w:val="402C30CE"/>
    <w:rsid w:val="402D6503"/>
    <w:rsid w:val="402D7572"/>
    <w:rsid w:val="40300E10"/>
    <w:rsid w:val="40316936"/>
    <w:rsid w:val="403542CB"/>
    <w:rsid w:val="403703F1"/>
    <w:rsid w:val="40387CC5"/>
    <w:rsid w:val="403A4B4D"/>
    <w:rsid w:val="403C0CA0"/>
    <w:rsid w:val="404102FE"/>
    <w:rsid w:val="40414DCB"/>
    <w:rsid w:val="40436D96"/>
    <w:rsid w:val="40457BF5"/>
    <w:rsid w:val="40464190"/>
    <w:rsid w:val="4047615A"/>
    <w:rsid w:val="40490124"/>
    <w:rsid w:val="404919F0"/>
    <w:rsid w:val="404A6278"/>
    <w:rsid w:val="404C551E"/>
    <w:rsid w:val="404E74E8"/>
    <w:rsid w:val="40532CA8"/>
    <w:rsid w:val="40554A3B"/>
    <w:rsid w:val="40556AC9"/>
    <w:rsid w:val="40564282"/>
    <w:rsid w:val="405745EF"/>
    <w:rsid w:val="405C1C05"/>
    <w:rsid w:val="405C39B3"/>
    <w:rsid w:val="405E3BCF"/>
    <w:rsid w:val="405F34A4"/>
    <w:rsid w:val="406311E6"/>
    <w:rsid w:val="40646D0C"/>
    <w:rsid w:val="40647E75"/>
    <w:rsid w:val="406532C0"/>
    <w:rsid w:val="406614E4"/>
    <w:rsid w:val="40676229"/>
    <w:rsid w:val="406D3E12"/>
    <w:rsid w:val="406E36E7"/>
    <w:rsid w:val="406E7B8B"/>
    <w:rsid w:val="40707CE6"/>
    <w:rsid w:val="40713AD5"/>
    <w:rsid w:val="40720BA9"/>
    <w:rsid w:val="407451A1"/>
    <w:rsid w:val="40752CC7"/>
    <w:rsid w:val="407A208B"/>
    <w:rsid w:val="407A6407"/>
    <w:rsid w:val="407A652F"/>
    <w:rsid w:val="407E137E"/>
    <w:rsid w:val="407F3B46"/>
    <w:rsid w:val="407F76A2"/>
    <w:rsid w:val="40817981"/>
    <w:rsid w:val="408353E4"/>
    <w:rsid w:val="4084115C"/>
    <w:rsid w:val="408458F3"/>
    <w:rsid w:val="408829FA"/>
    <w:rsid w:val="408B6047"/>
    <w:rsid w:val="408E08DA"/>
    <w:rsid w:val="408E5B37"/>
    <w:rsid w:val="4090365D"/>
    <w:rsid w:val="40925627"/>
    <w:rsid w:val="4093314D"/>
    <w:rsid w:val="409475F1"/>
    <w:rsid w:val="409A0980"/>
    <w:rsid w:val="409C0254"/>
    <w:rsid w:val="409F100F"/>
    <w:rsid w:val="40A15804"/>
    <w:rsid w:val="40A224B7"/>
    <w:rsid w:val="40A24BC9"/>
    <w:rsid w:val="40A27F80"/>
    <w:rsid w:val="40A44C5D"/>
    <w:rsid w:val="40A47108"/>
    <w:rsid w:val="40A86BF9"/>
    <w:rsid w:val="40A9107D"/>
    <w:rsid w:val="40AB43DF"/>
    <w:rsid w:val="40AE5488"/>
    <w:rsid w:val="40B40707"/>
    <w:rsid w:val="40B40B3D"/>
    <w:rsid w:val="40B414F2"/>
    <w:rsid w:val="40B42554"/>
    <w:rsid w:val="40B52255"/>
    <w:rsid w:val="40B530C4"/>
    <w:rsid w:val="40B57568"/>
    <w:rsid w:val="40B737CE"/>
    <w:rsid w:val="40B76E3C"/>
    <w:rsid w:val="40BB5C8B"/>
    <w:rsid w:val="40BC4452"/>
    <w:rsid w:val="40C357E1"/>
    <w:rsid w:val="40C43CD2"/>
    <w:rsid w:val="40C77AEB"/>
    <w:rsid w:val="40C8729B"/>
    <w:rsid w:val="40CA5CFC"/>
    <w:rsid w:val="40CB0B39"/>
    <w:rsid w:val="40CD48B1"/>
    <w:rsid w:val="40CD665F"/>
    <w:rsid w:val="40D35433"/>
    <w:rsid w:val="40D62817"/>
    <w:rsid w:val="40DA57F1"/>
    <w:rsid w:val="40E1728F"/>
    <w:rsid w:val="40E2075F"/>
    <w:rsid w:val="40E26B19"/>
    <w:rsid w:val="40E42B8B"/>
    <w:rsid w:val="40E57E4D"/>
    <w:rsid w:val="40E73B81"/>
    <w:rsid w:val="40E85247"/>
    <w:rsid w:val="40ED0AAF"/>
    <w:rsid w:val="40F315A4"/>
    <w:rsid w:val="40F57964"/>
    <w:rsid w:val="40F64D19"/>
    <w:rsid w:val="40F77B80"/>
    <w:rsid w:val="40F8389B"/>
    <w:rsid w:val="40F956A6"/>
    <w:rsid w:val="40F978A9"/>
    <w:rsid w:val="40FA4F7A"/>
    <w:rsid w:val="40FE6B3F"/>
    <w:rsid w:val="4100099C"/>
    <w:rsid w:val="41014293"/>
    <w:rsid w:val="41025E7F"/>
    <w:rsid w:val="41032072"/>
    <w:rsid w:val="4105141F"/>
    <w:rsid w:val="4106407D"/>
    <w:rsid w:val="410764A6"/>
    <w:rsid w:val="410A340F"/>
    <w:rsid w:val="410F55CA"/>
    <w:rsid w:val="410F7001"/>
    <w:rsid w:val="41123E0D"/>
    <w:rsid w:val="41124264"/>
    <w:rsid w:val="41134241"/>
    <w:rsid w:val="411718F9"/>
    <w:rsid w:val="411918A4"/>
    <w:rsid w:val="41197AF6"/>
    <w:rsid w:val="411C3143"/>
    <w:rsid w:val="411C75E7"/>
    <w:rsid w:val="411F2F03"/>
    <w:rsid w:val="41215A49"/>
    <w:rsid w:val="412435F8"/>
    <w:rsid w:val="41250249"/>
    <w:rsid w:val="41265D6F"/>
    <w:rsid w:val="412B49B8"/>
    <w:rsid w:val="412C5A7C"/>
    <w:rsid w:val="412D35A2"/>
    <w:rsid w:val="412E16CF"/>
    <w:rsid w:val="412F2E76"/>
    <w:rsid w:val="412F731A"/>
    <w:rsid w:val="41326E0A"/>
    <w:rsid w:val="4134048C"/>
    <w:rsid w:val="413466DE"/>
    <w:rsid w:val="41401527"/>
    <w:rsid w:val="41410DFB"/>
    <w:rsid w:val="414144B0"/>
    <w:rsid w:val="414601C0"/>
    <w:rsid w:val="414865FC"/>
    <w:rsid w:val="41490D2C"/>
    <w:rsid w:val="4149735F"/>
    <w:rsid w:val="414B60ED"/>
    <w:rsid w:val="414E6551"/>
    <w:rsid w:val="41505DB0"/>
    <w:rsid w:val="41517D2D"/>
    <w:rsid w:val="41526B64"/>
    <w:rsid w:val="41546D80"/>
    <w:rsid w:val="41555735"/>
    <w:rsid w:val="41586452"/>
    <w:rsid w:val="41596145"/>
    <w:rsid w:val="415D3E87"/>
    <w:rsid w:val="415E2CF3"/>
    <w:rsid w:val="415E7F86"/>
    <w:rsid w:val="415F133D"/>
    <w:rsid w:val="41652D3C"/>
    <w:rsid w:val="41656898"/>
    <w:rsid w:val="416835C8"/>
    <w:rsid w:val="41683C8E"/>
    <w:rsid w:val="416A0352"/>
    <w:rsid w:val="416A2994"/>
    <w:rsid w:val="416D399E"/>
    <w:rsid w:val="416E62DC"/>
    <w:rsid w:val="417967E7"/>
    <w:rsid w:val="417B60BB"/>
    <w:rsid w:val="417E5BAB"/>
    <w:rsid w:val="418238EE"/>
    <w:rsid w:val="41840582"/>
    <w:rsid w:val="41872EF7"/>
    <w:rsid w:val="41874A60"/>
    <w:rsid w:val="418839D3"/>
    <w:rsid w:val="41886A2A"/>
    <w:rsid w:val="418B3016"/>
    <w:rsid w:val="418B69E8"/>
    <w:rsid w:val="418C02C8"/>
    <w:rsid w:val="418C651A"/>
    <w:rsid w:val="418F295E"/>
    <w:rsid w:val="41902DB7"/>
    <w:rsid w:val="419378A9"/>
    <w:rsid w:val="41990C37"/>
    <w:rsid w:val="419B050B"/>
    <w:rsid w:val="419B2D53"/>
    <w:rsid w:val="419B440E"/>
    <w:rsid w:val="419D24D5"/>
    <w:rsid w:val="419E1DAA"/>
    <w:rsid w:val="41A21A71"/>
    <w:rsid w:val="41A27AEC"/>
    <w:rsid w:val="41A3330C"/>
    <w:rsid w:val="41A516CD"/>
    <w:rsid w:val="41A53138"/>
    <w:rsid w:val="41A82C28"/>
    <w:rsid w:val="41A8776B"/>
    <w:rsid w:val="41AA074E"/>
    <w:rsid w:val="41AA2E44"/>
    <w:rsid w:val="41AE2885"/>
    <w:rsid w:val="41AE46E3"/>
    <w:rsid w:val="41AE6491"/>
    <w:rsid w:val="41AF2209"/>
    <w:rsid w:val="41B07918"/>
    <w:rsid w:val="41B421DA"/>
    <w:rsid w:val="41B56AA0"/>
    <w:rsid w:val="41B61266"/>
    <w:rsid w:val="41B65345"/>
    <w:rsid w:val="41BA21D5"/>
    <w:rsid w:val="41BC2421"/>
    <w:rsid w:val="41BF6404"/>
    <w:rsid w:val="41C31810"/>
    <w:rsid w:val="41C366B1"/>
    <w:rsid w:val="41C55588"/>
    <w:rsid w:val="41CA0DF1"/>
    <w:rsid w:val="41CB1E3D"/>
    <w:rsid w:val="41DA2351"/>
    <w:rsid w:val="41DA655F"/>
    <w:rsid w:val="41E400DE"/>
    <w:rsid w:val="41E40104"/>
    <w:rsid w:val="41E40EF7"/>
    <w:rsid w:val="41E9396D"/>
    <w:rsid w:val="41E9571B"/>
    <w:rsid w:val="41F06AA9"/>
    <w:rsid w:val="41F12821"/>
    <w:rsid w:val="41F15AEE"/>
    <w:rsid w:val="41F45E6E"/>
    <w:rsid w:val="41F74F61"/>
    <w:rsid w:val="41F83873"/>
    <w:rsid w:val="41FA16D6"/>
    <w:rsid w:val="41FA7928"/>
    <w:rsid w:val="41FB544E"/>
    <w:rsid w:val="41FB71FC"/>
    <w:rsid w:val="41FD4D22"/>
    <w:rsid w:val="4200449D"/>
    <w:rsid w:val="420155EB"/>
    <w:rsid w:val="42072045"/>
    <w:rsid w:val="42086B0C"/>
    <w:rsid w:val="42091919"/>
    <w:rsid w:val="42093AB5"/>
    <w:rsid w:val="420A49C0"/>
    <w:rsid w:val="420E6883"/>
    <w:rsid w:val="42121364"/>
    <w:rsid w:val="42164036"/>
    <w:rsid w:val="42194EB5"/>
    <w:rsid w:val="421F113C"/>
    <w:rsid w:val="42213A90"/>
    <w:rsid w:val="422624CB"/>
    <w:rsid w:val="42287DE6"/>
    <w:rsid w:val="42291FBB"/>
    <w:rsid w:val="42293D69"/>
    <w:rsid w:val="422C2FFD"/>
    <w:rsid w:val="422F243E"/>
    <w:rsid w:val="422F6EA6"/>
    <w:rsid w:val="42303A5F"/>
    <w:rsid w:val="423170C2"/>
    <w:rsid w:val="42334BE8"/>
    <w:rsid w:val="42365970"/>
    <w:rsid w:val="42366486"/>
    <w:rsid w:val="423746D8"/>
    <w:rsid w:val="42394C56"/>
    <w:rsid w:val="423A3BCC"/>
    <w:rsid w:val="423B3A9C"/>
    <w:rsid w:val="423B42E9"/>
    <w:rsid w:val="423E066B"/>
    <w:rsid w:val="42415131"/>
    <w:rsid w:val="42447A1F"/>
    <w:rsid w:val="424566C9"/>
    <w:rsid w:val="4246491B"/>
    <w:rsid w:val="42472441"/>
    <w:rsid w:val="42486C3B"/>
    <w:rsid w:val="424961B9"/>
    <w:rsid w:val="424E1A22"/>
    <w:rsid w:val="424E57D2"/>
    <w:rsid w:val="425270EF"/>
    <w:rsid w:val="4253528A"/>
    <w:rsid w:val="42557873"/>
    <w:rsid w:val="42562163"/>
    <w:rsid w:val="42562684"/>
    <w:rsid w:val="425828A0"/>
    <w:rsid w:val="425C5EED"/>
    <w:rsid w:val="425E79D0"/>
    <w:rsid w:val="425F778B"/>
    <w:rsid w:val="42613503"/>
    <w:rsid w:val="42652BFF"/>
    <w:rsid w:val="42664FBD"/>
    <w:rsid w:val="4269060A"/>
    <w:rsid w:val="426B6130"/>
    <w:rsid w:val="426C1EA8"/>
    <w:rsid w:val="426E3E72"/>
    <w:rsid w:val="426E5C20"/>
    <w:rsid w:val="426E780A"/>
    <w:rsid w:val="42703984"/>
    <w:rsid w:val="42725710"/>
    <w:rsid w:val="427434C5"/>
    <w:rsid w:val="42755200"/>
    <w:rsid w:val="427C033D"/>
    <w:rsid w:val="427C652B"/>
    <w:rsid w:val="42815953"/>
    <w:rsid w:val="42826DD7"/>
    <w:rsid w:val="428419AD"/>
    <w:rsid w:val="42865517"/>
    <w:rsid w:val="4286740D"/>
    <w:rsid w:val="42867BAF"/>
    <w:rsid w:val="42876CE2"/>
    <w:rsid w:val="42892A5A"/>
    <w:rsid w:val="42893E58"/>
    <w:rsid w:val="428B1584"/>
    <w:rsid w:val="428D7B68"/>
    <w:rsid w:val="428E1E1E"/>
    <w:rsid w:val="42913E89"/>
    <w:rsid w:val="42957651"/>
    <w:rsid w:val="429602E1"/>
    <w:rsid w:val="42976F25"/>
    <w:rsid w:val="42984A4B"/>
    <w:rsid w:val="429A6A15"/>
    <w:rsid w:val="429B1419"/>
    <w:rsid w:val="429B30AC"/>
    <w:rsid w:val="429D42E0"/>
    <w:rsid w:val="429F2832"/>
    <w:rsid w:val="42A258CA"/>
    <w:rsid w:val="42A36676"/>
    <w:rsid w:val="42A930FC"/>
    <w:rsid w:val="42A94EAA"/>
    <w:rsid w:val="42B07FE6"/>
    <w:rsid w:val="42B26C49"/>
    <w:rsid w:val="42B411A5"/>
    <w:rsid w:val="42BC698B"/>
    <w:rsid w:val="42BD2703"/>
    <w:rsid w:val="42BE6BA7"/>
    <w:rsid w:val="42C14F5E"/>
    <w:rsid w:val="42C57127"/>
    <w:rsid w:val="42C615B8"/>
    <w:rsid w:val="42CA25B3"/>
    <w:rsid w:val="42CF5C44"/>
    <w:rsid w:val="42D168A1"/>
    <w:rsid w:val="42D40179"/>
    <w:rsid w:val="42D61228"/>
    <w:rsid w:val="42D737C5"/>
    <w:rsid w:val="42D84C20"/>
    <w:rsid w:val="42D9753D"/>
    <w:rsid w:val="42DA32B5"/>
    <w:rsid w:val="42DA5063"/>
    <w:rsid w:val="42DD6902"/>
    <w:rsid w:val="42DE0FF8"/>
    <w:rsid w:val="42DE59E4"/>
    <w:rsid w:val="42DF267A"/>
    <w:rsid w:val="42E163F2"/>
    <w:rsid w:val="42E27706"/>
    <w:rsid w:val="42E36169"/>
    <w:rsid w:val="42E3660E"/>
    <w:rsid w:val="42E45EE2"/>
    <w:rsid w:val="42E83C16"/>
    <w:rsid w:val="42E83C24"/>
    <w:rsid w:val="42ED123B"/>
    <w:rsid w:val="42F8373B"/>
    <w:rsid w:val="42F9198D"/>
    <w:rsid w:val="42FB30A0"/>
    <w:rsid w:val="42FB3958"/>
    <w:rsid w:val="42FE5622"/>
    <w:rsid w:val="43002874"/>
    <w:rsid w:val="4303249E"/>
    <w:rsid w:val="43036368"/>
    <w:rsid w:val="430373D7"/>
    <w:rsid w:val="430567FD"/>
    <w:rsid w:val="430622FC"/>
    <w:rsid w:val="430A1DED"/>
    <w:rsid w:val="430B16C1"/>
    <w:rsid w:val="430B7913"/>
    <w:rsid w:val="430D71E7"/>
    <w:rsid w:val="430F5BCF"/>
    <w:rsid w:val="43122A4F"/>
    <w:rsid w:val="431467C7"/>
    <w:rsid w:val="43160791"/>
    <w:rsid w:val="43170AAA"/>
    <w:rsid w:val="431762B8"/>
    <w:rsid w:val="43195B8C"/>
    <w:rsid w:val="431F0E8B"/>
    <w:rsid w:val="43263F5C"/>
    <w:rsid w:val="4326474D"/>
    <w:rsid w:val="43291B47"/>
    <w:rsid w:val="432D11FE"/>
    <w:rsid w:val="432E715D"/>
    <w:rsid w:val="432F53AF"/>
    <w:rsid w:val="43321338"/>
    <w:rsid w:val="433230F1"/>
    <w:rsid w:val="43346E69"/>
    <w:rsid w:val="433504EC"/>
    <w:rsid w:val="43362BE2"/>
    <w:rsid w:val="43372F01"/>
    <w:rsid w:val="43394EDE"/>
    <w:rsid w:val="433A6FE6"/>
    <w:rsid w:val="433C5D1E"/>
    <w:rsid w:val="43454B41"/>
    <w:rsid w:val="43456981"/>
    <w:rsid w:val="434626F9"/>
    <w:rsid w:val="43480868"/>
    <w:rsid w:val="43482915"/>
    <w:rsid w:val="4348487B"/>
    <w:rsid w:val="434A21E9"/>
    <w:rsid w:val="434B0D13"/>
    <w:rsid w:val="434B5F61"/>
    <w:rsid w:val="4350713C"/>
    <w:rsid w:val="43560B8E"/>
    <w:rsid w:val="4356216B"/>
    <w:rsid w:val="4359067E"/>
    <w:rsid w:val="435A0EBC"/>
    <w:rsid w:val="435E31B9"/>
    <w:rsid w:val="436062ED"/>
    <w:rsid w:val="43663D51"/>
    <w:rsid w:val="436653E0"/>
    <w:rsid w:val="43672D9B"/>
    <w:rsid w:val="436808C1"/>
    <w:rsid w:val="4368266F"/>
    <w:rsid w:val="436D4129"/>
    <w:rsid w:val="436D5ED7"/>
    <w:rsid w:val="43713C1A"/>
    <w:rsid w:val="43727992"/>
    <w:rsid w:val="437372DB"/>
    <w:rsid w:val="43741014"/>
    <w:rsid w:val="43771A41"/>
    <w:rsid w:val="437817D5"/>
    <w:rsid w:val="4379360A"/>
    <w:rsid w:val="43882D11"/>
    <w:rsid w:val="43931DE2"/>
    <w:rsid w:val="43963680"/>
    <w:rsid w:val="439A28DE"/>
    <w:rsid w:val="439D1C01"/>
    <w:rsid w:val="43A22025"/>
    <w:rsid w:val="43A871C2"/>
    <w:rsid w:val="43AF64F0"/>
    <w:rsid w:val="43B6162D"/>
    <w:rsid w:val="43B65AD0"/>
    <w:rsid w:val="43B6787E"/>
    <w:rsid w:val="43BE4985"/>
    <w:rsid w:val="43C006FD"/>
    <w:rsid w:val="43C1327E"/>
    <w:rsid w:val="43C41982"/>
    <w:rsid w:val="43C4431A"/>
    <w:rsid w:val="43C70CAF"/>
    <w:rsid w:val="43C7274B"/>
    <w:rsid w:val="43C743B1"/>
    <w:rsid w:val="43C75114"/>
    <w:rsid w:val="43CC0E50"/>
    <w:rsid w:val="43CF0940"/>
    <w:rsid w:val="43CF26EE"/>
    <w:rsid w:val="43D441A9"/>
    <w:rsid w:val="43D47D05"/>
    <w:rsid w:val="43D67F21"/>
    <w:rsid w:val="43D75697"/>
    <w:rsid w:val="43DD12AF"/>
    <w:rsid w:val="43DD305D"/>
    <w:rsid w:val="43DD7542"/>
    <w:rsid w:val="43E02B4D"/>
    <w:rsid w:val="43E10359"/>
    <w:rsid w:val="43E55A97"/>
    <w:rsid w:val="43E75C8A"/>
    <w:rsid w:val="43E97C54"/>
    <w:rsid w:val="43EB65BA"/>
    <w:rsid w:val="43EC14F2"/>
    <w:rsid w:val="43F04588"/>
    <w:rsid w:val="43F059B8"/>
    <w:rsid w:val="43F354E8"/>
    <w:rsid w:val="43F839F3"/>
    <w:rsid w:val="43FB34E3"/>
    <w:rsid w:val="43FD725B"/>
    <w:rsid w:val="44006D4C"/>
    <w:rsid w:val="44015296"/>
    <w:rsid w:val="44024872"/>
    <w:rsid w:val="4403533A"/>
    <w:rsid w:val="44046222"/>
    <w:rsid w:val="440473D1"/>
    <w:rsid w:val="440525B4"/>
    <w:rsid w:val="440700DA"/>
    <w:rsid w:val="44076FBA"/>
    <w:rsid w:val="44095C00"/>
    <w:rsid w:val="440A3726"/>
    <w:rsid w:val="440C3942"/>
    <w:rsid w:val="440C56F0"/>
    <w:rsid w:val="440E76BA"/>
    <w:rsid w:val="441A154C"/>
    <w:rsid w:val="44222B9D"/>
    <w:rsid w:val="442238CC"/>
    <w:rsid w:val="44254A04"/>
    <w:rsid w:val="4429381B"/>
    <w:rsid w:val="442A5867"/>
    <w:rsid w:val="442C4418"/>
    <w:rsid w:val="44313921"/>
    <w:rsid w:val="44354C47"/>
    <w:rsid w:val="443609BF"/>
    <w:rsid w:val="443C4228"/>
    <w:rsid w:val="443D1D4E"/>
    <w:rsid w:val="44427364"/>
    <w:rsid w:val="44437E31"/>
    <w:rsid w:val="4447497A"/>
    <w:rsid w:val="444E1066"/>
    <w:rsid w:val="444E1AA8"/>
    <w:rsid w:val="44507CD3"/>
    <w:rsid w:val="445A1C5E"/>
    <w:rsid w:val="445B167F"/>
    <w:rsid w:val="445D5F4C"/>
    <w:rsid w:val="445F7F16"/>
    <w:rsid w:val="4461572C"/>
    <w:rsid w:val="44640ECD"/>
    <w:rsid w:val="446612A5"/>
    <w:rsid w:val="446812D2"/>
    <w:rsid w:val="446A2417"/>
    <w:rsid w:val="446C122A"/>
    <w:rsid w:val="446D7285"/>
    <w:rsid w:val="4476700E"/>
    <w:rsid w:val="44772954"/>
    <w:rsid w:val="44784D14"/>
    <w:rsid w:val="447B4624"/>
    <w:rsid w:val="447F2366"/>
    <w:rsid w:val="448160DE"/>
    <w:rsid w:val="448654A3"/>
    <w:rsid w:val="44883365"/>
    <w:rsid w:val="44890AEF"/>
    <w:rsid w:val="44892E49"/>
    <w:rsid w:val="448A3F42"/>
    <w:rsid w:val="448B0D0B"/>
    <w:rsid w:val="448C05DF"/>
    <w:rsid w:val="448D4A83"/>
    <w:rsid w:val="448E25A9"/>
    <w:rsid w:val="44901E7E"/>
    <w:rsid w:val="44906FD3"/>
    <w:rsid w:val="449556E6"/>
    <w:rsid w:val="449720A4"/>
    <w:rsid w:val="449851D6"/>
    <w:rsid w:val="449950D1"/>
    <w:rsid w:val="44A1052F"/>
    <w:rsid w:val="44A21BB1"/>
    <w:rsid w:val="44A37D10"/>
    <w:rsid w:val="44A43B7B"/>
    <w:rsid w:val="44A65B45"/>
    <w:rsid w:val="44A771C7"/>
    <w:rsid w:val="44AB4F09"/>
    <w:rsid w:val="44AE0556"/>
    <w:rsid w:val="44AF170F"/>
    <w:rsid w:val="44B55D88"/>
    <w:rsid w:val="44B6565C"/>
    <w:rsid w:val="44B813D4"/>
    <w:rsid w:val="44B951CC"/>
    <w:rsid w:val="44BA7D3C"/>
    <w:rsid w:val="44C157DB"/>
    <w:rsid w:val="44C33916"/>
    <w:rsid w:val="44C47537"/>
    <w:rsid w:val="44CB1108"/>
    <w:rsid w:val="44CC3808"/>
    <w:rsid w:val="44CD14E0"/>
    <w:rsid w:val="44D2549D"/>
    <w:rsid w:val="44D2693A"/>
    <w:rsid w:val="44D47746"/>
    <w:rsid w:val="44D556DF"/>
    <w:rsid w:val="44DB4707"/>
    <w:rsid w:val="44DC6038"/>
    <w:rsid w:val="44DD0E3B"/>
    <w:rsid w:val="44DE7C4F"/>
    <w:rsid w:val="44E16B7D"/>
    <w:rsid w:val="44E4041B"/>
    <w:rsid w:val="44E92DA3"/>
    <w:rsid w:val="44EA03B3"/>
    <w:rsid w:val="44EB6A7B"/>
    <w:rsid w:val="44EB7D02"/>
    <w:rsid w:val="44ED5522"/>
    <w:rsid w:val="44ED72D0"/>
    <w:rsid w:val="44EF656B"/>
    <w:rsid w:val="44F20B0B"/>
    <w:rsid w:val="44F543D6"/>
    <w:rsid w:val="44F81BAD"/>
    <w:rsid w:val="44F85C75"/>
    <w:rsid w:val="4504461A"/>
    <w:rsid w:val="45050ABD"/>
    <w:rsid w:val="45052509"/>
    <w:rsid w:val="45094A73"/>
    <w:rsid w:val="450D34CE"/>
    <w:rsid w:val="450F618C"/>
    <w:rsid w:val="45107462"/>
    <w:rsid w:val="451231DA"/>
    <w:rsid w:val="45126D36"/>
    <w:rsid w:val="451A329F"/>
    <w:rsid w:val="451C490C"/>
    <w:rsid w:val="45210F50"/>
    <w:rsid w:val="45244CBC"/>
    <w:rsid w:val="45264590"/>
    <w:rsid w:val="452B429C"/>
    <w:rsid w:val="452E1696"/>
    <w:rsid w:val="452E5F4C"/>
    <w:rsid w:val="452F78E8"/>
    <w:rsid w:val="45303661"/>
    <w:rsid w:val="453054C5"/>
    <w:rsid w:val="45337098"/>
    <w:rsid w:val="4535577E"/>
    <w:rsid w:val="45375398"/>
    <w:rsid w:val="453D3C88"/>
    <w:rsid w:val="453E3FCF"/>
    <w:rsid w:val="4542375F"/>
    <w:rsid w:val="454F7F8B"/>
    <w:rsid w:val="45505841"/>
    <w:rsid w:val="45507898"/>
    <w:rsid w:val="45523BF8"/>
    <w:rsid w:val="45542E15"/>
    <w:rsid w:val="45570670"/>
    <w:rsid w:val="45570BED"/>
    <w:rsid w:val="455874F5"/>
    <w:rsid w:val="455D76AC"/>
    <w:rsid w:val="455E024A"/>
    <w:rsid w:val="455E1F7C"/>
    <w:rsid w:val="45603F46"/>
    <w:rsid w:val="45605CF4"/>
    <w:rsid w:val="45612018"/>
    <w:rsid w:val="4561381A"/>
    <w:rsid w:val="4563537F"/>
    <w:rsid w:val="45667082"/>
    <w:rsid w:val="4568104C"/>
    <w:rsid w:val="45682157"/>
    <w:rsid w:val="45690BEA"/>
    <w:rsid w:val="456962E2"/>
    <w:rsid w:val="456E5B41"/>
    <w:rsid w:val="457050EE"/>
    <w:rsid w:val="4574179F"/>
    <w:rsid w:val="45774DEB"/>
    <w:rsid w:val="457A0247"/>
    <w:rsid w:val="457E261E"/>
    <w:rsid w:val="457F0FBD"/>
    <w:rsid w:val="457F2762"/>
    <w:rsid w:val="4582210E"/>
    <w:rsid w:val="458319E2"/>
    <w:rsid w:val="4585533A"/>
    <w:rsid w:val="458946E9"/>
    <w:rsid w:val="458D0AB3"/>
    <w:rsid w:val="458F482B"/>
    <w:rsid w:val="458F65D9"/>
    <w:rsid w:val="459040FF"/>
    <w:rsid w:val="459177FB"/>
    <w:rsid w:val="45921C25"/>
    <w:rsid w:val="45941C60"/>
    <w:rsid w:val="4597452C"/>
    <w:rsid w:val="45977B3E"/>
    <w:rsid w:val="45997458"/>
    <w:rsid w:val="459C0CF6"/>
    <w:rsid w:val="459D60E3"/>
    <w:rsid w:val="459D644F"/>
    <w:rsid w:val="459E05CA"/>
    <w:rsid w:val="459E59D6"/>
    <w:rsid w:val="45A47C0E"/>
    <w:rsid w:val="45A831F7"/>
    <w:rsid w:val="45A858ED"/>
    <w:rsid w:val="45AB0A76"/>
    <w:rsid w:val="45AB166D"/>
    <w:rsid w:val="45AB2CE7"/>
    <w:rsid w:val="45AC0F39"/>
    <w:rsid w:val="45AC22C5"/>
    <w:rsid w:val="45B44292"/>
    <w:rsid w:val="45B9587B"/>
    <w:rsid w:val="45BF6731"/>
    <w:rsid w:val="45C2011D"/>
    <w:rsid w:val="45C42175"/>
    <w:rsid w:val="45C53DA9"/>
    <w:rsid w:val="45C75919"/>
    <w:rsid w:val="45C97056"/>
    <w:rsid w:val="45CA13BF"/>
    <w:rsid w:val="45CA29C9"/>
    <w:rsid w:val="45CA7611"/>
    <w:rsid w:val="45CE5353"/>
    <w:rsid w:val="45D16BF2"/>
    <w:rsid w:val="45D43FEC"/>
    <w:rsid w:val="45D73ADC"/>
    <w:rsid w:val="45D86F40"/>
    <w:rsid w:val="45DB537A"/>
    <w:rsid w:val="45DE30BD"/>
    <w:rsid w:val="45E00BE3"/>
    <w:rsid w:val="45E10677"/>
    <w:rsid w:val="45E16709"/>
    <w:rsid w:val="45E2495B"/>
    <w:rsid w:val="45E5444B"/>
    <w:rsid w:val="45E618D3"/>
    <w:rsid w:val="45EA4D1E"/>
    <w:rsid w:val="45EC202F"/>
    <w:rsid w:val="45ED3BAB"/>
    <w:rsid w:val="45ED68FD"/>
    <w:rsid w:val="45EE645E"/>
    <w:rsid w:val="45F8417E"/>
    <w:rsid w:val="45F91449"/>
    <w:rsid w:val="45FA3B4D"/>
    <w:rsid w:val="45FB5A1D"/>
    <w:rsid w:val="45FB744E"/>
    <w:rsid w:val="45FB77CB"/>
    <w:rsid w:val="45FC6754"/>
    <w:rsid w:val="45FF4DA6"/>
    <w:rsid w:val="460074D7"/>
    <w:rsid w:val="46020B59"/>
    <w:rsid w:val="46035E4B"/>
    <w:rsid w:val="4609638B"/>
    <w:rsid w:val="460A2104"/>
    <w:rsid w:val="460B7B64"/>
    <w:rsid w:val="460C5E7C"/>
    <w:rsid w:val="460D3124"/>
    <w:rsid w:val="460D74FE"/>
    <w:rsid w:val="460F14C8"/>
    <w:rsid w:val="460F3276"/>
    <w:rsid w:val="460F771A"/>
    <w:rsid w:val="461031B1"/>
    <w:rsid w:val="46115240"/>
    <w:rsid w:val="46120993"/>
    <w:rsid w:val="4613720A"/>
    <w:rsid w:val="4614088C"/>
    <w:rsid w:val="46146ADE"/>
    <w:rsid w:val="46160AA8"/>
    <w:rsid w:val="46184820"/>
    <w:rsid w:val="461E53A0"/>
    <w:rsid w:val="461F5BB7"/>
    <w:rsid w:val="46250CEB"/>
    <w:rsid w:val="46266A8D"/>
    <w:rsid w:val="462A00B0"/>
    <w:rsid w:val="462C207A"/>
    <w:rsid w:val="462D194E"/>
    <w:rsid w:val="462E7BA0"/>
    <w:rsid w:val="463158E2"/>
    <w:rsid w:val="4633732F"/>
    <w:rsid w:val="46345A58"/>
    <w:rsid w:val="46357180"/>
    <w:rsid w:val="463571CF"/>
    <w:rsid w:val="46364CA7"/>
    <w:rsid w:val="46365271"/>
    <w:rsid w:val="46386C71"/>
    <w:rsid w:val="46396545"/>
    <w:rsid w:val="463A6822"/>
    <w:rsid w:val="46407634"/>
    <w:rsid w:val="46431172"/>
    <w:rsid w:val="46470102"/>
    <w:rsid w:val="464A2ED4"/>
    <w:rsid w:val="464F7B16"/>
    <w:rsid w:val="4651388E"/>
    <w:rsid w:val="46547828"/>
    <w:rsid w:val="4657171F"/>
    <w:rsid w:val="46577FD6"/>
    <w:rsid w:val="46583C34"/>
    <w:rsid w:val="46584C1D"/>
    <w:rsid w:val="465B3E17"/>
    <w:rsid w:val="465D75AF"/>
    <w:rsid w:val="465F0D84"/>
    <w:rsid w:val="465F5FAB"/>
    <w:rsid w:val="466435C2"/>
    <w:rsid w:val="46651425"/>
    <w:rsid w:val="4669507C"/>
    <w:rsid w:val="4670640B"/>
    <w:rsid w:val="46712183"/>
    <w:rsid w:val="46715CDF"/>
    <w:rsid w:val="46730A43"/>
    <w:rsid w:val="467557CF"/>
    <w:rsid w:val="46764E6B"/>
    <w:rsid w:val="4677165D"/>
    <w:rsid w:val="467A2DE5"/>
    <w:rsid w:val="467B090B"/>
    <w:rsid w:val="46810DEF"/>
    <w:rsid w:val="468477C0"/>
    <w:rsid w:val="46853538"/>
    <w:rsid w:val="46862ED8"/>
    <w:rsid w:val="46873754"/>
    <w:rsid w:val="468974CC"/>
    <w:rsid w:val="468B4FF2"/>
    <w:rsid w:val="468E063F"/>
    <w:rsid w:val="46935C55"/>
    <w:rsid w:val="469B2D5C"/>
    <w:rsid w:val="469F284C"/>
    <w:rsid w:val="46A63C5C"/>
    <w:rsid w:val="46A66819"/>
    <w:rsid w:val="46A83CD3"/>
    <w:rsid w:val="46AB7F57"/>
    <w:rsid w:val="46AF4534"/>
    <w:rsid w:val="46B06807"/>
    <w:rsid w:val="46B11B10"/>
    <w:rsid w:val="46B207D1"/>
    <w:rsid w:val="46B61944"/>
    <w:rsid w:val="46BB51AC"/>
    <w:rsid w:val="46BC1F6E"/>
    <w:rsid w:val="46BC33FE"/>
    <w:rsid w:val="46BE36AC"/>
    <w:rsid w:val="46BF5B55"/>
    <w:rsid w:val="46C37A38"/>
    <w:rsid w:val="46C60E54"/>
    <w:rsid w:val="46C706EC"/>
    <w:rsid w:val="46C8576D"/>
    <w:rsid w:val="46D324F5"/>
    <w:rsid w:val="46D63D94"/>
    <w:rsid w:val="46D803F0"/>
    <w:rsid w:val="46D83FB0"/>
    <w:rsid w:val="46D87B0C"/>
    <w:rsid w:val="46D92B01"/>
    <w:rsid w:val="46D955A7"/>
    <w:rsid w:val="46E11B42"/>
    <w:rsid w:val="46E464B1"/>
    <w:rsid w:val="46E530D6"/>
    <w:rsid w:val="46EA38FD"/>
    <w:rsid w:val="46EB3BA2"/>
    <w:rsid w:val="46EB3CE3"/>
    <w:rsid w:val="46ED1809"/>
    <w:rsid w:val="46EF78ED"/>
    <w:rsid w:val="46F30DEA"/>
    <w:rsid w:val="46F34946"/>
    <w:rsid w:val="46F44804"/>
    <w:rsid w:val="46F967D2"/>
    <w:rsid w:val="46FA2178"/>
    <w:rsid w:val="46FB6394"/>
    <w:rsid w:val="46FC7C9E"/>
    <w:rsid w:val="46FD7572"/>
    <w:rsid w:val="46FF5F5D"/>
    <w:rsid w:val="4701171E"/>
    <w:rsid w:val="47040901"/>
    <w:rsid w:val="470471FE"/>
    <w:rsid w:val="47054B16"/>
    <w:rsid w:val="47064679"/>
    <w:rsid w:val="4707219F"/>
    <w:rsid w:val="470A358E"/>
    <w:rsid w:val="470D3C59"/>
    <w:rsid w:val="470E5757"/>
    <w:rsid w:val="470E5B90"/>
    <w:rsid w:val="471104BE"/>
    <w:rsid w:val="4712301E"/>
    <w:rsid w:val="47133957"/>
    <w:rsid w:val="47136D96"/>
    <w:rsid w:val="47174AD8"/>
    <w:rsid w:val="47181916"/>
    <w:rsid w:val="471C4279"/>
    <w:rsid w:val="471F283E"/>
    <w:rsid w:val="47215957"/>
    <w:rsid w:val="472626DF"/>
    <w:rsid w:val="47290367"/>
    <w:rsid w:val="472E597E"/>
    <w:rsid w:val="472F1E22"/>
    <w:rsid w:val="47305B9A"/>
    <w:rsid w:val="473236C0"/>
    <w:rsid w:val="47347438"/>
    <w:rsid w:val="47356D0C"/>
    <w:rsid w:val="4736312B"/>
    <w:rsid w:val="47394A4E"/>
    <w:rsid w:val="473A4323"/>
    <w:rsid w:val="473E2065"/>
    <w:rsid w:val="473F33F0"/>
    <w:rsid w:val="473F7F0B"/>
    <w:rsid w:val="47431B6E"/>
    <w:rsid w:val="47462CC7"/>
    <w:rsid w:val="47476D25"/>
    <w:rsid w:val="47496364"/>
    <w:rsid w:val="474A6C5C"/>
    <w:rsid w:val="474B29D4"/>
    <w:rsid w:val="474E7DCE"/>
    <w:rsid w:val="474F4272"/>
    <w:rsid w:val="47523D62"/>
    <w:rsid w:val="47571378"/>
    <w:rsid w:val="475950F1"/>
    <w:rsid w:val="475A6773"/>
    <w:rsid w:val="475C073D"/>
    <w:rsid w:val="475F022D"/>
    <w:rsid w:val="475F6759"/>
    <w:rsid w:val="47602215"/>
    <w:rsid w:val="4760647F"/>
    <w:rsid w:val="4767397A"/>
    <w:rsid w:val="476B5F3C"/>
    <w:rsid w:val="47722C72"/>
    <w:rsid w:val="47723ABC"/>
    <w:rsid w:val="47734ABD"/>
    <w:rsid w:val="47755E5D"/>
    <w:rsid w:val="477A04E8"/>
    <w:rsid w:val="477C2B8D"/>
    <w:rsid w:val="47811F51"/>
    <w:rsid w:val="47835CCA"/>
    <w:rsid w:val="478411E2"/>
    <w:rsid w:val="47872AB8"/>
    <w:rsid w:val="478A34FC"/>
    <w:rsid w:val="478A7058"/>
    <w:rsid w:val="4791488A"/>
    <w:rsid w:val="4796140A"/>
    <w:rsid w:val="4796605A"/>
    <w:rsid w:val="47990A9D"/>
    <w:rsid w:val="4799729B"/>
    <w:rsid w:val="479A7464"/>
    <w:rsid w:val="479C72AC"/>
    <w:rsid w:val="479E0D55"/>
    <w:rsid w:val="479F672B"/>
    <w:rsid w:val="47A07E0C"/>
    <w:rsid w:val="47A420CF"/>
    <w:rsid w:val="47A619B8"/>
    <w:rsid w:val="47AF2F63"/>
    <w:rsid w:val="47B57E4D"/>
    <w:rsid w:val="47B642F1"/>
    <w:rsid w:val="47B93E38"/>
    <w:rsid w:val="47BB36B5"/>
    <w:rsid w:val="47BC11DC"/>
    <w:rsid w:val="47BC639D"/>
    <w:rsid w:val="47BE08DE"/>
    <w:rsid w:val="47C14A44"/>
    <w:rsid w:val="47C4007E"/>
    <w:rsid w:val="47C50090"/>
    <w:rsid w:val="47C562E2"/>
    <w:rsid w:val="47C63E08"/>
    <w:rsid w:val="47C71B4E"/>
    <w:rsid w:val="47C744A7"/>
    <w:rsid w:val="47C9785B"/>
    <w:rsid w:val="47CA1B4A"/>
    <w:rsid w:val="47CB7671"/>
    <w:rsid w:val="47CD0BC3"/>
    <w:rsid w:val="47CD163B"/>
    <w:rsid w:val="47CF5D30"/>
    <w:rsid w:val="47D227AD"/>
    <w:rsid w:val="47D77DC3"/>
    <w:rsid w:val="47D93B3C"/>
    <w:rsid w:val="47DB3D58"/>
    <w:rsid w:val="47DE6D13"/>
    <w:rsid w:val="47E250E6"/>
    <w:rsid w:val="47E2796E"/>
    <w:rsid w:val="47E32732"/>
    <w:rsid w:val="47E6777F"/>
    <w:rsid w:val="47E76DB2"/>
    <w:rsid w:val="47E837E0"/>
    <w:rsid w:val="47E86474"/>
    <w:rsid w:val="47EB386F"/>
    <w:rsid w:val="47EE4239"/>
    <w:rsid w:val="47EF335F"/>
    <w:rsid w:val="47F40975"/>
    <w:rsid w:val="47F646ED"/>
    <w:rsid w:val="47FA3CDB"/>
    <w:rsid w:val="4800731A"/>
    <w:rsid w:val="480212E4"/>
    <w:rsid w:val="48030BB8"/>
    <w:rsid w:val="48054931"/>
    <w:rsid w:val="48074B4D"/>
    <w:rsid w:val="48082673"/>
    <w:rsid w:val="480C2163"/>
    <w:rsid w:val="480D3043"/>
    <w:rsid w:val="48103FB8"/>
    <w:rsid w:val="481642D2"/>
    <w:rsid w:val="48184F10"/>
    <w:rsid w:val="4819662E"/>
    <w:rsid w:val="48254EA1"/>
    <w:rsid w:val="48276410"/>
    <w:rsid w:val="482E20D9"/>
    <w:rsid w:val="482E33A4"/>
    <w:rsid w:val="48357040"/>
    <w:rsid w:val="48375306"/>
    <w:rsid w:val="483B65A4"/>
    <w:rsid w:val="483D40CA"/>
    <w:rsid w:val="483E5A6A"/>
    <w:rsid w:val="483E6094"/>
    <w:rsid w:val="48410CB9"/>
    <w:rsid w:val="4844695D"/>
    <w:rsid w:val="48480CC1"/>
    <w:rsid w:val="48497FAC"/>
    <w:rsid w:val="484B2B4E"/>
    <w:rsid w:val="484D62D8"/>
    <w:rsid w:val="484E4529"/>
    <w:rsid w:val="48531B40"/>
    <w:rsid w:val="48535370"/>
    <w:rsid w:val="48547666"/>
    <w:rsid w:val="4856518C"/>
    <w:rsid w:val="48573D47"/>
    <w:rsid w:val="485756B9"/>
    <w:rsid w:val="48581183"/>
    <w:rsid w:val="48623B31"/>
    <w:rsid w:val="48643D4D"/>
    <w:rsid w:val="48651873"/>
    <w:rsid w:val="48656065"/>
    <w:rsid w:val="48657AC5"/>
    <w:rsid w:val="48693111"/>
    <w:rsid w:val="486A26B5"/>
    <w:rsid w:val="486F44A0"/>
    <w:rsid w:val="4870272E"/>
    <w:rsid w:val="48727CE8"/>
    <w:rsid w:val="48742828"/>
    <w:rsid w:val="48783354"/>
    <w:rsid w:val="487970CD"/>
    <w:rsid w:val="487B2E45"/>
    <w:rsid w:val="487E46E3"/>
    <w:rsid w:val="488520C4"/>
    <w:rsid w:val="488A12DA"/>
    <w:rsid w:val="488A59FA"/>
    <w:rsid w:val="488C5052"/>
    <w:rsid w:val="488E2B78"/>
    <w:rsid w:val="48967C7F"/>
    <w:rsid w:val="489932CB"/>
    <w:rsid w:val="489A151D"/>
    <w:rsid w:val="489D100D"/>
    <w:rsid w:val="48A04659"/>
    <w:rsid w:val="48A336E9"/>
    <w:rsid w:val="48A42047"/>
    <w:rsid w:val="48A43788"/>
    <w:rsid w:val="48A44149"/>
    <w:rsid w:val="48A44C18"/>
    <w:rsid w:val="48A73C3A"/>
    <w:rsid w:val="48A7756B"/>
    <w:rsid w:val="48A91760"/>
    <w:rsid w:val="48A94357"/>
    <w:rsid w:val="48AA4862"/>
    <w:rsid w:val="48AB3C02"/>
    <w:rsid w:val="48AF2AEE"/>
    <w:rsid w:val="48B32931"/>
    <w:rsid w:val="48B63E7D"/>
    <w:rsid w:val="48B9571B"/>
    <w:rsid w:val="48BB050C"/>
    <w:rsid w:val="48BF4A4F"/>
    <w:rsid w:val="48C60564"/>
    <w:rsid w:val="48C91E02"/>
    <w:rsid w:val="48CB3E5F"/>
    <w:rsid w:val="48CC7A48"/>
    <w:rsid w:val="48CE27E2"/>
    <w:rsid w:val="48CF1280"/>
    <w:rsid w:val="48CF281A"/>
    <w:rsid w:val="48D013E2"/>
    <w:rsid w:val="48D26885"/>
    <w:rsid w:val="48D36555"/>
    <w:rsid w:val="48D82045"/>
    <w:rsid w:val="48D87CB6"/>
    <w:rsid w:val="48DA7B6B"/>
    <w:rsid w:val="48DB1B35"/>
    <w:rsid w:val="48DB38E3"/>
    <w:rsid w:val="48DC74B2"/>
    <w:rsid w:val="48DD765B"/>
    <w:rsid w:val="48DE3578"/>
    <w:rsid w:val="48E409EA"/>
    <w:rsid w:val="48E55C21"/>
    <w:rsid w:val="48E629B4"/>
    <w:rsid w:val="48E704DA"/>
    <w:rsid w:val="48E924A4"/>
    <w:rsid w:val="48E94252"/>
    <w:rsid w:val="48E96000"/>
    <w:rsid w:val="48F52BF7"/>
    <w:rsid w:val="48FD70CE"/>
    <w:rsid w:val="48FF75D2"/>
    <w:rsid w:val="4904108C"/>
    <w:rsid w:val="49050213"/>
    <w:rsid w:val="49060BED"/>
    <w:rsid w:val="490B241B"/>
    <w:rsid w:val="490C346C"/>
    <w:rsid w:val="490E11BC"/>
    <w:rsid w:val="49105C83"/>
    <w:rsid w:val="49134D90"/>
    <w:rsid w:val="49143AAF"/>
    <w:rsid w:val="49162202"/>
    <w:rsid w:val="49165FF0"/>
    <w:rsid w:val="49172B6D"/>
    <w:rsid w:val="49177011"/>
    <w:rsid w:val="491868E5"/>
    <w:rsid w:val="491A0CE9"/>
    <w:rsid w:val="491A440C"/>
    <w:rsid w:val="491C63D6"/>
    <w:rsid w:val="491F7C74"/>
    <w:rsid w:val="49226B2C"/>
    <w:rsid w:val="49267254"/>
    <w:rsid w:val="492E2C7C"/>
    <w:rsid w:val="493557E4"/>
    <w:rsid w:val="49380D36"/>
    <w:rsid w:val="49391ED9"/>
    <w:rsid w:val="493C4382"/>
    <w:rsid w:val="494476DB"/>
    <w:rsid w:val="49463453"/>
    <w:rsid w:val="49470F79"/>
    <w:rsid w:val="494728D7"/>
    <w:rsid w:val="49493ABC"/>
    <w:rsid w:val="49496A9F"/>
    <w:rsid w:val="494D47E1"/>
    <w:rsid w:val="49536F62"/>
    <w:rsid w:val="49543DC1"/>
    <w:rsid w:val="495517A9"/>
    <w:rsid w:val="49570F78"/>
    <w:rsid w:val="495C2C76"/>
    <w:rsid w:val="4961028C"/>
    <w:rsid w:val="49625D9E"/>
    <w:rsid w:val="49667651"/>
    <w:rsid w:val="4967354F"/>
    <w:rsid w:val="49690EEF"/>
    <w:rsid w:val="496A5F78"/>
    <w:rsid w:val="496B2C2B"/>
    <w:rsid w:val="496D3367"/>
    <w:rsid w:val="496F0BFB"/>
    <w:rsid w:val="497003A2"/>
    <w:rsid w:val="49747FC0"/>
    <w:rsid w:val="49787384"/>
    <w:rsid w:val="497C6E74"/>
    <w:rsid w:val="4981092F"/>
    <w:rsid w:val="49825B85"/>
    <w:rsid w:val="49831FB1"/>
    <w:rsid w:val="49836455"/>
    <w:rsid w:val="4985641B"/>
    <w:rsid w:val="49882955"/>
    <w:rsid w:val="498A77E3"/>
    <w:rsid w:val="498B5309"/>
    <w:rsid w:val="498B7596"/>
    <w:rsid w:val="498C7C51"/>
    <w:rsid w:val="498E0956"/>
    <w:rsid w:val="498E392B"/>
    <w:rsid w:val="49902920"/>
    <w:rsid w:val="49936769"/>
    <w:rsid w:val="49970D05"/>
    <w:rsid w:val="499A554C"/>
    <w:rsid w:val="499F2B63"/>
    <w:rsid w:val="49A34401"/>
    <w:rsid w:val="49A346C1"/>
    <w:rsid w:val="49A5689E"/>
    <w:rsid w:val="49A62143"/>
    <w:rsid w:val="49A62736"/>
    <w:rsid w:val="49A633E6"/>
    <w:rsid w:val="49A95B72"/>
    <w:rsid w:val="49AA19C3"/>
    <w:rsid w:val="49AA39E1"/>
    <w:rsid w:val="49AB59AC"/>
    <w:rsid w:val="49AC5A24"/>
    <w:rsid w:val="49AD5280"/>
    <w:rsid w:val="49B02FC2"/>
    <w:rsid w:val="49B473F0"/>
    <w:rsid w:val="49BE56DF"/>
    <w:rsid w:val="49BE748D"/>
    <w:rsid w:val="49C02953"/>
    <w:rsid w:val="49C0532A"/>
    <w:rsid w:val="49C10D2B"/>
    <w:rsid w:val="49C148E8"/>
    <w:rsid w:val="49CD63B7"/>
    <w:rsid w:val="49D24CE6"/>
    <w:rsid w:val="49D27196"/>
    <w:rsid w:val="49D410FE"/>
    <w:rsid w:val="49D62A28"/>
    <w:rsid w:val="49DA3B9B"/>
    <w:rsid w:val="49DA50C7"/>
    <w:rsid w:val="49DC3654"/>
    <w:rsid w:val="49DC532A"/>
    <w:rsid w:val="49DC7715"/>
    <w:rsid w:val="49DD60C4"/>
    <w:rsid w:val="49DE098A"/>
    <w:rsid w:val="49E16736"/>
    <w:rsid w:val="49E43AED"/>
    <w:rsid w:val="49E44725"/>
    <w:rsid w:val="49E54A1A"/>
    <w:rsid w:val="49ED1B20"/>
    <w:rsid w:val="49EE71F2"/>
    <w:rsid w:val="49EF479F"/>
    <w:rsid w:val="49EF714E"/>
    <w:rsid w:val="49F0166F"/>
    <w:rsid w:val="49F21375"/>
    <w:rsid w:val="49F40F24"/>
    <w:rsid w:val="49F44C5D"/>
    <w:rsid w:val="49F616CF"/>
    <w:rsid w:val="49F904C5"/>
    <w:rsid w:val="49FA46A4"/>
    <w:rsid w:val="49FB2932"/>
    <w:rsid w:val="49FD6207"/>
    <w:rsid w:val="4A023139"/>
    <w:rsid w:val="4A0431D8"/>
    <w:rsid w:val="4A05519F"/>
    <w:rsid w:val="4A064990"/>
    <w:rsid w:val="4A070E34"/>
    <w:rsid w:val="4A080708"/>
    <w:rsid w:val="4A081189"/>
    <w:rsid w:val="4A084FAB"/>
    <w:rsid w:val="4A0A26D2"/>
    <w:rsid w:val="4A0A4480"/>
    <w:rsid w:val="4A0C170B"/>
    <w:rsid w:val="4A0D3C67"/>
    <w:rsid w:val="4A0F187A"/>
    <w:rsid w:val="4A17094B"/>
    <w:rsid w:val="4A172E6A"/>
    <w:rsid w:val="4A1D0657"/>
    <w:rsid w:val="4A1D6412"/>
    <w:rsid w:val="4A235542"/>
    <w:rsid w:val="4A266DE0"/>
    <w:rsid w:val="4A271167"/>
    <w:rsid w:val="4A2757D9"/>
    <w:rsid w:val="4A2A68D0"/>
    <w:rsid w:val="4A2C089A"/>
    <w:rsid w:val="4A2F3EE7"/>
    <w:rsid w:val="4A331C29"/>
    <w:rsid w:val="4A341372"/>
    <w:rsid w:val="4A3634C7"/>
    <w:rsid w:val="4A3A309A"/>
    <w:rsid w:val="4A3D2AA8"/>
    <w:rsid w:val="4A4060F4"/>
    <w:rsid w:val="4A424125"/>
    <w:rsid w:val="4A431740"/>
    <w:rsid w:val="4A450EF1"/>
    <w:rsid w:val="4A477482"/>
    <w:rsid w:val="4A4A0D21"/>
    <w:rsid w:val="4A4A397E"/>
    <w:rsid w:val="4A4A7897"/>
    <w:rsid w:val="4A4C6B5E"/>
    <w:rsid w:val="4A4D79EF"/>
    <w:rsid w:val="4A4F76FC"/>
    <w:rsid w:val="4A5472C5"/>
    <w:rsid w:val="4A565917"/>
    <w:rsid w:val="4A590F64"/>
    <w:rsid w:val="4A5971B6"/>
    <w:rsid w:val="4A5D6CA6"/>
    <w:rsid w:val="4A5F68A6"/>
    <w:rsid w:val="4A62606A"/>
    <w:rsid w:val="4A631DE2"/>
    <w:rsid w:val="4A637BF1"/>
    <w:rsid w:val="4A68428B"/>
    <w:rsid w:val="4A6B76DF"/>
    <w:rsid w:val="4A6E0EB3"/>
    <w:rsid w:val="4A6E355A"/>
    <w:rsid w:val="4A7101BF"/>
    <w:rsid w:val="4A7638C4"/>
    <w:rsid w:val="4A797DE0"/>
    <w:rsid w:val="4A7A09A5"/>
    <w:rsid w:val="4A7B576F"/>
    <w:rsid w:val="4A7D2EA4"/>
    <w:rsid w:val="4A7E7653"/>
    <w:rsid w:val="4A851D59"/>
    <w:rsid w:val="4A8561FD"/>
    <w:rsid w:val="4A860215"/>
    <w:rsid w:val="4A875AD1"/>
    <w:rsid w:val="4A884CDB"/>
    <w:rsid w:val="4A89557F"/>
    <w:rsid w:val="4A8F4985"/>
    <w:rsid w:val="4A9401EE"/>
    <w:rsid w:val="4A954692"/>
    <w:rsid w:val="4A957EA7"/>
    <w:rsid w:val="4A963F66"/>
    <w:rsid w:val="4A993A56"/>
    <w:rsid w:val="4A9B77CE"/>
    <w:rsid w:val="4A9E2E1A"/>
    <w:rsid w:val="4A9F106C"/>
    <w:rsid w:val="4AA04DE4"/>
    <w:rsid w:val="4AA258AB"/>
    <w:rsid w:val="4AA5064D"/>
    <w:rsid w:val="4AAB57B2"/>
    <w:rsid w:val="4AAD5C72"/>
    <w:rsid w:val="4AAE7501"/>
    <w:rsid w:val="4AB0624D"/>
    <w:rsid w:val="4AB12B4E"/>
    <w:rsid w:val="4AB341A3"/>
    <w:rsid w:val="4AB368C6"/>
    <w:rsid w:val="4AB53802"/>
    <w:rsid w:val="4AB56AE2"/>
    <w:rsid w:val="4AB60BE8"/>
    <w:rsid w:val="4AB64608"/>
    <w:rsid w:val="4ABA40F8"/>
    <w:rsid w:val="4ABD5996"/>
    <w:rsid w:val="4ABD7E17"/>
    <w:rsid w:val="4ABE5084"/>
    <w:rsid w:val="4ABF170F"/>
    <w:rsid w:val="4AC11E88"/>
    <w:rsid w:val="4AC52021"/>
    <w:rsid w:val="4AC5484B"/>
    <w:rsid w:val="4AC705C3"/>
    <w:rsid w:val="4AC9433B"/>
    <w:rsid w:val="4AC94B13"/>
    <w:rsid w:val="4ACA1E61"/>
    <w:rsid w:val="4ACC5BD9"/>
    <w:rsid w:val="4ACD773E"/>
    <w:rsid w:val="4AD16A07"/>
    <w:rsid w:val="4AD239F8"/>
    <w:rsid w:val="4AD54A8E"/>
    <w:rsid w:val="4AD625B4"/>
    <w:rsid w:val="4AD827D0"/>
    <w:rsid w:val="4AD8457E"/>
    <w:rsid w:val="4ADA02F6"/>
    <w:rsid w:val="4ADB7BCB"/>
    <w:rsid w:val="4ADD30F4"/>
    <w:rsid w:val="4AE271AB"/>
    <w:rsid w:val="4AE5022F"/>
    <w:rsid w:val="4AE747C1"/>
    <w:rsid w:val="4AE83CF7"/>
    <w:rsid w:val="4AEA35A3"/>
    <w:rsid w:val="4AEC627C"/>
    <w:rsid w:val="4AED62CD"/>
    <w:rsid w:val="4AEE082A"/>
    <w:rsid w:val="4AEE5B50"/>
    <w:rsid w:val="4AEE78FE"/>
    <w:rsid w:val="4AEF3676"/>
    <w:rsid w:val="4AF018C8"/>
    <w:rsid w:val="4AF33E07"/>
    <w:rsid w:val="4AF561A9"/>
    <w:rsid w:val="4AF8077D"/>
    <w:rsid w:val="4AFA62A3"/>
    <w:rsid w:val="4AFB201B"/>
    <w:rsid w:val="4AFE0ADC"/>
    <w:rsid w:val="4B0435C5"/>
    <w:rsid w:val="4B04591D"/>
    <w:rsid w:val="4B0C5FD6"/>
    <w:rsid w:val="4B101F6A"/>
    <w:rsid w:val="4B1530DD"/>
    <w:rsid w:val="4B1650A7"/>
    <w:rsid w:val="4B1732F9"/>
    <w:rsid w:val="4B182BCD"/>
    <w:rsid w:val="4B237CC8"/>
    <w:rsid w:val="4B261567"/>
    <w:rsid w:val="4B2C48CA"/>
    <w:rsid w:val="4B2E419E"/>
    <w:rsid w:val="4B2E49B8"/>
    <w:rsid w:val="4B3612A5"/>
    <w:rsid w:val="4B3653F0"/>
    <w:rsid w:val="4B3A1029"/>
    <w:rsid w:val="4B3A2B43"/>
    <w:rsid w:val="4B3D152D"/>
    <w:rsid w:val="4B3D33F4"/>
    <w:rsid w:val="4B3D3F04"/>
    <w:rsid w:val="4B3F63AB"/>
    <w:rsid w:val="4B4022CA"/>
    <w:rsid w:val="4B413ED2"/>
    <w:rsid w:val="4B4340EE"/>
    <w:rsid w:val="4B4439C2"/>
    <w:rsid w:val="4B46598C"/>
    <w:rsid w:val="4B475260"/>
    <w:rsid w:val="4B492A9E"/>
    <w:rsid w:val="4B4A0085"/>
    <w:rsid w:val="4B4B5F5B"/>
    <w:rsid w:val="4B4C2876"/>
    <w:rsid w:val="4B4C724E"/>
    <w:rsid w:val="4B4E4840"/>
    <w:rsid w:val="4B505D3D"/>
    <w:rsid w:val="4B5A047D"/>
    <w:rsid w:val="4B5A6D8C"/>
    <w:rsid w:val="4B5C1243"/>
    <w:rsid w:val="4B5D5DFC"/>
    <w:rsid w:val="4B5D6832"/>
    <w:rsid w:val="4B6202EC"/>
    <w:rsid w:val="4B634BCE"/>
    <w:rsid w:val="4B6420F0"/>
    <w:rsid w:val="4B6A478C"/>
    <w:rsid w:val="4B6A6739"/>
    <w:rsid w:val="4B700C5B"/>
    <w:rsid w:val="4B702A09"/>
    <w:rsid w:val="4B736055"/>
    <w:rsid w:val="4B751DCD"/>
    <w:rsid w:val="4B78366B"/>
    <w:rsid w:val="4B797B0F"/>
    <w:rsid w:val="4B7A73E4"/>
    <w:rsid w:val="4B7E4E3D"/>
    <w:rsid w:val="4B82457A"/>
    <w:rsid w:val="4B83098E"/>
    <w:rsid w:val="4B840262"/>
    <w:rsid w:val="4B842010"/>
    <w:rsid w:val="4B8464B4"/>
    <w:rsid w:val="4B86222C"/>
    <w:rsid w:val="4B864CE2"/>
    <w:rsid w:val="4B8D4055"/>
    <w:rsid w:val="4B8F4F65"/>
    <w:rsid w:val="4B9009B5"/>
    <w:rsid w:val="4B91372E"/>
    <w:rsid w:val="4B92472D"/>
    <w:rsid w:val="4B9412FA"/>
    <w:rsid w:val="4B944949"/>
    <w:rsid w:val="4B9506C1"/>
    <w:rsid w:val="4B951D5D"/>
    <w:rsid w:val="4BA225C9"/>
    <w:rsid w:val="4BA250F5"/>
    <w:rsid w:val="4BA31A3D"/>
    <w:rsid w:val="4BA33E21"/>
    <w:rsid w:val="4BA426B2"/>
    <w:rsid w:val="4BA83F51"/>
    <w:rsid w:val="4BA96C16"/>
    <w:rsid w:val="4BA97CC9"/>
    <w:rsid w:val="4BAD5A0B"/>
    <w:rsid w:val="4BB004C3"/>
    <w:rsid w:val="4BB01057"/>
    <w:rsid w:val="4BB072A9"/>
    <w:rsid w:val="4BB23021"/>
    <w:rsid w:val="4BB87F0C"/>
    <w:rsid w:val="4BC04BF0"/>
    <w:rsid w:val="4BC52D55"/>
    <w:rsid w:val="4BC6087B"/>
    <w:rsid w:val="4BC87E8A"/>
    <w:rsid w:val="4BC92119"/>
    <w:rsid w:val="4BC9738F"/>
    <w:rsid w:val="4BCE0684"/>
    <w:rsid w:val="4BCF1B14"/>
    <w:rsid w:val="4BD42F98"/>
    <w:rsid w:val="4BDA60D4"/>
    <w:rsid w:val="4BDB0077"/>
    <w:rsid w:val="4BE331DB"/>
    <w:rsid w:val="4BE34F89"/>
    <w:rsid w:val="4BE43FEB"/>
    <w:rsid w:val="4BE62CCB"/>
    <w:rsid w:val="4BE96317"/>
    <w:rsid w:val="4BEC220B"/>
    <w:rsid w:val="4BEF5E60"/>
    <w:rsid w:val="4BF002D9"/>
    <w:rsid w:val="4BF41EFF"/>
    <w:rsid w:val="4BF47196"/>
    <w:rsid w:val="4BF76C86"/>
    <w:rsid w:val="4BFB1AF4"/>
    <w:rsid w:val="4BFC429C"/>
    <w:rsid w:val="4BFC604B"/>
    <w:rsid w:val="4BFE7762"/>
    <w:rsid w:val="4BFF5B3B"/>
    <w:rsid w:val="4C063F47"/>
    <w:rsid w:val="4C07336D"/>
    <w:rsid w:val="4C0B2731"/>
    <w:rsid w:val="4C0D1737"/>
    <w:rsid w:val="4C0E4751"/>
    <w:rsid w:val="4C0F2222"/>
    <w:rsid w:val="4C1311A1"/>
    <w:rsid w:val="4C194C25"/>
    <w:rsid w:val="4C1B2975"/>
    <w:rsid w:val="4C1C049B"/>
    <w:rsid w:val="4C216B38"/>
    <w:rsid w:val="4C225705"/>
    <w:rsid w:val="4C2555A1"/>
    <w:rsid w:val="4C261319"/>
    <w:rsid w:val="4C2A0E0A"/>
    <w:rsid w:val="4C2D08FA"/>
    <w:rsid w:val="4C2E0815"/>
    <w:rsid w:val="4C3158E1"/>
    <w:rsid w:val="4C324162"/>
    <w:rsid w:val="4C325F10"/>
    <w:rsid w:val="4C3305A7"/>
    <w:rsid w:val="4C3363FD"/>
    <w:rsid w:val="4C3677AE"/>
    <w:rsid w:val="4C3A6B73"/>
    <w:rsid w:val="4C417F01"/>
    <w:rsid w:val="4C4330EE"/>
    <w:rsid w:val="4C433C79"/>
    <w:rsid w:val="4C4355DD"/>
    <w:rsid w:val="4C4461CA"/>
    <w:rsid w:val="4C4A0649"/>
    <w:rsid w:val="4C4D4AF8"/>
    <w:rsid w:val="4C4F5DFC"/>
    <w:rsid w:val="4C4F6AC2"/>
    <w:rsid w:val="4C523EBC"/>
    <w:rsid w:val="4C532C97"/>
    <w:rsid w:val="4C5C2F8D"/>
    <w:rsid w:val="4C6360CA"/>
    <w:rsid w:val="4C667968"/>
    <w:rsid w:val="4C6836E0"/>
    <w:rsid w:val="4C6C31D0"/>
    <w:rsid w:val="4C750F36"/>
    <w:rsid w:val="4C7701C6"/>
    <w:rsid w:val="4C771B75"/>
    <w:rsid w:val="4C77479A"/>
    <w:rsid w:val="4C7809BE"/>
    <w:rsid w:val="4C7958ED"/>
    <w:rsid w:val="4C7C333F"/>
    <w:rsid w:val="4C7E5BDC"/>
    <w:rsid w:val="4C7E5ECA"/>
    <w:rsid w:val="4C800A2A"/>
    <w:rsid w:val="4C8147A2"/>
    <w:rsid w:val="4C87561C"/>
    <w:rsid w:val="4C87625C"/>
    <w:rsid w:val="4C876AA5"/>
    <w:rsid w:val="4C8D3147"/>
    <w:rsid w:val="4C9024BC"/>
    <w:rsid w:val="4C9170DB"/>
    <w:rsid w:val="4C9345C9"/>
    <w:rsid w:val="4C9B3AB5"/>
    <w:rsid w:val="4C9C46EC"/>
    <w:rsid w:val="4C9C7A97"/>
    <w:rsid w:val="4CA010CC"/>
    <w:rsid w:val="4CAA3CF8"/>
    <w:rsid w:val="4CAC7A71"/>
    <w:rsid w:val="4CAD2284"/>
    <w:rsid w:val="4CAD520D"/>
    <w:rsid w:val="4CAF0315"/>
    <w:rsid w:val="4CB00F4B"/>
    <w:rsid w:val="4CB306A6"/>
    <w:rsid w:val="4CB9218D"/>
    <w:rsid w:val="4CB95930"/>
    <w:rsid w:val="4CBB7CB4"/>
    <w:rsid w:val="4CBC08E9"/>
    <w:rsid w:val="4CBC202A"/>
    <w:rsid w:val="4CBE77A4"/>
    <w:rsid w:val="4CC0176E"/>
    <w:rsid w:val="4CC4300C"/>
    <w:rsid w:val="4CC748AA"/>
    <w:rsid w:val="4CCA6149"/>
    <w:rsid w:val="4CD07C03"/>
    <w:rsid w:val="4CD45888"/>
    <w:rsid w:val="4CD51254"/>
    <w:rsid w:val="4CD670AC"/>
    <w:rsid w:val="4CD7218F"/>
    <w:rsid w:val="4CD86AB8"/>
    <w:rsid w:val="4CDD40CE"/>
    <w:rsid w:val="4CE0596C"/>
    <w:rsid w:val="4CE23D45"/>
    <w:rsid w:val="4CE4720A"/>
    <w:rsid w:val="4CE76CFB"/>
    <w:rsid w:val="4CE775B6"/>
    <w:rsid w:val="4CE90CC5"/>
    <w:rsid w:val="4CE916F9"/>
    <w:rsid w:val="4CEA67EB"/>
    <w:rsid w:val="4CF3615A"/>
    <w:rsid w:val="4CF45FCD"/>
    <w:rsid w:val="4CFA34FA"/>
    <w:rsid w:val="4D007DBC"/>
    <w:rsid w:val="4D0478AD"/>
    <w:rsid w:val="4D057181"/>
    <w:rsid w:val="4D0865E5"/>
    <w:rsid w:val="4D0A4797"/>
    <w:rsid w:val="4D0E00FB"/>
    <w:rsid w:val="4D0E072B"/>
    <w:rsid w:val="4D12010F"/>
    <w:rsid w:val="4D124AA0"/>
    <w:rsid w:val="4D134694"/>
    <w:rsid w:val="4D1473C4"/>
    <w:rsid w:val="4D153868"/>
    <w:rsid w:val="4D16138E"/>
    <w:rsid w:val="4D1675E0"/>
    <w:rsid w:val="4D176606"/>
    <w:rsid w:val="4D1B69A4"/>
    <w:rsid w:val="4D1C5366"/>
    <w:rsid w:val="4D1D02CA"/>
    <w:rsid w:val="4D20220D"/>
    <w:rsid w:val="4D203FBB"/>
    <w:rsid w:val="4D2049CE"/>
    <w:rsid w:val="4D2060F9"/>
    <w:rsid w:val="4D227D33"/>
    <w:rsid w:val="4D243AAB"/>
    <w:rsid w:val="4D257B59"/>
    <w:rsid w:val="4D2717ED"/>
    <w:rsid w:val="4D2910C1"/>
    <w:rsid w:val="4D2A3D24"/>
    <w:rsid w:val="4D2E27D5"/>
    <w:rsid w:val="4D3006A2"/>
    <w:rsid w:val="4D330192"/>
    <w:rsid w:val="4D3406A9"/>
    <w:rsid w:val="4D340DE7"/>
    <w:rsid w:val="4D3857A8"/>
    <w:rsid w:val="4D386321"/>
    <w:rsid w:val="4D3A1520"/>
    <w:rsid w:val="4D3A32CE"/>
    <w:rsid w:val="4D3B7BA3"/>
    <w:rsid w:val="4D411751"/>
    <w:rsid w:val="4D447CA9"/>
    <w:rsid w:val="4D4715BB"/>
    <w:rsid w:val="4D4717AD"/>
    <w:rsid w:val="4D4759EB"/>
    <w:rsid w:val="4D4B54DB"/>
    <w:rsid w:val="4D4C4DB0"/>
    <w:rsid w:val="4D4F20EA"/>
    <w:rsid w:val="4D514F25"/>
    <w:rsid w:val="4D52686A"/>
    <w:rsid w:val="4D551EB6"/>
    <w:rsid w:val="4D564CCD"/>
    <w:rsid w:val="4D597921"/>
    <w:rsid w:val="4D597AF4"/>
    <w:rsid w:val="4D5B24DB"/>
    <w:rsid w:val="4D5C3245"/>
    <w:rsid w:val="4D5D0D6B"/>
    <w:rsid w:val="4D605507"/>
    <w:rsid w:val="4D6640C3"/>
    <w:rsid w:val="4D665E71"/>
    <w:rsid w:val="4D6A264C"/>
    <w:rsid w:val="4D713F6A"/>
    <w:rsid w:val="4D7367E0"/>
    <w:rsid w:val="4D764DF5"/>
    <w:rsid w:val="4D783DF7"/>
    <w:rsid w:val="4D7A63D4"/>
    <w:rsid w:val="4D7B7443"/>
    <w:rsid w:val="4D7E06A1"/>
    <w:rsid w:val="4D807F18"/>
    <w:rsid w:val="4D811409"/>
    <w:rsid w:val="4D8207D1"/>
    <w:rsid w:val="4D826A23"/>
    <w:rsid w:val="4D8602C2"/>
    <w:rsid w:val="4D891B60"/>
    <w:rsid w:val="4D893E01"/>
    <w:rsid w:val="4D8B58D8"/>
    <w:rsid w:val="4D8C6A55"/>
    <w:rsid w:val="4D8E62C6"/>
    <w:rsid w:val="4D8E7176"/>
    <w:rsid w:val="4D9046D4"/>
    <w:rsid w:val="4D92310A"/>
    <w:rsid w:val="4D926C66"/>
    <w:rsid w:val="4D933FA7"/>
    <w:rsid w:val="4D93478D"/>
    <w:rsid w:val="4D951C92"/>
    <w:rsid w:val="4D96288E"/>
    <w:rsid w:val="4D962BA8"/>
    <w:rsid w:val="4D9A361B"/>
    <w:rsid w:val="4D9A5B1B"/>
    <w:rsid w:val="4D9A7089"/>
    <w:rsid w:val="4DA5062D"/>
    <w:rsid w:val="4DA50D3D"/>
    <w:rsid w:val="4DA649A6"/>
    <w:rsid w:val="4DA92202"/>
    <w:rsid w:val="4DAB1FDE"/>
    <w:rsid w:val="4DB5659D"/>
    <w:rsid w:val="4DBD1158"/>
    <w:rsid w:val="4DBE5CAD"/>
    <w:rsid w:val="4DBF37D4"/>
    <w:rsid w:val="4DC1754C"/>
    <w:rsid w:val="4DC34779"/>
    <w:rsid w:val="4DC43013"/>
    <w:rsid w:val="4DC55756"/>
    <w:rsid w:val="4DC62DB4"/>
    <w:rsid w:val="4DCC28BC"/>
    <w:rsid w:val="4DCD321F"/>
    <w:rsid w:val="4DCE24B1"/>
    <w:rsid w:val="4DCF1001"/>
    <w:rsid w:val="4DD23507"/>
    <w:rsid w:val="4DD74FC1"/>
    <w:rsid w:val="4DD92AE7"/>
    <w:rsid w:val="4DDA685F"/>
    <w:rsid w:val="4DDF3E76"/>
    <w:rsid w:val="4DE4148C"/>
    <w:rsid w:val="4DE65204"/>
    <w:rsid w:val="4DE90850"/>
    <w:rsid w:val="4DEA01BB"/>
    <w:rsid w:val="4DEC0901"/>
    <w:rsid w:val="4DEC4FB0"/>
    <w:rsid w:val="4DED6593"/>
    <w:rsid w:val="4DF17328"/>
    <w:rsid w:val="4DF23BA9"/>
    <w:rsid w:val="4DF67695"/>
    <w:rsid w:val="4DFA7BDD"/>
    <w:rsid w:val="4DFD4457"/>
    <w:rsid w:val="4DFF6CE0"/>
    <w:rsid w:val="4E016FBE"/>
    <w:rsid w:val="4E0303EB"/>
    <w:rsid w:val="4E0458D0"/>
    <w:rsid w:val="4E075D8A"/>
    <w:rsid w:val="4E0A0EF3"/>
    <w:rsid w:val="4E0B08F5"/>
    <w:rsid w:val="4E0F6509"/>
    <w:rsid w:val="4E10402F"/>
    <w:rsid w:val="4E140649"/>
    <w:rsid w:val="4E196AE7"/>
    <w:rsid w:val="4E1F4272"/>
    <w:rsid w:val="4E222E26"/>
    <w:rsid w:val="4E2E44B5"/>
    <w:rsid w:val="4E313EBB"/>
    <w:rsid w:val="4E391C70"/>
    <w:rsid w:val="4E3E294A"/>
    <w:rsid w:val="4E404914"/>
    <w:rsid w:val="4E4071E9"/>
    <w:rsid w:val="4E41068C"/>
    <w:rsid w:val="4E41243B"/>
    <w:rsid w:val="4E434405"/>
    <w:rsid w:val="4E467A51"/>
    <w:rsid w:val="4E4837C9"/>
    <w:rsid w:val="4E4A7541"/>
    <w:rsid w:val="4E4B73C9"/>
    <w:rsid w:val="4E4C663D"/>
    <w:rsid w:val="4E4D0DDF"/>
    <w:rsid w:val="4E4F3CFF"/>
    <w:rsid w:val="4E516B8F"/>
    <w:rsid w:val="4E517BEB"/>
    <w:rsid w:val="4E555EE6"/>
    <w:rsid w:val="4E5B79A0"/>
    <w:rsid w:val="4E5F20B3"/>
    <w:rsid w:val="4E606D65"/>
    <w:rsid w:val="4E616C98"/>
    <w:rsid w:val="4E677966"/>
    <w:rsid w:val="4E726A98"/>
    <w:rsid w:val="4E77396D"/>
    <w:rsid w:val="4E7747B9"/>
    <w:rsid w:val="4E7C3473"/>
    <w:rsid w:val="4E816515"/>
    <w:rsid w:val="4E8318C2"/>
    <w:rsid w:val="4E8558CB"/>
    <w:rsid w:val="4E895320"/>
    <w:rsid w:val="4E8A3172"/>
    <w:rsid w:val="4E8A526D"/>
    <w:rsid w:val="4E8A5B90"/>
    <w:rsid w:val="4E8C0A1A"/>
    <w:rsid w:val="4E8C5DAC"/>
    <w:rsid w:val="4E8D38D2"/>
    <w:rsid w:val="4E8F13F8"/>
    <w:rsid w:val="4E9204C2"/>
    <w:rsid w:val="4E93713A"/>
    <w:rsid w:val="4E944C60"/>
    <w:rsid w:val="4E966494"/>
    <w:rsid w:val="4E984407"/>
    <w:rsid w:val="4E9B1B4B"/>
    <w:rsid w:val="4E9E788D"/>
    <w:rsid w:val="4EA07034"/>
    <w:rsid w:val="4EA16178"/>
    <w:rsid w:val="4EA21AFA"/>
    <w:rsid w:val="4EA22802"/>
    <w:rsid w:val="4EA2305D"/>
    <w:rsid w:val="4EA529C9"/>
    <w:rsid w:val="4EA61E71"/>
    <w:rsid w:val="4EA656A4"/>
    <w:rsid w:val="4EA71A11"/>
    <w:rsid w:val="4EA74993"/>
    <w:rsid w:val="4EAD1FC2"/>
    <w:rsid w:val="4EAD7AD0"/>
    <w:rsid w:val="4EAE2AF7"/>
    <w:rsid w:val="4EB250E6"/>
    <w:rsid w:val="4EB26E94"/>
    <w:rsid w:val="4EB42C0C"/>
    <w:rsid w:val="4EB470B0"/>
    <w:rsid w:val="4EB8094F"/>
    <w:rsid w:val="4EB8182E"/>
    <w:rsid w:val="4EBB02D6"/>
    <w:rsid w:val="4EBB3F9B"/>
    <w:rsid w:val="4EBC7D13"/>
    <w:rsid w:val="4EBE1CDD"/>
    <w:rsid w:val="4EC00FAD"/>
    <w:rsid w:val="4EC310A1"/>
    <w:rsid w:val="4EC31B43"/>
    <w:rsid w:val="4EC35503"/>
    <w:rsid w:val="4EC372F3"/>
    <w:rsid w:val="4EC45545"/>
    <w:rsid w:val="4EC5306C"/>
    <w:rsid w:val="4EC70B92"/>
    <w:rsid w:val="4ECA0294"/>
    <w:rsid w:val="4ECA0682"/>
    <w:rsid w:val="4ECD50FC"/>
    <w:rsid w:val="4ED212E5"/>
    <w:rsid w:val="4ED41501"/>
    <w:rsid w:val="4ED67027"/>
    <w:rsid w:val="4ED817CF"/>
    <w:rsid w:val="4EDB63EB"/>
    <w:rsid w:val="4EDD03B5"/>
    <w:rsid w:val="4EDE412D"/>
    <w:rsid w:val="4EE21ECA"/>
    <w:rsid w:val="4EE31744"/>
    <w:rsid w:val="4EE472BB"/>
    <w:rsid w:val="4EE57EFD"/>
    <w:rsid w:val="4EE65CA2"/>
    <w:rsid w:val="4EE71234"/>
    <w:rsid w:val="4EEC684A"/>
    <w:rsid w:val="4EF240AB"/>
    <w:rsid w:val="4EF31987"/>
    <w:rsid w:val="4EF5249C"/>
    <w:rsid w:val="4EF63CCC"/>
    <w:rsid w:val="4EF70D4B"/>
    <w:rsid w:val="4EFA4BA2"/>
    <w:rsid w:val="4EFB54AB"/>
    <w:rsid w:val="4EFD0A57"/>
    <w:rsid w:val="4EFE1926"/>
    <w:rsid w:val="4F03505F"/>
    <w:rsid w:val="4F057E34"/>
    <w:rsid w:val="4F0771E0"/>
    <w:rsid w:val="4F0911AA"/>
    <w:rsid w:val="4F0973FC"/>
    <w:rsid w:val="4F0A1409"/>
    <w:rsid w:val="4F0B3174"/>
    <w:rsid w:val="4F0E056F"/>
    <w:rsid w:val="4F0E4A13"/>
    <w:rsid w:val="4F147B4F"/>
    <w:rsid w:val="4F172A54"/>
    <w:rsid w:val="4F1B24A1"/>
    <w:rsid w:val="4F1D4C56"/>
    <w:rsid w:val="4F1E452A"/>
    <w:rsid w:val="4F236B9F"/>
    <w:rsid w:val="4F2521BC"/>
    <w:rsid w:val="4F2A1121"/>
    <w:rsid w:val="4F2B14B1"/>
    <w:rsid w:val="4F2E36A3"/>
    <w:rsid w:val="4F2E6E63"/>
    <w:rsid w:val="4F302BDB"/>
    <w:rsid w:val="4F321F41"/>
    <w:rsid w:val="4F351F9F"/>
    <w:rsid w:val="4F367AC5"/>
    <w:rsid w:val="4F3855EC"/>
    <w:rsid w:val="4F3A75B6"/>
    <w:rsid w:val="4F3D0E54"/>
    <w:rsid w:val="4F4156B3"/>
    <w:rsid w:val="4F4331C8"/>
    <w:rsid w:val="4F451D18"/>
    <w:rsid w:val="4F451EFA"/>
    <w:rsid w:val="4F477F24"/>
    <w:rsid w:val="4F4A531F"/>
    <w:rsid w:val="4F4E4E0F"/>
    <w:rsid w:val="4F4F0EDF"/>
    <w:rsid w:val="4F4F2935"/>
    <w:rsid w:val="4F530677"/>
    <w:rsid w:val="4F534BF8"/>
    <w:rsid w:val="4F55619D"/>
    <w:rsid w:val="4F561F16"/>
    <w:rsid w:val="4F5876FA"/>
    <w:rsid w:val="4F587A3C"/>
    <w:rsid w:val="4F5D5052"/>
    <w:rsid w:val="4F6247EF"/>
    <w:rsid w:val="4F726EEE"/>
    <w:rsid w:val="4F732AC8"/>
    <w:rsid w:val="4F756CE0"/>
    <w:rsid w:val="4F7C5E20"/>
    <w:rsid w:val="4F7D18FC"/>
    <w:rsid w:val="4F7D3946"/>
    <w:rsid w:val="4F841E1C"/>
    <w:rsid w:val="4F8C5937"/>
    <w:rsid w:val="4F8C5EB6"/>
    <w:rsid w:val="4F8E16AF"/>
    <w:rsid w:val="4F9013AC"/>
    <w:rsid w:val="4F9066DE"/>
    <w:rsid w:val="4F927998"/>
    <w:rsid w:val="4F9843DC"/>
    <w:rsid w:val="4F99748F"/>
    <w:rsid w:val="4F9A44F8"/>
    <w:rsid w:val="4F9E5CA1"/>
    <w:rsid w:val="4FA445A2"/>
    <w:rsid w:val="4FA52BBC"/>
    <w:rsid w:val="4FA62E9D"/>
    <w:rsid w:val="4FAC7D88"/>
    <w:rsid w:val="4FAD422B"/>
    <w:rsid w:val="4FAD7940"/>
    <w:rsid w:val="4FAE1D52"/>
    <w:rsid w:val="4FAE58AE"/>
    <w:rsid w:val="4FAF7D00"/>
    <w:rsid w:val="4FB64D53"/>
    <w:rsid w:val="4FB72A18"/>
    <w:rsid w:val="4FBA06F6"/>
    <w:rsid w:val="4FBC0F82"/>
    <w:rsid w:val="4FBC7983"/>
    <w:rsid w:val="4FBD1F95"/>
    <w:rsid w:val="4FBE01E7"/>
    <w:rsid w:val="4FC13833"/>
    <w:rsid w:val="4FC62A8C"/>
    <w:rsid w:val="4FC652ED"/>
    <w:rsid w:val="4FD04FFB"/>
    <w:rsid w:val="4FD317B8"/>
    <w:rsid w:val="4FD47919"/>
    <w:rsid w:val="4FD55309"/>
    <w:rsid w:val="4FD55EC5"/>
    <w:rsid w:val="4FD95020"/>
    <w:rsid w:val="4FDC026A"/>
    <w:rsid w:val="4FE20F0D"/>
    <w:rsid w:val="4FE259D4"/>
    <w:rsid w:val="4FE34C57"/>
    <w:rsid w:val="4FE51552"/>
    <w:rsid w:val="4FE548CF"/>
    <w:rsid w:val="4FE63299"/>
    <w:rsid w:val="4FE703B6"/>
    <w:rsid w:val="4FE70901"/>
    <w:rsid w:val="4FE70DC0"/>
    <w:rsid w:val="4FE90FDC"/>
    <w:rsid w:val="4FEB6B02"/>
    <w:rsid w:val="4FEE214E"/>
    <w:rsid w:val="4FF27E90"/>
    <w:rsid w:val="4FF37764"/>
    <w:rsid w:val="4FF44F30"/>
    <w:rsid w:val="4FF82006"/>
    <w:rsid w:val="4FFC114C"/>
    <w:rsid w:val="4FFC1FDF"/>
    <w:rsid w:val="4FFE4A87"/>
    <w:rsid w:val="4FFF262E"/>
    <w:rsid w:val="4FFF435B"/>
    <w:rsid w:val="50011E81"/>
    <w:rsid w:val="50036CCC"/>
    <w:rsid w:val="50055E16"/>
    <w:rsid w:val="50067073"/>
    <w:rsid w:val="500A3750"/>
    <w:rsid w:val="500F1E9D"/>
    <w:rsid w:val="500F3523"/>
    <w:rsid w:val="501222E0"/>
    <w:rsid w:val="50137E07"/>
    <w:rsid w:val="50143DFC"/>
    <w:rsid w:val="50151DD1"/>
    <w:rsid w:val="502344EE"/>
    <w:rsid w:val="50267B3A"/>
    <w:rsid w:val="502703CB"/>
    <w:rsid w:val="5028092C"/>
    <w:rsid w:val="502B186C"/>
    <w:rsid w:val="502B5150"/>
    <w:rsid w:val="502B6EFE"/>
    <w:rsid w:val="502F0EBD"/>
    <w:rsid w:val="502F2E92"/>
    <w:rsid w:val="502F4C40"/>
    <w:rsid w:val="50324731"/>
    <w:rsid w:val="50325C0E"/>
    <w:rsid w:val="50342253"/>
    <w:rsid w:val="503867CE"/>
    <w:rsid w:val="503A5393"/>
    <w:rsid w:val="503C7D20"/>
    <w:rsid w:val="50414974"/>
    <w:rsid w:val="504A0BE3"/>
    <w:rsid w:val="504A262F"/>
    <w:rsid w:val="504B134F"/>
    <w:rsid w:val="504B5922"/>
    <w:rsid w:val="504D156B"/>
    <w:rsid w:val="50504C4B"/>
    <w:rsid w:val="5052092F"/>
    <w:rsid w:val="50597B99"/>
    <w:rsid w:val="505D62EE"/>
    <w:rsid w:val="505E1082"/>
    <w:rsid w:val="505E652B"/>
    <w:rsid w:val="505E72D4"/>
    <w:rsid w:val="505F4DFA"/>
    <w:rsid w:val="5060129E"/>
    <w:rsid w:val="50612B13"/>
    <w:rsid w:val="50642410"/>
    <w:rsid w:val="5065500F"/>
    <w:rsid w:val="506614EF"/>
    <w:rsid w:val="50670742"/>
    <w:rsid w:val="506803D7"/>
    <w:rsid w:val="5068416B"/>
    <w:rsid w:val="506D39BB"/>
    <w:rsid w:val="506D5769"/>
    <w:rsid w:val="50707007"/>
    <w:rsid w:val="50713B40"/>
    <w:rsid w:val="50724B2D"/>
    <w:rsid w:val="5072711E"/>
    <w:rsid w:val="50732DC6"/>
    <w:rsid w:val="5074270E"/>
    <w:rsid w:val="50744D49"/>
    <w:rsid w:val="507765E7"/>
    <w:rsid w:val="507D6851"/>
    <w:rsid w:val="507D703B"/>
    <w:rsid w:val="507E34D2"/>
    <w:rsid w:val="508A022C"/>
    <w:rsid w:val="508C2093"/>
    <w:rsid w:val="508D557C"/>
    <w:rsid w:val="508F3931"/>
    <w:rsid w:val="50903205"/>
    <w:rsid w:val="50923421"/>
    <w:rsid w:val="50930868"/>
    <w:rsid w:val="50940F47"/>
    <w:rsid w:val="50947199"/>
    <w:rsid w:val="50960C3F"/>
    <w:rsid w:val="509C1BAA"/>
    <w:rsid w:val="509C6E7C"/>
    <w:rsid w:val="509E1DC6"/>
    <w:rsid w:val="50A13664"/>
    <w:rsid w:val="50A17AF8"/>
    <w:rsid w:val="50A218B6"/>
    <w:rsid w:val="50A849F3"/>
    <w:rsid w:val="50AD025B"/>
    <w:rsid w:val="50AD4ADD"/>
    <w:rsid w:val="50B05655"/>
    <w:rsid w:val="50B11AF9"/>
    <w:rsid w:val="50B25016"/>
    <w:rsid w:val="50B25872"/>
    <w:rsid w:val="50B404AC"/>
    <w:rsid w:val="50B83B8E"/>
    <w:rsid w:val="50BD049E"/>
    <w:rsid w:val="50C07DA5"/>
    <w:rsid w:val="50C2369D"/>
    <w:rsid w:val="50C51101"/>
    <w:rsid w:val="50C75131"/>
    <w:rsid w:val="50CF01D2"/>
    <w:rsid w:val="50CF3D2E"/>
    <w:rsid w:val="50CF70D0"/>
    <w:rsid w:val="50D61560"/>
    <w:rsid w:val="50D61AAB"/>
    <w:rsid w:val="50D73CCD"/>
    <w:rsid w:val="50D740F5"/>
    <w:rsid w:val="50D746FF"/>
    <w:rsid w:val="50D9308F"/>
    <w:rsid w:val="50DA2246"/>
    <w:rsid w:val="50DB26D2"/>
    <w:rsid w:val="50DB61AA"/>
    <w:rsid w:val="50E04873"/>
    <w:rsid w:val="50E76A22"/>
    <w:rsid w:val="50EF2622"/>
    <w:rsid w:val="50F10148"/>
    <w:rsid w:val="50F419E6"/>
    <w:rsid w:val="50F6603F"/>
    <w:rsid w:val="50F978D6"/>
    <w:rsid w:val="50F97C41"/>
    <w:rsid w:val="510065DD"/>
    <w:rsid w:val="51024103"/>
    <w:rsid w:val="510440F8"/>
    <w:rsid w:val="51085492"/>
    <w:rsid w:val="510A66A0"/>
    <w:rsid w:val="510C4F82"/>
    <w:rsid w:val="510C6D30"/>
    <w:rsid w:val="510D6DB7"/>
    <w:rsid w:val="51131A35"/>
    <w:rsid w:val="51174C39"/>
    <w:rsid w:val="511856D5"/>
    <w:rsid w:val="511931FB"/>
    <w:rsid w:val="511A58F1"/>
    <w:rsid w:val="511B3417"/>
    <w:rsid w:val="511B692C"/>
    <w:rsid w:val="511B6F73"/>
    <w:rsid w:val="511E5BAC"/>
    <w:rsid w:val="51204589"/>
    <w:rsid w:val="51257DF2"/>
    <w:rsid w:val="512766CE"/>
    <w:rsid w:val="51292696"/>
    <w:rsid w:val="51312C3A"/>
    <w:rsid w:val="5139564B"/>
    <w:rsid w:val="513B13C3"/>
    <w:rsid w:val="513D338D"/>
    <w:rsid w:val="513D4CBA"/>
    <w:rsid w:val="513F0D1B"/>
    <w:rsid w:val="51414393"/>
    <w:rsid w:val="514C537E"/>
    <w:rsid w:val="514F0C83"/>
    <w:rsid w:val="514F30C0"/>
    <w:rsid w:val="51513922"/>
    <w:rsid w:val="51516E38"/>
    <w:rsid w:val="51542BC1"/>
    <w:rsid w:val="51557123"/>
    <w:rsid w:val="515626A1"/>
    <w:rsid w:val="51583D23"/>
    <w:rsid w:val="515D57DD"/>
    <w:rsid w:val="515F1555"/>
    <w:rsid w:val="51600E2A"/>
    <w:rsid w:val="5162104E"/>
    <w:rsid w:val="51667392"/>
    <w:rsid w:val="516923D4"/>
    <w:rsid w:val="516B614C"/>
    <w:rsid w:val="516E3547"/>
    <w:rsid w:val="51714DE5"/>
    <w:rsid w:val="517448D5"/>
    <w:rsid w:val="517E2B19"/>
    <w:rsid w:val="517F39A6"/>
    <w:rsid w:val="517F5754"/>
    <w:rsid w:val="5184720E"/>
    <w:rsid w:val="51864860"/>
    <w:rsid w:val="518B6549"/>
    <w:rsid w:val="518E1E3B"/>
    <w:rsid w:val="518E5997"/>
    <w:rsid w:val="51907347"/>
    <w:rsid w:val="5198674B"/>
    <w:rsid w:val="519A258E"/>
    <w:rsid w:val="519F4057"/>
    <w:rsid w:val="51A258E6"/>
    <w:rsid w:val="51A328EC"/>
    <w:rsid w:val="51A46F68"/>
    <w:rsid w:val="51A927D1"/>
    <w:rsid w:val="51A96C75"/>
    <w:rsid w:val="51AA02F7"/>
    <w:rsid w:val="51AC6190"/>
    <w:rsid w:val="51AD0819"/>
    <w:rsid w:val="51B00003"/>
    <w:rsid w:val="51B11685"/>
    <w:rsid w:val="51B42493"/>
    <w:rsid w:val="51B64EEE"/>
    <w:rsid w:val="51BA678C"/>
    <w:rsid w:val="51BD627C"/>
    <w:rsid w:val="51BF0246"/>
    <w:rsid w:val="51C04FDC"/>
    <w:rsid w:val="51C22291"/>
    <w:rsid w:val="51C40308"/>
    <w:rsid w:val="51C63383"/>
    <w:rsid w:val="51C67099"/>
    <w:rsid w:val="51C70EA9"/>
    <w:rsid w:val="51C87E3B"/>
    <w:rsid w:val="51CC64BF"/>
    <w:rsid w:val="51D3292F"/>
    <w:rsid w:val="51D75590"/>
    <w:rsid w:val="51DA5080"/>
    <w:rsid w:val="51DB6702"/>
    <w:rsid w:val="51DC0DF8"/>
    <w:rsid w:val="51E04CFD"/>
    <w:rsid w:val="51E11F6A"/>
    <w:rsid w:val="51E13E09"/>
    <w:rsid w:val="51E14F93"/>
    <w:rsid w:val="51E15477"/>
    <w:rsid w:val="51E25CE3"/>
    <w:rsid w:val="51E43809"/>
    <w:rsid w:val="51E67581"/>
    <w:rsid w:val="51E67A5F"/>
    <w:rsid w:val="51E952C3"/>
    <w:rsid w:val="51EB4B97"/>
    <w:rsid w:val="51F06651"/>
    <w:rsid w:val="51F548BE"/>
    <w:rsid w:val="51FE0D6E"/>
    <w:rsid w:val="51FE1F11"/>
    <w:rsid w:val="51FE2F14"/>
    <w:rsid w:val="51FF4845"/>
    <w:rsid w:val="51FF6894"/>
    <w:rsid w:val="52006BF7"/>
    <w:rsid w:val="5201260D"/>
    <w:rsid w:val="520619D1"/>
    <w:rsid w:val="52065E75"/>
    <w:rsid w:val="52075749"/>
    <w:rsid w:val="52081BED"/>
    <w:rsid w:val="520914C1"/>
    <w:rsid w:val="520926E1"/>
    <w:rsid w:val="520D7203"/>
    <w:rsid w:val="521045FE"/>
    <w:rsid w:val="5212481A"/>
    <w:rsid w:val="52157E66"/>
    <w:rsid w:val="52187956"/>
    <w:rsid w:val="521C0134"/>
    <w:rsid w:val="521E291B"/>
    <w:rsid w:val="521F0B5D"/>
    <w:rsid w:val="5221680B"/>
    <w:rsid w:val="522202F1"/>
    <w:rsid w:val="522307D5"/>
    <w:rsid w:val="522615D6"/>
    <w:rsid w:val="52287B99"/>
    <w:rsid w:val="522E0650"/>
    <w:rsid w:val="522E5D3A"/>
    <w:rsid w:val="522F2F08"/>
    <w:rsid w:val="522F452B"/>
    <w:rsid w:val="52311595"/>
    <w:rsid w:val="5233653E"/>
    <w:rsid w:val="52344790"/>
    <w:rsid w:val="52350508"/>
    <w:rsid w:val="523734C2"/>
    <w:rsid w:val="52374280"/>
    <w:rsid w:val="52392A3E"/>
    <w:rsid w:val="523A0144"/>
    <w:rsid w:val="523C1897"/>
    <w:rsid w:val="523D116B"/>
    <w:rsid w:val="52426781"/>
    <w:rsid w:val="52432C25"/>
    <w:rsid w:val="5248208F"/>
    <w:rsid w:val="52495D62"/>
    <w:rsid w:val="524D13AE"/>
    <w:rsid w:val="5253399E"/>
    <w:rsid w:val="52552958"/>
    <w:rsid w:val="52572AAC"/>
    <w:rsid w:val="52590AF6"/>
    <w:rsid w:val="525A1D1D"/>
    <w:rsid w:val="526606C2"/>
    <w:rsid w:val="52663350"/>
    <w:rsid w:val="52666914"/>
    <w:rsid w:val="526A01B2"/>
    <w:rsid w:val="526B3F2A"/>
    <w:rsid w:val="526D7CA2"/>
    <w:rsid w:val="52734B8D"/>
    <w:rsid w:val="52754DA9"/>
    <w:rsid w:val="527A18AD"/>
    <w:rsid w:val="527D2E90"/>
    <w:rsid w:val="527D306A"/>
    <w:rsid w:val="528079D5"/>
    <w:rsid w:val="528374C6"/>
    <w:rsid w:val="52877104"/>
    <w:rsid w:val="52887ADE"/>
    <w:rsid w:val="52892D6A"/>
    <w:rsid w:val="528A2602"/>
    <w:rsid w:val="528C45CC"/>
    <w:rsid w:val="528D17B3"/>
    <w:rsid w:val="528F1AA7"/>
    <w:rsid w:val="529214B7"/>
    <w:rsid w:val="52923C71"/>
    <w:rsid w:val="52946FDD"/>
    <w:rsid w:val="52950FA7"/>
    <w:rsid w:val="52972F71"/>
    <w:rsid w:val="52992845"/>
    <w:rsid w:val="529E1C09"/>
    <w:rsid w:val="52A1794C"/>
    <w:rsid w:val="52A76DF3"/>
    <w:rsid w:val="52A80CDA"/>
    <w:rsid w:val="52AB0355"/>
    <w:rsid w:val="52AC74B2"/>
    <w:rsid w:val="52AD3AD0"/>
    <w:rsid w:val="52B256B5"/>
    <w:rsid w:val="52B4190A"/>
    <w:rsid w:val="52B551A5"/>
    <w:rsid w:val="52B61649"/>
    <w:rsid w:val="52B700B6"/>
    <w:rsid w:val="52B92EE7"/>
    <w:rsid w:val="52BC67CA"/>
    <w:rsid w:val="52BE22AC"/>
    <w:rsid w:val="52C04276"/>
    <w:rsid w:val="52C13B4A"/>
    <w:rsid w:val="52C13D35"/>
    <w:rsid w:val="52C52554"/>
    <w:rsid w:val="52C5363A"/>
    <w:rsid w:val="52CA2DCE"/>
    <w:rsid w:val="52CA50F4"/>
    <w:rsid w:val="52D11560"/>
    <w:rsid w:val="52DA2D3A"/>
    <w:rsid w:val="52DE46FC"/>
    <w:rsid w:val="52E00474"/>
    <w:rsid w:val="52E361B6"/>
    <w:rsid w:val="52E43B5E"/>
    <w:rsid w:val="52E53CDC"/>
    <w:rsid w:val="52E77A54"/>
    <w:rsid w:val="52E977E7"/>
    <w:rsid w:val="52EA12F3"/>
    <w:rsid w:val="52EA30A1"/>
    <w:rsid w:val="52EB0768"/>
    <w:rsid w:val="52EF4B5B"/>
    <w:rsid w:val="52F21FDA"/>
    <w:rsid w:val="52F67C97"/>
    <w:rsid w:val="52F83A10"/>
    <w:rsid w:val="52F932E4"/>
    <w:rsid w:val="52FA076C"/>
    <w:rsid w:val="52FC2DD4"/>
    <w:rsid w:val="52FE4D9E"/>
    <w:rsid w:val="52FF1A0D"/>
    <w:rsid w:val="53004672"/>
    <w:rsid w:val="53005FD9"/>
    <w:rsid w:val="530213AC"/>
    <w:rsid w:val="53022F09"/>
    <w:rsid w:val="530443EF"/>
    <w:rsid w:val="53095690"/>
    <w:rsid w:val="530C74BB"/>
    <w:rsid w:val="530D4FE1"/>
    <w:rsid w:val="530D6D8F"/>
    <w:rsid w:val="531010D5"/>
    <w:rsid w:val="531445C2"/>
    <w:rsid w:val="531719BC"/>
    <w:rsid w:val="531766BB"/>
    <w:rsid w:val="531968C6"/>
    <w:rsid w:val="531E6AA4"/>
    <w:rsid w:val="53226CDE"/>
    <w:rsid w:val="53227D17"/>
    <w:rsid w:val="53230361"/>
    <w:rsid w:val="5325232B"/>
    <w:rsid w:val="532760A3"/>
    <w:rsid w:val="53281E1B"/>
    <w:rsid w:val="532837EA"/>
    <w:rsid w:val="532A16EF"/>
    <w:rsid w:val="532D4A8B"/>
    <w:rsid w:val="532F44C3"/>
    <w:rsid w:val="53312A7E"/>
    <w:rsid w:val="53314496"/>
    <w:rsid w:val="53332C9A"/>
    <w:rsid w:val="533407C0"/>
    <w:rsid w:val="5334431C"/>
    <w:rsid w:val="5339302E"/>
    <w:rsid w:val="533B1C60"/>
    <w:rsid w:val="533C1422"/>
    <w:rsid w:val="533D4D64"/>
    <w:rsid w:val="533F02EC"/>
    <w:rsid w:val="53412FA7"/>
    <w:rsid w:val="534E5504"/>
    <w:rsid w:val="534E5E76"/>
    <w:rsid w:val="534F5434"/>
    <w:rsid w:val="53511372"/>
    <w:rsid w:val="53530C46"/>
    <w:rsid w:val="5358625C"/>
    <w:rsid w:val="535B7AFB"/>
    <w:rsid w:val="535E4FF9"/>
    <w:rsid w:val="53607807"/>
    <w:rsid w:val="53620E89"/>
    <w:rsid w:val="536270DB"/>
    <w:rsid w:val="536410A5"/>
    <w:rsid w:val="53690469"/>
    <w:rsid w:val="536D782E"/>
    <w:rsid w:val="536E11E4"/>
    <w:rsid w:val="536F7A4A"/>
    <w:rsid w:val="537218B9"/>
    <w:rsid w:val="53733096"/>
    <w:rsid w:val="537961D3"/>
    <w:rsid w:val="537A08C9"/>
    <w:rsid w:val="537B019D"/>
    <w:rsid w:val="5382777D"/>
    <w:rsid w:val="53884502"/>
    <w:rsid w:val="53890B0C"/>
    <w:rsid w:val="53894668"/>
    <w:rsid w:val="5391176E"/>
    <w:rsid w:val="5393399B"/>
    <w:rsid w:val="539354E6"/>
    <w:rsid w:val="539618B2"/>
    <w:rsid w:val="53975EB4"/>
    <w:rsid w:val="53980D4F"/>
    <w:rsid w:val="53986FA1"/>
    <w:rsid w:val="539A6875"/>
    <w:rsid w:val="539B6A24"/>
    <w:rsid w:val="53A039CC"/>
    <w:rsid w:val="53A1505A"/>
    <w:rsid w:val="53A35B51"/>
    <w:rsid w:val="53AC47FA"/>
    <w:rsid w:val="53AF7B87"/>
    <w:rsid w:val="53B11E10"/>
    <w:rsid w:val="53B51901"/>
    <w:rsid w:val="53B65679"/>
    <w:rsid w:val="53B84B8B"/>
    <w:rsid w:val="53B86CFB"/>
    <w:rsid w:val="53B94568"/>
    <w:rsid w:val="53BA0CC5"/>
    <w:rsid w:val="53BB67EB"/>
    <w:rsid w:val="53BE040C"/>
    <w:rsid w:val="53BF452D"/>
    <w:rsid w:val="53C102A5"/>
    <w:rsid w:val="53C118F4"/>
    <w:rsid w:val="53C20146"/>
    <w:rsid w:val="53C25DCC"/>
    <w:rsid w:val="53C51418"/>
    <w:rsid w:val="53CE651E"/>
    <w:rsid w:val="53D12B16"/>
    <w:rsid w:val="53D130B9"/>
    <w:rsid w:val="53D34D69"/>
    <w:rsid w:val="53D76A77"/>
    <w:rsid w:val="53DB0C3B"/>
    <w:rsid w:val="53E126F6"/>
    <w:rsid w:val="53E2646E"/>
    <w:rsid w:val="53E72429"/>
    <w:rsid w:val="53E73A84"/>
    <w:rsid w:val="53E93358"/>
    <w:rsid w:val="53EB5322"/>
    <w:rsid w:val="53EC109A"/>
    <w:rsid w:val="53EE6BC1"/>
    <w:rsid w:val="53F046E7"/>
    <w:rsid w:val="53F2415E"/>
    <w:rsid w:val="53F52886"/>
    <w:rsid w:val="53FD0BB2"/>
    <w:rsid w:val="53FF2B7C"/>
    <w:rsid w:val="540463E4"/>
    <w:rsid w:val="5406215C"/>
    <w:rsid w:val="54063E08"/>
    <w:rsid w:val="54065CB8"/>
    <w:rsid w:val="54077C82"/>
    <w:rsid w:val="54085ED4"/>
    <w:rsid w:val="540A598F"/>
    <w:rsid w:val="5411465D"/>
    <w:rsid w:val="541224FD"/>
    <w:rsid w:val="5414112F"/>
    <w:rsid w:val="54181E8F"/>
    <w:rsid w:val="541859EC"/>
    <w:rsid w:val="541D6D49"/>
    <w:rsid w:val="541D74A6"/>
    <w:rsid w:val="54216F96"/>
    <w:rsid w:val="5422423A"/>
    <w:rsid w:val="54224ABC"/>
    <w:rsid w:val="54260108"/>
    <w:rsid w:val="54266814"/>
    <w:rsid w:val="54271911"/>
    <w:rsid w:val="54281AFA"/>
    <w:rsid w:val="5429409D"/>
    <w:rsid w:val="5429782F"/>
    <w:rsid w:val="54332825"/>
    <w:rsid w:val="543437E8"/>
    <w:rsid w:val="5435659E"/>
    <w:rsid w:val="543A0058"/>
    <w:rsid w:val="543A1E06"/>
    <w:rsid w:val="543B7420"/>
    <w:rsid w:val="543C5B7E"/>
    <w:rsid w:val="543F566E"/>
    <w:rsid w:val="5441553B"/>
    <w:rsid w:val="54444A33"/>
    <w:rsid w:val="54457F5D"/>
    <w:rsid w:val="5447015A"/>
    <w:rsid w:val="54490586"/>
    <w:rsid w:val="544C2743"/>
    <w:rsid w:val="544D38E7"/>
    <w:rsid w:val="544D47D2"/>
    <w:rsid w:val="545033D7"/>
    <w:rsid w:val="545509EE"/>
    <w:rsid w:val="54596730"/>
    <w:rsid w:val="545A4256"/>
    <w:rsid w:val="545F7ABE"/>
    <w:rsid w:val="54613836"/>
    <w:rsid w:val="5462443E"/>
    <w:rsid w:val="54680721"/>
    <w:rsid w:val="54696247"/>
    <w:rsid w:val="546D5D37"/>
    <w:rsid w:val="546E1AAF"/>
    <w:rsid w:val="5470546B"/>
    <w:rsid w:val="54727CED"/>
    <w:rsid w:val="54773E1A"/>
    <w:rsid w:val="54786129"/>
    <w:rsid w:val="547A21C6"/>
    <w:rsid w:val="547A27FF"/>
    <w:rsid w:val="547D1CF3"/>
    <w:rsid w:val="547E6196"/>
    <w:rsid w:val="5482532E"/>
    <w:rsid w:val="54836B1B"/>
    <w:rsid w:val="54837E9D"/>
    <w:rsid w:val="54872D45"/>
    <w:rsid w:val="54882B71"/>
    <w:rsid w:val="548C301C"/>
    <w:rsid w:val="548D226F"/>
    <w:rsid w:val="548E7BE3"/>
    <w:rsid w:val="5491381E"/>
    <w:rsid w:val="54922D09"/>
    <w:rsid w:val="549239F0"/>
    <w:rsid w:val="549A28A4"/>
    <w:rsid w:val="549A5BEB"/>
    <w:rsid w:val="549C486F"/>
    <w:rsid w:val="549C661D"/>
    <w:rsid w:val="549D1F36"/>
    <w:rsid w:val="54A019B1"/>
    <w:rsid w:val="54A744B1"/>
    <w:rsid w:val="54A878F4"/>
    <w:rsid w:val="54A92AE8"/>
    <w:rsid w:val="54AF021F"/>
    <w:rsid w:val="54B30FDA"/>
    <w:rsid w:val="54B46D2D"/>
    <w:rsid w:val="54B576DE"/>
    <w:rsid w:val="54B62991"/>
    <w:rsid w:val="54B908EF"/>
    <w:rsid w:val="54BC281B"/>
    <w:rsid w:val="54C14FA2"/>
    <w:rsid w:val="54C17950"/>
    <w:rsid w:val="54C31DFB"/>
    <w:rsid w:val="54C47921"/>
    <w:rsid w:val="54D03EEC"/>
    <w:rsid w:val="54D7298C"/>
    <w:rsid w:val="54D758A7"/>
    <w:rsid w:val="54D758DC"/>
    <w:rsid w:val="54D9161F"/>
    <w:rsid w:val="54D97871"/>
    <w:rsid w:val="54DB5397"/>
    <w:rsid w:val="54DC2EBD"/>
    <w:rsid w:val="54DC4C6B"/>
    <w:rsid w:val="54DE17A5"/>
    <w:rsid w:val="54E340AA"/>
    <w:rsid w:val="54E3424B"/>
    <w:rsid w:val="54E56216"/>
    <w:rsid w:val="54E562DE"/>
    <w:rsid w:val="54E62666"/>
    <w:rsid w:val="54EB4EAE"/>
    <w:rsid w:val="54EC02DE"/>
    <w:rsid w:val="54F00716"/>
    <w:rsid w:val="54F07237"/>
    <w:rsid w:val="54F226E1"/>
    <w:rsid w:val="54F46459"/>
    <w:rsid w:val="54F61C78"/>
    <w:rsid w:val="54F621EE"/>
    <w:rsid w:val="54F73313"/>
    <w:rsid w:val="54F80955"/>
    <w:rsid w:val="54F839CA"/>
    <w:rsid w:val="54FB3324"/>
    <w:rsid w:val="54FC355F"/>
    <w:rsid w:val="54FE2A13"/>
    <w:rsid w:val="55004DFD"/>
    <w:rsid w:val="550146D2"/>
    <w:rsid w:val="55067F3A"/>
    <w:rsid w:val="550B5550"/>
    <w:rsid w:val="550D12C8"/>
    <w:rsid w:val="550D64A7"/>
    <w:rsid w:val="550E7037"/>
    <w:rsid w:val="550F3292"/>
    <w:rsid w:val="550F5041"/>
    <w:rsid w:val="550F6DEF"/>
    <w:rsid w:val="55122E60"/>
    <w:rsid w:val="55124B31"/>
    <w:rsid w:val="551673E6"/>
    <w:rsid w:val="55171B86"/>
    <w:rsid w:val="55174770"/>
    <w:rsid w:val="55176498"/>
    <w:rsid w:val="551A48EF"/>
    <w:rsid w:val="551C150B"/>
    <w:rsid w:val="551E08BC"/>
    <w:rsid w:val="551F3B12"/>
    <w:rsid w:val="55216B22"/>
    <w:rsid w:val="552705DC"/>
    <w:rsid w:val="55275FF4"/>
    <w:rsid w:val="55292DFE"/>
    <w:rsid w:val="552E5A47"/>
    <w:rsid w:val="552F56E3"/>
    <w:rsid w:val="5536407C"/>
    <w:rsid w:val="553B63BD"/>
    <w:rsid w:val="553B7BE4"/>
    <w:rsid w:val="553D1BAE"/>
    <w:rsid w:val="5542342A"/>
    <w:rsid w:val="55472A2C"/>
    <w:rsid w:val="554B0733"/>
    <w:rsid w:val="554F0F29"/>
    <w:rsid w:val="554F2A3E"/>
    <w:rsid w:val="55513B61"/>
    <w:rsid w:val="55515659"/>
    <w:rsid w:val="555170A7"/>
    <w:rsid w:val="55524F2D"/>
    <w:rsid w:val="55535E25"/>
    <w:rsid w:val="55540CA5"/>
    <w:rsid w:val="55545149"/>
    <w:rsid w:val="55546EF7"/>
    <w:rsid w:val="555501E2"/>
    <w:rsid w:val="5555739E"/>
    <w:rsid w:val="555649EC"/>
    <w:rsid w:val="5558004F"/>
    <w:rsid w:val="5559450E"/>
    <w:rsid w:val="555B1A0F"/>
    <w:rsid w:val="555B64D8"/>
    <w:rsid w:val="555E1B24"/>
    <w:rsid w:val="55621614"/>
    <w:rsid w:val="55626C05"/>
    <w:rsid w:val="55665B55"/>
    <w:rsid w:val="556829A3"/>
    <w:rsid w:val="556A34AC"/>
    <w:rsid w:val="556C5FEF"/>
    <w:rsid w:val="556F3D31"/>
    <w:rsid w:val="55737F0C"/>
    <w:rsid w:val="55747599"/>
    <w:rsid w:val="55766E6E"/>
    <w:rsid w:val="55782B41"/>
    <w:rsid w:val="5579296A"/>
    <w:rsid w:val="557A3DE7"/>
    <w:rsid w:val="557E1B45"/>
    <w:rsid w:val="558318CB"/>
    <w:rsid w:val="5587536D"/>
    <w:rsid w:val="558772CD"/>
    <w:rsid w:val="558B219B"/>
    <w:rsid w:val="558B7073"/>
    <w:rsid w:val="558D41B7"/>
    <w:rsid w:val="55913CA7"/>
    <w:rsid w:val="55922B6D"/>
    <w:rsid w:val="55935C72"/>
    <w:rsid w:val="55986DE4"/>
    <w:rsid w:val="559A023B"/>
    <w:rsid w:val="559B174B"/>
    <w:rsid w:val="559D264C"/>
    <w:rsid w:val="559E390F"/>
    <w:rsid w:val="559E63C4"/>
    <w:rsid w:val="55A0213D"/>
    <w:rsid w:val="55A3078C"/>
    <w:rsid w:val="55A734CB"/>
    <w:rsid w:val="55AF2257"/>
    <w:rsid w:val="55AF2380"/>
    <w:rsid w:val="55B30CC9"/>
    <w:rsid w:val="55B451AC"/>
    <w:rsid w:val="55B45371"/>
    <w:rsid w:val="55B55BE8"/>
    <w:rsid w:val="55B81713"/>
    <w:rsid w:val="55BA1450"/>
    <w:rsid w:val="55BA31FE"/>
    <w:rsid w:val="55BE25C3"/>
    <w:rsid w:val="55BF57CF"/>
    <w:rsid w:val="55C027DF"/>
    <w:rsid w:val="55C220B3"/>
    <w:rsid w:val="55CD7039"/>
    <w:rsid w:val="55CE0CF4"/>
    <w:rsid w:val="55CF39F8"/>
    <w:rsid w:val="55D1679A"/>
    <w:rsid w:val="55DB024F"/>
    <w:rsid w:val="55DD513F"/>
    <w:rsid w:val="55E5212E"/>
    <w:rsid w:val="55E53FF3"/>
    <w:rsid w:val="55E71B19"/>
    <w:rsid w:val="55E827AA"/>
    <w:rsid w:val="55EC1538"/>
    <w:rsid w:val="55EE2EA8"/>
    <w:rsid w:val="55F52488"/>
    <w:rsid w:val="55F94C8B"/>
    <w:rsid w:val="55F97DD2"/>
    <w:rsid w:val="55FA2AB8"/>
    <w:rsid w:val="55FD30EB"/>
    <w:rsid w:val="55FE1D5B"/>
    <w:rsid w:val="55FE3948"/>
    <w:rsid w:val="55FF63B8"/>
    <w:rsid w:val="56010E2D"/>
    <w:rsid w:val="56020701"/>
    <w:rsid w:val="56021E2A"/>
    <w:rsid w:val="56044479"/>
    <w:rsid w:val="56051FA0"/>
    <w:rsid w:val="560674C5"/>
    <w:rsid w:val="56083B91"/>
    <w:rsid w:val="560E354A"/>
    <w:rsid w:val="56102E1E"/>
    <w:rsid w:val="56154ED8"/>
    <w:rsid w:val="56170651"/>
    <w:rsid w:val="56356D29"/>
    <w:rsid w:val="56360B60"/>
    <w:rsid w:val="563665FD"/>
    <w:rsid w:val="563970B1"/>
    <w:rsid w:val="563B1B58"/>
    <w:rsid w:val="563C00B7"/>
    <w:rsid w:val="563F54B2"/>
    <w:rsid w:val="564016E7"/>
    <w:rsid w:val="564231F4"/>
    <w:rsid w:val="56446F6C"/>
    <w:rsid w:val="56464A92"/>
    <w:rsid w:val="564E29E5"/>
    <w:rsid w:val="564F1D64"/>
    <w:rsid w:val="56510530"/>
    <w:rsid w:val="56551179"/>
    <w:rsid w:val="56582A17"/>
    <w:rsid w:val="56595DA5"/>
    <w:rsid w:val="56634D44"/>
    <w:rsid w:val="56666B5B"/>
    <w:rsid w:val="56666EE2"/>
    <w:rsid w:val="566C4A30"/>
    <w:rsid w:val="566E5253"/>
    <w:rsid w:val="566E5D97"/>
    <w:rsid w:val="56707D61"/>
    <w:rsid w:val="56717635"/>
    <w:rsid w:val="567315FF"/>
    <w:rsid w:val="567333AD"/>
    <w:rsid w:val="56755B53"/>
    <w:rsid w:val="567809C3"/>
    <w:rsid w:val="567E770C"/>
    <w:rsid w:val="567F2B2A"/>
    <w:rsid w:val="5684380C"/>
    <w:rsid w:val="568455BA"/>
    <w:rsid w:val="56867584"/>
    <w:rsid w:val="568B06F7"/>
    <w:rsid w:val="568B41A6"/>
    <w:rsid w:val="568C4DF8"/>
    <w:rsid w:val="568F468B"/>
    <w:rsid w:val="56926D37"/>
    <w:rsid w:val="56956357"/>
    <w:rsid w:val="569A40BE"/>
    <w:rsid w:val="569D042A"/>
    <w:rsid w:val="569F0646"/>
    <w:rsid w:val="56A3065A"/>
    <w:rsid w:val="56A619D5"/>
    <w:rsid w:val="56A95021"/>
    <w:rsid w:val="56AB0D99"/>
    <w:rsid w:val="56AB2B47"/>
    <w:rsid w:val="56AE2A4C"/>
    <w:rsid w:val="56B22A9C"/>
    <w:rsid w:val="56B47A82"/>
    <w:rsid w:val="56B7773E"/>
    <w:rsid w:val="56B91708"/>
    <w:rsid w:val="56BA0FDC"/>
    <w:rsid w:val="56BD287A"/>
    <w:rsid w:val="56CC484F"/>
    <w:rsid w:val="56CD6F61"/>
    <w:rsid w:val="56CF0F2B"/>
    <w:rsid w:val="56D06A51"/>
    <w:rsid w:val="56D16FAA"/>
    <w:rsid w:val="56D35BDC"/>
    <w:rsid w:val="56D438A9"/>
    <w:rsid w:val="56D7393C"/>
    <w:rsid w:val="56D93B58"/>
    <w:rsid w:val="56DB46F7"/>
    <w:rsid w:val="56DE002F"/>
    <w:rsid w:val="56DE4CCA"/>
    <w:rsid w:val="56DF0A43"/>
    <w:rsid w:val="56DF74AD"/>
    <w:rsid w:val="56E04EE6"/>
    <w:rsid w:val="56E101E0"/>
    <w:rsid w:val="56E30533"/>
    <w:rsid w:val="56E36785"/>
    <w:rsid w:val="56E524FD"/>
    <w:rsid w:val="56EA18C1"/>
    <w:rsid w:val="56ED315F"/>
    <w:rsid w:val="56EF6ED8"/>
    <w:rsid w:val="56F049FE"/>
    <w:rsid w:val="56F05A76"/>
    <w:rsid w:val="56F40992"/>
    <w:rsid w:val="56F50266"/>
    <w:rsid w:val="56F553C4"/>
    <w:rsid w:val="56F940C1"/>
    <w:rsid w:val="56FB1D20"/>
    <w:rsid w:val="56FB2E36"/>
    <w:rsid w:val="56FC5D77"/>
    <w:rsid w:val="56FE214B"/>
    <w:rsid w:val="56FF2E93"/>
    <w:rsid w:val="570010E5"/>
    <w:rsid w:val="570109B9"/>
    <w:rsid w:val="57041005"/>
    <w:rsid w:val="570566FB"/>
    <w:rsid w:val="57090374"/>
    <w:rsid w:val="570B1838"/>
    <w:rsid w:val="570C10BF"/>
    <w:rsid w:val="570D735E"/>
    <w:rsid w:val="570F4DE8"/>
    <w:rsid w:val="57155A97"/>
    <w:rsid w:val="57177FB4"/>
    <w:rsid w:val="57276214"/>
    <w:rsid w:val="572823EA"/>
    <w:rsid w:val="572A6162"/>
    <w:rsid w:val="572B714D"/>
    <w:rsid w:val="572D5C52"/>
    <w:rsid w:val="572D7A00"/>
    <w:rsid w:val="572E39BC"/>
    <w:rsid w:val="572E576E"/>
    <w:rsid w:val="573174F0"/>
    <w:rsid w:val="573567BA"/>
    <w:rsid w:val="57364B06"/>
    <w:rsid w:val="57376AD1"/>
    <w:rsid w:val="57390153"/>
    <w:rsid w:val="573945F7"/>
    <w:rsid w:val="573A3ECB"/>
    <w:rsid w:val="573E7E5F"/>
    <w:rsid w:val="57452F9B"/>
    <w:rsid w:val="5747758B"/>
    <w:rsid w:val="574A2360"/>
    <w:rsid w:val="574B7718"/>
    <w:rsid w:val="574B7E86"/>
    <w:rsid w:val="57503774"/>
    <w:rsid w:val="57507959"/>
    <w:rsid w:val="575529A1"/>
    <w:rsid w:val="57572CCF"/>
    <w:rsid w:val="575A5726"/>
    <w:rsid w:val="575A7321"/>
    <w:rsid w:val="575B27BF"/>
    <w:rsid w:val="575C6EB2"/>
    <w:rsid w:val="575E0358"/>
    <w:rsid w:val="575E6334"/>
    <w:rsid w:val="57603931"/>
    <w:rsid w:val="576152E0"/>
    <w:rsid w:val="57631674"/>
    <w:rsid w:val="576C3424"/>
    <w:rsid w:val="576D107C"/>
    <w:rsid w:val="576F0018"/>
    <w:rsid w:val="57730ABB"/>
    <w:rsid w:val="57747117"/>
    <w:rsid w:val="57792C45"/>
    <w:rsid w:val="577D5754"/>
    <w:rsid w:val="577E200A"/>
    <w:rsid w:val="57802226"/>
    <w:rsid w:val="578735B4"/>
    <w:rsid w:val="57877110"/>
    <w:rsid w:val="578810DA"/>
    <w:rsid w:val="578A6C00"/>
    <w:rsid w:val="578E03E2"/>
    <w:rsid w:val="57945CD1"/>
    <w:rsid w:val="57970874"/>
    <w:rsid w:val="5797131D"/>
    <w:rsid w:val="579730CB"/>
    <w:rsid w:val="579E26AC"/>
    <w:rsid w:val="579E5452"/>
    <w:rsid w:val="579F6F85"/>
    <w:rsid w:val="57A0203D"/>
    <w:rsid w:val="57A06EFF"/>
    <w:rsid w:val="57A2219C"/>
    <w:rsid w:val="57A35F14"/>
    <w:rsid w:val="57A557E8"/>
    <w:rsid w:val="57A8352A"/>
    <w:rsid w:val="57A966F4"/>
    <w:rsid w:val="57AA1051"/>
    <w:rsid w:val="57AC4DC9"/>
    <w:rsid w:val="57AD7D24"/>
    <w:rsid w:val="57AE0B41"/>
    <w:rsid w:val="57B1418D"/>
    <w:rsid w:val="57B43C7D"/>
    <w:rsid w:val="57B51868"/>
    <w:rsid w:val="57B72A76"/>
    <w:rsid w:val="57B72D29"/>
    <w:rsid w:val="57B976AF"/>
    <w:rsid w:val="57BB4B36"/>
    <w:rsid w:val="57C02AE0"/>
    <w:rsid w:val="57C2283E"/>
    <w:rsid w:val="57C32112"/>
    <w:rsid w:val="57C3426C"/>
    <w:rsid w:val="57C40364"/>
    <w:rsid w:val="57C6377C"/>
    <w:rsid w:val="57CA34A1"/>
    <w:rsid w:val="57CE1F93"/>
    <w:rsid w:val="57CF2865"/>
    <w:rsid w:val="57CF6D09"/>
    <w:rsid w:val="57D10841"/>
    <w:rsid w:val="57D12A81"/>
    <w:rsid w:val="57D367F9"/>
    <w:rsid w:val="57D4431F"/>
    <w:rsid w:val="57D60097"/>
    <w:rsid w:val="57D850B1"/>
    <w:rsid w:val="57D8535D"/>
    <w:rsid w:val="57D91936"/>
    <w:rsid w:val="57D93F6B"/>
    <w:rsid w:val="57DA7B88"/>
    <w:rsid w:val="57DB56AE"/>
    <w:rsid w:val="57DB745C"/>
    <w:rsid w:val="57DD4F82"/>
    <w:rsid w:val="57DE0CFA"/>
    <w:rsid w:val="57DE55B1"/>
    <w:rsid w:val="57E44562"/>
    <w:rsid w:val="57E52BB8"/>
    <w:rsid w:val="57E82929"/>
    <w:rsid w:val="57EC78BB"/>
    <w:rsid w:val="57ED358E"/>
    <w:rsid w:val="57EF2F07"/>
    <w:rsid w:val="57F10A2D"/>
    <w:rsid w:val="57F30C49"/>
    <w:rsid w:val="57F347A6"/>
    <w:rsid w:val="57F4406F"/>
    <w:rsid w:val="57F8000E"/>
    <w:rsid w:val="57F91339"/>
    <w:rsid w:val="57F95B34"/>
    <w:rsid w:val="57FB7AFE"/>
    <w:rsid w:val="57FC6A35"/>
    <w:rsid w:val="57FF139C"/>
    <w:rsid w:val="57FF75EE"/>
    <w:rsid w:val="58003366"/>
    <w:rsid w:val="58005114"/>
    <w:rsid w:val="58041C55"/>
    <w:rsid w:val="58056EA2"/>
    <w:rsid w:val="580758BB"/>
    <w:rsid w:val="5809221B"/>
    <w:rsid w:val="580C1D0B"/>
    <w:rsid w:val="580E04B8"/>
    <w:rsid w:val="58146F2E"/>
    <w:rsid w:val="582726A1"/>
    <w:rsid w:val="5827444F"/>
    <w:rsid w:val="58274FEF"/>
    <w:rsid w:val="582C7CB7"/>
    <w:rsid w:val="58305D26"/>
    <w:rsid w:val="58345199"/>
    <w:rsid w:val="583A3465"/>
    <w:rsid w:val="583C439E"/>
    <w:rsid w:val="583D1EC5"/>
    <w:rsid w:val="583F5C3D"/>
    <w:rsid w:val="583F79EB"/>
    <w:rsid w:val="584014D7"/>
    <w:rsid w:val="58405511"/>
    <w:rsid w:val="5842572D"/>
    <w:rsid w:val="5843409F"/>
    <w:rsid w:val="58450D79"/>
    <w:rsid w:val="58484328"/>
    <w:rsid w:val="584C2108"/>
    <w:rsid w:val="584D157D"/>
    <w:rsid w:val="5851771E"/>
    <w:rsid w:val="58555460"/>
    <w:rsid w:val="58564D34"/>
    <w:rsid w:val="58573625"/>
    <w:rsid w:val="585A130E"/>
    <w:rsid w:val="585A783C"/>
    <w:rsid w:val="585B5FB1"/>
    <w:rsid w:val="585F087A"/>
    <w:rsid w:val="5862192B"/>
    <w:rsid w:val="58647451"/>
    <w:rsid w:val="58670CF0"/>
    <w:rsid w:val="58676F42"/>
    <w:rsid w:val="586B6C0A"/>
    <w:rsid w:val="586D09FC"/>
    <w:rsid w:val="58726012"/>
    <w:rsid w:val="5875165E"/>
    <w:rsid w:val="58757689"/>
    <w:rsid w:val="587F6039"/>
    <w:rsid w:val="58810003"/>
    <w:rsid w:val="588743D1"/>
    <w:rsid w:val="5887701A"/>
    <w:rsid w:val="588836A3"/>
    <w:rsid w:val="588C2DDE"/>
    <w:rsid w:val="58902E07"/>
    <w:rsid w:val="58906498"/>
    <w:rsid w:val="58910F35"/>
    <w:rsid w:val="58922210"/>
    <w:rsid w:val="58931AE5"/>
    <w:rsid w:val="58951D01"/>
    <w:rsid w:val="58963901"/>
    <w:rsid w:val="58975328"/>
    <w:rsid w:val="58976177"/>
    <w:rsid w:val="589A7317"/>
    <w:rsid w:val="589B1481"/>
    <w:rsid w:val="589B7C55"/>
    <w:rsid w:val="589F0489"/>
    <w:rsid w:val="589F3C2B"/>
    <w:rsid w:val="58A34162"/>
    <w:rsid w:val="58A502F2"/>
    <w:rsid w:val="58AF5C43"/>
    <w:rsid w:val="58B576B9"/>
    <w:rsid w:val="58BA1767"/>
    <w:rsid w:val="58BC103B"/>
    <w:rsid w:val="58BD785A"/>
    <w:rsid w:val="58BF0B2C"/>
    <w:rsid w:val="58BF3CB3"/>
    <w:rsid w:val="58BF6D7E"/>
    <w:rsid w:val="58C12AF6"/>
    <w:rsid w:val="58C15B38"/>
    <w:rsid w:val="58C35579"/>
    <w:rsid w:val="58C44394"/>
    <w:rsid w:val="58C85C32"/>
    <w:rsid w:val="58C92E19"/>
    <w:rsid w:val="58C93758"/>
    <w:rsid w:val="58CA7BFC"/>
    <w:rsid w:val="58CB282D"/>
    <w:rsid w:val="58CB413F"/>
    <w:rsid w:val="58CB74D0"/>
    <w:rsid w:val="58CD149A"/>
    <w:rsid w:val="58D81BED"/>
    <w:rsid w:val="58D901AF"/>
    <w:rsid w:val="58DD073C"/>
    <w:rsid w:val="58DD1AA3"/>
    <w:rsid w:val="58DE5456"/>
    <w:rsid w:val="58DF2F7C"/>
    <w:rsid w:val="58E42340"/>
    <w:rsid w:val="58E93DFA"/>
    <w:rsid w:val="58E97D08"/>
    <w:rsid w:val="58EF340B"/>
    <w:rsid w:val="58EF7663"/>
    <w:rsid w:val="58F06F37"/>
    <w:rsid w:val="58F509F1"/>
    <w:rsid w:val="58F5279F"/>
    <w:rsid w:val="58F92290"/>
    <w:rsid w:val="58F93D73"/>
    <w:rsid w:val="58FB7220"/>
    <w:rsid w:val="58FC58DC"/>
    <w:rsid w:val="58FD587D"/>
    <w:rsid w:val="58FF717A"/>
    <w:rsid w:val="590003CE"/>
    <w:rsid w:val="5903310E"/>
    <w:rsid w:val="5906355B"/>
    <w:rsid w:val="590B5B1F"/>
    <w:rsid w:val="590E26D6"/>
    <w:rsid w:val="590E57D7"/>
    <w:rsid w:val="591250FF"/>
    <w:rsid w:val="5913381D"/>
    <w:rsid w:val="5913597C"/>
    <w:rsid w:val="59142684"/>
    <w:rsid w:val="5915699E"/>
    <w:rsid w:val="59162714"/>
    <w:rsid w:val="591E2776"/>
    <w:rsid w:val="59211829"/>
    <w:rsid w:val="59227859"/>
    <w:rsid w:val="5923730C"/>
    <w:rsid w:val="59254E33"/>
    <w:rsid w:val="59280005"/>
    <w:rsid w:val="59284923"/>
    <w:rsid w:val="592A2449"/>
    <w:rsid w:val="592B7DC9"/>
    <w:rsid w:val="592B7F6F"/>
    <w:rsid w:val="592D018B"/>
    <w:rsid w:val="592D3CE7"/>
    <w:rsid w:val="592E180D"/>
    <w:rsid w:val="592E3352"/>
    <w:rsid w:val="59305AC2"/>
    <w:rsid w:val="5935215E"/>
    <w:rsid w:val="593C2FD0"/>
    <w:rsid w:val="593C3F2A"/>
    <w:rsid w:val="593E7CA2"/>
    <w:rsid w:val="59424271"/>
    <w:rsid w:val="5943175D"/>
    <w:rsid w:val="594352B9"/>
    <w:rsid w:val="59457283"/>
    <w:rsid w:val="59463A06"/>
    <w:rsid w:val="59464DA9"/>
    <w:rsid w:val="594A2AEB"/>
    <w:rsid w:val="59523630"/>
    <w:rsid w:val="595474C6"/>
    <w:rsid w:val="59563B77"/>
    <w:rsid w:val="59583222"/>
    <w:rsid w:val="595B0854"/>
    <w:rsid w:val="595C637A"/>
    <w:rsid w:val="596075C1"/>
    <w:rsid w:val="59653481"/>
    <w:rsid w:val="59654A34"/>
    <w:rsid w:val="596551CD"/>
    <w:rsid w:val="5968741C"/>
    <w:rsid w:val="596A4F3B"/>
    <w:rsid w:val="596A6CE9"/>
    <w:rsid w:val="596E62E7"/>
    <w:rsid w:val="59710078"/>
    <w:rsid w:val="5972432A"/>
    <w:rsid w:val="597731B4"/>
    <w:rsid w:val="59796F2C"/>
    <w:rsid w:val="597E4543"/>
    <w:rsid w:val="597F16CD"/>
    <w:rsid w:val="5980475F"/>
    <w:rsid w:val="5980662B"/>
    <w:rsid w:val="59810B11"/>
    <w:rsid w:val="59815DE1"/>
    <w:rsid w:val="5982373F"/>
    <w:rsid w:val="59831B59"/>
    <w:rsid w:val="59851D75"/>
    <w:rsid w:val="598558D1"/>
    <w:rsid w:val="59875AED"/>
    <w:rsid w:val="598B6C60"/>
    <w:rsid w:val="598C4EB2"/>
    <w:rsid w:val="598D0473"/>
    <w:rsid w:val="598E529C"/>
    <w:rsid w:val="598F5B8D"/>
    <w:rsid w:val="59927FEE"/>
    <w:rsid w:val="59941FB8"/>
    <w:rsid w:val="5996188C"/>
    <w:rsid w:val="59965D30"/>
    <w:rsid w:val="599B50F5"/>
    <w:rsid w:val="599D70BF"/>
    <w:rsid w:val="599E2E37"/>
    <w:rsid w:val="599E6993"/>
    <w:rsid w:val="59A00B8C"/>
    <w:rsid w:val="59A10C55"/>
    <w:rsid w:val="59A321FB"/>
    <w:rsid w:val="59A55F73"/>
    <w:rsid w:val="59AA17DC"/>
    <w:rsid w:val="59AA2C98"/>
    <w:rsid w:val="59AA336E"/>
    <w:rsid w:val="59AB1BA3"/>
    <w:rsid w:val="59AC7302"/>
    <w:rsid w:val="59AD307A"/>
    <w:rsid w:val="59B12B6A"/>
    <w:rsid w:val="59B63CDD"/>
    <w:rsid w:val="59B7667D"/>
    <w:rsid w:val="59B905C9"/>
    <w:rsid w:val="59B9510A"/>
    <w:rsid w:val="59BA3E3C"/>
    <w:rsid w:val="59BC2D25"/>
    <w:rsid w:val="59BE7035"/>
    <w:rsid w:val="59C0439F"/>
    <w:rsid w:val="59C4289D"/>
    <w:rsid w:val="59C6675E"/>
    <w:rsid w:val="59C7413C"/>
    <w:rsid w:val="59CC667E"/>
    <w:rsid w:val="59D14FBA"/>
    <w:rsid w:val="59D40607"/>
    <w:rsid w:val="59D6437F"/>
    <w:rsid w:val="59D81EA5"/>
    <w:rsid w:val="59D86349"/>
    <w:rsid w:val="59D867DD"/>
    <w:rsid w:val="59DB1995"/>
    <w:rsid w:val="59DB3743"/>
    <w:rsid w:val="59DC483D"/>
    <w:rsid w:val="59DC65BC"/>
    <w:rsid w:val="59E20F76"/>
    <w:rsid w:val="59E56370"/>
    <w:rsid w:val="59E57A1C"/>
    <w:rsid w:val="59E62B92"/>
    <w:rsid w:val="59EA6CCF"/>
    <w:rsid w:val="59EF5441"/>
    <w:rsid w:val="59F20A8D"/>
    <w:rsid w:val="59F30596"/>
    <w:rsid w:val="59F36CDF"/>
    <w:rsid w:val="59F40CA9"/>
    <w:rsid w:val="59F42A57"/>
    <w:rsid w:val="59F47352"/>
    <w:rsid w:val="59F757D6"/>
    <w:rsid w:val="5A020A23"/>
    <w:rsid w:val="5A026F22"/>
    <w:rsid w:val="5A032C9A"/>
    <w:rsid w:val="5A0802B0"/>
    <w:rsid w:val="5A0A04CC"/>
    <w:rsid w:val="5A0A227A"/>
    <w:rsid w:val="5A0F3962"/>
    <w:rsid w:val="5A0F3B18"/>
    <w:rsid w:val="5A105AE3"/>
    <w:rsid w:val="5A111C53"/>
    <w:rsid w:val="5A134EEC"/>
    <w:rsid w:val="5A1530F9"/>
    <w:rsid w:val="5A166D9B"/>
    <w:rsid w:val="5A1A070F"/>
    <w:rsid w:val="5A1D5B0A"/>
    <w:rsid w:val="5A1F4CBC"/>
    <w:rsid w:val="5A225816"/>
    <w:rsid w:val="5A232CE0"/>
    <w:rsid w:val="5A250E62"/>
    <w:rsid w:val="5A29077F"/>
    <w:rsid w:val="5A2C3F9F"/>
    <w:rsid w:val="5A2E72E3"/>
    <w:rsid w:val="5A2F3A8F"/>
    <w:rsid w:val="5A33532D"/>
    <w:rsid w:val="5A364E1D"/>
    <w:rsid w:val="5A364E7A"/>
    <w:rsid w:val="5A372C69"/>
    <w:rsid w:val="5A38583A"/>
    <w:rsid w:val="5A3966BC"/>
    <w:rsid w:val="5A3A490E"/>
    <w:rsid w:val="5A3D43FE"/>
    <w:rsid w:val="5A3D61AC"/>
    <w:rsid w:val="5A3F4A9C"/>
    <w:rsid w:val="5A403EEE"/>
    <w:rsid w:val="5A470DD9"/>
    <w:rsid w:val="5A4A504A"/>
    <w:rsid w:val="5A4E660B"/>
    <w:rsid w:val="5A4F5EDF"/>
    <w:rsid w:val="5A511C57"/>
    <w:rsid w:val="5A56101C"/>
    <w:rsid w:val="5A5654C0"/>
    <w:rsid w:val="5A576F72"/>
    <w:rsid w:val="5A5A48B9"/>
    <w:rsid w:val="5A5D05FC"/>
    <w:rsid w:val="5A5F25C6"/>
    <w:rsid w:val="5A6000EC"/>
    <w:rsid w:val="5A640949"/>
    <w:rsid w:val="5A6B0F6B"/>
    <w:rsid w:val="5A6C083F"/>
    <w:rsid w:val="5A6E45B7"/>
    <w:rsid w:val="5A70256C"/>
    <w:rsid w:val="5A7476F4"/>
    <w:rsid w:val="5A7557DC"/>
    <w:rsid w:val="5A755946"/>
    <w:rsid w:val="5A761DBC"/>
    <w:rsid w:val="5A772AD2"/>
    <w:rsid w:val="5A7F0572"/>
    <w:rsid w:val="5A821442"/>
    <w:rsid w:val="5A854BD9"/>
    <w:rsid w:val="5A871B1D"/>
    <w:rsid w:val="5A8913F1"/>
    <w:rsid w:val="5A8B6F17"/>
    <w:rsid w:val="5A9102A6"/>
    <w:rsid w:val="5A993689"/>
    <w:rsid w:val="5A9B2ED2"/>
    <w:rsid w:val="5AA20705"/>
    <w:rsid w:val="5AA923BF"/>
    <w:rsid w:val="5AA93841"/>
    <w:rsid w:val="5AAC3332"/>
    <w:rsid w:val="5AB126F6"/>
    <w:rsid w:val="5AB13779"/>
    <w:rsid w:val="5AB32912"/>
    <w:rsid w:val="5AB346C0"/>
    <w:rsid w:val="5AB67D0C"/>
    <w:rsid w:val="5AB83A84"/>
    <w:rsid w:val="5AB85C90"/>
    <w:rsid w:val="5ABE2233"/>
    <w:rsid w:val="5ABF1055"/>
    <w:rsid w:val="5AC24D9B"/>
    <w:rsid w:val="5AC36AE1"/>
    <w:rsid w:val="5AC73034"/>
    <w:rsid w:val="5AC93DDC"/>
    <w:rsid w:val="5ACC7530"/>
    <w:rsid w:val="5AD10E46"/>
    <w:rsid w:val="5AD21A31"/>
    <w:rsid w:val="5AD61573"/>
    <w:rsid w:val="5ADF49CA"/>
    <w:rsid w:val="5AE143DD"/>
    <w:rsid w:val="5AE16071"/>
    <w:rsid w:val="5AE21C8B"/>
    <w:rsid w:val="5AE26D53"/>
    <w:rsid w:val="5AE623A0"/>
    <w:rsid w:val="5AEB20AC"/>
    <w:rsid w:val="5AEB4AF6"/>
    <w:rsid w:val="5AEE394A"/>
    <w:rsid w:val="5AEF15C1"/>
    <w:rsid w:val="5AEF428F"/>
    <w:rsid w:val="5AEF47D3"/>
    <w:rsid w:val="5AF076C2"/>
    <w:rsid w:val="5AF31D29"/>
    <w:rsid w:val="5AF32A1E"/>
    <w:rsid w:val="5AF43490"/>
    <w:rsid w:val="5AF729B5"/>
    <w:rsid w:val="5AF820D3"/>
    <w:rsid w:val="5AF941ED"/>
    <w:rsid w:val="5AFA409D"/>
    <w:rsid w:val="5AFD5ADF"/>
    <w:rsid w:val="5AFE1DDF"/>
    <w:rsid w:val="5AFF3461"/>
    <w:rsid w:val="5B00479C"/>
    <w:rsid w:val="5B035404"/>
    <w:rsid w:val="5B04316E"/>
    <w:rsid w:val="5B06742A"/>
    <w:rsid w:val="5B073095"/>
    <w:rsid w:val="5B073096"/>
    <w:rsid w:val="5B073454"/>
    <w:rsid w:val="5B074025"/>
    <w:rsid w:val="5B0B0058"/>
    <w:rsid w:val="5B0B3659"/>
    <w:rsid w:val="5B0D4CD2"/>
    <w:rsid w:val="5B1038C0"/>
    <w:rsid w:val="5B1213E7"/>
    <w:rsid w:val="5B130E01"/>
    <w:rsid w:val="5B13515F"/>
    <w:rsid w:val="5B136F0D"/>
    <w:rsid w:val="5B157129"/>
    <w:rsid w:val="5B173C41"/>
    <w:rsid w:val="5B182775"/>
    <w:rsid w:val="5B1C04B7"/>
    <w:rsid w:val="5B1E5FDD"/>
    <w:rsid w:val="5B207E56"/>
    <w:rsid w:val="5B224AB4"/>
    <w:rsid w:val="5B247EEE"/>
    <w:rsid w:val="5B267D64"/>
    <w:rsid w:val="5B280C0A"/>
    <w:rsid w:val="5B2A2BD4"/>
    <w:rsid w:val="5B2A6CEE"/>
    <w:rsid w:val="5B2D7FCE"/>
    <w:rsid w:val="5B3255E5"/>
    <w:rsid w:val="5B3475AF"/>
    <w:rsid w:val="5B351579"/>
    <w:rsid w:val="5B3B3282"/>
    <w:rsid w:val="5B3F7D02"/>
    <w:rsid w:val="5B423BDA"/>
    <w:rsid w:val="5B445318"/>
    <w:rsid w:val="5B45528D"/>
    <w:rsid w:val="5B465534"/>
    <w:rsid w:val="5B4845FC"/>
    <w:rsid w:val="5B484E08"/>
    <w:rsid w:val="5B4B45B5"/>
    <w:rsid w:val="5B4D0671"/>
    <w:rsid w:val="5B500161"/>
    <w:rsid w:val="5B501F0F"/>
    <w:rsid w:val="5B5C6B06"/>
    <w:rsid w:val="5B61236E"/>
    <w:rsid w:val="5B631C42"/>
    <w:rsid w:val="5B6360E6"/>
    <w:rsid w:val="5B647768"/>
    <w:rsid w:val="5B6854AA"/>
    <w:rsid w:val="5B6A1602"/>
    <w:rsid w:val="5B6A2FD1"/>
    <w:rsid w:val="5B712ECC"/>
    <w:rsid w:val="5B750E8A"/>
    <w:rsid w:val="5B763D98"/>
    <w:rsid w:val="5B775347"/>
    <w:rsid w:val="5B865931"/>
    <w:rsid w:val="5B866118"/>
    <w:rsid w:val="5B8816A9"/>
    <w:rsid w:val="5B8A71CF"/>
    <w:rsid w:val="5B8B37BD"/>
    <w:rsid w:val="5B8D4F11"/>
    <w:rsid w:val="5B8D6CBF"/>
    <w:rsid w:val="5B913DFC"/>
    <w:rsid w:val="5B922527"/>
    <w:rsid w:val="5B927CEC"/>
    <w:rsid w:val="5B977B3E"/>
    <w:rsid w:val="5B9938B6"/>
    <w:rsid w:val="5B9F5F3F"/>
    <w:rsid w:val="5BA00C21"/>
    <w:rsid w:val="5BA26C0E"/>
    <w:rsid w:val="5BA34735"/>
    <w:rsid w:val="5BA426C5"/>
    <w:rsid w:val="5BA504AD"/>
    <w:rsid w:val="5BA67D81"/>
    <w:rsid w:val="5BA760CF"/>
    <w:rsid w:val="5BA858A7"/>
    <w:rsid w:val="5BAA5AC3"/>
    <w:rsid w:val="5BB10BFF"/>
    <w:rsid w:val="5BB57082"/>
    <w:rsid w:val="5BB60E5B"/>
    <w:rsid w:val="5BB756DE"/>
    <w:rsid w:val="5BB92529"/>
    <w:rsid w:val="5BBF5C61"/>
    <w:rsid w:val="5BC07095"/>
    <w:rsid w:val="5BC14BBB"/>
    <w:rsid w:val="5BC84CFF"/>
    <w:rsid w:val="5BC94E90"/>
    <w:rsid w:val="5BCA1CC1"/>
    <w:rsid w:val="5BD448EE"/>
    <w:rsid w:val="5BD81B13"/>
    <w:rsid w:val="5BDB3ECE"/>
    <w:rsid w:val="5BDB5C7C"/>
    <w:rsid w:val="5BDC37A3"/>
    <w:rsid w:val="5BDF5D95"/>
    <w:rsid w:val="5BE51161"/>
    <w:rsid w:val="5BEA4111"/>
    <w:rsid w:val="5BF62AB6"/>
    <w:rsid w:val="5BFE7528"/>
    <w:rsid w:val="5C0276AD"/>
    <w:rsid w:val="5C036F81"/>
    <w:rsid w:val="5C043425"/>
    <w:rsid w:val="5C0F5EF4"/>
    <w:rsid w:val="5C142F3C"/>
    <w:rsid w:val="5C145686"/>
    <w:rsid w:val="5C164F06"/>
    <w:rsid w:val="5C172111"/>
    <w:rsid w:val="5C186ED1"/>
    <w:rsid w:val="5C1B251D"/>
    <w:rsid w:val="5C1D44E7"/>
    <w:rsid w:val="5C207B33"/>
    <w:rsid w:val="5C245875"/>
    <w:rsid w:val="5C272C70"/>
    <w:rsid w:val="5C277114"/>
    <w:rsid w:val="5C294C3A"/>
    <w:rsid w:val="5C2A13BA"/>
    <w:rsid w:val="5C2A6C04"/>
    <w:rsid w:val="5C2B74A0"/>
    <w:rsid w:val="5C2E04A2"/>
    <w:rsid w:val="5C2E2250"/>
    <w:rsid w:val="5C2F7D76"/>
    <w:rsid w:val="5C311D40"/>
    <w:rsid w:val="5C355B8C"/>
    <w:rsid w:val="5C361105"/>
    <w:rsid w:val="5C36626D"/>
    <w:rsid w:val="5C386A71"/>
    <w:rsid w:val="5C3929A3"/>
    <w:rsid w:val="5C3A6E47"/>
    <w:rsid w:val="5C3F2150"/>
    <w:rsid w:val="5C45018D"/>
    <w:rsid w:val="5C476CD9"/>
    <w:rsid w:val="5C4A2E02"/>
    <w:rsid w:val="5C5026A5"/>
    <w:rsid w:val="5C531CB7"/>
    <w:rsid w:val="5C5679F9"/>
    <w:rsid w:val="5C574D94"/>
    <w:rsid w:val="5C58107B"/>
    <w:rsid w:val="5C58551F"/>
    <w:rsid w:val="5C5B5CE5"/>
    <w:rsid w:val="5C5C7B33"/>
    <w:rsid w:val="5C62014C"/>
    <w:rsid w:val="5C621EFA"/>
    <w:rsid w:val="5C63695E"/>
    <w:rsid w:val="5C642116"/>
    <w:rsid w:val="5C645C72"/>
    <w:rsid w:val="5C69772C"/>
    <w:rsid w:val="5C6C2D78"/>
    <w:rsid w:val="5C6D483D"/>
    <w:rsid w:val="5C6E6BB0"/>
    <w:rsid w:val="5C6E7D9F"/>
    <w:rsid w:val="5C71038F"/>
    <w:rsid w:val="5C7165E1"/>
    <w:rsid w:val="5C732359"/>
    <w:rsid w:val="5C7779C1"/>
    <w:rsid w:val="5C7922E1"/>
    <w:rsid w:val="5C7D4F86"/>
    <w:rsid w:val="5C7E485A"/>
    <w:rsid w:val="5C800A73"/>
    <w:rsid w:val="5C8207EE"/>
    <w:rsid w:val="5C82434A"/>
    <w:rsid w:val="5C86208C"/>
    <w:rsid w:val="5C872249"/>
    <w:rsid w:val="5C877BB2"/>
    <w:rsid w:val="5C8A1451"/>
    <w:rsid w:val="5C8C6A72"/>
    <w:rsid w:val="5C910A31"/>
    <w:rsid w:val="5C9B32EC"/>
    <w:rsid w:val="5C9D73D6"/>
    <w:rsid w:val="5CA02A22"/>
    <w:rsid w:val="5CA2679A"/>
    <w:rsid w:val="5CA50038"/>
    <w:rsid w:val="5CA644DC"/>
    <w:rsid w:val="5CA73AB0"/>
    <w:rsid w:val="5CAA564F"/>
    <w:rsid w:val="5CAF2C65"/>
    <w:rsid w:val="5CB309A7"/>
    <w:rsid w:val="5CB32755"/>
    <w:rsid w:val="5CB32C58"/>
    <w:rsid w:val="5CB36BF9"/>
    <w:rsid w:val="5CB50DF3"/>
    <w:rsid w:val="5CB564CD"/>
    <w:rsid w:val="5CB62246"/>
    <w:rsid w:val="5CBA1D36"/>
    <w:rsid w:val="5CBC3D00"/>
    <w:rsid w:val="5CBC5AAE"/>
    <w:rsid w:val="5CC07F3E"/>
    <w:rsid w:val="5CC1326B"/>
    <w:rsid w:val="5CC826A5"/>
    <w:rsid w:val="5CCE30DB"/>
    <w:rsid w:val="5CCE4602"/>
    <w:rsid w:val="5CD01559"/>
    <w:rsid w:val="5CD47BB1"/>
    <w:rsid w:val="5CD8040E"/>
    <w:rsid w:val="5CDC6150"/>
    <w:rsid w:val="5CDD5A24"/>
    <w:rsid w:val="5CDF79EE"/>
    <w:rsid w:val="5CE172C2"/>
    <w:rsid w:val="5CE2303B"/>
    <w:rsid w:val="5CE40B61"/>
    <w:rsid w:val="5CE45005"/>
    <w:rsid w:val="5CE6025C"/>
    <w:rsid w:val="5CE84AF5"/>
    <w:rsid w:val="5CE86C24"/>
    <w:rsid w:val="5CE943C9"/>
    <w:rsid w:val="5CEA0218"/>
    <w:rsid w:val="5CED0D9A"/>
    <w:rsid w:val="5CED3EB9"/>
    <w:rsid w:val="5CEE19DF"/>
    <w:rsid w:val="5CF07506"/>
    <w:rsid w:val="5CF822CB"/>
    <w:rsid w:val="5D07484F"/>
    <w:rsid w:val="5D0905C7"/>
    <w:rsid w:val="5D0B07E3"/>
    <w:rsid w:val="5D0E4B0D"/>
    <w:rsid w:val="5D1256CE"/>
    <w:rsid w:val="5D127168"/>
    <w:rsid w:val="5D186A5C"/>
    <w:rsid w:val="5D1A00FB"/>
    <w:rsid w:val="5D1A6C78"/>
    <w:rsid w:val="5D1D3628"/>
    <w:rsid w:val="5D221FC9"/>
    <w:rsid w:val="5D2D3AF7"/>
    <w:rsid w:val="5D2E44D2"/>
    <w:rsid w:val="5D2E62B6"/>
    <w:rsid w:val="5D30782F"/>
    <w:rsid w:val="5D323FC2"/>
    <w:rsid w:val="5D3A1917"/>
    <w:rsid w:val="5D3A5D7A"/>
    <w:rsid w:val="5D3D64C3"/>
    <w:rsid w:val="5D3E2967"/>
    <w:rsid w:val="5D3F28F7"/>
    <w:rsid w:val="5D3F2997"/>
    <w:rsid w:val="5D417D61"/>
    <w:rsid w:val="5D417DA8"/>
    <w:rsid w:val="5D443CF5"/>
    <w:rsid w:val="5D472117"/>
    <w:rsid w:val="5D4C032F"/>
    <w:rsid w:val="5D4D2BAA"/>
    <w:rsid w:val="5D4D7062"/>
    <w:rsid w:val="5D4E06D0"/>
    <w:rsid w:val="5D505750"/>
    <w:rsid w:val="5D5061F6"/>
    <w:rsid w:val="5D5201C0"/>
    <w:rsid w:val="5D524382"/>
    <w:rsid w:val="5D527BA6"/>
    <w:rsid w:val="5D570AB1"/>
    <w:rsid w:val="5D573A29"/>
    <w:rsid w:val="5D577585"/>
    <w:rsid w:val="5D5A302D"/>
    <w:rsid w:val="5D5A52C7"/>
    <w:rsid w:val="5D5F6439"/>
    <w:rsid w:val="5D683540"/>
    <w:rsid w:val="5D6972B8"/>
    <w:rsid w:val="5D6B30BA"/>
    <w:rsid w:val="5D7418B5"/>
    <w:rsid w:val="5D752101"/>
    <w:rsid w:val="5D753EAF"/>
    <w:rsid w:val="5D777C27"/>
    <w:rsid w:val="5D791F0E"/>
    <w:rsid w:val="5D7F2D29"/>
    <w:rsid w:val="5D804D2D"/>
    <w:rsid w:val="5D815DCF"/>
    <w:rsid w:val="5D821BFA"/>
    <w:rsid w:val="5D826197"/>
    <w:rsid w:val="5D83094D"/>
    <w:rsid w:val="5D83481E"/>
    <w:rsid w:val="5D8440F2"/>
    <w:rsid w:val="5D861C18"/>
    <w:rsid w:val="5D866F06"/>
    <w:rsid w:val="5D8B5480"/>
    <w:rsid w:val="5D8F31C2"/>
    <w:rsid w:val="5D900CE9"/>
    <w:rsid w:val="5D92680F"/>
    <w:rsid w:val="5D9702C9"/>
    <w:rsid w:val="5D9A50C1"/>
    <w:rsid w:val="5D9C143B"/>
    <w:rsid w:val="5D9E51B4"/>
    <w:rsid w:val="5D9E6F62"/>
    <w:rsid w:val="5DA0717E"/>
    <w:rsid w:val="5DA14CA4"/>
    <w:rsid w:val="5DA64068"/>
    <w:rsid w:val="5DAA0F2B"/>
    <w:rsid w:val="5DAB49FC"/>
    <w:rsid w:val="5DAE4FBE"/>
    <w:rsid w:val="5DB22A0D"/>
    <w:rsid w:val="5DB4040F"/>
    <w:rsid w:val="5DB42240"/>
    <w:rsid w:val="5DB949BF"/>
    <w:rsid w:val="5DBA6C18"/>
    <w:rsid w:val="5DBB5D65"/>
    <w:rsid w:val="5DBC7D30"/>
    <w:rsid w:val="5DC32DF4"/>
    <w:rsid w:val="5DC7295C"/>
    <w:rsid w:val="5DCA7070"/>
    <w:rsid w:val="5DCB59C5"/>
    <w:rsid w:val="5DCF1D28"/>
    <w:rsid w:val="5DD07337"/>
    <w:rsid w:val="5DD40BD5"/>
    <w:rsid w:val="5DD5494D"/>
    <w:rsid w:val="5DD96D9D"/>
    <w:rsid w:val="5DDA5439"/>
    <w:rsid w:val="5DDB6408"/>
    <w:rsid w:val="5DDE1A54"/>
    <w:rsid w:val="5DE352BC"/>
    <w:rsid w:val="5DEB5F1F"/>
    <w:rsid w:val="5DF23751"/>
    <w:rsid w:val="5DF63241"/>
    <w:rsid w:val="5DF72B16"/>
    <w:rsid w:val="5DF87281"/>
    <w:rsid w:val="5DFC012C"/>
    <w:rsid w:val="5DFC259B"/>
    <w:rsid w:val="5E005A13"/>
    <w:rsid w:val="5E005E6E"/>
    <w:rsid w:val="5E021BE6"/>
    <w:rsid w:val="5E0314BA"/>
    <w:rsid w:val="5E053485"/>
    <w:rsid w:val="5E062D59"/>
    <w:rsid w:val="5E085BED"/>
    <w:rsid w:val="5E100764"/>
    <w:rsid w:val="5E111E29"/>
    <w:rsid w:val="5E1216FE"/>
    <w:rsid w:val="5E135BA1"/>
    <w:rsid w:val="5E150E5C"/>
    <w:rsid w:val="5E174F66"/>
    <w:rsid w:val="5E1C432A"/>
    <w:rsid w:val="5E1F089D"/>
    <w:rsid w:val="5E2002BE"/>
    <w:rsid w:val="5E2467F1"/>
    <w:rsid w:val="5E2631D3"/>
    <w:rsid w:val="5E2722FF"/>
    <w:rsid w:val="5E2B1CA6"/>
    <w:rsid w:val="5E2D4789"/>
    <w:rsid w:val="5E302281"/>
    <w:rsid w:val="5E33213F"/>
    <w:rsid w:val="5E341674"/>
    <w:rsid w:val="5E3478C6"/>
    <w:rsid w:val="5E3528F0"/>
    <w:rsid w:val="5E3574D4"/>
    <w:rsid w:val="5E371164"/>
    <w:rsid w:val="5E3C6A79"/>
    <w:rsid w:val="5E40270F"/>
    <w:rsid w:val="5E44722B"/>
    <w:rsid w:val="5E451AD3"/>
    <w:rsid w:val="5E483371"/>
    <w:rsid w:val="5E4D2736"/>
    <w:rsid w:val="5E4F2952"/>
    <w:rsid w:val="5E4F4700"/>
    <w:rsid w:val="5E514BD7"/>
    <w:rsid w:val="5E520C3C"/>
    <w:rsid w:val="5E5403CF"/>
    <w:rsid w:val="5E5835B4"/>
    <w:rsid w:val="5E5A37D0"/>
    <w:rsid w:val="5E5D5CE0"/>
    <w:rsid w:val="5E60690D"/>
    <w:rsid w:val="5E624433"/>
    <w:rsid w:val="5E627AB6"/>
    <w:rsid w:val="5E635B80"/>
    <w:rsid w:val="5E6379D2"/>
    <w:rsid w:val="5E6737F7"/>
    <w:rsid w:val="5E6E102A"/>
    <w:rsid w:val="5E710B1A"/>
    <w:rsid w:val="5E7128C8"/>
    <w:rsid w:val="5E714676"/>
    <w:rsid w:val="5E766130"/>
    <w:rsid w:val="5E767EDE"/>
    <w:rsid w:val="5E7C7E4B"/>
    <w:rsid w:val="5E7D74BF"/>
    <w:rsid w:val="5E7F77FB"/>
    <w:rsid w:val="5E84084D"/>
    <w:rsid w:val="5E876089"/>
    <w:rsid w:val="5E8C7702"/>
    <w:rsid w:val="5E914D18"/>
    <w:rsid w:val="5E934337"/>
    <w:rsid w:val="5E954808"/>
    <w:rsid w:val="5E99597B"/>
    <w:rsid w:val="5E9B53AC"/>
    <w:rsid w:val="5E9D190F"/>
    <w:rsid w:val="5E9F0DA8"/>
    <w:rsid w:val="5E9F5687"/>
    <w:rsid w:val="5E9F7435"/>
    <w:rsid w:val="5EA13984"/>
    <w:rsid w:val="5EA25AC1"/>
    <w:rsid w:val="5EA52305"/>
    <w:rsid w:val="5EA66A16"/>
    <w:rsid w:val="5EAF287D"/>
    <w:rsid w:val="5EB153BA"/>
    <w:rsid w:val="5EB36A3D"/>
    <w:rsid w:val="5EB427B5"/>
    <w:rsid w:val="5EB47229"/>
    <w:rsid w:val="5EB62677"/>
    <w:rsid w:val="5EB822EB"/>
    <w:rsid w:val="5EB86749"/>
    <w:rsid w:val="5EB94220"/>
    <w:rsid w:val="5EBB4708"/>
    <w:rsid w:val="5EBD78BB"/>
    <w:rsid w:val="5EC155FD"/>
    <w:rsid w:val="5EC450EE"/>
    <w:rsid w:val="5EC549C2"/>
    <w:rsid w:val="5EC7125A"/>
    <w:rsid w:val="5ECE1AC8"/>
    <w:rsid w:val="5ECF75EF"/>
    <w:rsid w:val="5ED01321"/>
    <w:rsid w:val="5ED30E8D"/>
    <w:rsid w:val="5ED77613"/>
    <w:rsid w:val="5ED81A8D"/>
    <w:rsid w:val="5ED864A3"/>
    <w:rsid w:val="5EDD08FB"/>
    <w:rsid w:val="5EE237C6"/>
    <w:rsid w:val="5EE266ED"/>
    <w:rsid w:val="5EE27322"/>
    <w:rsid w:val="5EE530B0"/>
    <w:rsid w:val="5EE66E12"/>
    <w:rsid w:val="5EE94B54"/>
    <w:rsid w:val="5EEA4A34"/>
    <w:rsid w:val="5EED47E9"/>
    <w:rsid w:val="5EF05EE3"/>
    <w:rsid w:val="5EF178DF"/>
    <w:rsid w:val="5EF37781"/>
    <w:rsid w:val="5EF62DCD"/>
    <w:rsid w:val="5EF944CD"/>
    <w:rsid w:val="5EFD415C"/>
    <w:rsid w:val="5EFF7ED4"/>
    <w:rsid w:val="5F013C4C"/>
    <w:rsid w:val="5F092B01"/>
    <w:rsid w:val="5F0E6369"/>
    <w:rsid w:val="5F0F60D6"/>
    <w:rsid w:val="5F127A94"/>
    <w:rsid w:val="5F172606"/>
    <w:rsid w:val="5F1A2B43"/>
    <w:rsid w:val="5F1A6ABC"/>
    <w:rsid w:val="5F1D25F2"/>
    <w:rsid w:val="5F1F0576"/>
    <w:rsid w:val="5F1F40D2"/>
    <w:rsid w:val="5F204545"/>
    <w:rsid w:val="5F21609C"/>
    <w:rsid w:val="5F223BC2"/>
    <w:rsid w:val="5F230BC9"/>
    <w:rsid w:val="5F2660D0"/>
    <w:rsid w:val="5F2B6F1B"/>
    <w:rsid w:val="5F2E07B9"/>
    <w:rsid w:val="5F2E2567"/>
    <w:rsid w:val="5F2E6A0B"/>
    <w:rsid w:val="5F351B48"/>
    <w:rsid w:val="5F3538F6"/>
    <w:rsid w:val="5F36446E"/>
    <w:rsid w:val="5F37106F"/>
    <w:rsid w:val="5F3B6A32"/>
    <w:rsid w:val="5F3D27AA"/>
    <w:rsid w:val="5F4104EC"/>
    <w:rsid w:val="5F463D55"/>
    <w:rsid w:val="5F470FAB"/>
    <w:rsid w:val="5F471D1E"/>
    <w:rsid w:val="5F48187B"/>
    <w:rsid w:val="5F485BD7"/>
    <w:rsid w:val="5F4973A1"/>
    <w:rsid w:val="5F4B3119"/>
    <w:rsid w:val="5F4D4C40"/>
    <w:rsid w:val="5F4F0E5B"/>
    <w:rsid w:val="5F514ADF"/>
    <w:rsid w:val="5F5244A8"/>
    <w:rsid w:val="5F57386C"/>
    <w:rsid w:val="5F5802DB"/>
    <w:rsid w:val="5F5E109E"/>
    <w:rsid w:val="5F5F0972"/>
    <w:rsid w:val="5F604FDB"/>
    <w:rsid w:val="5F645F89"/>
    <w:rsid w:val="5F677B93"/>
    <w:rsid w:val="5F680569"/>
    <w:rsid w:val="5F685A79"/>
    <w:rsid w:val="5F697A43"/>
    <w:rsid w:val="5F6A7DA1"/>
    <w:rsid w:val="5F6B7317"/>
    <w:rsid w:val="5F6B78A7"/>
    <w:rsid w:val="5F6C6A43"/>
    <w:rsid w:val="5F724B4A"/>
    <w:rsid w:val="5F7420BA"/>
    <w:rsid w:val="5F7534CA"/>
    <w:rsid w:val="5F7604A2"/>
    <w:rsid w:val="5F775CBC"/>
    <w:rsid w:val="5F7B1510"/>
    <w:rsid w:val="5F801353"/>
    <w:rsid w:val="5F813C55"/>
    <w:rsid w:val="5F816B3B"/>
    <w:rsid w:val="5F831334"/>
    <w:rsid w:val="5F842877"/>
    <w:rsid w:val="5F846D78"/>
    <w:rsid w:val="5F881C77"/>
    <w:rsid w:val="5F88518C"/>
    <w:rsid w:val="5F88611B"/>
    <w:rsid w:val="5F887EC9"/>
    <w:rsid w:val="5F8B5C0B"/>
    <w:rsid w:val="5F8F27FA"/>
    <w:rsid w:val="5F920D48"/>
    <w:rsid w:val="5F933F3C"/>
    <w:rsid w:val="5F9C4133"/>
    <w:rsid w:val="5FA12D39"/>
    <w:rsid w:val="5FA2671A"/>
    <w:rsid w:val="5FA51708"/>
    <w:rsid w:val="5FA665A1"/>
    <w:rsid w:val="5FA840C8"/>
    <w:rsid w:val="5FA94EBA"/>
    <w:rsid w:val="5FAF36A8"/>
    <w:rsid w:val="5FB30C74"/>
    <w:rsid w:val="5FB32A6C"/>
    <w:rsid w:val="5FB40CBE"/>
    <w:rsid w:val="5FB46F10"/>
    <w:rsid w:val="5FB52C88"/>
    <w:rsid w:val="5FB567E4"/>
    <w:rsid w:val="5FB837BB"/>
    <w:rsid w:val="5FBC1EAC"/>
    <w:rsid w:val="5FBD77A2"/>
    <w:rsid w:val="5FC01AAE"/>
    <w:rsid w:val="5FC03B07"/>
    <w:rsid w:val="5FC55050"/>
    <w:rsid w:val="5FC609F2"/>
    <w:rsid w:val="5FCF3D4A"/>
    <w:rsid w:val="5FCF7413"/>
    <w:rsid w:val="5FD0361E"/>
    <w:rsid w:val="5FD27396"/>
    <w:rsid w:val="5FD622CC"/>
    <w:rsid w:val="5FD70E51"/>
    <w:rsid w:val="5FD8755D"/>
    <w:rsid w:val="5FDB1B0B"/>
    <w:rsid w:val="5FDD6CEA"/>
    <w:rsid w:val="5FDE21DF"/>
    <w:rsid w:val="5FDF0ACE"/>
    <w:rsid w:val="5FE1582B"/>
    <w:rsid w:val="5FE64BF0"/>
    <w:rsid w:val="5FE74F09"/>
    <w:rsid w:val="5FEA46E0"/>
    <w:rsid w:val="5FF26ACB"/>
    <w:rsid w:val="5FF437B1"/>
    <w:rsid w:val="5FF51A3D"/>
    <w:rsid w:val="5FF732A1"/>
    <w:rsid w:val="5FF94923"/>
    <w:rsid w:val="5FFE1F39"/>
    <w:rsid w:val="60003F04"/>
    <w:rsid w:val="60010B51"/>
    <w:rsid w:val="60011A2A"/>
    <w:rsid w:val="60025E40"/>
    <w:rsid w:val="60033C5A"/>
    <w:rsid w:val="600532C8"/>
    <w:rsid w:val="6006114B"/>
    <w:rsid w:val="60086481"/>
    <w:rsid w:val="600965F3"/>
    <w:rsid w:val="600E019B"/>
    <w:rsid w:val="60132B5C"/>
    <w:rsid w:val="60182B95"/>
    <w:rsid w:val="601A2931"/>
    <w:rsid w:val="601C4AB5"/>
    <w:rsid w:val="601E438A"/>
    <w:rsid w:val="601F3830"/>
    <w:rsid w:val="602048C3"/>
    <w:rsid w:val="60213E7A"/>
    <w:rsid w:val="6022031E"/>
    <w:rsid w:val="6022095A"/>
    <w:rsid w:val="60220F0C"/>
    <w:rsid w:val="60264FF8"/>
    <w:rsid w:val="6027180A"/>
    <w:rsid w:val="602D281F"/>
    <w:rsid w:val="602E006B"/>
    <w:rsid w:val="6030223C"/>
    <w:rsid w:val="603040BD"/>
    <w:rsid w:val="60310561"/>
    <w:rsid w:val="60343BAD"/>
    <w:rsid w:val="60391AF1"/>
    <w:rsid w:val="603E6B26"/>
    <w:rsid w:val="603F3EAD"/>
    <w:rsid w:val="60432042"/>
    <w:rsid w:val="604347F1"/>
    <w:rsid w:val="604364E6"/>
    <w:rsid w:val="60437AE9"/>
    <w:rsid w:val="604771F6"/>
    <w:rsid w:val="60496E03"/>
    <w:rsid w:val="60513207"/>
    <w:rsid w:val="6051650D"/>
    <w:rsid w:val="60536729"/>
    <w:rsid w:val="60557105"/>
    <w:rsid w:val="605709F3"/>
    <w:rsid w:val="60575AEE"/>
    <w:rsid w:val="60593779"/>
    <w:rsid w:val="605C46BC"/>
    <w:rsid w:val="605D3104"/>
    <w:rsid w:val="6060660E"/>
    <w:rsid w:val="606326E4"/>
    <w:rsid w:val="60636240"/>
    <w:rsid w:val="60673F83"/>
    <w:rsid w:val="60675D31"/>
    <w:rsid w:val="60687CFB"/>
    <w:rsid w:val="606A5821"/>
    <w:rsid w:val="606B62A8"/>
    <w:rsid w:val="606E3563"/>
    <w:rsid w:val="607156CB"/>
    <w:rsid w:val="607246D5"/>
    <w:rsid w:val="607466A0"/>
    <w:rsid w:val="607664CF"/>
    <w:rsid w:val="60786190"/>
    <w:rsid w:val="60787F3E"/>
    <w:rsid w:val="60795A64"/>
    <w:rsid w:val="60813CAF"/>
    <w:rsid w:val="60831C82"/>
    <w:rsid w:val="60836580"/>
    <w:rsid w:val="60844B35"/>
    <w:rsid w:val="6085265B"/>
    <w:rsid w:val="608B2761"/>
    <w:rsid w:val="608B7E1D"/>
    <w:rsid w:val="608C1C3B"/>
    <w:rsid w:val="608F7035"/>
    <w:rsid w:val="60912DAE"/>
    <w:rsid w:val="60991BCC"/>
    <w:rsid w:val="60A056E7"/>
    <w:rsid w:val="60A32AE1"/>
    <w:rsid w:val="60AA0313"/>
    <w:rsid w:val="60AE283F"/>
    <w:rsid w:val="60AE3960"/>
    <w:rsid w:val="60B44CEE"/>
    <w:rsid w:val="60B847DE"/>
    <w:rsid w:val="60C018E5"/>
    <w:rsid w:val="60C34A1A"/>
    <w:rsid w:val="60C3659A"/>
    <w:rsid w:val="60C50CA9"/>
    <w:rsid w:val="60C767CF"/>
    <w:rsid w:val="60C82547"/>
    <w:rsid w:val="60CC405A"/>
    <w:rsid w:val="60D158A0"/>
    <w:rsid w:val="60D16016"/>
    <w:rsid w:val="60D40EEC"/>
    <w:rsid w:val="60D5627E"/>
    <w:rsid w:val="60D96503"/>
    <w:rsid w:val="60DD4245"/>
    <w:rsid w:val="60DF3749"/>
    <w:rsid w:val="60E03D35"/>
    <w:rsid w:val="60E303C2"/>
    <w:rsid w:val="60E33E00"/>
    <w:rsid w:val="60E4448C"/>
    <w:rsid w:val="60E750C3"/>
    <w:rsid w:val="60E76009"/>
    <w:rsid w:val="60E94998"/>
    <w:rsid w:val="60EC092C"/>
    <w:rsid w:val="60EC6236"/>
    <w:rsid w:val="60F31CBA"/>
    <w:rsid w:val="60F577E0"/>
    <w:rsid w:val="60F82E2D"/>
    <w:rsid w:val="60F90189"/>
    <w:rsid w:val="60FA4DF7"/>
    <w:rsid w:val="60FA50F0"/>
    <w:rsid w:val="60FB1E3C"/>
    <w:rsid w:val="60FB291D"/>
    <w:rsid w:val="60FD7918"/>
    <w:rsid w:val="60FF240D"/>
    <w:rsid w:val="61017961"/>
    <w:rsid w:val="610C68D8"/>
    <w:rsid w:val="610E0230"/>
    <w:rsid w:val="61124939"/>
    <w:rsid w:val="61167B35"/>
    <w:rsid w:val="611759A9"/>
    <w:rsid w:val="611A085E"/>
    <w:rsid w:val="611D6D37"/>
    <w:rsid w:val="611E5AAD"/>
    <w:rsid w:val="611F660B"/>
    <w:rsid w:val="612754C0"/>
    <w:rsid w:val="612C1761"/>
    <w:rsid w:val="612C6D8A"/>
    <w:rsid w:val="612E22FF"/>
    <w:rsid w:val="612F26F4"/>
    <w:rsid w:val="612F7E5E"/>
    <w:rsid w:val="61306A6A"/>
    <w:rsid w:val="613100ED"/>
    <w:rsid w:val="6132374E"/>
    <w:rsid w:val="61333E65"/>
    <w:rsid w:val="61377DF9"/>
    <w:rsid w:val="61386654"/>
    <w:rsid w:val="613B0074"/>
    <w:rsid w:val="613B33A9"/>
    <w:rsid w:val="613D4CE3"/>
    <w:rsid w:val="613E7799"/>
    <w:rsid w:val="613F280A"/>
    <w:rsid w:val="614079B7"/>
    <w:rsid w:val="614442C4"/>
    <w:rsid w:val="61492B27"/>
    <w:rsid w:val="614B1E4E"/>
    <w:rsid w:val="614B5652"/>
    <w:rsid w:val="614C3178"/>
    <w:rsid w:val="614D5EC2"/>
    <w:rsid w:val="614E6EF1"/>
    <w:rsid w:val="61506FE6"/>
    <w:rsid w:val="61511552"/>
    <w:rsid w:val="6155027F"/>
    <w:rsid w:val="6155520D"/>
    <w:rsid w:val="61555B7C"/>
    <w:rsid w:val="61584500"/>
    <w:rsid w:val="615D7134"/>
    <w:rsid w:val="61630BEE"/>
    <w:rsid w:val="616313A9"/>
    <w:rsid w:val="61673576"/>
    <w:rsid w:val="616C4414"/>
    <w:rsid w:val="61730705"/>
    <w:rsid w:val="61734BA9"/>
    <w:rsid w:val="617526CF"/>
    <w:rsid w:val="617821BF"/>
    <w:rsid w:val="61783F6D"/>
    <w:rsid w:val="617A7464"/>
    <w:rsid w:val="617D30E9"/>
    <w:rsid w:val="617D3332"/>
    <w:rsid w:val="617E77D6"/>
    <w:rsid w:val="618274E4"/>
    <w:rsid w:val="6183162F"/>
    <w:rsid w:val="61842912"/>
    <w:rsid w:val="618623B8"/>
    <w:rsid w:val="61872570"/>
    <w:rsid w:val="61882403"/>
    <w:rsid w:val="618835DC"/>
    <w:rsid w:val="6189617B"/>
    <w:rsid w:val="618B1F5D"/>
    <w:rsid w:val="618E553F"/>
    <w:rsid w:val="619247D5"/>
    <w:rsid w:val="619256F4"/>
    <w:rsid w:val="619372F9"/>
    <w:rsid w:val="61946FF9"/>
    <w:rsid w:val="6197778C"/>
    <w:rsid w:val="619C5EAE"/>
    <w:rsid w:val="619F1863"/>
    <w:rsid w:val="61A86601"/>
    <w:rsid w:val="61AB60F1"/>
    <w:rsid w:val="61AD00BB"/>
    <w:rsid w:val="61B47474"/>
    <w:rsid w:val="61B5336E"/>
    <w:rsid w:val="61B6345B"/>
    <w:rsid w:val="61B63C00"/>
    <w:rsid w:val="61B74A96"/>
    <w:rsid w:val="61BA4586"/>
    <w:rsid w:val="61BA5D22"/>
    <w:rsid w:val="61C24773"/>
    <w:rsid w:val="61C3168D"/>
    <w:rsid w:val="61C3343B"/>
    <w:rsid w:val="61C64CD9"/>
    <w:rsid w:val="61C80A6F"/>
    <w:rsid w:val="61C827FF"/>
    <w:rsid w:val="61CA6D11"/>
    <w:rsid w:val="61CB588D"/>
    <w:rsid w:val="61D00691"/>
    <w:rsid w:val="61D1114F"/>
    <w:rsid w:val="61D45C00"/>
    <w:rsid w:val="61D47F21"/>
    <w:rsid w:val="61D601BD"/>
    <w:rsid w:val="61D70C94"/>
    <w:rsid w:val="61E0223F"/>
    <w:rsid w:val="61E215D8"/>
    <w:rsid w:val="61E33ADD"/>
    <w:rsid w:val="61E433B1"/>
    <w:rsid w:val="61E61964"/>
    <w:rsid w:val="61E67129"/>
    <w:rsid w:val="61E77036"/>
    <w:rsid w:val="61E84C4F"/>
    <w:rsid w:val="61F40BD2"/>
    <w:rsid w:val="61F63797"/>
    <w:rsid w:val="61F65A66"/>
    <w:rsid w:val="61F745E3"/>
    <w:rsid w:val="61F77588"/>
    <w:rsid w:val="61F96E5C"/>
    <w:rsid w:val="61FC06FB"/>
    <w:rsid w:val="620125C2"/>
    <w:rsid w:val="62033520"/>
    <w:rsid w:val="62040243"/>
    <w:rsid w:val="6205123E"/>
    <w:rsid w:val="62082703"/>
    <w:rsid w:val="620D2908"/>
    <w:rsid w:val="620D6DAC"/>
    <w:rsid w:val="620F48D2"/>
    <w:rsid w:val="620F6680"/>
    <w:rsid w:val="62123983"/>
    <w:rsid w:val="62141753"/>
    <w:rsid w:val="62141EE8"/>
    <w:rsid w:val="62145A44"/>
    <w:rsid w:val="62173BFA"/>
    <w:rsid w:val="621837A3"/>
    <w:rsid w:val="621B3775"/>
    <w:rsid w:val="621C6FEF"/>
    <w:rsid w:val="621C7FE6"/>
    <w:rsid w:val="621F43E9"/>
    <w:rsid w:val="622046F3"/>
    <w:rsid w:val="6223212B"/>
    <w:rsid w:val="62233ED9"/>
    <w:rsid w:val="62262FF9"/>
    <w:rsid w:val="622639C9"/>
    <w:rsid w:val="622B10BD"/>
    <w:rsid w:val="622B7232"/>
    <w:rsid w:val="623460E6"/>
    <w:rsid w:val="62364782"/>
    <w:rsid w:val="62375BD7"/>
    <w:rsid w:val="62393632"/>
    <w:rsid w:val="623B56C7"/>
    <w:rsid w:val="623B7475"/>
    <w:rsid w:val="623E236D"/>
    <w:rsid w:val="624225DD"/>
    <w:rsid w:val="62432C56"/>
    <w:rsid w:val="624400D1"/>
    <w:rsid w:val="624502F4"/>
    <w:rsid w:val="62456545"/>
    <w:rsid w:val="62470D4F"/>
    <w:rsid w:val="62477485"/>
    <w:rsid w:val="624835B6"/>
    <w:rsid w:val="624A76B8"/>
    <w:rsid w:val="62502FB6"/>
    <w:rsid w:val="62522A10"/>
    <w:rsid w:val="62546789"/>
    <w:rsid w:val="62570027"/>
    <w:rsid w:val="62577FE3"/>
    <w:rsid w:val="62582A4B"/>
    <w:rsid w:val="62590CC8"/>
    <w:rsid w:val="625C563D"/>
    <w:rsid w:val="625E3163"/>
    <w:rsid w:val="62634C1E"/>
    <w:rsid w:val="62652744"/>
    <w:rsid w:val="626866FE"/>
    <w:rsid w:val="626A3B5D"/>
    <w:rsid w:val="626F0194"/>
    <w:rsid w:val="6270328E"/>
    <w:rsid w:val="62710B4C"/>
    <w:rsid w:val="627110E9"/>
    <w:rsid w:val="627307CB"/>
    <w:rsid w:val="627B06CB"/>
    <w:rsid w:val="627B5AC3"/>
    <w:rsid w:val="627E3805"/>
    <w:rsid w:val="627F6598"/>
    <w:rsid w:val="62886432"/>
    <w:rsid w:val="62894684"/>
    <w:rsid w:val="628C4DA7"/>
    <w:rsid w:val="628D57F7"/>
    <w:rsid w:val="628F26E9"/>
    <w:rsid w:val="629152E7"/>
    <w:rsid w:val="629643A1"/>
    <w:rsid w:val="62970423"/>
    <w:rsid w:val="62976109"/>
    <w:rsid w:val="629767E0"/>
    <w:rsid w:val="629904EB"/>
    <w:rsid w:val="6299114A"/>
    <w:rsid w:val="629D770A"/>
    <w:rsid w:val="62AB377A"/>
    <w:rsid w:val="62AC7970"/>
    <w:rsid w:val="62AD7C47"/>
    <w:rsid w:val="62AE504B"/>
    <w:rsid w:val="62AF39BF"/>
    <w:rsid w:val="62AF40A9"/>
    <w:rsid w:val="62B114E5"/>
    <w:rsid w:val="62B256FA"/>
    <w:rsid w:val="62B31701"/>
    <w:rsid w:val="62B45479"/>
    <w:rsid w:val="62B47227"/>
    <w:rsid w:val="62B81204"/>
    <w:rsid w:val="62B965EC"/>
    <w:rsid w:val="62BF5C3C"/>
    <w:rsid w:val="62C3746A"/>
    <w:rsid w:val="62C5023E"/>
    <w:rsid w:val="62C54F90"/>
    <w:rsid w:val="62CE02E9"/>
    <w:rsid w:val="62CF1CB5"/>
    <w:rsid w:val="62CF7BBD"/>
    <w:rsid w:val="62D1322E"/>
    <w:rsid w:val="62D1395E"/>
    <w:rsid w:val="62D14FEA"/>
    <w:rsid w:val="62D51A51"/>
    <w:rsid w:val="62DA4EE0"/>
    <w:rsid w:val="62DB155F"/>
    <w:rsid w:val="62DF2A10"/>
    <w:rsid w:val="62DF7FAD"/>
    <w:rsid w:val="62E0626E"/>
    <w:rsid w:val="62E53885"/>
    <w:rsid w:val="62E775FD"/>
    <w:rsid w:val="62E80C7F"/>
    <w:rsid w:val="62EA356D"/>
    <w:rsid w:val="62F81F17"/>
    <w:rsid w:val="62FA10DE"/>
    <w:rsid w:val="62FD297C"/>
    <w:rsid w:val="6300421A"/>
    <w:rsid w:val="63027F93"/>
    <w:rsid w:val="63041F5D"/>
    <w:rsid w:val="63043D0B"/>
    <w:rsid w:val="63057A83"/>
    <w:rsid w:val="63065CD5"/>
    <w:rsid w:val="63091321"/>
    <w:rsid w:val="630D3D17"/>
    <w:rsid w:val="63116428"/>
    <w:rsid w:val="63133F4E"/>
    <w:rsid w:val="63151451"/>
    <w:rsid w:val="631A37CF"/>
    <w:rsid w:val="631C2C21"/>
    <w:rsid w:val="6320473E"/>
    <w:rsid w:val="63220635"/>
    <w:rsid w:val="63226205"/>
    <w:rsid w:val="63250F34"/>
    <w:rsid w:val="63260125"/>
    <w:rsid w:val="632779F9"/>
    <w:rsid w:val="632B1776"/>
    <w:rsid w:val="632B7977"/>
    <w:rsid w:val="632F68AE"/>
    <w:rsid w:val="63304A83"/>
    <w:rsid w:val="633839B4"/>
    <w:rsid w:val="63391F3A"/>
    <w:rsid w:val="633959A9"/>
    <w:rsid w:val="633A4818"/>
    <w:rsid w:val="633A772C"/>
    <w:rsid w:val="633B34A5"/>
    <w:rsid w:val="633B5CA5"/>
    <w:rsid w:val="633E321C"/>
    <w:rsid w:val="63442359"/>
    <w:rsid w:val="63464323"/>
    <w:rsid w:val="63471E49"/>
    <w:rsid w:val="634C56B2"/>
    <w:rsid w:val="63512CC8"/>
    <w:rsid w:val="63520F1A"/>
    <w:rsid w:val="63530B00"/>
    <w:rsid w:val="6353259C"/>
    <w:rsid w:val="63536A40"/>
    <w:rsid w:val="63544BEA"/>
    <w:rsid w:val="6357408A"/>
    <w:rsid w:val="635C6844"/>
    <w:rsid w:val="6361115D"/>
    <w:rsid w:val="63612F0B"/>
    <w:rsid w:val="63620A31"/>
    <w:rsid w:val="636649C5"/>
    <w:rsid w:val="636974A6"/>
    <w:rsid w:val="6370314E"/>
    <w:rsid w:val="63715118"/>
    <w:rsid w:val="6376774D"/>
    <w:rsid w:val="63771F1D"/>
    <w:rsid w:val="637A221F"/>
    <w:rsid w:val="637A5D7B"/>
    <w:rsid w:val="637F5A87"/>
    <w:rsid w:val="63814E23"/>
    <w:rsid w:val="6381535B"/>
    <w:rsid w:val="63875708"/>
    <w:rsid w:val="63877000"/>
    <w:rsid w:val="638B61DA"/>
    <w:rsid w:val="639130C5"/>
    <w:rsid w:val="63927568"/>
    <w:rsid w:val="6394356A"/>
    <w:rsid w:val="639A01CB"/>
    <w:rsid w:val="639B1BC7"/>
    <w:rsid w:val="639F1BAF"/>
    <w:rsid w:val="63A13A48"/>
    <w:rsid w:val="63A4086C"/>
    <w:rsid w:val="63A65BE7"/>
    <w:rsid w:val="63A948B2"/>
    <w:rsid w:val="63A94E23"/>
    <w:rsid w:val="63AE1EC8"/>
    <w:rsid w:val="63B07155"/>
    <w:rsid w:val="63B27671"/>
    <w:rsid w:val="63B514A9"/>
    <w:rsid w:val="63B801E8"/>
    <w:rsid w:val="63B82D47"/>
    <w:rsid w:val="63B868A3"/>
    <w:rsid w:val="63C4349A"/>
    <w:rsid w:val="63C46DE2"/>
    <w:rsid w:val="63C61B2C"/>
    <w:rsid w:val="63C82F8A"/>
    <w:rsid w:val="63C86DC4"/>
    <w:rsid w:val="63CA4D92"/>
    <w:rsid w:val="63CF256B"/>
    <w:rsid w:val="63CF4E05"/>
    <w:rsid w:val="63D17EA6"/>
    <w:rsid w:val="63D336DD"/>
    <w:rsid w:val="63D40BE9"/>
    <w:rsid w:val="63D47B81"/>
    <w:rsid w:val="63D47C8E"/>
    <w:rsid w:val="63D95197"/>
    <w:rsid w:val="63DA0F0F"/>
    <w:rsid w:val="63DA2CBD"/>
    <w:rsid w:val="63DD455C"/>
    <w:rsid w:val="63E31B72"/>
    <w:rsid w:val="63E35C42"/>
    <w:rsid w:val="63E92F01"/>
    <w:rsid w:val="63E94CAF"/>
    <w:rsid w:val="63EA39D1"/>
    <w:rsid w:val="63ED29F1"/>
    <w:rsid w:val="63F0603D"/>
    <w:rsid w:val="63F109D0"/>
    <w:rsid w:val="63F20007"/>
    <w:rsid w:val="63F43D7F"/>
    <w:rsid w:val="63FA6EBC"/>
    <w:rsid w:val="63FD0308"/>
    <w:rsid w:val="63FD62F6"/>
    <w:rsid w:val="63FE4653"/>
    <w:rsid w:val="63FE4BFE"/>
    <w:rsid w:val="640970FF"/>
    <w:rsid w:val="640B48FA"/>
    <w:rsid w:val="640D29D5"/>
    <w:rsid w:val="640D6BEF"/>
    <w:rsid w:val="640F0BB9"/>
    <w:rsid w:val="64102431"/>
    <w:rsid w:val="64104931"/>
    <w:rsid w:val="641131AA"/>
    <w:rsid w:val="64124205"/>
    <w:rsid w:val="6417181C"/>
    <w:rsid w:val="641A130C"/>
    <w:rsid w:val="641D1B16"/>
    <w:rsid w:val="641E1242"/>
    <w:rsid w:val="642108EC"/>
    <w:rsid w:val="6424218B"/>
    <w:rsid w:val="64281C7B"/>
    <w:rsid w:val="64284AF6"/>
    <w:rsid w:val="642D103F"/>
    <w:rsid w:val="64346872"/>
    <w:rsid w:val="643C2941"/>
    <w:rsid w:val="643D6FD7"/>
    <w:rsid w:val="643E149E"/>
    <w:rsid w:val="643E558C"/>
    <w:rsid w:val="64410F8F"/>
    <w:rsid w:val="64425B37"/>
    <w:rsid w:val="644545DB"/>
    <w:rsid w:val="64485E79"/>
    <w:rsid w:val="64487C27"/>
    <w:rsid w:val="644D16E1"/>
    <w:rsid w:val="64526CF8"/>
    <w:rsid w:val="64541F01"/>
    <w:rsid w:val="645E569D"/>
    <w:rsid w:val="64630CDE"/>
    <w:rsid w:val="6465166F"/>
    <w:rsid w:val="646B7DB9"/>
    <w:rsid w:val="646C0914"/>
    <w:rsid w:val="646F0B81"/>
    <w:rsid w:val="647153D0"/>
    <w:rsid w:val="64744785"/>
    <w:rsid w:val="64754794"/>
    <w:rsid w:val="64766551"/>
    <w:rsid w:val="647749B0"/>
    <w:rsid w:val="64795751"/>
    <w:rsid w:val="647B6F79"/>
    <w:rsid w:val="647C5B23"/>
    <w:rsid w:val="648932F8"/>
    <w:rsid w:val="648F3AA8"/>
    <w:rsid w:val="64963088"/>
    <w:rsid w:val="64963B81"/>
    <w:rsid w:val="64992502"/>
    <w:rsid w:val="649C7F73"/>
    <w:rsid w:val="64A50AA5"/>
    <w:rsid w:val="64A5243A"/>
    <w:rsid w:val="64A62BA0"/>
    <w:rsid w:val="64A82DBC"/>
    <w:rsid w:val="64A85782"/>
    <w:rsid w:val="64AB3259"/>
    <w:rsid w:val="64AD5F48"/>
    <w:rsid w:val="64B60388"/>
    <w:rsid w:val="64B671C1"/>
    <w:rsid w:val="64B82FFF"/>
    <w:rsid w:val="64BB664B"/>
    <w:rsid w:val="64BC4DF0"/>
    <w:rsid w:val="64BD0615"/>
    <w:rsid w:val="64BE025A"/>
    <w:rsid w:val="64C6151F"/>
    <w:rsid w:val="64C6694E"/>
    <w:rsid w:val="64C80D68"/>
    <w:rsid w:val="64CA0F84"/>
    <w:rsid w:val="64CC0858"/>
    <w:rsid w:val="64CC26CC"/>
    <w:rsid w:val="64CC6AAA"/>
    <w:rsid w:val="64CD45D0"/>
    <w:rsid w:val="64D140C0"/>
    <w:rsid w:val="64D4311E"/>
    <w:rsid w:val="64D82091"/>
    <w:rsid w:val="64DD2A65"/>
    <w:rsid w:val="64E30A47"/>
    <w:rsid w:val="64E9765C"/>
    <w:rsid w:val="64EC5F25"/>
    <w:rsid w:val="64EE6A20"/>
    <w:rsid w:val="64EF09EB"/>
    <w:rsid w:val="64F00512"/>
    <w:rsid w:val="64F531DE"/>
    <w:rsid w:val="64F61D79"/>
    <w:rsid w:val="64F8789F"/>
    <w:rsid w:val="64FA63AA"/>
    <w:rsid w:val="64FE29DC"/>
    <w:rsid w:val="64FF335C"/>
    <w:rsid w:val="65044496"/>
    <w:rsid w:val="65052BD7"/>
    <w:rsid w:val="65071890"/>
    <w:rsid w:val="650731BD"/>
    <w:rsid w:val="65083668"/>
    <w:rsid w:val="651144BD"/>
    <w:rsid w:val="65115146"/>
    <w:rsid w:val="65136487"/>
    <w:rsid w:val="65154FA6"/>
    <w:rsid w:val="651569E0"/>
    <w:rsid w:val="65177D95"/>
    <w:rsid w:val="6518584B"/>
    <w:rsid w:val="651A62B7"/>
    <w:rsid w:val="651B17E0"/>
    <w:rsid w:val="651B23A3"/>
    <w:rsid w:val="651D10B4"/>
    <w:rsid w:val="65222B6E"/>
    <w:rsid w:val="652266CA"/>
    <w:rsid w:val="65242442"/>
    <w:rsid w:val="652C12F7"/>
    <w:rsid w:val="652C1474"/>
    <w:rsid w:val="652D4813"/>
    <w:rsid w:val="652E1DEE"/>
    <w:rsid w:val="65312228"/>
    <w:rsid w:val="65314B5F"/>
    <w:rsid w:val="65346E46"/>
    <w:rsid w:val="6535464F"/>
    <w:rsid w:val="65362175"/>
    <w:rsid w:val="65366619"/>
    <w:rsid w:val="65373578"/>
    <w:rsid w:val="65384140"/>
    <w:rsid w:val="65387C9C"/>
    <w:rsid w:val="653A1C66"/>
    <w:rsid w:val="653D3504"/>
    <w:rsid w:val="65424FBE"/>
    <w:rsid w:val="65436640"/>
    <w:rsid w:val="65474383"/>
    <w:rsid w:val="6549634D"/>
    <w:rsid w:val="654C7BEB"/>
    <w:rsid w:val="654D5ECD"/>
    <w:rsid w:val="654E3963"/>
    <w:rsid w:val="654E5711"/>
    <w:rsid w:val="654E5B75"/>
    <w:rsid w:val="65515201"/>
    <w:rsid w:val="65533D0F"/>
    <w:rsid w:val="65540052"/>
    <w:rsid w:val="6556339B"/>
    <w:rsid w:val="65566374"/>
    <w:rsid w:val="655C1495"/>
    <w:rsid w:val="655F0227"/>
    <w:rsid w:val="655F347A"/>
    <w:rsid w:val="655F39C1"/>
    <w:rsid w:val="656211BC"/>
    <w:rsid w:val="65623F20"/>
    <w:rsid w:val="6563336C"/>
    <w:rsid w:val="65644F35"/>
    <w:rsid w:val="656520E7"/>
    <w:rsid w:val="65652A5B"/>
    <w:rsid w:val="65665B4A"/>
    <w:rsid w:val="656767D3"/>
    <w:rsid w:val="656942F9"/>
    <w:rsid w:val="656A1E1F"/>
    <w:rsid w:val="656B62C3"/>
    <w:rsid w:val="656F32A7"/>
    <w:rsid w:val="657019F8"/>
    <w:rsid w:val="65705687"/>
    <w:rsid w:val="65720290"/>
    <w:rsid w:val="65750EF0"/>
    <w:rsid w:val="65766A16"/>
    <w:rsid w:val="657B15BD"/>
    <w:rsid w:val="657B69CF"/>
    <w:rsid w:val="657D1B52"/>
    <w:rsid w:val="65801643"/>
    <w:rsid w:val="65826222"/>
    <w:rsid w:val="65842EE1"/>
    <w:rsid w:val="65876D60"/>
    <w:rsid w:val="65876F18"/>
    <w:rsid w:val="658A7EDF"/>
    <w:rsid w:val="658C128A"/>
    <w:rsid w:val="658F1506"/>
    <w:rsid w:val="65984BDE"/>
    <w:rsid w:val="659B647C"/>
    <w:rsid w:val="659C46CE"/>
    <w:rsid w:val="65A3083B"/>
    <w:rsid w:val="65A672FB"/>
    <w:rsid w:val="65A90B99"/>
    <w:rsid w:val="65A92947"/>
    <w:rsid w:val="65AF1C1C"/>
    <w:rsid w:val="65B03CD6"/>
    <w:rsid w:val="65B25492"/>
    <w:rsid w:val="65B66714"/>
    <w:rsid w:val="65BA2DA7"/>
    <w:rsid w:val="65BB098D"/>
    <w:rsid w:val="65BE2C69"/>
    <w:rsid w:val="65C045E2"/>
    <w:rsid w:val="65C34F0E"/>
    <w:rsid w:val="65C356C8"/>
    <w:rsid w:val="65C459D3"/>
    <w:rsid w:val="65C63860"/>
    <w:rsid w:val="65C6799D"/>
    <w:rsid w:val="65C92FEA"/>
    <w:rsid w:val="65CB6D62"/>
    <w:rsid w:val="65CE23AE"/>
    <w:rsid w:val="65CE4EFC"/>
    <w:rsid w:val="65D2213C"/>
    <w:rsid w:val="65D31C24"/>
    <w:rsid w:val="65D331AD"/>
    <w:rsid w:val="65D75478"/>
    <w:rsid w:val="65D915E7"/>
    <w:rsid w:val="65DA6FA5"/>
    <w:rsid w:val="65DC4B2D"/>
    <w:rsid w:val="65DE3882"/>
    <w:rsid w:val="65DE4CE7"/>
    <w:rsid w:val="65DF2605"/>
    <w:rsid w:val="65DF2BFC"/>
    <w:rsid w:val="65E322FD"/>
    <w:rsid w:val="65E42EA7"/>
    <w:rsid w:val="65E6041F"/>
    <w:rsid w:val="65E9543A"/>
    <w:rsid w:val="65EE47FE"/>
    <w:rsid w:val="65EE4DB6"/>
    <w:rsid w:val="65EF70E9"/>
    <w:rsid w:val="65F0083E"/>
    <w:rsid w:val="65F04A1A"/>
    <w:rsid w:val="65F20792"/>
    <w:rsid w:val="65F32C4F"/>
    <w:rsid w:val="65F54792"/>
    <w:rsid w:val="65F85445"/>
    <w:rsid w:val="65F8742B"/>
    <w:rsid w:val="65F91B21"/>
    <w:rsid w:val="65FA31A3"/>
    <w:rsid w:val="65FB0E1D"/>
    <w:rsid w:val="65FE0EE5"/>
    <w:rsid w:val="65FF6120"/>
    <w:rsid w:val="66033B3B"/>
    <w:rsid w:val="660404C6"/>
    <w:rsid w:val="660758C0"/>
    <w:rsid w:val="6609788A"/>
    <w:rsid w:val="660E09B2"/>
    <w:rsid w:val="660E3E54"/>
    <w:rsid w:val="660E4EA0"/>
    <w:rsid w:val="66127A5D"/>
    <w:rsid w:val="66171FA7"/>
    <w:rsid w:val="66187ACD"/>
    <w:rsid w:val="66196EFD"/>
    <w:rsid w:val="661C75BD"/>
    <w:rsid w:val="661F0E5C"/>
    <w:rsid w:val="66212E26"/>
    <w:rsid w:val="66252916"/>
    <w:rsid w:val="66266E83"/>
    <w:rsid w:val="66285F62"/>
    <w:rsid w:val="6628604E"/>
    <w:rsid w:val="662B15AE"/>
    <w:rsid w:val="662B6713"/>
    <w:rsid w:val="6630756C"/>
    <w:rsid w:val="663366B5"/>
    <w:rsid w:val="66337AC2"/>
    <w:rsid w:val="66344907"/>
    <w:rsid w:val="66361BAE"/>
    <w:rsid w:val="66383CCB"/>
    <w:rsid w:val="66391F1D"/>
    <w:rsid w:val="66393956"/>
    <w:rsid w:val="66432D9C"/>
    <w:rsid w:val="66434B4A"/>
    <w:rsid w:val="664663E8"/>
    <w:rsid w:val="664803B2"/>
    <w:rsid w:val="664A0E48"/>
    <w:rsid w:val="664B0689"/>
    <w:rsid w:val="664D19C8"/>
    <w:rsid w:val="664D3F17"/>
    <w:rsid w:val="664E34EF"/>
    <w:rsid w:val="664F7571"/>
    <w:rsid w:val="665705F5"/>
    <w:rsid w:val="665C20B0"/>
    <w:rsid w:val="665E1984"/>
    <w:rsid w:val="665F74AA"/>
    <w:rsid w:val="6663423B"/>
    <w:rsid w:val="66664CDC"/>
    <w:rsid w:val="66670B20"/>
    <w:rsid w:val="666F593F"/>
    <w:rsid w:val="66703465"/>
    <w:rsid w:val="66717871"/>
    <w:rsid w:val="66723681"/>
    <w:rsid w:val="6672542F"/>
    <w:rsid w:val="66734040"/>
    <w:rsid w:val="667440DC"/>
    <w:rsid w:val="66751597"/>
    <w:rsid w:val="66777EBD"/>
    <w:rsid w:val="6678134D"/>
    <w:rsid w:val="66783F59"/>
    <w:rsid w:val="667967BE"/>
    <w:rsid w:val="667B0AF0"/>
    <w:rsid w:val="66800E54"/>
    <w:rsid w:val="66833198"/>
    <w:rsid w:val="6683763C"/>
    <w:rsid w:val="6686144F"/>
    <w:rsid w:val="66871D55"/>
    <w:rsid w:val="66884C53"/>
    <w:rsid w:val="66886A01"/>
    <w:rsid w:val="66890422"/>
    <w:rsid w:val="668B029F"/>
    <w:rsid w:val="668B4BF2"/>
    <w:rsid w:val="668B64F1"/>
    <w:rsid w:val="668B687D"/>
    <w:rsid w:val="668D4017"/>
    <w:rsid w:val="669021AE"/>
    <w:rsid w:val="669058B5"/>
    <w:rsid w:val="669109C0"/>
    <w:rsid w:val="6696513B"/>
    <w:rsid w:val="66967370"/>
    <w:rsid w:val="669748D6"/>
    <w:rsid w:val="669E4EAC"/>
    <w:rsid w:val="66A03D4A"/>
    <w:rsid w:val="66A17AC3"/>
    <w:rsid w:val="66A25614"/>
    <w:rsid w:val="66A31A8D"/>
    <w:rsid w:val="66A4236A"/>
    <w:rsid w:val="66A575B3"/>
    <w:rsid w:val="66A61722"/>
    <w:rsid w:val="66A870A3"/>
    <w:rsid w:val="66AF0431"/>
    <w:rsid w:val="66AF3FED"/>
    <w:rsid w:val="66B2045C"/>
    <w:rsid w:val="66B23A7E"/>
    <w:rsid w:val="66B5531C"/>
    <w:rsid w:val="66B912B0"/>
    <w:rsid w:val="66BA2932"/>
    <w:rsid w:val="66BC66AA"/>
    <w:rsid w:val="66BE0674"/>
    <w:rsid w:val="66C94123"/>
    <w:rsid w:val="66CA3376"/>
    <w:rsid w:val="66CD6B09"/>
    <w:rsid w:val="66D460EA"/>
    <w:rsid w:val="66D863DF"/>
    <w:rsid w:val="66D87988"/>
    <w:rsid w:val="66D9725C"/>
    <w:rsid w:val="66DC219C"/>
    <w:rsid w:val="66DC6D4D"/>
    <w:rsid w:val="66DE1DC0"/>
    <w:rsid w:val="66DF76D4"/>
    <w:rsid w:val="66E03EBD"/>
    <w:rsid w:val="66E0683D"/>
    <w:rsid w:val="66E225B5"/>
    <w:rsid w:val="66E459E8"/>
    <w:rsid w:val="66E4630A"/>
    <w:rsid w:val="66E856F1"/>
    <w:rsid w:val="66EA3218"/>
    <w:rsid w:val="66ED4AB6"/>
    <w:rsid w:val="66F57243"/>
    <w:rsid w:val="66FB3677"/>
    <w:rsid w:val="66FB5425"/>
    <w:rsid w:val="66FB71D3"/>
    <w:rsid w:val="66FE6CC3"/>
    <w:rsid w:val="67000C8D"/>
    <w:rsid w:val="67050051"/>
    <w:rsid w:val="670A0786"/>
    <w:rsid w:val="670A38BA"/>
    <w:rsid w:val="670F7122"/>
    <w:rsid w:val="67106284"/>
    <w:rsid w:val="6712276E"/>
    <w:rsid w:val="67145898"/>
    <w:rsid w:val="6716225F"/>
    <w:rsid w:val="67193AFD"/>
    <w:rsid w:val="671B7875"/>
    <w:rsid w:val="671E7365"/>
    <w:rsid w:val="671F124A"/>
    <w:rsid w:val="67206C39"/>
    <w:rsid w:val="67210E21"/>
    <w:rsid w:val="672568E5"/>
    <w:rsid w:val="672755B0"/>
    <w:rsid w:val="67293C7B"/>
    <w:rsid w:val="672E57FA"/>
    <w:rsid w:val="67311DA8"/>
    <w:rsid w:val="67317098"/>
    <w:rsid w:val="6732696D"/>
    <w:rsid w:val="673646AF"/>
    <w:rsid w:val="67380427"/>
    <w:rsid w:val="673821D5"/>
    <w:rsid w:val="67395F4D"/>
    <w:rsid w:val="67397CFB"/>
    <w:rsid w:val="673E0C66"/>
    <w:rsid w:val="673E3563"/>
    <w:rsid w:val="673F7A07"/>
    <w:rsid w:val="6740744B"/>
    <w:rsid w:val="6744501E"/>
    <w:rsid w:val="67472418"/>
    <w:rsid w:val="674A63AC"/>
    <w:rsid w:val="67530DBD"/>
    <w:rsid w:val="67535261"/>
    <w:rsid w:val="67550FD9"/>
    <w:rsid w:val="67580891"/>
    <w:rsid w:val="675863D3"/>
    <w:rsid w:val="67594624"/>
    <w:rsid w:val="675B5EC3"/>
    <w:rsid w:val="67654716"/>
    <w:rsid w:val="676905E0"/>
    <w:rsid w:val="67690962"/>
    <w:rsid w:val="67694A84"/>
    <w:rsid w:val="676A3115"/>
    <w:rsid w:val="676A6106"/>
    <w:rsid w:val="676B3864"/>
    <w:rsid w:val="67705E13"/>
    <w:rsid w:val="67717495"/>
    <w:rsid w:val="677564D7"/>
    <w:rsid w:val="677578F4"/>
    <w:rsid w:val="67786A75"/>
    <w:rsid w:val="67787B9A"/>
    <w:rsid w:val="67790849"/>
    <w:rsid w:val="677A33C6"/>
    <w:rsid w:val="677A5580"/>
    <w:rsid w:val="677F6056"/>
    <w:rsid w:val="6780592A"/>
    <w:rsid w:val="67825B46"/>
    <w:rsid w:val="6782772E"/>
    <w:rsid w:val="6789169E"/>
    <w:rsid w:val="67892F6F"/>
    <w:rsid w:val="678A0557"/>
    <w:rsid w:val="678C42CF"/>
    <w:rsid w:val="678E6299"/>
    <w:rsid w:val="67902011"/>
    <w:rsid w:val="679118E5"/>
    <w:rsid w:val="6791456F"/>
    <w:rsid w:val="67941CC2"/>
    <w:rsid w:val="67947D38"/>
    <w:rsid w:val="6796514D"/>
    <w:rsid w:val="679715F1"/>
    <w:rsid w:val="679768AD"/>
    <w:rsid w:val="67980EC5"/>
    <w:rsid w:val="67987E26"/>
    <w:rsid w:val="679A58E8"/>
    <w:rsid w:val="67A27F96"/>
    <w:rsid w:val="67A41618"/>
    <w:rsid w:val="67A55390"/>
    <w:rsid w:val="67A82780"/>
    <w:rsid w:val="67AC28B8"/>
    <w:rsid w:val="67AE7B43"/>
    <w:rsid w:val="67B101D9"/>
    <w:rsid w:val="67B64DFA"/>
    <w:rsid w:val="67BB2DE4"/>
    <w:rsid w:val="67BB4BB4"/>
    <w:rsid w:val="67BC1058"/>
    <w:rsid w:val="67BD0978"/>
    <w:rsid w:val="67BF731D"/>
    <w:rsid w:val="67C65A33"/>
    <w:rsid w:val="67C95523"/>
    <w:rsid w:val="67C972D1"/>
    <w:rsid w:val="67CA5B81"/>
    <w:rsid w:val="67CE7379"/>
    <w:rsid w:val="67D0065F"/>
    <w:rsid w:val="67D6379C"/>
    <w:rsid w:val="67D91C5E"/>
    <w:rsid w:val="67DA273F"/>
    <w:rsid w:val="67DB7004"/>
    <w:rsid w:val="67DD0FCE"/>
    <w:rsid w:val="67DF4FA2"/>
    <w:rsid w:val="67E1461B"/>
    <w:rsid w:val="67E20393"/>
    <w:rsid w:val="67E33780"/>
    <w:rsid w:val="67E33E17"/>
    <w:rsid w:val="67E41C64"/>
    <w:rsid w:val="67E660D5"/>
    <w:rsid w:val="67E91721"/>
    <w:rsid w:val="67E97973"/>
    <w:rsid w:val="67EE4B2B"/>
    <w:rsid w:val="67F72090"/>
    <w:rsid w:val="67FA392E"/>
    <w:rsid w:val="68001999"/>
    <w:rsid w:val="68016A6B"/>
    <w:rsid w:val="680224D0"/>
    <w:rsid w:val="680447AD"/>
    <w:rsid w:val="68077803"/>
    <w:rsid w:val="68093B71"/>
    <w:rsid w:val="68103152"/>
    <w:rsid w:val="68106CAE"/>
    <w:rsid w:val="68120C78"/>
    <w:rsid w:val="68126ECA"/>
    <w:rsid w:val="68142C42"/>
    <w:rsid w:val="68150768"/>
    <w:rsid w:val="68161876"/>
    <w:rsid w:val="68165436"/>
    <w:rsid w:val="68187D7C"/>
    <w:rsid w:val="68193DA7"/>
    <w:rsid w:val="681B7EC8"/>
    <w:rsid w:val="681E4857"/>
    <w:rsid w:val="681F6961"/>
    <w:rsid w:val="682329EA"/>
    <w:rsid w:val="68242759"/>
    <w:rsid w:val="68264723"/>
    <w:rsid w:val="68282249"/>
    <w:rsid w:val="68297D70"/>
    <w:rsid w:val="682B66E1"/>
    <w:rsid w:val="682C58E9"/>
    <w:rsid w:val="682C6E97"/>
    <w:rsid w:val="683055A2"/>
    <w:rsid w:val="68356714"/>
    <w:rsid w:val="68364B4E"/>
    <w:rsid w:val="683A01CF"/>
    <w:rsid w:val="683A0709"/>
    <w:rsid w:val="683A3D2B"/>
    <w:rsid w:val="683C6AF0"/>
    <w:rsid w:val="683D13F8"/>
    <w:rsid w:val="684150B9"/>
    <w:rsid w:val="68455969"/>
    <w:rsid w:val="68480CB8"/>
    <w:rsid w:val="684F3C7A"/>
    <w:rsid w:val="685128B1"/>
    <w:rsid w:val="68541290"/>
    <w:rsid w:val="68581629"/>
    <w:rsid w:val="68582403"/>
    <w:rsid w:val="68594AF9"/>
    <w:rsid w:val="685A261F"/>
    <w:rsid w:val="685B63B4"/>
    <w:rsid w:val="685D34FE"/>
    <w:rsid w:val="68610A2F"/>
    <w:rsid w:val="68664B20"/>
    <w:rsid w:val="686A409C"/>
    <w:rsid w:val="686F7E78"/>
    <w:rsid w:val="68751C26"/>
    <w:rsid w:val="687754B6"/>
    <w:rsid w:val="687A6C4F"/>
    <w:rsid w:val="687F152B"/>
    <w:rsid w:val="687F5BE1"/>
    <w:rsid w:val="68805514"/>
    <w:rsid w:val="6884144A"/>
    <w:rsid w:val="688E4077"/>
    <w:rsid w:val="688F051A"/>
    <w:rsid w:val="68925915"/>
    <w:rsid w:val="6894556A"/>
    <w:rsid w:val="689478DF"/>
    <w:rsid w:val="68980046"/>
    <w:rsid w:val="68985DB5"/>
    <w:rsid w:val="689C49E5"/>
    <w:rsid w:val="68A4505F"/>
    <w:rsid w:val="68A85138"/>
    <w:rsid w:val="68A970BB"/>
    <w:rsid w:val="68AA0EB0"/>
    <w:rsid w:val="68AB05E8"/>
    <w:rsid w:val="68AB4C28"/>
    <w:rsid w:val="68B11417"/>
    <w:rsid w:val="68B25FB7"/>
    <w:rsid w:val="68B82848"/>
    <w:rsid w:val="68B9168D"/>
    <w:rsid w:val="68BE670A"/>
    <w:rsid w:val="68BE7F21"/>
    <w:rsid w:val="68BF2482"/>
    <w:rsid w:val="68C14ED1"/>
    <w:rsid w:val="68C17E0E"/>
    <w:rsid w:val="68C24BBC"/>
    <w:rsid w:val="68C57892"/>
    <w:rsid w:val="68C61A62"/>
    <w:rsid w:val="68C77275"/>
    <w:rsid w:val="68CA539C"/>
    <w:rsid w:val="68CF0BBE"/>
    <w:rsid w:val="68D35286"/>
    <w:rsid w:val="68D4417F"/>
    <w:rsid w:val="68D50552"/>
    <w:rsid w:val="68D75A1D"/>
    <w:rsid w:val="68D96B7C"/>
    <w:rsid w:val="68DC4DE2"/>
    <w:rsid w:val="68DD679C"/>
    <w:rsid w:val="68E11616"/>
    <w:rsid w:val="68E36170"/>
    <w:rsid w:val="68E63EB3"/>
    <w:rsid w:val="68E92303"/>
    <w:rsid w:val="68EA74FF"/>
    <w:rsid w:val="68ED3493"/>
    <w:rsid w:val="68EF4B15"/>
    <w:rsid w:val="68F25ADB"/>
    <w:rsid w:val="68F35F86"/>
    <w:rsid w:val="68F4037D"/>
    <w:rsid w:val="68F420D2"/>
    <w:rsid w:val="68F80968"/>
    <w:rsid w:val="68F828E5"/>
    <w:rsid w:val="68FC5484"/>
    <w:rsid w:val="68FE307E"/>
    <w:rsid w:val="69001CCB"/>
    <w:rsid w:val="690600B1"/>
    <w:rsid w:val="690C1B6B"/>
    <w:rsid w:val="690E430C"/>
    <w:rsid w:val="69126A56"/>
    <w:rsid w:val="69127D9C"/>
    <w:rsid w:val="691427CE"/>
    <w:rsid w:val="691512E7"/>
    <w:rsid w:val="6917406C"/>
    <w:rsid w:val="691A3DD9"/>
    <w:rsid w:val="691B590A"/>
    <w:rsid w:val="691D346F"/>
    <w:rsid w:val="691D7AC3"/>
    <w:rsid w:val="691E26C3"/>
    <w:rsid w:val="692769A5"/>
    <w:rsid w:val="692A0243"/>
    <w:rsid w:val="692A7707"/>
    <w:rsid w:val="692B5BBF"/>
    <w:rsid w:val="693052F5"/>
    <w:rsid w:val="69313380"/>
    <w:rsid w:val="69316E2F"/>
    <w:rsid w:val="69332CB0"/>
    <w:rsid w:val="693374BF"/>
    <w:rsid w:val="69362744"/>
    <w:rsid w:val="69390486"/>
    <w:rsid w:val="693B41FE"/>
    <w:rsid w:val="693E3CEF"/>
    <w:rsid w:val="693E784B"/>
    <w:rsid w:val="6942733B"/>
    <w:rsid w:val="69445D43"/>
    <w:rsid w:val="69470DF5"/>
    <w:rsid w:val="6949563F"/>
    <w:rsid w:val="694B1F6D"/>
    <w:rsid w:val="694C25D4"/>
    <w:rsid w:val="694D2D8C"/>
    <w:rsid w:val="694E2071"/>
    <w:rsid w:val="694F4082"/>
    <w:rsid w:val="6951757E"/>
    <w:rsid w:val="69555DF5"/>
    <w:rsid w:val="69564428"/>
    <w:rsid w:val="696C43B8"/>
    <w:rsid w:val="696D0F78"/>
    <w:rsid w:val="696F5C56"/>
    <w:rsid w:val="69717C20"/>
    <w:rsid w:val="69730376"/>
    <w:rsid w:val="69750F1B"/>
    <w:rsid w:val="69764775"/>
    <w:rsid w:val="69766163"/>
    <w:rsid w:val="69782D5D"/>
    <w:rsid w:val="697A3B33"/>
    <w:rsid w:val="69855479"/>
    <w:rsid w:val="69872FA0"/>
    <w:rsid w:val="69886D18"/>
    <w:rsid w:val="698D0391"/>
    <w:rsid w:val="699029A4"/>
    <w:rsid w:val="69931840"/>
    <w:rsid w:val="69935DE8"/>
    <w:rsid w:val="699851AD"/>
    <w:rsid w:val="69995197"/>
    <w:rsid w:val="699C7604"/>
    <w:rsid w:val="699D6C67"/>
    <w:rsid w:val="699E75B7"/>
    <w:rsid w:val="69A022B3"/>
    <w:rsid w:val="69A2427D"/>
    <w:rsid w:val="69A2602B"/>
    <w:rsid w:val="69A41DA4"/>
    <w:rsid w:val="69A43B52"/>
    <w:rsid w:val="69A45A35"/>
    <w:rsid w:val="69A753F0"/>
    <w:rsid w:val="69AE6C48"/>
    <w:rsid w:val="69B163C3"/>
    <w:rsid w:val="69B33D95"/>
    <w:rsid w:val="69B7409D"/>
    <w:rsid w:val="69B8584F"/>
    <w:rsid w:val="69B875FD"/>
    <w:rsid w:val="69B91F06"/>
    <w:rsid w:val="69BA3375"/>
    <w:rsid w:val="69BB00A8"/>
    <w:rsid w:val="69BB533F"/>
    <w:rsid w:val="69BD10B7"/>
    <w:rsid w:val="69C2222A"/>
    <w:rsid w:val="69C24241"/>
    <w:rsid w:val="69C44500"/>
    <w:rsid w:val="69C45FA2"/>
    <w:rsid w:val="69C50153"/>
    <w:rsid w:val="69C53AC8"/>
    <w:rsid w:val="69C75A92"/>
    <w:rsid w:val="69C85A43"/>
    <w:rsid w:val="69C87369"/>
    <w:rsid w:val="69C9180A"/>
    <w:rsid w:val="69CA3513"/>
    <w:rsid w:val="69CA3FC5"/>
    <w:rsid w:val="69CA5396"/>
    <w:rsid w:val="69CC4E56"/>
    <w:rsid w:val="69CE0BCF"/>
    <w:rsid w:val="69D12FAB"/>
    <w:rsid w:val="69D14BCF"/>
    <w:rsid w:val="69D44760"/>
    <w:rsid w:val="69D710F4"/>
    <w:rsid w:val="69DA7573"/>
    <w:rsid w:val="69DB0ACD"/>
    <w:rsid w:val="69DD7064"/>
    <w:rsid w:val="69DF403D"/>
    <w:rsid w:val="69E228CC"/>
    <w:rsid w:val="69E4773D"/>
    <w:rsid w:val="69E47E59"/>
    <w:rsid w:val="69E56540"/>
    <w:rsid w:val="69E611D9"/>
    <w:rsid w:val="69E93C5A"/>
    <w:rsid w:val="69EA32AA"/>
    <w:rsid w:val="69EC50DF"/>
    <w:rsid w:val="69EE74C3"/>
    <w:rsid w:val="69EF134A"/>
    <w:rsid w:val="69F06D97"/>
    <w:rsid w:val="69F10D61"/>
    <w:rsid w:val="69F41614"/>
    <w:rsid w:val="69F60227"/>
    <w:rsid w:val="69F66377"/>
    <w:rsid w:val="69FA0CBE"/>
    <w:rsid w:val="6A044156"/>
    <w:rsid w:val="6A086F97"/>
    <w:rsid w:val="6A097E59"/>
    <w:rsid w:val="6A0C16F7"/>
    <w:rsid w:val="6A0E1913"/>
    <w:rsid w:val="6A152CA1"/>
    <w:rsid w:val="6A16656B"/>
    <w:rsid w:val="6A175A16"/>
    <w:rsid w:val="6A1D1B56"/>
    <w:rsid w:val="6A1F142A"/>
    <w:rsid w:val="6A242EE4"/>
    <w:rsid w:val="6A2829D5"/>
    <w:rsid w:val="6A2C6442"/>
    <w:rsid w:val="6A32156B"/>
    <w:rsid w:val="6A334ED5"/>
    <w:rsid w:val="6A361C32"/>
    <w:rsid w:val="6A386990"/>
    <w:rsid w:val="6A3B3D8A"/>
    <w:rsid w:val="6A3C4858"/>
    <w:rsid w:val="6A3D4E3D"/>
    <w:rsid w:val="6A4175F2"/>
    <w:rsid w:val="6A426CC9"/>
    <w:rsid w:val="6A470125"/>
    <w:rsid w:val="6A486BD3"/>
    <w:rsid w:val="6A4901C7"/>
    <w:rsid w:val="6A4D3E83"/>
    <w:rsid w:val="6A4D41E9"/>
    <w:rsid w:val="6A503D6D"/>
    <w:rsid w:val="6A505A87"/>
    <w:rsid w:val="6A520EC7"/>
    <w:rsid w:val="6A535578"/>
    <w:rsid w:val="6A582B8E"/>
    <w:rsid w:val="6A594525"/>
    <w:rsid w:val="6A5C57AD"/>
    <w:rsid w:val="6A5F3F1C"/>
    <w:rsid w:val="6A5F4521"/>
    <w:rsid w:val="6A5F585A"/>
    <w:rsid w:val="6A6257BB"/>
    <w:rsid w:val="6A627569"/>
    <w:rsid w:val="6A641533"/>
    <w:rsid w:val="6A64436F"/>
    <w:rsid w:val="6A66461A"/>
    <w:rsid w:val="6A6873F0"/>
    <w:rsid w:val="6A6908F7"/>
    <w:rsid w:val="6A6D03E7"/>
    <w:rsid w:val="6A6D73D5"/>
    <w:rsid w:val="6A6E6628"/>
    <w:rsid w:val="6A701C86"/>
    <w:rsid w:val="6A710606"/>
    <w:rsid w:val="6A7433A9"/>
    <w:rsid w:val="6A793230"/>
    <w:rsid w:val="6A7A48B2"/>
    <w:rsid w:val="6A7B20D2"/>
    <w:rsid w:val="6A86594D"/>
    <w:rsid w:val="6A88226F"/>
    <w:rsid w:val="6A885221"/>
    <w:rsid w:val="6A892D47"/>
    <w:rsid w:val="6A8E38F8"/>
    <w:rsid w:val="6A9219D6"/>
    <w:rsid w:val="6A9503B8"/>
    <w:rsid w:val="6A9C0CCD"/>
    <w:rsid w:val="6A9E2C97"/>
    <w:rsid w:val="6AA15B2C"/>
    <w:rsid w:val="6AA433C5"/>
    <w:rsid w:val="6AA8002E"/>
    <w:rsid w:val="6AAB7162"/>
    <w:rsid w:val="6AAD6A36"/>
    <w:rsid w:val="6AAF6C52"/>
    <w:rsid w:val="6AB0102A"/>
    <w:rsid w:val="6AB848D9"/>
    <w:rsid w:val="6ABA1153"/>
    <w:rsid w:val="6ABC136F"/>
    <w:rsid w:val="6ABE50E7"/>
    <w:rsid w:val="6ABF1B6E"/>
    <w:rsid w:val="6ABF49BB"/>
    <w:rsid w:val="6AC374A9"/>
    <w:rsid w:val="6AC65D4A"/>
    <w:rsid w:val="6AC801AA"/>
    <w:rsid w:val="6AD22940"/>
    <w:rsid w:val="6AD97B0E"/>
    <w:rsid w:val="6ADA17F5"/>
    <w:rsid w:val="6ADA72E6"/>
    <w:rsid w:val="6ADC731B"/>
    <w:rsid w:val="6ADE08DC"/>
    <w:rsid w:val="6AE0505D"/>
    <w:rsid w:val="6AE126C6"/>
    <w:rsid w:val="6AE306AA"/>
    <w:rsid w:val="6AE54422"/>
    <w:rsid w:val="6AE83F12"/>
    <w:rsid w:val="6AE97C28"/>
    <w:rsid w:val="6AEB57B0"/>
    <w:rsid w:val="6AEC1C54"/>
    <w:rsid w:val="6AED1528"/>
    <w:rsid w:val="6AED5816"/>
    <w:rsid w:val="6AEF557A"/>
    <w:rsid w:val="6AF14FBD"/>
    <w:rsid w:val="6AF27F47"/>
    <w:rsid w:val="6AF4259E"/>
    <w:rsid w:val="6AF503DD"/>
    <w:rsid w:val="6AF74155"/>
    <w:rsid w:val="6AF8782E"/>
    <w:rsid w:val="6AF87E20"/>
    <w:rsid w:val="6AF97907"/>
    <w:rsid w:val="6AFE79EB"/>
    <w:rsid w:val="6AFF71B1"/>
    <w:rsid w:val="6B014FD4"/>
    <w:rsid w:val="6B054AC4"/>
    <w:rsid w:val="6B064398"/>
    <w:rsid w:val="6B0855F5"/>
    <w:rsid w:val="6B0955A2"/>
    <w:rsid w:val="6B0A20DA"/>
    <w:rsid w:val="6B113750"/>
    <w:rsid w:val="6B13583F"/>
    <w:rsid w:val="6B1520CC"/>
    <w:rsid w:val="6B170353"/>
    <w:rsid w:val="6B19056F"/>
    <w:rsid w:val="6B1908A6"/>
    <w:rsid w:val="6B1E5B86"/>
    <w:rsid w:val="6B2331E9"/>
    <w:rsid w:val="6B2475E0"/>
    <w:rsid w:val="6B256F14"/>
    <w:rsid w:val="6B272443"/>
    <w:rsid w:val="6B2B248A"/>
    <w:rsid w:val="6B2C02A3"/>
    <w:rsid w:val="6B2E2ECD"/>
    <w:rsid w:val="6B322639"/>
    <w:rsid w:val="6B3455FE"/>
    <w:rsid w:val="6B347157"/>
    <w:rsid w:val="6B39476E"/>
    <w:rsid w:val="6B3B04E6"/>
    <w:rsid w:val="6B3C7DBA"/>
    <w:rsid w:val="6B3E7FD6"/>
    <w:rsid w:val="6B460C38"/>
    <w:rsid w:val="6B496B0F"/>
    <w:rsid w:val="6B4A24D7"/>
    <w:rsid w:val="6B4A6471"/>
    <w:rsid w:val="6B4E646B"/>
    <w:rsid w:val="6B4F4440"/>
    <w:rsid w:val="6B511AB7"/>
    <w:rsid w:val="6B530CF8"/>
    <w:rsid w:val="6B534DF2"/>
    <w:rsid w:val="6B560E7C"/>
    <w:rsid w:val="6B56531F"/>
    <w:rsid w:val="6B572E46"/>
    <w:rsid w:val="6B577FA5"/>
    <w:rsid w:val="6B594E10"/>
    <w:rsid w:val="6B5A620B"/>
    <w:rsid w:val="6B5C3E3A"/>
    <w:rsid w:val="6B6001CD"/>
    <w:rsid w:val="6B607F4C"/>
    <w:rsid w:val="6B657311"/>
    <w:rsid w:val="6B6712DB"/>
    <w:rsid w:val="6B685053"/>
    <w:rsid w:val="6B69379A"/>
    <w:rsid w:val="6B6A2B79"/>
    <w:rsid w:val="6B6D7274"/>
    <w:rsid w:val="6B6E08BB"/>
    <w:rsid w:val="6B6F18F5"/>
    <w:rsid w:val="6B735ED1"/>
    <w:rsid w:val="6B740742"/>
    <w:rsid w:val="6B76052F"/>
    <w:rsid w:val="6B792DBC"/>
    <w:rsid w:val="6B7A13F2"/>
    <w:rsid w:val="6B8005EE"/>
    <w:rsid w:val="6B881251"/>
    <w:rsid w:val="6B882FFF"/>
    <w:rsid w:val="6B8974A3"/>
    <w:rsid w:val="6B89792A"/>
    <w:rsid w:val="6B8A4FC9"/>
    <w:rsid w:val="6B8C6F93"/>
    <w:rsid w:val="6B8D21A8"/>
    <w:rsid w:val="6B9320D0"/>
    <w:rsid w:val="6B983A79"/>
    <w:rsid w:val="6B9945BC"/>
    <w:rsid w:val="6B9E489C"/>
    <w:rsid w:val="6B9F718E"/>
    <w:rsid w:val="6BA328D1"/>
    <w:rsid w:val="6BA762B3"/>
    <w:rsid w:val="6BA951C5"/>
    <w:rsid w:val="6BAA4E0F"/>
    <w:rsid w:val="6BAA7595"/>
    <w:rsid w:val="6BAF2C82"/>
    <w:rsid w:val="6BAF4A30"/>
    <w:rsid w:val="6BB107A8"/>
    <w:rsid w:val="6BB169FA"/>
    <w:rsid w:val="6BB34520"/>
    <w:rsid w:val="6BB67B6C"/>
    <w:rsid w:val="6BB81B36"/>
    <w:rsid w:val="6BB87D88"/>
    <w:rsid w:val="6BB9170A"/>
    <w:rsid w:val="6BBA58AE"/>
    <w:rsid w:val="6BBC4452"/>
    <w:rsid w:val="6BBD539F"/>
    <w:rsid w:val="6BBD601A"/>
    <w:rsid w:val="6BBE4C73"/>
    <w:rsid w:val="6BC22528"/>
    <w:rsid w:val="6BC26511"/>
    <w:rsid w:val="6BC34D60"/>
    <w:rsid w:val="6BC56001"/>
    <w:rsid w:val="6BC93D43"/>
    <w:rsid w:val="6BCA186A"/>
    <w:rsid w:val="6BCA3618"/>
    <w:rsid w:val="6BCA6F9A"/>
    <w:rsid w:val="6BCC7E83"/>
    <w:rsid w:val="6BCD012A"/>
    <w:rsid w:val="6BCD02EE"/>
    <w:rsid w:val="6BCE135A"/>
    <w:rsid w:val="6BD0030E"/>
    <w:rsid w:val="6BD167A6"/>
    <w:rsid w:val="6BD526E8"/>
    <w:rsid w:val="6BD66460"/>
    <w:rsid w:val="6BD821D8"/>
    <w:rsid w:val="6BDB1237"/>
    <w:rsid w:val="6BDB793C"/>
    <w:rsid w:val="6BE0108D"/>
    <w:rsid w:val="6BE04BE9"/>
    <w:rsid w:val="6BE26BB3"/>
    <w:rsid w:val="6BE61D2D"/>
    <w:rsid w:val="6BE64EB6"/>
    <w:rsid w:val="6BE91CF0"/>
    <w:rsid w:val="6BE92F8E"/>
    <w:rsid w:val="6BEA4643"/>
    <w:rsid w:val="6BEB1F1F"/>
    <w:rsid w:val="6BEC5F15"/>
    <w:rsid w:val="6BEF7559"/>
    <w:rsid w:val="6BF10B5C"/>
    <w:rsid w:val="6BF14A8B"/>
    <w:rsid w:val="6BF16DF6"/>
    <w:rsid w:val="6BF3491C"/>
    <w:rsid w:val="6BF64EAE"/>
    <w:rsid w:val="6BF6695F"/>
    <w:rsid w:val="6BFB1AB8"/>
    <w:rsid w:val="6BFF1513"/>
    <w:rsid w:val="6C002E05"/>
    <w:rsid w:val="6C021657"/>
    <w:rsid w:val="6C022FF9"/>
    <w:rsid w:val="6C0905E4"/>
    <w:rsid w:val="6C0B435C"/>
    <w:rsid w:val="6C0C3C30"/>
    <w:rsid w:val="6C0D7689"/>
    <w:rsid w:val="6C117498"/>
    <w:rsid w:val="6C123A56"/>
    <w:rsid w:val="6C1649A6"/>
    <w:rsid w:val="6C164AAF"/>
    <w:rsid w:val="6C1672C1"/>
    <w:rsid w:val="6C1C5254"/>
    <w:rsid w:val="6C1E3D4C"/>
    <w:rsid w:val="6C2221AB"/>
    <w:rsid w:val="6C25150E"/>
    <w:rsid w:val="6C262F44"/>
    <w:rsid w:val="6C27747B"/>
    <w:rsid w:val="6C297FDE"/>
    <w:rsid w:val="6C2B055A"/>
    <w:rsid w:val="6C300DB3"/>
    <w:rsid w:val="6C303DC2"/>
    <w:rsid w:val="6C30791F"/>
    <w:rsid w:val="6C327B3B"/>
    <w:rsid w:val="6C35284A"/>
    <w:rsid w:val="6C35541B"/>
    <w:rsid w:val="6C3B5AD4"/>
    <w:rsid w:val="6C400F70"/>
    <w:rsid w:val="6C450B3A"/>
    <w:rsid w:val="6C472EBA"/>
    <w:rsid w:val="6C4C13F6"/>
    <w:rsid w:val="6C4E4249"/>
    <w:rsid w:val="6C523D39"/>
    <w:rsid w:val="6C5506B8"/>
    <w:rsid w:val="6C554EC8"/>
    <w:rsid w:val="6C557385"/>
    <w:rsid w:val="6C586E75"/>
    <w:rsid w:val="6C5A7E3D"/>
    <w:rsid w:val="6C5B2477"/>
    <w:rsid w:val="6C5F24EE"/>
    <w:rsid w:val="6C5F6B8A"/>
    <w:rsid w:val="6C6121CE"/>
    <w:rsid w:val="6C627CF4"/>
    <w:rsid w:val="6C636C38"/>
    <w:rsid w:val="6C6403A1"/>
    <w:rsid w:val="6C6475C8"/>
    <w:rsid w:val="6C661592"/>
    <w:rsid w:val="6C663340"/>
    <w:rsid w:val="6C691F10"/>
    <w:rsid w:val="6C6A0E2B"/>
    <w:rsid w:val="6C6E6699"/>
    <w:rsid w:val="6C733CAF"/>
    <w:rsid w:val="6C7517D5"/>
    <w:rsid w:val="6C757A27"/>
    <w:rsid w:val="6C77379F"/>
    <w:rsid w:val="6C783B29"/>
    <w:rsid w:val="6C7E16F4"/>
    <w:rsid w:val="6C814FCA"/>
    <w:rsid w:val="6C823EF2"/>
    <w:rsid w:val="6C830396"/>
    <w:rsid w:val="6C8847AD"/>
    <w:rsid w:val="6C8B3613"/>
    <w:rsid w:val="6C8E6437"/>
    <w:rsid w:val="6C9360FF"/>
    <w:rsid w:val="6C950778"/>
    <w:rsid w:val="6C9672F5"/>
    <w:rsid w:val="6C9E37D9"/>
    <w:rsid w:val="6C9F2CF6"/>
    <w:rsid w:val="6C9F4AA4"/>
    <w:rsid w:val="6C9F6852"/>
    <w:rsid w:val="6CA34594"/>
    <w:rsid w:val="6CA362CC"/>
    <w:rsid w:val="6CA36342"/>
    <w:rsid w:val="6CA420BB"/>
    <w:rsid w:val="6CA709F7"/>
    <w:rsid w:val="6CAB51F7"/>
    <w:rsid w:val="6CAE6A95"/>
    <w:rsid w:val="6CB0280D"/>
    <w:rsid w:val="6CB202B7"/>
    <w:rsid w:val="6CB56076"/>
    <w:rsid w:val="6CB87159"/>
    <w:rsid w:val="6CBC13A3"/>
    <w:rsid w:val="6CBC5656"/>
    <w:rsid w:val="6CC30793"/>
    <w:rsid w:val="6CCB2F12"/>
    <w:rsid w:val="6CCD33BF"/>
    <w:rsid w:val="6CCF1E61"/>
    <w:rsid w:val="6CD43DB7"/>
    <w:rsid w:val="6CD52274"/>
    <w:rsid w:val="6CD54E99"/>
    <w:rsid w:val="6CDA5ADC"/>
    <w:rsid w:val="6CDC17AA"/>
    <w:rsid w:val="6CDE3891"/>
    <w:rsid w:val="6CEC139B"/>
    <w:rsid w:val="6CEE43E6"/>
    <w:rsid w:val="6CF00C82"/>
    <w:rsid w:val="6CFA128D"/>
    <w:rsid w:val="6D0112BB"/>
    <w:rsid w:val="6D0153B8"/>
    <w:rsid w:val="6D05792E"/>
    <w:rsid w:val="6D06067F"/>
    <w:rsid w:val="6D0843F7"/>
    <w:rsid w:val="6D090170"/>
    <w:rsid w:val="6D0A2B07"/>
    <w:rsid w:val="6D0A63C2"/>
    <w:rsid w:val="6D0B038C"/>
    <w:rsid w:val="6D0B3EE8"/>
    <w:rsid w:val="6D0D4104"/>
    <w:rsid w:val="6D107500"/>
    <w:rsid w:val="6D1246FB"/>
    <w:rsid w:val="6D156B14"/>
    <w:rsid w:val="6D185DA0"/>
    <w:rsid w:val="6D1F1741"/>
    <w:rsid w:val="6D21195D"/>
    <w:rsid w:val="6D2531FB"/>
    <w:rsid w:val="6D266F73"/>
    <w:rsid w:val="6D2C5503"/>
    <w:rsid w:val="6D2E1052"/>
    <w:rsid w:val="6D2F7BD6"/>
    <w:rsid w:val="6D303885"/>
    <w:rsid w:val="6D317DF2"/>
    <w:rsid w:val="6D323B6A"/>
    <w:rsid w:val="6D325918"/>
    <w:rsid w:val="6D3406E6"/>
    <w:rsid w:val="6D341690"/>
    <w:rsid w:val="6D342B2B"/>
    <w:rsid w:val="6D351D7E"/>
    <w:rsid w:val="6D3671B7"/>
    <w:rsid w:val="6D38321E"/>
    <w:rsid w:val="6D3C0545"/>
    <w:rsid w:val="6D3E520D"/>
    <w:rsid w:val="6D415B5B"/>
    <w:rsid w:val="6D4178DB"/>
    <w:rsid w:val="6D440831"/>
    <w:rsid w:val="6D4D62AE"/>
    <w:rsid w:val="6D503831"/>
    <w:rsid w:val="6D521B17"/>
    <w:rsid w:val="6D54588F"/>
    <w:rsid w:val="6D59374C"/>
    <w:rsid w:val="6D5959E9"/>
    <w:rsid w:val="6D5A24B8"/>
    <w:rsid w:val="6D5C4743"/>
    <w:rsid w:val="6D5E0586"/>
    <w:rsid w:val="6D605FE2"/>
    <w:rsid w:val="6D6249EE"/>
    <w:rsid w:val="6D635AD2"/>
    <w:rsid w:val="6D6655C2"/>
    <w:rsid w:val="6D667370"/>
    <w:rsid w:val="6D6B0A08"/>
    <w:rsid w:val="6D6B6AE1"/>
    <w:rsid w:val="6D6C2BD8"/>
    <w:rsid w:val="6D6C6555"/>
    <w:rsid w:val="6D6F091A"/>
    <w:rsid w:val="6D7026B9"/>
    <w:rsid w:val="6D7101EF"/>
    <w:rsid w:val="6D7162CC"/>
    <w:rsid w:val="6D723F67"/>
    <w:rsid w:val="6D726375"/>
    <w:rsid w:val="6D77157D"/>
    <w:rsid w:val="6D793547"/>
    <w:rsid w:val="6D7D3037"/>
    <w:rsid w:val="6D80203B"/>
    <w:rsid w:val="6D82064E"/>
    <w:rsid w:val="6D834C28"/>
    <w:rsid w:val="6D866288"/>
    <w:rsid w:val="6D874340"/>
    <w:rsid w:val="6D8A305E"/>
    <w:rsid w:val="6D8B6DD7"/>
    <w:rsid w:val="6D8C327A"/>
    <w:rsid w:val="6D8C5028"/>
    <w:rsid w:val="6D8D1A6E"/>
    <w:rsid w:val="6D8F2D6B"/>
    <w:rsid w:val="6D9013CC"/>
    <w:rsid w:val="6D9263B7"/>
    <w:rsid w:val="6D9914F3"/>
    <w:rsid w:val="6D9B3AD4"/>
    <w:rsid w:val="6D9B526C"/>
    <w:rsid w:val="6D9E194A"/>
    <w:rsid w:val="6D9E7B96"/>
    <w:rsid w:val="6DA06D26"/>
    <w:rsid w:val="6DA71E62"/>
    <w:rsid w:val="6DA87988"/>
    <w:rsid w:val="6DAA3B67"/>
    <w:rsid w:val="6DB1683D"/>
    <w:rsid w:val="6DB34098"/>
    <w:rsid w:val="6DB4457F"/>
    <w:rsid w:val="6DB519B1"/>
    <w:rsid w:val="6DB545B6"/>
    <w:rsid w:val="6DB85E1E"/>
    <w:rsid w:val="6DB95EA9"/>
    <w:rsid w:val="6DB963FF"/>
    <w:rsid w:val="6DBA55F4"/>
    <w:rsid w:val="6DBC651F"/>
    <w:rsid w:val="6DBE7FC5"/>
    <w:rsid w:val="6DC21B4B"/>
    <w:rsid w:val="6DC347C2"/>
    <w:rsid w:val="6DC613DE"/>
    <w:rsid w:val="6DC76061"/>
    <w:rsid w:val="6DCA5B51"/>
    <w:rsid w:val="6DCC18C9"/>
    <w:rsid w:val="6DCC756C"/>
    <w:rsid w:val="6DD442E6"/>
    <w:rsid w:val="6DD4449B"/>
    <w:rsid w:val="6DD633D0"/>
    <w:rsid w:val="6DD679D8"/>
    <w:rsid w:val="6DD8026E"/>
    <w:rsid w:val="6DD864C0"/>
    <w:rsid w:val="6DD903DC"/>
    <w:rsid w:val="6DDA5071"/>
    <w:rsid w:val="6DDD4D98"/>
    <w:rsid w:val="6DE00C3C"/>
    <w:rsid w:val="6DE02FB4"/>
    <w:rsid w:val="6DE24C48"/>
    <w:rsid w:val="6DE3690D"/>
    <w:rsid w:val="6DE44E65"/>
    <w:rsid w:val="6DE567FE"/>
    <w:rsid w:val="6DE71F97"/>
    <w:rsid w:val="6DE74955"/>
    <w:rsid w:val="6DE765B9"/>
    <w:rsid w:val="6DEC1F6B"/>
    <w:rsid w:val="6DEF229A"/>
    <w:rsid w:val="6DF1132F"/>
    <w:rsid w:val="6DF2778B"/>
    <w:rsid w:val="6DF332FA"/>
    <w:rsid w:val="6DF37070"/>
    <w:rsid w:val="6DF57072"/>
    <w:rsid w:val="6DF66946"/>
    <w:rsid w:val="6E020FC1"/>
    <w:rsid w:val="6E02415E"/>
    <w:rsid w:val="6E0A23F1"/>
    <w:rsid w:val="6E0C6169"/>
    <w:rsid w:val="6E0D60DC"/>
    <w:rsid w:val="6E0F1E5D"/>
    <w:rsid w:val="6E0F7A08"/>
    <w:rsid w:val="6E104455"/>
    <w:rsid w:val="6E1374F8"/>
    <w:rsid w:val="6E14060B"/>
    <w:rsid w:val="6E140EBA"/>
    <w:rsid w:val="6E1B45FE"/>
    <w:rsid w:val="6E1E2716"/>
    <w:rsid w:val="6E22598D"/>
    <w:rsid w:val="6E22773B"/>
    <w:rsid w:val="6E240780"/>
    <w:rsid w:val="6E26547D"/>
    <w:rsid w:val="6E277B0B"/>
    <w:rsid w:val="6E2D1BCD"/>
    <w:rsid w:val="6E2E31DE"/>
    <w:rsid w:val="6E331047"/>
    <w:rsid w:val="6E3557E7"/>
    <w:rsid w:val="6E37059F"/>
    <w:rsid w:val="6E3959DB"/>
    <w:rsid w:val="6E396833"/>
    <w:rsid w:val="6E3C5272"/>
    <w:rsid w:val="6E3D43CE"/>
    <w:rsid w:val="6E3D76EB"/>
    <w:rsid w:val="6E41799C"/>
    <w:rsid w:val="6E47427B"/>
    <w:rsid w:val="6E494CC8"/>
    <w:rsid w:val="6E4A5E42"/>
    <w:rsid w:val="6E4B6C92"/>
    <w:rsid w:val="6E4E0530"/>
    <w:rsid w:val="6E514CED"/>
    <w:rsid w:val="6E52178D"/>
    <w:rsid w:val="6E535EB5"/>
    <w:rsid w:val="6E540CFB"/>
    <w:rsid w:val="6E55366C"/>
    <w:rsid w:val="6E5661E6"/>
    <w:rsid w:val="6E5A6D6F"/>
    <w:rsid w:val="6E605222"/>
    <w:rsid w:val="6E661D1D"/>
    <w:rsid w:val="6E663B0E"/>
    <w:rsid w:val="6E703E06"/>
    <w:rsid w:val="6E7449D1"/>
    <w:rsid w:val="6E753D0F"/>
    <w:rsid w:val="6E7D7067"/>
    <w:rsid w:val="6E8421A4"/>
    <w:rsid w:val="6E8B3532"/>
    <w:rsid w:val="6E8C7A1D"/>
    <w:rsid w:val="6E8E4DD0"/>
    <w:rsid w:val="6E8E6B7E"/>
    <w:rsid w:val="6E91041D"/>
    <w:rsid w:val="6E91666F"/>
    <w:rsid w:val="6E930639"/>
    <w:rsid w:val="6E9323A2"/>
    <w:rsid w:val="6E971ED7"/>
    <w:rsid w:val="6E9818E0"/>
    <w:rsid w:val="6E9A19C7"/>
    <w:rsid w:val="6E9A2735"/>
    <w:rsid w:val="6E9E14B7"/>
    <w:rsid w:val="6EAD4B62"/>
    <w:rsid w:val="6EAE0FCF"/>
    <w:rsid w:val="6EB1286D"/>
    <w:rsid w:val="6EB16C6A"/>
    <w:rsid w:val="6EB26D11"/>
    <w:rsid w:val="6EB43020"/>
    <w:rsid w:val="6EB563D5"/>
    <w:rsid w:val="6EB80FE0"/>
    <w:rsid w:val="6EBC36EB"/>
    <w:rsid w:val="6EBC7B8F"/>
    <w:rsid w:val="6EBF31DC"/>
    <w:rsid w:val="6EC36447"/>
    <w:rsid w:val="6EC627BC"/>
    <w:rsid w:val="6EC7099E"/>
    <w:rsid w:val="6ECD3B4B"/>
    <w:rsid w:val="6ECE6856"/>
    <w:rsid w:val="6ED120B7"/>
    <w:rsid w:val="6ED33475"/>
    <w:rsid w:val="6ED36622"/>
    <w:rsid w:val="6ED547AD"/>
    <w:rsid w:val="6ED722D3"/>
    <w:rsid w:val="6ED92677"/>
    <w:rsid w:val="6EDA1ADE"/>
    <w:rsid w:val="6EDA3B7F"/>
    <w:rsid w:val="6EDA5EEB"/>
    <w:rsid w:val="6EDC46F1"/>
    <w:rsid w:val="6EE64C0C"/>
    <w:rsid w:val="6EE91F12"/>
    <w:rsid w:val="6EE97461"/>
    <w:rsid w:val="6EEA46FD"/>
    <w:rsid w:val="6EEA6245"/>
    <w:rsid w:val="6EEA706D"/>
    <w:rsid w:val="6EEB2223"/>
    <w:rsid w:val="6EEB3194"/>
    <w:rsid w:val="6EEF1D13"/>
    <w:rsid w:val="6EEF2CA6"/>
    <w:rsid w:val="6EF0376A"/>
    <w:rsid w:val="6EF2535F"/>
    <w:rsid w:val="6EFA4214"/>
    <w:rsid w:val="6F0155A2"/>
    <w:rsid w:val="6F033EE9"/>
    <w:rsid w:val="6F060E0B"/>
    <w:rsid w:val="6F064FA0"/>
    <w:rsid w:val="6F06733C"/>
    <w:rsid w:val="6F075C2A"/>
    <w:rsid w:val="6F086F15"/>
    <w:rsid w:val="6F0B01CF"/>
    <w:rsid w:val="6F12155D"/>
    <w:rsid w:val="6F1352D6"/>
    <w:rsid w:val="6F157D71"/>
    <w:rsid w:val="6F196D90"/>
    <w:rsid w:val="6F1C7C44"/>
    <w:rsid w:val="6F1F19DF"/>
    <w:rsid w:val="6F225983"/>
    <w:rsid w:val="6F231363"/>
    <w:rsid w:val="6F23376B"/>
    <w:rsid w:val="6F2427CF"/>
    <w:rsid w:val="6F2614AD"/>
    <w:rsid w:val="6F262FB5"/>
    <w:rsid w:val="6F2B261F"/>
    <w:rsid w:val="6F2B42FD"/>
    <w:rsid w:val="6F307C36"/>
    <w:rsid w:val="6F370FC4"/>
    <w:rsid w:val="6F3E67F6"/>
    <w:rsid w:val="6F3F0722"/>
    <w:rsid w:val="6F4638FD"/>
    <w:rsid w:val="6F467459"/>
    <w:rsid w:val="6F4A168D"/>
    <w:rsid w:val="6F4D07E7"/>
    <w:rsid w:val="6F502086"/>
    <w:rsid w:val="6F505485"/>
    <w:rsid w:val="6F507A7C"/>
    <w:rsid w:val="6F5163A9"/>
    <w:rsid w:val="6F5328E3"/>
    <w:rsid w:val="6F547DC8"/>
    <w:rsid w:val="6F571666"/>
    <w:rsid w:val="6F5726F4"/>
    <w:rsid w:val="6F593630"/>
    <w:rsid w:val="6F5B1691"/>
    <w:rsid w:val="6F5C4BC1"/>
    <w:rsid w:val="6F5D36E1"/>
    <w:rsid w:val="6F5E0C47"/>
    <w:rsid w:val="6F60420D"/>
    <w:rsid w:val="6F630C97"/>
    <w:rsid w:val="6F631DB9"/>
    <w:rsid w:val="6F654891"/>
    <w:rsid w:val="6F663D66"/>
    <w:rsid w:val="6F686E13"/>
    <w:rsid w:val="6F6D2C38"/>
    <w:rsid w:val="6F6D70DC"/>
    <w:rsid w:val="6F6F194A"/>
    <w:rsid w:val="6F6F69B0"/>
    <w:rsid w:val="6F727941"/>
    <w:rsid w:val="6F751C27"/>
    <w:rsid w:val="6F77220A"/>
    <w:rsid w:val="6F79782E"/>
    <w:rsid w:val="6F7C731F"/>
    <w:rsid w:val="6F7E7170"/>
    <w:rsid w:val="6F7E7311"/>
    <w:rsid w:val="6F83245B"/>
    <w:rsid w:val="6F8866D3"/>
    <w:rsid w:val="6F8A37EA"/>
    <w:rsid w:val="6F8E0DD8"/>
    <w:rsid w:val="6F9208F0"/>
    <w:rsid w:val="6F924F2C"/>
    <w:rsid w:val="6F925F92"/>
    <w:rsid w:val="6F926B42"/>
    <w:rsid w:val="6F977CB5"/>
    <w:rsid w:val="6F9825D9"/>
    <w:rsid w:val="6F9E7295"/>
    <w:rsid w:val="6FA0300D"/>
    <w:rsid w:val="6FA06B69"/>
    <w:rsid w:val="6FA5792C"/>
    <w:rsid w:val="6FA623F1"/>
    <w:rsid w:val="6FA64AAB"/>
    <w:rsid w:val="6FA7439C"/>
    <w:rsid w:val="6FAB2F26"/>
    <w:rsid w:val="6FAB550E"/>
    <w:rsid w:val="6FAE0231"/>
    <w:rsid w:val="6FAF14A2"/>
    <w:rsid w:val="6FAF2CA3"/>
    <w:rsid w:val="6FB31A91"/>
    <w:rsid w:val="6FB3215C"/>
    <w:rsid w:val="6FB40867"/>
    <w:rsid w:val="6FB678FF"/>
    <w:rsid w:val="6FB865A9"/>
    <w:rsid w:val="6FBA25F9"/>
    <w:rsid w:val="6FBB1BF5"/>
    <w:rsid w:val="6FBC0412"/>
    <w:rsid w:val="6FBE16E5"/>
    <w:rsid w:val="6FBE3493"/>
    <w:rsid w:val="6FC22F83"/>
    <w:rsid w:val="6FC33088"/>
    <w:rsid w:val="6FC36CFC"/>
    <w:rsid w:val="6FC565D0"/>
    <w:rsid w:val="6FC62348"/>
    <w:rsid w:val="6FC767EC"/>
    <w:rsid w:val="6FCE1A34"/>
    <w:rsid w:val="6FD05147"/>
    <w:rsid w:val="6FD111A8"/>
    <w:rsid w:val="6FD46699"/>
    <w:rsid w:val="6FD74555"/>
    <w:rsid w:val="6FD81D0C"/>
    <w:rsid w:val="6FD9207B"/>
    <w:rsid w:val="6FDB225A"/>
    <w:rsid w:val="6FDB5DF3"/>
    <w:rsid w:val="6FDE58E3"/>
    <w:rsid w:val="6FDF7C0A"/>
    <w:rsid w:val="6FE0340A"/>
    <w:rsid w:val="6FE33A16"/>
    <w:rsid w:val="6FEA4288"/>
    <w:rsid w:val="6FED466F"/>
    <w:rsid w:val="6FED7240"/>
    <w:rsid w:val="6FEF7AF1"/>
    <w:rsid w:val="6FF46A6B"/>
    <w:rsid w:val="6FF83ABF"/>
    <w:rsid w:val="6FFC5590"/>
    <w:rsid w:val="6FFD045F"/>
    <w:rsid w:val="70001CFE"/>
    <w:rsid w:val="700428F6"/>
    <w:rsid w:val="70052E70"/>
    <w:rsid w:val="70065D66"/>
    <w:rsid w:val="70082960"/>
    <w:rsid w:val="700A66D9"/>
    <w:rsid w:val="700C1D7C"/>
    <w:rsid w:val="700C2451"/>
    <w:rsid w:val="700D7F77"/>
    <w:rsid w:val="70104411"/>
    <w:rsid w:val="70115CB9"/>
    <w:rsid w:val="7012432C"/>
    <w:rsid w:val="70130F5B"/>
    <w:rsid w:val="70182197"/>
    <w:rsid w:val="701C7CDF"/>
    <w:rsid w:val="701D28B0"/>
    <w:rsid w:val="701D465E"/>
    <w:rsid w:val="701E0537"/>
    <w:rsid w:val="70253512"/>
    <w:rsid w:val="702552C0"/>
    <w:rsid w:val="702A0B29"/>
    <w:rsid w:val="702B68F1"/>
    <w:rsid w:val="702C2AF3"/>
    <w:rsid w:val="702E23C7"/>
    <w:rsid w:val="702F613F"/>
    <w:rsid w:val="70311EB7"/>
    <w:rsid w:val="70313C65"/>
    <w:rsid w:val="70330545"/>
    <w:rsid w:val="7033448F"/>
    <w:rsid w:val="70357BF9"/>
    <w:rsid w:val="70381498"/>
    <w:rsid w:val="703E7845"/>
    <w:rsid w:val="704240C4"/>
    <w:rsid w:val="70425E72"/>
    <w:rsid w:val="70441BEA"/>
    <w:rsid w:val="70457711"/>
    <w:rsid w:val="70485E9C"/>
    <w:rsid w:val="704D460F"/>
    <w:rsid w:val="704E0CBB"/>
    <w:rsid w:val="704E4817"/>
    <w:rsid w:val="704F058F"/>
    <w:rsid w:val="704F4E30"/>
    <w:rsid w:val="70523676"/>
    <w:rsid w:val="705648FA"/>
    <w:rsid w:val="705838E8"/>
    <w:rsid w:val="70592260"/>
    <w:rsid w:val="705C33D8"/>
    <w:rsid w:val="70603D05"/>
    <w:rsid w:val="70610F22"/>
    <w:rsid w:val="706224EF"/>
    <w:rsid w:val="70650AD5"/>
    <w:rsid w:val="706A28AB"/>
    <w:rsid w:val="706A31E5"/>
    <w:rsid w:val="706C5B05"/>
    <w:rsid w:val="706D1DD0"/>
    <w:rsid w:val="706F478E"/>
    <w:rsid w:val="70710506"/>
    <w:rsid w:val="707149AA"/>
    <w:rsid w:val="707324D0"/>
    <w:rsid w:val="70761FC0"/>
    <w:rsid w:val="70765B1C"/>
    <w:rsid w:val="70807D90"/>
    <w:rsid w:val="70812E3F"/>
    <w:rsid w:val="708244C1"/>
    <w:rsid w:val="70856B87"/>
    <w:rsid w:val="70893AA1"/>
    <w:rsid w:val="708C3591"/>
    <w:rsid w:val="708E3F08"/>
    <w:rsid w:val="708F339A"/>
    <w:rsid w:val="70902959"/>
    <w:rsid w:val="70947DC1"/>
    <w:rsid w:val="70986BFA"/>
    <w:rsid w:val="709A1D55"/>
    <w:rsid w:val="709B37D5"/>
    <w:rsid w:val="709D0DE9"/>
    <w:rsid w:val="709D28A4"/>
    <w:rsid w:val="709F32C5"/>
    <w:rsid w:val="70A53798"/>
    <w:rsid w:val="70A6428E"/>
    <w:rsid w:val="70AB3A18"/>
    <w:rsid w:val="70AE52B6"/>
    <w:rsid w:val="70AF2309"/>
    <w:rsid w:val="70B12FF8"/>
    <w:rsid w:val="70B73ABE"/>
    <w:rsid w:val="70BA00FF"/>
    <w:rsid w:val="70BB79D3"/>
    <w:rsid w:val="70BC2A8C"/>
    <w:rsid w:val="70BC5C25"/>
    <w:rsid w:val="70BF74C3"/>
    <w:rsid w:val="70C1323B"/>
    <w:rsid w:val="70C237DA"/>
    <w:rsid w:val="70C64FCE"/>
    <w:rsid w:val="70C679A7"/>
    <w:rsid w:val="70C76378"/>
    <w:rsid w:val="70CB79B0"/>
    <w:rsid w:val="70CC22F7"/>
    <w:rsid w:val="70CE5958"/>
    <w:rsid w:val="70D016D0"/>
    <w:rsid w:val="70D063FB"/>
    <w:rsid w:val="70D07922"/>
    <w:rsid w:val="70D32F6E"/>
    <w:rsid w:val="70D527EE"/>
    <w:rsid w:val="70D80B24"/>
    <w:rsid w:val="70DA3444"/>
    <w:rsid w:val="70DD4996"/>
    <w:rsid w:val="70DF5DB7"/>
    <w:rsid w:val="70E433CD"/>
    <w:rsid w:val="70E66662"/>
    <w:rsid w:val="70E84C6C"/>
    <w:rsid w:val="70E8780D"/>
    <w:rsid w:val="70E87B78"/>
    <w:rsid w:val="70E909E4"/>
    <w:rsid w:val="70E94540"/>
    <w:rsid w:val="70EB3E10"/>
    <w:rsid w:val="70EC5DDE"/>
    <w:rsid w:val="70F04414"/>
    <w:rsid w:val="70F21646"/>
    <w:rsid w:val="70F512E7"/>
    <w:rsid w:val="70F52EE5"/>
    <w:rsid w:val="70F80C27"/>
    <w:rsid w:val="70FB4E7F"/>
    <w:rsid w:val="70FF7B56"/>
    <w:rsid w:val="7103616B"/>
    <w:rsid w:val="710D6480"/>
    <w:rsid w:val="71157B90"/>
    <w:rsid w:val="71170D19"/>
    <w:rsid w:val="71180294"/>
    <w:rsid w:val="711D243B"/>
    <w:rsid w:val="711E7A2E"/>
    <w:rsid w:val="71202D85"/>
    <w:rsid w:val="712068AA"/>
    <w:rsid w:val="712555FE"/>
    <w:rsid w:val="71285068"/>
    <w:rsid w:val="712861FB"/>
    <w:rsid w:val="71297284"/>
    <w:rsid w:val="712D267F"/>
    <w:rsid w:val="713003C1"/>
    <w:rsid w:val="71341C5F"/>
    <w:rsid w:val="71351B9F"/>
    <w:rsid w:val="71357785"/>
    <w:rsid w:val="7137174F"/>
    <w:rsid w:val="713A62F4"/>
    <w:rsid w:val="713C4FB8"/>
    <w:rsid w:val="713C664E"/>
    <w:rsid w:val="713D663A"/>
    <w:rsid w:val="713E488C"/>
    <w:rsid w:val="713F0604"/>
    <w:rsid w:val="714234E5"/>
    <w:rsid w:val="71467BE4"/>
    <w:rsid w:val="714B51FB"/>
    <w:rsid w:val="714E77C7"/>
    <w:rsid w:val="71500A63"/>
    <w:rsid w:val="7150636D"/>
    <w:rsid w:val="715776FB"/>
    <w:rsid w:val="715B215C"/>
    <w:rsid w:val="715B2BC6"/>
    <w:rsid w:val="715B3690"/>
    <w:rsid w:val="715B5300"/>
    <w:rsid w:val="715C6E4A"/>
    <w:rsid w:val="715E6CDC"/>
    <w:rsid w:val="71641E18"/>
    <w:rsid w:val="7169742F"/>
    <w:rsid w:val="716A5681"/>
    <w:rsid w:val="716C6309"/>
    <w:rsid w:val="716D017F"/>
    <w:rsid w:val="71706A0F"/>
    <w:rsid w:val="717209D9"/>
    <w:rsid w:val="71722895"/>
    <w:rsid w:val="71744751"/>
    <w:rsid w:val="71772BD3"/>
    <w:rsid w:val="71797077"/>
    <w:rsid w:val="717B0782"/>
    <w:rsid w:val="717D094D"/>
    <w:rsid w:val="717E2EDA"/>
    <w:rsid w:val="71810C1C"/>
    <w:rsid w:val="71864485"/>
    <w:rsid w:val="71891A84"/>
    <w:rsid w:val="718F158B"/>
    <w:rsid w:val="719167A4"/>
    <w:rsid w:val="71926986"/>
    <w:rsid w:val="719426FE"/>
    <w:rsid w:val="71946BA2"/>
    <w:rsid w:val="719A3421"/>
    <w:rsid w:val="719F2BF1"/>
    <w:rsid w:val="71A207E2"/>
    <w:rsid w:val="71A339C3"/>
    <w:rsid w:val="71A41EAB"/>
    <w:rsid w:val="71A52B5D"/>
    <w:rsid w:val="71A861A9"/>
    <w:rsid w:val="71AA0173"/>
    <w:rsid w:val="71AC5552"/>
    <w:rsid w:val="71AF02DB"/>
    <w:rsid w:val="71B0505E"/>
    <w:rsid w:val="71B11502"/>
    <w:rsid w:val="71B16D4C"/>
    <w:rsid w:val="71BB2536"/>
    <w:rsid w:val="71BC7EA6"/>
    <w:rsid w:val="71C137C8"/>
    <w:rsid w:val="71C34D91"/>
    <w:rsid w:val="71C50B09"/>
    <w:rsid w:val="71C54FAD"/>
    <w:rsid w:val="71C730E1"/>
    <w:rsid w:val="71CA4371"/>
    <w:rsid w:val="71CF3736"/>
    <w:rsid w:val="71D15700"/>
    <w:rsid w:val="71D27F8A"/>
    <w:rsid w:val="71D451F0"/>
    <w:rsid w:val="71D84CE0"/>
    <w:rsid w:val="71DD22F7"/>
    <w:rsid w:val="71E03B95"/>
    <w:rsid w:val="71E05943"/>
    <w:rsid w:val="71E35433"/>
    <w:rsid w:val="71E573FD"/>
    <w:rsid w:val="71E74F23"/>
    <w:rsid w:val="71E80C9B"/>
    <w:rsid w:val="71E82A49"/>
    <w:rsid w:val="71E962E3"/>
    <w:rsid w:val="71EC5676"/>
    <w:rsid w:val="71ED26D4"/>
    <w:rsid w:val="71F4319C"/>
    <w:rsid w:val="71F51F18"/>
    <w:rsid w:val="71F66F14"/>
    <w:rsid w:val="71F77D91"/>
    <w:rsid w:val="71F950A9"/>
    <w:rsid w:val="71FB5ABE"/>
    <w:rsid w:val="71FE401B"/>
    <w:rsid w:val="72005FE5"/>
    <w:rsid w:val="72007D93"/>
    <w:rsid w:val="72021D5D"/>
    <w:rsid w:val="7203197E"/>
    <w:rsid w:val="72032048"/>
    <w:rsid w:val="72037A59"/>
    <w:rsid w:val="720438FD"/>
    <w:rsid w:val="720528A7"/>
    <w:rsid w:val="720535FB"/>
    <w:rsid w:val="7206397C"/>
    <w:rsid w:val="72081C09"/>
    <w:rsid w:val="720A0C12"/>
    <w:rsid w:val="720C6738"/>
    <w:rsid w:val="720D24B0"/>
    <w:rsid w:val="720D425E"/>
    <w:rsid w:val="720E27E4"/>
    <w:rsid w:val="720F7FD6"/>
    <w:rsid w:val="72121874"/>
    <w:rsid w:val="72141A90"/>
    <w:rsid w:val="721E46BD"/>
    <w:rsid w:val="72247F25"/>
    <w:rsid w:val="72264127"/>
    <w:rsid w:val="722A12B4"/>
    <w:rsid w:val="722B7E58"/>
    <w:rsid w:val="722C09FB"/>
    <w:rsid w:val="722F17E6"/>
    <w:rsid w:val="722F2B19"/>
    <w:rsid w:val="723100D7"/>
    <w:rsid w:val="72312642"/>
    <w:rsid w:val="72403635"/>
    <w:rsid w:val="724167B7"/>
    <w:rsid w:val="724539F8"/>
    <w:rsid w:val="724A54B2"/>
    <w:rsid w:val="724C4CED"/>
    <w:rsid w:val="724D03BD"/>
    <w:rsid w:val="724E2C9D"/>
    <w:rsid w:val="7253243B"/>
    <w:rsid w:val="72553024"/>
    <w:rsid w:val="725620A9"/>
    <w:rsid w:val="72587BCF"/>
    <w:rsid w:val="725A1874"/>
    <w:rsid w:val="725C4118"/>
    <w:rsid w:val="725D51E5"/>
    <w:rsid w:val="72604CD6"/>
    <w:rsid w:val="72620A4E"/>
    <w:rsid w:val="726522EC"/>
    <w:rsid w:val="72671BC0"/>
    <w:rsid w:val="72695938"/>
    <w:rsid w:val="726A053A"/>
    <w:rsid w:val="726A16B0"/>
    <w:rsid w:val="7270708A"/>
    <w:rsid w:val="727367B7"/>
    <w:rsid w:val="72750781"/>
    <w:rsid w:val="727B566C"/>
    <w:rsid w:val="727F33AE"/>
    <w:rsid w:val="728017C1"/>
    <w:rsid w:val="7285473C"/>
    <w:rsid w:val="72865C45"/>
    <w:rsid w:val="7289422C"/>
    <w:rsid w:val="728E2A0C"/>
    <w:rsid w:val="729055BB"/>
    <w:rsid w:val="729130E1"/>
    <w:rsid w:val="72914E8F"/>
    <w:rsid w:val="729533CE"/>
    <w:rsid w:val="72987FCC"/>
    <w:rsid w:val="729C58BF"/>
    <w:rsid w:val="72A2544E"/>
    <w:rsid w:val="72A42E14"/>
    <w:rsid w:val="72A72905"/>
    <w:rsid w:val="72A76461"/>
    <w:rsid w:val="72AA5080"/>
    <w:rsid w:val="72AC3A77"/>
    <w:rsid w:val="72AC5BF3"/>
    <w:rsid w:val="72AD5082"/>
    <w:rsid w:val="72AE77EF"/>
    <w:rsid w:val="72B017E2"/>
    <w:rsid w:val="72B4181B"/>
    <w:rsid w:val="72B648F6"/>
    <w:rsid w:val="72B83920"/>
    <w:rsid w:val="72BA5BBD"/>
    <w:rsid w:val="72C2174F"/>
    <w:rsid w:val="72C74D55"/>
    <w:rsid w:val="72CA214F"/>
    <w:rsid w:val="72CC4119"/>
    <w:rsid w:val="72CE60E3"/>
    <w:rsid w:val="72CF15E5"/>
    <w:rsid w:val="72D059B7"/>
    <w:rsid w:val="72D1172F"/>
    <w:rsid w:val="72D15A1F"/>
    <w:rsid w:val="72D37256"/>
    <w:rsid w:val="72D415AB"/>
    <w:rsid w:val="72D477F2"/>
    <w:rsid w:val="72D52FCE"/>
    <w:rsid w:val="72D54D7C"/>
    <w:rsid w:val="72D57472"/>
    <w:rsid w:val="72DB610A"/>
    <w:rsid w:val="72DC35F7"/>
    <w:rsid w:val="72E074CC"/>
    <w:rsid w:val="72E50B8D"/>
    <w:rsid w:val="72E66F89"/>
    <w:rsid w:val="72E871A5"/>
    <w:rsid w:val="72EE0533"/>
    <w:rsid w:val="72F30207"/>
    <w:rsid w:val="72F32109"/>
    <w:rsid w:val="72F336D6"/>
    <w:rsid w:val="72F5541E"/>
    <w:rsid w:val="72F62F44"/>
    <w:rsid w:val="72F72179"/>
    <w:rsid w:val="72F84F0E"/>
    <w:rsid w:val="72FD42D3"/>
    <w:rsid w:val="73010CB3"/>
    <w:rsid w:val="730163D3"/>
    <w:rsid w:val="73025B47"/>
    <w:rsid w:val="73035647"/>
    <w:rsid w:val="73072696"/>
    <w:rsid w:val="73096E20"/>
    <w:rsid w:val="730B2E93"/>
    <w:rsid w:val="730D3AFB"/>
    <w:rsid w:val="730D6C22"/>
    <w:rsid w:val="730F3052"/>
    <w:rsid w:val="73122968"/>
    <w:rsid w:val="7314493E"/>
    <w:rsid w:val="7318110C"/>
    <w:rsid w:val="731D3FB8"/>
    <w:rsid w:val="731E3543"/>
    <w:rsid w:val="731F5D5E"/>
    <w:rsid w:val="73202E83"/>
    <w:rsid w:val="73263FC8"/>
    <w:rsid w:val="73267CCD"/>
    <w:rsid w:val="7327134F"/>
    <w:rsid w:val="732775A1"/>
    <w:rsid w:val="7329331A"/>
    <w:rsid w:val="732D105C"/>
    <w:rsid w:val="732D4BB8"/>
    <w:rsid w:val="732D6F0C"/>
    <w:rsid w:val="732F4E6A"/>
    <w:rsid w:val="733046A8"/>
    <w:rsid w:val="73322485"/>
    <w:rsid w:val="7338355D"/>
    <w:rsid w:val="733942EB"/>
    <w:rsid w:val="733A1083"/>
    <w:rsid w:val="733C129F"/>
    <w:rsid w:val="733C4352"/>
    <w:rsid w:val="733D0B73"/>
    <w:rsid w:val="733E0A28"/>
    <w:rsid w:val="733E5017"/>
    <w:rsid w:val="733F0D8F"/>
    <w:rsid w:val="73410663"/>
    <w:rsid w:val="73433BBC"/>
    <w:rsid w:val="7346211D"/>
    <w:rsid w:val="73463ECB"/>
    <w:rsid w:val="7348321B"/>
    <w:rsid w:val="73520AC2"/>
    <w:rsid w:val="73522831"/>
    <w:rsid w:val="735A7977"/>
    <w:rsid w:val="736305DA"/>
    <w:rsid w:val="736312B3"/>
    <w:rsid w:val="736C773C"/>
    <w:rsid w:val="736F3422"/>
    <w:rsid w:val="736F38F7"/>
    <w:rsid w:val="73734595"/>
    <w:rsid w:val="737405D6"/>
    <w:rsid w:val="73742106"/>
    <w:rsid w:val="73770529"/>
    <w:rsid w:val="73781BAB"/>
    <w:rsid w:val="737A5923"/>
    <w:rsid w:val="737E5413"/>
    <w:rsid w:val="737F355D"/>
    <w:rsid w:val="737F63F8"/>
    <w:rsid w:val="73821BF5"/>
    <w:rsid w:val="73836344"/>
    <w:rsid w:val="7386076C"/>
    <w:rsid w:val="738A1B7C"/>
    <w:rsid w:val="738C04BF"/>
    <w:rsid w:val="73915B78"/>
    <w:rsid w:val="73966C01"/>
    <w:rsid w:val="739A4690"/>
    <w:rsid w:val="739B53E3"/>
    <w:rsid w:val="739C04CA"/>
    <w:rsid w:val="739C3AEB"/>
    <w:rsid w:val="739E0321"/>
    <w:rsid w:val="73A23E26"/>
    <w:rsid w:val="73A6033E"/>
    <w:rsid w:val="73A87BE1"/>
    <w:rsid w:val="73A91893"/>
    <w:rsid w:val="73AA0489"/>
    <w:rsid w:val="73AA6208"/>
    <w:rsid w:val="73B02C4C"/>
    <w:rsid w:val="73B56548"/>
    <w:rsid w:val="73B76AC0"/>
    <w:rsid w:val="73B928EF"/>
    <w:rsid w:val="73BB49CC"/>
    <w:rsid w:val="73BC0B08"/>
    <w:rsid w:val="73C44DF0"/>
    <w:rsid w:val="73C51AD5"/>
    <w:rsid w:val="73C80D84"/>
    <w:rsid w:val="73C848E1"/>
    <w:rsid w:val="73CD1EF7"/>
    <w:rsid w:val="73CF2113"/>
    <w:rsid w:val="73D1285D"/>
    <w:rsid w:val="73D414D7"/>
    <w:rsid w:val="73D634A1"/>
    <w:rsid w:val="73DE514A"/>
    <w:rsid w:val="73E334C8"/>
    <w:rsid w:val="73E6120B"/>
    <w:rsid w:val="73E67988"/>
    <w:rsid w:val="73E80A44"/>
    <w:rsid w:val="73F16B63"/>
    <w:rsid w:val="73F41B79"/>
    <w:rsid w:val="73FB7CDF"/>
    <w:rsid w:val="73FC458A"/>
    <w:rsid w:val="74017DF2"/>
    <w:rsid w:val="74024296"/>
    <w:rsid w:val="74070BBE"/>
    <w:rsid w:val="74081090"/>
    <w:rsid w:val="740B6902"/>
    <w:rsid w:val="740D4274"/>
    <w:rsid w:val="740D49E9"/>
    <w:rsid w:val="740F266F"/>
    <w:rsid w:val="74145D78"/>
    <w:rsid w:val="74152900"/>
    <w:rsid w:val="74157944"/>
    <w:rsid w:val="74157974"/>
    <w:rsid w:val="74165326"/>
    <w:rsid w:val="741661E7"/>
    <w:rsid w:val="741713C4"/>
    <w:rsid w:val="741C4E31"/>
    <w:rsid w:val="741C69DA"/>
    <w:rsid w:val="741E793C"/>
    <w:rsid w:val="74235D34"/>
    <w:rsid w:val="74251D33"/>
    <w:rsid w:val="74274FCC"/>
    <w:rsid w:val="74281D5D"/>
    <w:rsid w:val="74294EDD"/>
    <w:rsid w:val="742A10F7"/>
    <w:rsid w:val="742C0C8D"/>
    <w:rsid w:val="742C4E6F"/>
    <w:rsid w:val="742F2BB2"/>
    <w:rsid w:val="742F670E"/>
    <w:rsid w:val="74343D24"/>
    <w:rsid w:val="743809FE"/>
    <w:rsid w:val="74381A66"/>
    <w:rsid w:val="74387CB8"/>
    <w:rsid w:val="743957DE"/>
    <w:rsid w:val="743A42BA"/>
    <w:rsid w:val="743C4102"/>
    <w:rsid w:val="7443040B"/>
    <w:rsid w:val="744523D5"/>
    <w:rsid w:val="74454183"/>
    <w:rsid w:val="74455F31"/>
    <w:rsid w:val="74461834"/>
    <w:rsid w:val="744A3547"/>
    <w:rsid w:val="744E128A"/>
    <w:rsid w:val="745037BC"/>
    <w:rsid w:val="7452064E"/>
    <w:rsid w:val="745248EE"/>
    <w:rsid w:val="745443C6"/>
    <w:rsid w:val="74561EEC"/>
    <w:rsid w:val="745A1B8D"/>
    <w:rsid w:val="745A5E80"/>
    <w:rsid w:val="745C40DF"/>
    <w:rsid w:val="745D6EFB"/>
    <w:rsid w:val="745E3944"/>
    <w:rsid w:val="746639C2"/>
    <w:rsid w:val="746740F9"/>
    <w:rsid w:val="74681C20"/>
    <w:rsid w:val="746C1710"/>
    <w:rsid w:val="746C7962"/>
    <w:rsid w:val="74707358"/>
    <w:rsid w:val="747203C6"/>
    <w:rsid w:val="7472484C"/>
    <w:rsid w:val="7476433D"/>
    <w:rsid w:val="7479207F"/>
    <w:rsid w:val="747B5DF7"/>
    <w:rsid w:val="748051BB"/>
    <w:rsid w:val="748142F7"/>
    <w:rsid w:val="748464C0"/>
    <w:rsid w:val="74846535"/>
    <w:rsid w:val="74855837"/>
    <w:rsid w:val="748702F8"/>
    <w:rsid w:val="7487479C"/>
    <w:rsid w:val="74884519"/>
    <w:rsid w:val="74890514"/>
    <w:rsid w:val="748968B8"/>
    <w:rsid w:val="74896B26"/>
    <w:rsid w:val="748B16A9"/>
    <w:rsid w:val="748C0004"/>
    <w:rsid w:val="748D1686"/>
    <w:rsid w:val="7491561A"/>
    <w:rsid w:val="749176BA"/>
    <w:rsid w:val="749363A9"/>
    <w:rsid w:val="74940C67"/>
    <w:rsid w:val="74982505"/>
    <w:rsid w:val="7499627D"/>
    <w:rsid w:val="74996A8A"/>
    <w:rsid w:val="749A119E"/>
    <w:rsid w:val="749B0101"/>
    <w:rsid w:val="749E5641"/>
    <w:rsid w:val="74A0243F"/>
    <w:rsid w:val="74A0760B"/>
    <w:rsid w:val="74A155C9"/>
    <w:rsid w:val="74A42C2B"/>
    <w:rsid w:val="74AA048A"/>
    <w:rsid w:val="74AB25CF"/>
    <w:rsid w:val="74AB66DC"/>
    <w:rsid w:val="74AE3AD6"/>
    <w:rsid w:val="74B17A6A"/>
    <w:rsid w:val="74B26A33"/>
    <w:rsid w:val="74B54EE7"/>
    <w:rsid w:val="74B83BBC"/>
    <w:rsid w:val="74B87DFA"/>
    <w:rsid w:val="74B9247B"/>
    <w:rsid w:val="74C0380A"/>
    <w:rsid w:val="74C37FD8"/>
    <w:rsid w:val="74C74B98"/>
    <w:rsid w:val="74CA0500"/>
    <w:rsid w:val="74CC41B2"/>
    <w:rsid w:val="74CE5F27"/>
    <w:rsid w:val="74D06143"/>
    <w:rsid w:val="74D361B6"/>
    <w:rsid w:val="74D4757B"/>
    <w:rsid w:val="74DA7111"/>
    <w:rsid w:val="74DB0643"/>
    <w:rsid w:val="74DB4D2C"/>
    <w:rsid w:val="74DB6895"/>
    <w:rsid w:val="74E67714"/>
    <w:rsid w:val="74EC2851"/>
    <w:rsid w:val="74EF608F"/>
    <w:rsid w:val="74F02CA9"/>
    <w:rsid w:val="74F04C0C"/>
    <w:rsid w:val="74F318F7"/>
    <w:rsid w:val="74F31E31"/>
    <w:rsid w:val="74F345F9"/>
    <w:rsid w:val="74F51705"/>
    <w:rsid w:val="74F818DF"/>
    <w:rsid w:val="74FA15A7"/>
    <w:rsid w:val="74FA6D1C"/>
    <w:rsid w:val="74FE1D9F"/>
    <w:rsid w:val="750556C0"/>
    <w:rsid w:val="750758DC"/>
    <w:rsid w:val="75080A92"/>
    <w:rsid w:val="750B717B"/>
    <w:rsid w:val="750C4CA1"/>
    <w:rsid w:val="750D2EF3"/>
    <w:rsid w:val="750E6C6B"/>
    <w:rsid w:val="750F5031"/>
    <w:rsid w:val="751328C5"/>
    <w:rsid w:val="751332DC"/>
    <w:rsid w:val="75143DB0"/>
    <w:rsid w:val="7516167C"/>
    <w:rsid w:val="75165A16"/>
    <w:rsid w:val="751853F4"/>
    <w:rsid w:val="751A59DC"/>
    <w:rsid w:val="751B4EE4"/>
    <w:rsid w:val="751C3136"/>
    <w:rsid w:val="751C3E82"/>
    <w:rsid w:val="751F3980"/>
    <w:rsid w:val="751F42D8"/>
    <w:rsid w:val="75203118"/>
    <w:rsid w:val="75205A6C"/>
    <w:rsid w:val="7521699E"/>
    <w:rsid w:val="75226272"/>
    <w:rsid w:val="75233ABF"/>
    <w:rsid w:val="75241FEA"/>
    <w:rsid w:val="752C70F1"/>
    <w:rsid w:val="752E2E69"/>
    <w:rsid w:val="753164B5"/>
    <w:rsid w:val="75330480"/>
    <w:rsid w:val="7535751A"/>
    <w:rsid w:val="75357D54"/>
    <w:rsid w:val="75387844"/>
    <w:rsid w:val="753C1715"/>
    <w:rsid w:val="753D4E5A"/>
    <w:rsid w:val="753D6E5D"/>
    <w:rsid w:val="753F0BD2"/>
    <w:rsid w:val="753F5076"/>
    <w:rsid w:val="75412B9C"/>
    <w:rsid w:val="75457920"/>
    <w:rsid w:val="75466405"/>
    <w:rsid w:val="75473619"/>
    <w:rsid w:val="754A60DD"/>
    <w:rsid w:val="754E7067"/>
    <w:rsid w:val="75530B22"/>
    <w:rsid w:val="755328D0"/>
    <w:rsid w:val="75550E7D"/>
    <w:rsid w:val="75587EE6"/>
    <w:rsid w:val="75596138"/>
    <w:rsid w:val="755C1FB6"/>
    <w:rsid w:val="75611881"/>
    <w:rsid w:val="75630789"/>
    <w:rsid w:val="75647D48"/>
    <w:rsid w:val="7565701D"/>
    <w:rsid w:val="756A13EC"/>
    <w:rsid w:val="756B3B07"/>
    <w:rsid w:val="756B730A"/>
    <w:rsid w:val="756E770A"/>
    <w:rsid w:val="75731AE3"/>
    <w:rsid w:val="75734D20"/>
    <w:rsid w:val="75756214"/>
    <w:rsid w:val="75763F70"/>
    <w:rsid w:val="757A533D"/>
    <w:rsid w:val="757B2107"/>
    <w:rsid w:val="757C48C1"/>
    <w:rsid w:val="75805AAF"/>
    <w:rsid w:val="75846393"/>
    <w:rsid w:val="75866801"/>
    <w:rsid w:val="758807CB"/>
    <w:rsid w:val="75880E0D"/>
    <w:rsid w:val="75892893"/>
    <w:rsid w:val="758A2C74"/>
    <w:rsid w:val="758B0D5E"/>
    <w:rsid w:val="758C6EDC"/>
    <w:rsid w:val="758E3908"/>
    <w:rsid w:val="758E56B6"/>
    <w:rsid w:val="758F6705"/>
    <w:rsid w:val="759055A1"/>
    <w:rsid w:val="759058D2"/>
    <w:rsid w:val="75930F1E"/>
    <w:rsid w:val="75947170"/>
    <w:rsid w:val="759519CF"/>
    <w:rsid w:val="759727BC"/>
    <w:rsid w:val="759A1677"/>
    <w:rsid w:val="759C7DD3"/>
    <w:rsid w:val="759E1D9D"/>
    <w:rsid w:val="759E5BA0"/>
    <w:rsid w:val="75A31A9B"/>
    <w:rsid w:val="75A4312B"/>
    <w:rsid w:val="75A924F0"/>
    <w:rsid w:val="75AB270C"/>
    <w:rsid w:val="75B0387E"/>
    <w:rsid w:val="75B74C0D"/>
    <w:rsid w:val="75B94E29"/>
    <w:rsid w:val="75BC3F20"/>
    <w:rsid w:val="75BD2E29"/>
    <w:rsid w:val="75BD7856"/>
    <w:rsid w:val="75C612F4"/>
    <w:rsid w:val="75C64E50"/>
    <w:rsid w:val="75CA1ADA"/>
    <w:rsid w:val="75CA2B92"/>
    <w:rsid w:val="75CB06B8"/>
    <w:rsid w:val="75CE1932"/>
    <w:rsid w:val="75CF5CF2"/>
    <w:rsid w:val="75CF63FA"/>
    <w:rsid w:val="75D02172"/>
    <w:rsid w:val="75D47A02"/>
    <w:rsid w:val="75D67759"/>
    <w:rsid w:val="75D92DD5"/>
    <w:rsid w:val="75D930E1"/>
    <w:rsid w:val="75DD4A5B"/>
    <w:rsid w:val="75E12667"/>
    <w:rsid w:val="75E61E57"/>
    <w:rsid w:val="75E727FB"/>
    <w:rsid w:val="75E832AF"/>
    <w:rsid w:val="75EB2B08"/>
    <w:rsid w:val="75ED6071"/>
    <w:rsid w:val="75EE22BA"/>
    <w:rsid w:val="75EE6139"/>
    <w:rsid w:val="75EF7FE9"/>
    <w:rsid w:val="75F47C0F"/>
    <w:rsid w:val="75F569EC"/>
    <w:rsid w:val="75F94007"/>
    <w:rsid w:val="75FE0A8D"/>
    <w:rsid w:val="76003C52"/>
    <w:rsid w:val="76067942"/>
    <w:rsid w:val="760D2A7F"/>
    <w:rsid w:val="76144B78"/>
    <w:rsid w:val="761C7166"/>
    <w:rsid w:val="761E74B2"/>
    <w:rsid w:val="762070B4"/>
    <w:rsid w:val="76257DC8"/>
    <w:rsid w:val="762D1373"/>
    <w:rsid w:val="762F3C3D"/>
    <w:rsid w:val="762F50EB"/>
    <w:rsid w:val="76321447"/>
    <w:rsid w:val="7635099D"/>
    <w:rsid w:val="76351605"/>
    <w:rsid w:val="7636714E"/>
    <w:rsid w:val="763C5112"/>
    <w:rsid w:val="763D4224"/>
    <w:rsid w:val="763D5C1E"/>
    <w:rsid w:val="763F2BE0"/>
    <w:rsid w:val="763F4418"/>
    <w:rsid w:val="764010A6"/>
    <w:rsid w:val="76424E1E"/>
    <w:rsid w:val="764364A0"/>
    <w:rsid w:val="76442B95"/>
    <w:rsid w:val="7645557B"/>
    <w:rsid w:val="76465F91"/>
    <w:rsid w:val="764D731F"/>
    <w:rsid w:val="764F753B"/>
    <w:rsid w:val="76500BBD"/>
    <w:rsid w:val="76530DD9"/>
    <w:rsid w:val="76551A24"/>
    <w:rsid w:val="765608C9"/>
    <w:rsid w:val="76562678"/>
    <w:rsid w:val="765661D4"/>
    <w:rsid w:val="76592168"/>
    <w:rsid w:val="765B1A3C"/>
    <w:rsid w:val="765D365C"/>
    <w:rsid w:val="765E1A31"/>
    <w:rsid w:val="765F33E2"/>
    <w:rsid w:val="76636B42"/>
    <w:rsid w:val="766465EB"/>
    <w:rsid w:val="766528BB"/>
    <w:rsid w:val="766A6123"/>
    <w:rsid w:val="766B105C"/>
    <w:rsid w:val="766C1E9B"/>
    <w:rsid w:val="766D7254"/>
    <w:rsid w:val="766D7EFB"/>
    <w:rsid w:val="766E66B1"/>
    <w:rsid w:val="766F1796"/>
    <w:rsid w:val="7671171A"/>
    <w:rsid w:val="767574C0"/>
    <w:rsid w:val="76764AC8"/>
    <w:rsid w:val="767945B8"/>
    <w:rsid w:val="76796366"/>
    <w:rsid w:val="767D7C04"/>
    <w:rsid w:val="767E572A"/>
    <w:rsid w:val="768076F4"/>
    <w:rsid w:val="7682346D"/>
    <w:rsid w:val="768371E5"/>
    <w:rsid w:val="76880357"/>
    <w:rsid w:val="768C42EB"/>
    <w:rsid w:val="768F0D80"/>
    <w:rsid w:val="769006E4"/>
    <w:rsid w:val="769439CB"/>
    <w:rsid w:val="76960CC6"/>
    <w:rsid w:val="769720E3"/>
    <w:rsid w:val="769D02A6"/>
    <w:rsid w:val="769F7133"/>
    <w:rsid w:val="76A35191"/>
    <w:rsid w:val="76A41635"/>
    <w:rsid w:val="76A41B15"/>
    <w:rsid w:val="76A52BBD"/>
    <w:rsid w:val="76A72ED3"/>
    <w:rsid w:val="76AC6DC1"/>
    <w:rsid w:val="76AE1BDA"/>
    <w:rsid w:val="76AF0A00"/>
    <w:rsid w:val="76B266DA"/>
    <w:rsid w:val="76B33626"/>
    <w:rsid w:val="76B44B47"/>
    <w:rsid w:val="76B61368"/>
    <w:rsid w:val="76B659EF"/>
    <w:rsid w:val="76B86E8E"/>
    <w:rsid w:val="76BB0468"/>
    <w:rsid w:val="76BB072D"/>
    <w:rsid w:val="76BB75CB"/>
    <w:rsid w:val="76BD6253"/>
    <w:rsid w:val="76BE1FCB"/>
    <w:rsid w:val="76BF1F8C"/>
    <w:rsid w:val="76C07AF1"/>
    <w:rsid w:val="76C07BAD"/>
    <w:rsid w:val="76C1277A"/>
    <w:rsid w:val="76C17757"/>
    <w:rsid w:val="76C23869"/>
    <w:rsid w:val="76C40651"/>
    <w:rsid w:val="76CA0970"/>
    <w:rsid w:val="76CA6BC2"/>
    <w:rsid w:val="76CE304C"/>
    <w:rsid w:val="76D10B32"/>
    <w:rsid w:val="76D33CC8"/>
    <w:rsid w:val="76D422EB"/>
    <w:rsid w:val="76D57A40"/>
    <w:rsid w:val="76D96E05"/>
    <w:rsid w:val="76DA42D4"/>
    <w:rsid w:val="76DD06A3"/>
    <w:rsid w:val="76DF08BF"/>
    <w:rsid w:val="76E732D0"/>
    <w:rsid w:val="76E95CBD"/>
    <w:rsid w:val="76EF5931"/>
    <w:rsid w:val="76F16531"/>
    <w:rsid w:val="76F167EA"/>
    <w:rsid w:val="76F247E5"/>
    <w:rsid w:val="76F31C74"/>
    <w:rsid w:val="76F45E0A"/>
    <w:rsid w:val="76F63F8E"/>
    <w:rsid w:val="76F72090"/>
    <w:rsid w:val="76FB0FF5"/>
    <w:rsid w:val="76FD0985"/>
    <w:rsid w:val="76FD0D45"/>
    <w:rsid w:val="77026001"/>
    <w:rsid w:val="77040325"/>
    <w:rsid w:val="770711E3"/>
    <w:rsid w:val="770B1FE4"/>
    <w:rsid w:val="770E2F52"/>
    <w:rsid w:val="77106CCA"/>
    <w:rsid w:val="771147F0"/>
    <w:rsid w:val="7711767D"/>
    <w:rsid w:val="77177CAA"/>
    <w:rsid w:val="77185928"/>
    <w:rsid w:val="771A18F7"/>
    <w:rsid w:val="771A36A5"/>
    <w:rsid w:val="771B741D"/>
    <w:rsid w:val="771C566F"/>
    <w:rsid w:val="771F2A69"/>
    <w:rsid w:val="7725049C"/>
    <w:rsid w:val="7726029C"/>
    <w:rsid w:val="77274014"/>
    <w:rsid w:val="77275DC2"/>
    <w:rsid w:val="7729715D"/>
    <w:rsid w:val="773109EF"/>
    <w:rsid w:val="773A5AF5"/>
    <w:rsid w:val="773F4EBA"/>
    <w:rsid w:val="77431C92"/>
    <w:rsid w:val="77440722"/>
    <w:rsid w:val="774424D0"/>
    <w:rsid w:val="77456248"/>
    <w:rsid w:val="77476464"/>
    <w:rsid w:val="774C5829"/>
    <w:rsid w:val="77536BB7"/>
    <w:rsid w:val="775A6197"/>
    <w:rsid w:val="77601B0A"/>
    <w:rsid w:val="77626DFA"/>
    <w:rsid w:val="77660698"/>
    <w:rsid w:val="77690189"/>
    <w:rsid w:val="776940E2"/>
    <w:rsid w:val="776C412F"/>
    <w:rsid w:val="77701517"/>
    <w:rsid w:val="777059BB"/>
    <w:rsid w:val="777234E1"/>
    <w:rsid w:val="777259F1"/>
    <w:rsid w:val="77762421"/>
    <w:rsid w:val="777803CC"/>
    <w:rsid w:val="77780412"/>
    <w:rsid w:val="777C7EBC"/>
    <w:rsid w:val="777F52D6"/>
    <w:rsid w:val="77844FC2"/>
    <w:rsid w:val="77866F8C"/>
    <w:rsid w:val="7789082B"/>
    <w:rsid w:val="778A22C8"/>
    <w:rsid w:val="778C314B"/>
    <w:rsid w:val="778C5A2E"/>
    <w:rsid w:val="779001A9"/>
    <w:rsid w:val="7791148D"/>
    <w:rsid w:val="77933D44"/>
    <w:rsid w:val="77935205"/>
    <w:rsid w:val="779427CE"/>
    <w:rsid w:val="77951E3D"/>
    <w:rsid w:val="77955421"/>
    <w:rsid w:val="77974CF6"/>
    <w:rsid w:val="779773CD"/>
    <w:rsid w:val="779A47E6"/>
    <w:rsid w:val="779C230C"/>
    <w:rsid w:val="779D5598"/>
    <w:rsid w:val="77A10E50"/>
    <w:rsid w:val="77A47413"/>
    <w:rsid w:val="77A80CB1"/>
    <w:rsid w:val="77A85155"/>
    <w:rsid w:val="77A93102"/>
    <w:rsid w:val="77A954AE"/>
    <w:rsid w:val="77AA5BA5"/>
    <w:rsid w:val="77AD276B"/>
    <w:rsid w:val="77AD4519"/>
    <w:rsid w:val="77AD62C7"/>
    <w:rsid w:val="77AF3E74"/>
    <w:rsid w:val="77B1183D"/>
    <w:rsid w:val="77B36D20"/>
    <w:rsid w:val="77B5517C"/>
    <w:rsid w:val="77B56B1F"/>
    <w:rsid w:val="77B84C6C"/>
    <w:rsid w:val="77BD0907"/>
    <w:rsid w:val="77BF5FFA"/>
    <w:rsid w:val="77C11D73"/>
    <w:rsid w:val="77C135BE"/>
    <w:rsid w:val="77C17B3F"/>
    <w:rsid w:val="77C17FC5"/>
    <w:rsid w:val="77C33D3D"/>
    <w:rsid w:val="77C5609A"/>
    <w:rsid w:val="77C65DC3"/>
    <w:rsid w:val="77CB2BF1"/>
    <w:rsid w:val="77CF1D1D"/>
    <w:rsid w:val="77D777E8"/>
    <w:rsid w:val="77D8479F"/>
    <w:rsid w:val="77D863BB"/>
    <w:rsid w:val="77DC4DFE"/>
    <w:rsid w:val="77DD6EF2"/>
    <w:rsid w:val="77DD7EE5"/>
    <w:rsid w:val="77DE0B76"/>
    <w:rsid w:val="77E048EF"/>
    <w:rsid w:val="77E05E39"/>
    <w:rsid w:val="77E872FF"/>
    <w:rsid w:val="77EB6DF0"/>
    <w:rsid w:val="77EC5DFD"/>
    <w:rsid w:val="77EE068E"/>
    <w:rsid w:val="77EE7E77"/>
    <w:rsid w:val="77EF2C72"/>
    <w:rsid w:val="77F04406"/>
    <w:rsid w:val="77F10F05"/>
    <w:rsid w:val="77F15368"/>
    <w:rsid w:val="77F42148"/>
    <w:rsid w:val="77F43EF6"/>
    <w:rsid w:val="77F6460A"/>
    <w:rsid w:val="77F64995"/>
    <w:rsid w:val="77FA5285"/>
    <w:rsid w:val="77FA7033"/>
    <w:rsid w:val="77FD5BFA"/>
    <w:rsid w:val="77FF4227"/>
    <w:rsid w:val="78024BAC"/>
    <w:rsid w:val="78034A72"/>
    <w:rsid w:val="780600CD"/>
    <w:rsid w:val="780659D7"/>
    <w:rsid w:val="780D6D66"/>
    <w:rsid w:val="780F09F4"/>
    <w:rsid w:val="781300F6"/>
    <w:rsid w:val="78143B0C"/>
    <w:rsid w:val="78197CD6"/>
    <w:rsid w:val="781A1483"/>
    <w:rsid w:val="781A76D5"/>
    <w:rsid w:val="782115C4"/>
    <w:rsid w:val="7826607A"/>
    <w:rsid w:val="782A3DBC"/>
    <w:rsid w:val="782B18E2"/>
    <w:rsid w:val="782C26F1"/>
    <w:rsid w:val="782F13D2"/>
    <w:rsid w:val="78347BFE"/>
    <w:rsid w:val="783A6BAD"/>
    <w:rsid w:val="783C73EA"/>
    <w:rsid w:val="783D2AE9"/>
    <w:rsid w:val="783F2DE3"/>
    <w:rsid w:val="78407BB7"/>
    <w:rsid w:val="78412EB3"/>
    <w:rsid w:val="78474A20"/>
    <w:rsid w:val="78496AB4"/>
    <w:rsid w:val="78497340"/>
    <w:rsid w:val="784A02E9"/>
    <w:rsid w:val="784B788E"/>
    <w:rsid w:val="784C2545"/>
    <w:rsid w:val="784D3606"/>
    <w:rsid w:val="78522DC1"/>
    <w:rsid w:val="78542BE7"/>
    <w:rsid w:val="7857653C"/>
    <w:rsid w:val="785E1CB7"/>
    <w:rsid w:val="785E75C1"/>
    <w:rsid w:val="78623556"/>
    <w:rsid w:val="786A124A"/>
    <w:rsid w:val="786F17CF"/>
    <w:rsid w:val="786F32B4"/>
    <w:rsid w:val="7870313C"/>
    <w:rsid w:val="78712A23"/>
    <w:rsid w:val="7872306D"/>
    <w:rsid w:val="78727E6D"/>
    <w:rsid w:val="7874624B"/>
    <w:rsid w:val="78746401"/>
    <w:rsid w:val="78746922"/>
    <w:rsid w:val="78767001"/>
    <w:rsid w:val="78770683"/>
    <w:rsid w:val="7879264D"/>
    <w:rsid w:val="787D038F"/>
    <w:rsid w:val="787D213D"/>
    <w:rsid w:val="787E073F"/>
    <w:rsid w:val="78830378"/>
    <w:rsid w:val="7888206C"/>
    <w:rsid w:val="7888337F"/>
    <w:rsid w:val="78886D34"/>
    <w:rsid w:val="788A6608"/>
    <w:rsid w:val="788F1E71"/>
    <w:rsid w:val="7892370F"/>
    <w:rsid w:val="789366E3"/>
    <w:rsid w:val="78961E9B"/>
    <w:rsid w:val="78972AD3"/>
    <w:rsid w:val="78994A9D"/>
    <w:rsid w:val="789E0306"/>
    <w:rsid w:val="789F0530"/>
    <w:rsid w:val="78A23C38"/>
    <w:rsid w:val="78A3591C"/>
    <w:rsid w:val="78A83772"/>
    <w:rsid w:val="78A90480"/>
    <w:rsid w:val="78A91184"/>
    <w:rsid w:val="78AA4F79"/>
    <w:rsid w:val="78AA6DDB"/>
    <w:rsid w:val="78AD470D"/>
    <w:rsid w:val="78B2790D"/>
    <w:rsid w:val="78B673FD"/>
    <w:rsid w:val="78B813C8"/>
    <w:rsid w:val="78BA61D2"/>
    <w:rsid w:val="78BA792A"/>
    <w:rsid w:val="78BB2C66"/>
    <w:rsid w:val="78BE2756"/>
    <w:rsid w:val="78C369CA"/>
    <w:rsid w:val="78C433A4"/>
    <w:rsid w:val="78C55892"/>
    <w:rsid w:val="78C57641"/>
    <w:rsid w:val="78C80EDF"/>
    <w:rsid w:val="78C93005"/>
    <w:rsid w:val="78CB57ED"/>
    <w:rsid w:val="78CC4E73"/>
    <w:rsid w:val="78CE2353"/>
    <w:rsid w:val="78CE53CD"/>
    <w:rsid w:val="78D003F8"/>
    <w:rsid w:val="78D12489"/>
    <w:rsid w:val="78D62327"/>
    <w:rsid w:val="78DA20D9"/>
    <w:rsid w:val="78DB50B6"/>
    <w:rsid w:val="78DD0E2E"/>
    <w:rsid w:val="78DF4BA6"/>
    <w:rsid w:val="78E139A5"/>
    <w:rsid w:val="78E35D19"/>
    <w:rsid w:val="78E42B6B"/>
    <w:rsid w:val="78E85634"/>
    <w:rsid w:val="78E977D3"/>
    <w:rsid w:val="78EC2E1F"/>
    <w:rsid w:val="78EC72C3"/>
    <w:rsid w:val="78F148D9"/>
    <w:rsid w:val="78F63632"/>
    <w:rsid w:val="78FB12B4"/>
    <w:rsid w:val="78FB2838"/>
    <w:rsid w:val="78FE478C"/>
    <w:rsid w:val="78FF0DA4"/>
    <w:rsid w:val="79004B1D"/>
    <w:rsid w:val="79020895"/>
    <w:rsid w:val="790243F1"/>
    <w:rsid w:val="7902536C"/>
    <w:rsid w:val="79074111"/>
    <w:rsid w:val="790836D0"/>
    <w:rsid w:val="79083A3B"/>
    <w:rsid w:val="790E4617"/>
    <w:rsid w:val="79112886"/>
    <w:rsid w:val="79144124"/>
    <w:rsid w:val="79191277"/>
    <w:rsid w:val="791954AD"/>
    <w:rsid w:val="791B40DF"/>
    <w:rsid w:val="791E5F62"/>
    <w:rsid w:val="79226841"/>
    <w:rsid w:val="792570F0"/>
    <w:rsid w:val="792720A9"/>
    <w:rsid w:val="79294FA2"/>
    <w:rsid w:val="792A1B99"/>
    <w:rsid w:val="792B5F2C"/>
    <w:rsid w:val="792C3B64"/>
    <w:rsid w:val="7931117A"/>
    <w:rsid w:val="79346574"/>
    <w:rsid w:val="79370A36"/>
    <w:rsid w:val="793F4B36"/>
    <w:rsid w:val="7941380E"/>
    <w:rsid w:val="79425135"/>
    <w:rsid w:val="79442C5B"/>
    <w:rsid w:val="79450781"/>
    <w:rsid w:val="7947734B"/>
    <w:rsid w:val="79492020"/>
    <w:rsid w:val="794B672C"/>
    <w:rsid w:val="794E5888"/>
    <w:rsid w:val="79554E68"/>
    <w:rsid w:val="79570BE0"/>
    <w:rsid w:val="79584959"/>
    <w:rsid w:val="795B1D53"/>
    <w:rsid w:val="795C61F7"/>
    <w:rsid w:val="795D5ACB"/>
    <w:rsid w:val="795E61C5"/>
    <w:rsid w:val="795F7A95"/>
    <w:rsid w:val="79650AA5"/>
    <w:rsid w:val="796721E3"/>
    <w:rsid w:val="796A0C5E"/>
    <w:rsid w:val="796C54D3"/>
    <w:rsid w:val="796D4A70"/>
    <w:rsid w:val="79766B8D"/>
    <w:rsid w:val="79774FAA"/>
    <w:rsid w:val="797840E6"/>
    <w:rsid w:val="79797662"/>
    <w:rsid w:val="797A48CF"/>
    <w:rsid w:val="797A7DBC"/>
    <w:rsid w:val="797B41A3"/>
    <w:rsid w:val="797C0647"/>
    <w:rsid w:val="797E31CB"/>
    <w:rsid w:val="797F0137"/>
    <w:rsid w:val="7980722C"/>
    <w:rsid w:val="79822FDC"/>
    <w:rsid w:val="798412AA"/>
    <w:rsid w:val="79847A36"/>
    <w:rsid w:val="79872B48"/>
    <w:rsid w:val="79894B12"/>
    <w:rsid w:val="798A0C42"/>
    <w:rsid w:val="798B2638"/>
    <w:rsid w:val="798E6F68"/>
    <w:rsid w:val="79915775"/>
    <w:rsid w:val="799534B7"/>
    <w:rsid w:val="79955265"/>
    <w:rsid w:val="79975EE4"/>
    <w:rsid w:val="79984D23"/>
    <w:rsid w:val="79986B03"/>
    <w:rsid w:val="799E680F"/>
    <w:rsid w:val="799F60E4"/>
    <w:rsid w:val="79A01A21"/>
    <w:rsid w:val="79A454A8"/>
    <w:rsid w:val="79A60655"/>
    <w:rsid w:val="79AC464A"/>
    <w:rsid w:val="79B002F1"/>
    <w:rsid w:val="79B17BC5"/>
    <w:rsid w:val="79B67F9F"/>
    <w:rsid w:val="79B80F53"/>
    <w:rsid w:val="79BA116F"/>
    <w:rsid w:val="79BA4CCB"/>
    <w:rsid w:val="79BB1CDC"/>
    <w:rsid w:val="79BD656A"/>
    <w:rsid w:val="79BE0C60"/>
    <w:rsid w:val="79BF0534"/>
    <w:rsid w:val="79C36276"/>
    <w:rsid w:val="79C43D9C"/>
    <w:rsid w:val="79C758CA"/>
    <w:rsid w:val="79CB0C87"/>
    <w:rsid w:val="79CB6ED9"/>
    <w:rsid w:val="79CD5D5C"/>
    <w:rsid w:val="79D17AFA"/>
    <w:rsid w:val="79D20E2A"/>
    <w:rsid w:val="79D37B98"/>
    <w:rsid w:val="79D74CB9"/>
    <w:rsid w:val="79DA35C0"/>
    <w:rsid w:val="79DF28BF"/>
    <w:rsid w:val="79DF2984"/>
    <w:rsid w:val="79DF3FBD"/>
    <w:rsid w:val="79DF6D0C"/>
    <w:rsid w:val="79E104AA"/>
    <w:rsid w:val="79E32474"/>
    <w:rsid w:val="79E45DBC"/>
    <w:rsid w:val="79E47F9A"/>
    <w:rsid w:val="79E9735F"/>
    <w:rsid w:val="79EB1329"/>
    <w:rsid w:val="79EE2C15"/>
    <w:rsid w:val="79F0693F"/>
    <w:rsid w:val="79F1067A"/>
    <w:rsid w:val="79F44681"/>
    <w:rsid w:val="79F77CCE"/>
    <w:rsid w:val="7A010B4C"/>
    <w:rsid w:val="7A0348C4"/>
    <w:rsid w:val="7A04063C"/>
    <w:rsid w:val="7A0423EA"/>
    <w:rsid w:val="7A093DF8"/>
    <w:rsid w:val="7A1062A7"/>
    <w:rsid w:val="7A170370"/>
    <w:rsid w:val="7A17211E"/>
    <w:rsid w:val="7A1B04E8"/>
    <w:rsid w:val="7A1B7E60"/>
    <w:rsid w:val="7A1C14E2"/>
    <w:rsid w:val="7A1E16FE"/>
    <w:rsid w:val="7A1E525A"/>
    <w:rsid w:val="7A2111EE"/>
    <w:rsid w:val="7A232871"/>
    <w:rsid w:val="7A252A8D"/>
    <w:rsid w:val="7A2570B5"/>
    <w:rsid w:val="7A296656"/>
    <w:rsid w:val="7A2A2CC5"/>
    <w:rsid w:val="7A2B5BC9"/>
    <w:rsid w:val="7A301431"/>
    <w:rsid w:val="7A304F8E"/>
    <w:rsid w:val="7A3249E0"/>
    <w:rsid w:val="7A326F58"/>
    <w:rsid w:val="7A342CD0"/>
    <w:rsid w:val="7A3525A4"/>
    <w:rsid w:val="7A36248D"/>
    <w:rsid w:val="7A364017"/>
    <w:rsid w:val="7A367C5D"/>
    <w:rsid w:val="7A397B3B"/>
    <w:rsid w:val="7A3C1B84"/>
    <w:rsid w:val="7A3C7DD6"/>
    <w:rsid w:val="7A3D6F22"/>
    <w:rsid w:val="7A3E3B4E"/>
    <w:rsid w:val="7A3E76AA"/>
    <w:rsid w:val="7A410F49"/>
    <w:rsid w:val="7A456C8B"/>
    <w:rsid w:val="7A47139F"/>
    <w:rsid w:val="7A4E3666"/>
    <w:rsid w:val="7A5433BE"/>
    <w:rsid w:val="7A545120"/>
    <w:rsid w:val="7A545D6B"/>
    <w:rsid w:val="7A592736"/>
    <w:rsid w:val="7A614D27"/>
    <w:rsid w:val="7A622A67"/>
    <w:rsid w:val="7A653498"/>
    <w:rsid w:val="7A666C01"/>
    <w:rsid w:val="7A677DC6"/>
    <w:rsid w:val="7A6A5F95"/>
    <w:rsid w:val="7A6B06DA"/>
    <w:rsid w:val="7A6B29A4"/>
    <w:rsid w:val="7A6D4434"/>
    <w:rsid w:val="7A6E350B"/>
    <w:rsid w:val="7A707A80"/>
    <w:rsid w:val="7A7255A6"/>
    <w:rsid w:val="7A740360"/>
    <w:rsid w:val="7A7430CC"/>
    <w:rsid w:val="7A770E0E"/>
    <w:rsid w:val="7A772BBC"/>
    <w:rsid w:val="7A775215"/>
    <w:rsid w:val="7A792DD8"/>
    <w:rsid w:val="7A7E4525"/>
    <w:rsid w:val="7A7E6973"/>
    <w:rsid w:val="7A814F1E"/>
    <w:rsid w:val="7A8265E1"/>
    <w:rsid w:val="7A835A05"/>
    <w:rsid w:val="7A8F25C5"/>
    <w:rsid w:val="7A9279F6"/>
    <w:rsid w:val="7A953ACC"/>
    <w:rsid w:val="7A9674E6"/>
    <w:rsid w:val="7A995229"/>
    <w:rsid w:val="7A9A2DC7"/>
    <w:rsid w:val="7A9E283F"/>
    <w:rsid w:val="7AA65250"/>
    <w:rsid w:val="7AA73736"/>
    <w:rsid w:val="7AA95FB1"/>
    <w:rsid w:val="7AAA4D40"/>
    <w:rsid w:val="7AAD65DE"/>
    <w:rsid w:val="7AAD7D52"/>
    <w:rsid w:val="7AAF2356"/>
    <w:rsid w:val="7AAF6671"/>
    <w:rsid w:val="7AAF67FA"/>
    <w:rsid w:val="7AB20098"/>
    <w:rsid w:val="7AB61937"/>
    <w:rsid w:val="7AB7226E"/>
    <w:rsid w:val="7AB95643"/>
    <w:rsid w:val="7ABB0CFB"/>
    <w:rsid w:val="7ABC1938"/>
    <w:rsid w:val="7ABD26AB"/>
    <w:rsid w:val="7AC03775"/>
    <w:rsid w:val="7AC04563"/>
    <w:rsid w:val="7AC202DC"/>
    <w:rsid w:val="7AC51B7A"/>
    <w:rsid w:val="7AC73B44"/>
    <w:rsid w:val="7ACC0CD4"/>
    <w:rsid w:val="7ACF10BE"/>
    <w:rsid w:val="7AD16771"/>
    <w:rsid w:val="7AD65B35"/>
    <w:rsid w:val="7AD87AFF"/>
    <w:rsid w:val="7AD924B1"/>
    <w:rsid w:val="7AD973D3"/>
    <w:rsid w:val="7ADE2C3C"/>
    <w:rsid w:val="7ADE793D"/>
    <w:rsid w:val="7AE52552"/>
    <w:rsid w:val="7AE65156"/>
    <w:rsid w:val="7AE8315B"/>
    <w:rsid w:val="7AE85868"/>
    <w:rsid w:val="7AEB3C0D"/>
    <w:rsid w:val="7AEC5358"/>
    <w:rsid w:val="7AED10D1"/>
    <w:rsid w:val="7AEF309B"/>
    <w:rsid w:val="7AEF6BF7"/>
    <w:rsid w:val="7AF1431C"/>
    <w:rsid w:val="7AF4420D"/>
    <w:rsid w:val="7AF74931"/>
    <w:rsid w:val="7AF95CC7"/>
    <w:rsid w:val="7AFB1A3F"/>
    <w:rsid w:val="7AFB559C"/>
    <w:rsid w:val="7AFC025B"/>
    <w:rsid w:val="7B002BB2"/>
    <w:rsid w:val="7B012F49"/>
    <w:rsid w:val="7B036ACB"/>
    <w:rsid w:val="7B0408F4"/>
    <w:rsid w:val="7B0419A5"/>
    <w:rsid w:val="7B061E2B"/>
    <w:rsid w:val="7B0709AD"/>
    <w:rsid w:val="7B083DED"/>
    <w:rsid w:val="7B09415C"/>
    <w:rsid w:val="7B0A3A31"/>
    <w:rsid w:val="7B0B6E74"/>
    <w:rsid w:val="7B112357"/>
    <w:rsid w:val="7B116B6D"/>
    <w:rsid w:val="7B1448AF"/>
    <w:rsid w:val="7B1623D5"/>
    <w:rsid w:val="7B191C40"/>
    <w:rsid w:val="7B191EC6"/>
    <w:rsid w:val="7B1A1CEE"/>
    <w:rsid w:val="7B1F572E"/>
    <w:rsid w:val="7B220D7A"/>
    <w:rsid w:val="7B234AF2"/>
    <w:rsid w:val="7B2745E3"/>
    <w:rsid w:val="7B2A38E2"/>
    <w:rsid w:val="7B2C1BF9"/>
    <w:rsid w:val="7B2D2E84"/>
    <w:rsid w:val="7B2E5971"/>
    <w:rsid w:val="7B31720F"/>
    <w:rsid w:val="7B354F51"/>
    <w:rsid w:val="7B37177C"/>
    <w:rsid w:val="7B3B008E"/>
    <w:rsid w:val="7B4069C5"/>
    <w:rsid w:val="7B424F78"/>
    <w:rsid w:val="7B446F42"/>
    <w:rsid w:val="7B4A02D1"/>
    <w:rsid w:val="7B4E7DC1"/>
    <w:rsid w:val="7B521AA5"/>
    <w:rsid w:val="7B57268A"/>
    <w:rsid w:val="7B5778E5"/>
    <w:rsid w:val="7B58479C"/>
    <w:rsid w:val="7B590514"/>
    <w:rsid w:val="7B59386F"/>
    <w:rsid w:val="7B5A7DCD"/>
    <w:rsid w:val="7B611D81"/>
    <w:rsid w:val="7B627357"/>
    <w:rsid w:val="7B66335D"/>
    <w:rsid w:val="7B686D42"/>
    <w:rsid w:val="7B6969A9"/>
    <w:rsid w:val="7B6A2B78"/>
    <w:rsid w:val="7B6A461A"/>
    <w:rsid w:val="7B6A571A"/>
    <w:rsid w:val="7B6D4331"/>
    <w:rsid w:val="7B6D75F1"/>
    <w:rsid w:val="7B6E0463"/>
    <w:rsid w:val="7B752E6E"/>
    <w:rsid w:val="7B774DF6"/>
    <w:rsid w:val="7B784E3E"/>
    <w:rsid w:val="7B7917EF"/>
    <w:rsid w:val="7B797821"/>
    <w:rsid w:val="7B7B1D2B"/>
    <w:rsid w:val="7B7C0170"/>
    <w:rsid w:val="7B7D2454"/>
    <w:rsid w:val="7B7D40A6"/>
    <w:rsid w:val="7B811F45"/>
    <w:rsid w:val="7B830224"/>
    <w:rsid w:val="7B833160"/>
    <w:rsid w:val="7B841746"/>
    <w:rsid w:val="7B8559F6"/>
    <w:rsid w:val="7B85632C"/>
    <w:rsid w:val="7B857048"/>
    <w:rsid w:val="7B8602EF"/>
    <w:rsid w:val="7B892774"/>
    <w:rsid w:val="7B914152"/>
    <w:rsid w:val="7B95779E"/>
    <w:rsid w:val="7B98728E"/>
    <w:rsid w:val="7B991BC7"/>
    <w:rsid w:val="7B9B0B2D"/>
    <w:rsid w:val="7BA774D1"/>
    <w:rsid w:val="7BAC4AE8"/>
    <w:rsid w:val="7BB01FCE"/>
    <w:rsid w:val="7BB53956"/>
    <w:rsid w:val="7BB63F4D"/>
    <w:rsid w:val="7BB66BC0"/>
    <w:rsid w:val="7BB67714"/>
    <w:rsid w:val="7BB80E37"/>
    <w:rsid w:val="7BBA7205"/>
    <w:rsid w:val="7BBB4D2B"/>
    <w:rsid w:val="7BBD0AA3"/>
    <w:rsid w:val="7BBD6CF5"/>
    <w:rsid w:val="7BBE3213"/>
    <w:rsid w:val="7BC41E31"/>
    <w:rsid w:val="7BC45D56"/>
    <w:rsid w:val="7BCB31C0"/>
    <w:rsid w:val="7BCD4E47"/>
    <w:rsid w:val="7BD1454E"/>
    <w:rsid w:val="7BD4388A"/>
    <w:rsid w:val="7BDA78A7"/>
    <w:rsid w:val="7BDC21AF"/>
    <w:rsid w:val="7BDC53CD"/>
    <w:rsid w:val="7BDE750D"/>
    <w:rsid w:val="7BDF099D"/>
    <w:rsid w:val="7BE349AD"/>
    <w:rsid w:val="7BE40F83"/>
    <w:rsid w:val="7BE44282"/>
    <w:rsid w:val="7BE4480F"/>
    <w:rsid w:val="7BE73D72"/>
    <w:rsid w:val="7BF070CA"/>
    <w:rsid w:val="7BF24BF0"/>
    <w:rsid w:val="7BF30969"/>
    <w:rsid w:val="7BF42EE8"/>
    <w:rsid w:val="7BF5648F"/>
    <w:rsid w:val="7BF70459"/>
    <w:rsid w:val="7BF72207"/>
    <w:rsid w:val="7BFC5A6F"/>
    <w:rsid w:val="7BFD4616"/>
    <w:rsid w:val="7BFF0649"/>
    <w:rsid w:val="7C014E34"/>
    <w:rsid w:val="7C06069C"/>
    <w:rsid w:val="7C0A1723"/>
    <w:rsid w:val="7C110C5B"/>
    <w:rsid w:val="7C144C8A"/>
    <w:rsid w:val="7C1508DF"/>
    <w:rsid w:val="7C176405"/>
    <w:rsid w:val="7C1903CF"/>
    <w:rsid w:val="7C1A5EF5"/>
    <w:rsid w:val="7C1C102D"/>
    <w:rsid w:val="7C1E3F48"/>
    <w:rsid w:val="7C1F5E30"/>
    <w:rsid w:val="7C2059A9"/>
    <w:rsid w:val="7C265313"/>
    <w:rsid w:val="7C296138"/>
    <w:rsid w:val="7C2C74CA"/>
    <w:rsid w:val="7C2D4CD4"/>
    <w:rsid w:val="7C2D79D7"/>
    <w:rsid w:val="7C2E19A1"/>
    <w:rsid w:val="7C30396B"/>
    <w:rsid w:val="7C305719"/>
    <w:rsid w:val="7C324FED"/>
    <w:rsid w:val="7C347CA5"/>
    <w:rsid w:val="7C356F24"/>
    <w:rsid w:val="7C3617EF"/>
    <w:rsid w:val="7C362B37"/>
    <w:rsid w:val="7C3A35C2"/>
    <w:rsid w:val="7C4116D4"/>
    <w:rsid w:val="7C46246B"/>
    <w:rsid w:val="7C464F3C"/>
    <w:rsid w:val="7C492337"/>
    <w:rsid w:val="7C4B416D"/>
    <w:rsid w:val="7C4D62CB"/>
    <w:rsid w:val="7C4E5B9F"/>
    <w:rsid w:val="7C4F2043"/>
    <w:rsid w:val="7C517A3F"/>
    <w:rsid w:val="7C52568F"/>
    <w:rsid w:val="7C5A2796"/>
    <w:rsid w:val="7C5C02BC"/>
    <w:rsid w:val="7C5C5070"/>
    <w:rsid w:val="7C5C5DD2"/>
    <w:rsid w:val="7C5C650E"/>
    <w:rsid w:val="7C5E5DE2"/>
    <w:rsid w:val="7C5F1B5A"/>
    <w:rsid w:val="7C5F7DAC"/>
    <w:rsid w:val="7C624616"/>
    <w:rsid w:val="7C633658"/>
    <w:rsid w:val="7C653614"/>
    <w:rsid w:val="7C671A0A"/>
    <w:rsid w:val="7C6B0B62"/>
    <w:rsid w:val="7C6C5AC7"/>
    <w:rsid w:val="7C6C7519"/>
    <w:rsid w:val="7C6D24C9"/>
    <w:rsid w:val="7C725D31"/>
    <w:rsid w:val="7C745605"/>
    <w:rsid w:val="7C75312C"/>
    <w:rsid w:val="7C7575D0"/>
    <w:rsid w:val="7C765821"/>
    <w:rsid w:val="7C7C095E"/>
    <w:rsid w:val="7C827AF0"/>
    <w:rsid w:val="7C887617"/>
    <w:rsid w:val="7C8B6DF3"/>
    <w:rsid w:val="7C8D2B6B"/>
    <w:rsid w:val="7C8F0691"/>
    <w:rsid w:val="7C9139CF"/>
    <w:rsid w:val="7C945CA8"/>
    <w:rsid w:val="7C977546"/>
    <w:rsid w:val="7C9A7BC3"/>
    <w:rsid w:val="7C9B1DD4"/>
    <w:rsid w:val="7C9E2682"/>
    <w:rsid w:val="7C9F0FB7"/>
    <w:rsid w:val="7CA015C6"/>
    <w:rsid w:val="7CA23957"/>
    <w:rsid w:val="7CA3413D"/>
    <w:rsid w:val="7CAB4D9F"/>
    <w:rsid w:val="7CAC1243"/>
    <w:rsid w:val="7CAD2A9A"/>
    <w:rsid w:val="7CB1685A"/>
    <w:rsid w:val="7CB43C54"/>
    <w:rsid w:val="7CB9242C"/>
    <w:rsid w:val="7CB93023"/>
    <w:rsid w:val="7CBB3234"/>
    <w:rsid w:val="7CBC44C1"/>
    <w:rsid w:val="7CBF65FE"/>
    <w:rsid w:val="7CC55E61"/>
    <w:rsid w:val="7CC6544B"/>
    <w:rsid w:val="7CC73143"/>
    <w:rsid w:val="7CC96D42"/>
    <w:rsid w:val="7CCF60F3"/>
    <w:rsid w:val="7CD04A64"/>
    <w:rsid w:val="7CD10CAA"/>
    <w:rsid w:val="7CD12A58"/>
    <w:rsid w:val="7CD21EA3"/>
    <w:rsid w:val="7CD24A22"/>
    <w:rsid w:val="7CD7624D"/>
    <w:rsid w:val="7CD97991"/>
    <w:rsid w:val="7CDD764F"/>
    <w:rsid w:val="7CE02C9B"/>
    <w:rsid w:val="7CE13BA1"/>
    <w:rsid w:val="7CE33F58"/>
    <w:rsid w:val="7CE34539"/>
    <w:rsid w:val="7CE81B50"/>
    <w:rsid w:val="7CEF2EDE"/>
    <w:rsid w:val="7CF130FA"/>
    <w:rsid w:val="7CF15EFA"/>
    <w:rsid w:val="7CF16C56"/>
    <w:rsid w:val="7CF338C3"/>
    <w:rsid w:val="7CF36E72"/>
    <w:rsid w:val="7CF46746"/>
    <w:rsid w:val="7CF60710"/>
    <w:rsid w:val="7CF8678F"/>
    <w:rsid w:val="7CF96021"/>
    <w:rsid w:val="7CFF725B"/>
    <w:rsid w:val="7D0050EB"/>
    <w:rsid w:val="7D0239FF"/>
    <w:rsid w:val="7D052701"/>
    <w:rsid w:val="7D0821F2"/>
    <w:rsid w:val="7D0C1CE2"/>
    <w:rsid w:val="7D0F1E45"/>
    <w:rsid w:val="7D1110A6"/>
    <w:rsid w:val="7D1140FE"/>
    <w:rsid w:val="7D121F07"/>
    <w:rsid w:val="7D1B0177"/>
    <w:rsid w:val="7D1B1F25"/>
    <w:rsid w:val="7D1C7A4B"/>
    <w:rsid w:val="7D1D3EEF"/>
    <w:rsid w:val="7D1D5F09"/>
    <w:rsid w:val="7D20450B"/>
    <w:rsid w:val="7D2379EB"/>
    <w:rsid w:val="7D2A2168"/>
    <w:rsid w:val="7D2A458C"/>
    <w:rsid w:val="7D2E7EAA"/>
    <w:rsid w:val="7D3354C1"/>
    <w:rsid w:val="7D360B0D"/>
    <w:rsid w:val="7D382AD7"/>
    <w:rsid w:val="7D3E79C1"/>
    <w:rsid w:val="7D417D69"/>
    <w:rsid w:val="7D43322A"/>
    <w:rsid w:val="7D4476CE"/>
    <w:rsid w:val="7D492DAE"/>
    <w:rsid w:val="7D4C6686"/>
    <w:rsid w:val="7D513B99"/>
    <w:rsid w:val="7D5176F5"/>
    <w:rsid w:val="7D5234B2"/>
    <w:rsid w:val="7D5611AF"/>
    <w:rsid w:val="7D5947FB"/>
    <w:rsid w:val="7D5B67C5"/>
    <w:rsid w:val="7D5E40CD"/>
    <w:rsid w:val="7D603DDC"/>
    <w:rsid w:val="7D63567A"/>
    <w:rsid w:val="7D651EDE"/>
    <w:rsid w:val="7D677327"/>
    <w:rsid w:val="7D6F401F"/>
    <w:rsid w:val="7D7004C3"/>
    <w:rsid w:val="7D7358BD"/>
    <w:rsid w:val="7D735FA3"/>
    <w:rsid w:val="7D745AC5"/>
    <w:rsid w:val="7D755AD9"/>
    <w:rsid w:val="7D773F74"/>
    <w:rsid w:val="7D782ED3"/>
    <w:rsid w:val="7D7A30EF"/>
    <w:rsid w:val="7D7B6E68"/>
    <w:rsid w:val="7D7F4C76"/>
    <w:rsid w:val="7D843A55"/>
    <w:rsid w:val="7D887CB8"/>
    <w:rsid w:val="7D891584"/>
    <w:rsid w:val="7D8E0007"/>
    <w:rsid w:val="7D8E0B41"/>
    <w:rsid w:val="7D974F61"/>
    <w:rsid w:val="7D98299B"/>
    <w:rsid w:val="7DA0242A"/>
    <w:rsid w:val="7DA41F1A"/>
    <w:rsid w:val="7DA57A41"/>
    <w:rsid w:val="7DA63EE4"/>
    <w:rsid w:val="7DA71DE6"/>
    <w:rsid w:val="7DA72945"/>
    <w:rsid w:val="7DAD5682"/>
    <w:rsid w:val="7DB008BF"/>
    <w:rsid w:val="7DB10347"/>
    <w:rsid w:val="7DB55ED6"/>
    <w:rsid w:val="7DB639FC"/>
    <w:rsid w:val="7DB879AC"/>
    <w:rsid w:val="7DBD2FDC"/>
    <w:rsid w:val="7DBD640B"/>
    <w:rsid w:val="7DC223A1"/>
    <w:rsid w:val="7DC53D98"/>
    <w:rsid w:val="7DC664E5"/>
    <w:rsid w:val="7DC75C09"/>
    <w:rsid w:val="7DCC321F"/>
    <w:rsid w:val="7DCD56F2"/>
    <w:rsid w:val="7DD06A24"/>
    <w:rsid w:val="7DD345AE"/>
    <w:rsid w:val="7DD43545"/>
    <w:rsid w:val="7DD6409E"/>
    <w:rsid w:val="7DDA27CE"/>
    <w:rsid w:val="7DDD367E"/>
    <w:rsid w:val="7DDD7A0E"/>
    <w:rsid w:val="7DDE662A"/>
    <w:rsid w:val="7DE247F1"/>
    <w:rsid w:val="7DE7036D"/>
    <w:rsid w:val="7DE71E07"/>
    <w:rsid w:val="7DE80F5B"/>
    <w:rsid w:val="7DE85257"/>
    <w:rsid w:val="7DEB6E40"/>
    <w:rsid w:val="7DF12C86"/>
    <w:rsid w:val="7DF3561C"/>
    <w:rsid w:val="7DF44D5F"/>
    <w:rsid w:val="7DF6147F"/>
    <w:rsid w:val="7DF82266"/>
    <w:rsid w:val="7DF9798B"/>
    <w:rsid w:val="7DFB58B2"/>
    <w:rsid w:val="7DFD21D4"/>
    <w:rsid w:val="7DFD787D"/>
    <w:rsid w:val="7E002EC9"/>
    <w:rsid w:val="7E08523C"/>
    <w:rsid w:val="7E1119B0"/>
    <w:rsid w:val="7E152E18"/>
    <w:rsid w:val="7E153995"/>
    <w:rsid w:val="7E1626EC"/>
    <w:rsid w:val="7E1E7F1F"/>
    <w:rsid w:val="7E1F2F63"/>
    <w:rsid w:val="7E200015"/>
    <w:rsid w:val="7E21356B"/>
    <w:rsid w:val="7E227B0F"/>
    <w:rsid w:val="7E235535"/>
    <w:rsid w:val="7E266DD3"/>
    <w:rsid w:val="7E2819DD"/>
    <w:rsid w:val="7E2B6198"/>
    <w:rsid w:val="7E2D569D"/>
    <w:rsid w:val="7E3077B5"/>
    <w:rsid w:val="7E3226CE"/>
    <w:rsid w:val="7E33329E"/>
    <w:rsid w:val="7E337317"/>
    <w:rsid w:val="7E3808B5"/>
    <w:rsid w:val="7E3A2772"/>
    <w:rsid w:val="7E3E37D9"/>
    <w:rsid w:val="7E3F359E"/>
    <w:rsid w:val="7E3F7E95"/>
    <w:rsid w:val="7E402C0C"/>
    <w:rsid w:val="7E413C0D"/>
    <w:rsid w:val="7E417769"/>
    <w:rsid w:val="7E45335E"/>
    <w:rsid w:val="7E473F25"/>
    <w:rsid w:val="7E4A022B"/>
    <w:rsid w:val="7E4B683A"/>
    <w:rsid w:val="7E4C60D8"/>
    <w:rsid w:val="7E4D00E5"/>
    <w:rsid w:val="7E4D25B2"/>
    <w:rsid w:val="7E4F1814"/>
    <w:rsid w:val="7E503E50"/>
    <w:rsid w:val="7E573431"/>
    <w:rsid w:val="7E584047"/>
    <w:rsid w:val="7E5A3FFA"/>
    <w:rsid w:val="7E5A4CCF"/>
    <w:rsid w:val="7E5D3274"/>
    <w:rsid w:val="7E5F23F1"/>
    <w:rsid w:val="7E6104FB"/>
    <w:rsid w:val="7E61605D"/>
    <w:rsid w:val="7E631DD5"/>
    <w:rsid w:val="7E694F72"/>
    <w:rsid w:val="7E695FFD"/>
    <w:rsid w:val="7E6C0EF6"/>
    <w:rsid w:val="7E6C1E82"/>
    <w:rsid w:val="7E6E75F1"/>
    <w:rsid w:val="7E71026F"/>
    <w:rsid w:val="7E786D9B"/>
    <w:rsid w:val="7E7933A7"/>
    <w:rsid w:val="7E7C69F3"/>
    <w:rsid w:val="7E7D2DA7"/>
    <w:rsid w:val="7E7E0573"/>
    <w:rsid w:val="7E7E6C0F"/>
    <w:rsid w:val="7E7F0292"/>
    <w:rsid w:val="7E7F1C99"/>
    <w:rsid w:val="7E835FD4"/>
    <w:rsid w:val="7E837D82"/>
    <w:rsid w:val="7E8458A8"/>
    <w:rsid w:val="7E8813E9"/>
    <w:rsid w:val="7E8B2821"/>
    <w:rsid w:val="7E8B30DA"/>
    <w:rsid w:val="7E8B4E88"/>
    <w:rsid w:val="7E8E6A20"/>
    <w:rsid w:val="7E8F2BCB"/>
    <w:rsid w:val="7E927FC5"/>
    <w:rsid w:val="7E9568C8"/>
    <w:rsid w:val="7E9606F3"/>
    <w:rsid w:val="7E98303F"/>
    <w:rsid w:val="7E9E1DC8"/>
    <w:rsid w:val="7EA06B86"/>
    <w:rsid w:val="7EA4511D"/>
    <w:rsid w:val="7EA467D8"/>
    <w:rsid w:val="7EA6506C"/>
    <w:rsid w:val="7EA67F14"/>
    <w:rsid w:val="7EA83C8C"/>
    <w:rsid w:val="7EA85A3A"/>
    <w:rsid w:val="7EB42631"/>
    <w:rsid w:val="7EB443DF"/>
    <w:rsid w:val="7EB97C47"/>
    <w:rsid w:val="7EBA6D72"/>
    <w:rsid w:val="7EBB39C0"/>
    <w:rsid w:val="7EBC7738"/>
    <w:rsid w:val="7EBF4B32"/>
    <w:rsid w:val="7EC14D4E"/>
    <w:rsid w:val="7EC27582"/>
    <w:rsid w:val="7EC4740D"/>
    <w:rsid w:val="7EC6194C"/>
    <w:rsid w:val="7EC61A85"/>
    <w:rsid w:val="7EC64AB9"/>
    <w:rsid w:val="7EC81C39"/>
    <w:rsid w:val="7ECB1729"/>
    <w:rsid w:val="7ED16ACA"/>
    <w:rsid w:val="7ED22AB7"/>
    <w:rsid w:val="7ED44A81"/>
    <w:rsid w:val="7ED44EF6"/>
    <w:rsid w:val="7ED56104"/>
    <w:rsid w:val="7ED700CE"/>
    <w:rsid w:val="7EDA196C"/>
    <w:rsid w:val="7EE10F4C"/>
    <w:rsid w:val="7EE36A72"/>
    <w:rsid w:val="7EEB03EA"/>
    <w:rsid w:val="7EED169F"/>
    <w:rsid w:val="7EEE33D2"/>
    <w:rsid w:val="7EEE7A0A"/>
    <w:rsid w:val="7EEF18BB"/>
    <w:rsid w:val="7EF71582"/>
    <w:rsid w:val="7EF93831"/>
    <w:rsid w:val="7EFD50D3"/>
    <w:rsid w:val="7EFD518F"/>
    <w:rsid w:val="7F001CE7"/>
    <w:rsid w:val="7F01339C"/>
    <w:rsid w:val="7F016EF9"/>
    <w:rsid w:val="7F0215EE"/>
    <w:rsid w:val="7F066DCC"/>
    <w:rsid w:val="7F080287"/>
    <w:rsid w:val="7F08297D"/>
    <w:rsid w:val="7F0C2BFC"/>
    <w:rsid w:val="7F0C311D"/>
    <w:rsid w:val="7F1255AA"/>
    <w:rsid w:val="7F1473E9"/>
    <w:rsid w:val="7F160BF6"/>
    <w:rsid w:val="7F166E48"/>
    <w:rsid w:val="7F1B26B0"/>
    <w:rsid w:val="7F1D01D6"/>
    <w:rsid w:val="7F1D72B8"/>
    <w:rsid w:val="7F1E3F4E"/>
    <w:rsid w:val="7F233313"/>
    <w:rsid w:val="7F2613AF"/>
    <w:rsid w:val="7F280929"/>
    <w:rsid w:val="7F286B7B"/>
    <w:rsid w:val="7F2A46A1"/>
    <w:rsid w:val="7F2E2967"/>
    <w:rsid w:val="7F2E3212"/>
    <w:rsid w:val="7F2F3A66"/>
    <w:rsid w:val="7F3177DE"/>
    <w:rsid w:val="7F323556"/>
    <w:rsid w:val="7F345520"/>
    <w:rsid w:val="7F372A6A"/>
    <w:rsid w:val="7F374138"/>
    <w:rsid w:val="7F392B36"/>
    <w:rsid w:val="7F3948E4"/>
    <w:rsid w:val="7F403EC5"/>
    <w:rsid w:val="7F413799"/>
    <w:rsid w:val="7F416D5D"/>
    <w:rsid w:val="7F4219EB"/>
    <w:rsid w:val="7F4559D4"/>
    <w:rsid w:val="7F4642E4"/>
    <w:rsid w:val="7F483810"/>
    <w:rsid w:val="7F484E03"/>
    <w:rsid w:val="7F4E1273"/>
    <w:rsid w:val="7F501407"/>
    <w:rsid w:val="7F511173"/>
    <w:rsid w:val="7F517742"/>
    <w:rsid w:val="7F55690C"/>
    <w:rsid w:val="7F5B7AA5"/>
    <w:rsid w:val="7F5E434B"/>
    <w:rsid w:val="7F5F07EF"/>
    <w:rsid w:val="7F630D7E"/>
    <w:rsid w:val="7F6851CA"/>
    <w:rsid w:val="7F6A09A6"/>
    <w:rsid w:val="7F6B131B"/>
    <w:rsid w:val="7F6C14E0"/>
    <w:rsid w:val="7F6C2F0C"/>
    <w:rsid w:val="7F6F47AA"/>
    <w:rsid w:val="7F6F6558"/>
    <w:rsid w:val="7F736761"/>
    <w:rsid w:val="7F737DF6"/>
    <w:rsid w:val="7F743B6E"/>
    <w:rsid w:val="7F765B38"/>
    <w:rsid w:val="7F7818B1"/>
    <w:rsid w:val="7F7903FD"/>
    <w:rsid w:val="7F7B6CAB"/>
    <w:rsid w:val="7F7D2FD1"/>
    <w:rsid w:val="7F857B2A"/>
    <w:rsid w:val="7F857ED6"/>
    <w:rsid w:val="7F871AF4"/>
    <w:rsid w:val="7F8901BE"/>
    <w:rsid w:val="7F8C2C66"/>
    <w:rsid w:val="7F8E2E82"/>
    <w:rsid w:val="7F8F4A0B"/>
    <w:rsid w:val="7F906EDC"/>
    <w:rsid w:val="7F933506"/>
    <w:rsid w:val="7F9452D1"/>
    <w:rsid w:val="7F961D37"/>
    <w:rsid w:val="7F963AE5"/>
    <w:rsid w:val="7F967F89"/>
    <w:rsid w:val="7F985AAF"/>
    <w:rsid w:val="7F9935D5"/>
    <w:rsid w:val="7F9B10FB"/>
    <w:rsid w:val="7F9B43FA"/>
    <w:rsid w:val="7FA41A6A"/>
    <w:rsid w:val="7FA501CC"/>
    <w:rsid w:val="7FA701C2"/>
    <w:rsid w:val="7FA75CF2"/>
    <w:rsid w:val="7FA93818"/>
    <w:rsid w:val="7FA97CBC"/>
    <w:rsid w:val="7FAA1C11"/>
    <w:rsid w:val="7FAC2AB4"/>
    <w:rsid w:val="7FAC3308"/>
    <w:rsid w:val="7FAC62ED"/>
    <w:rsid w:val="7FB126CD"/>
    <w:rsid w:val="7FB4040F"/>
    <w:rsid w:val="7FB801B1"/>
    <w:rsid w:val="7FBA5A25"/>
    <w:rsid w:val="7FBB6D4A"/>
    <w:rsid w:val="7FC26EBF"/>
    <w:rsid w:val="7FC31FC3"/>
    <w:rsid w:val="7FC32F20"/>
    <w:rsid w:val="7FC51D4D"/>
    <w:rsid w:val="7FC95C68"/>
    <w:rsid w:val="7FCB5E84"/>
    <w:rsid w:val="7FD52B80"/>
    <w:rsid w:val="7FD91C23"/>
    <w:rsid w:val="7FDB0589"/>
    <w:rsid w:val="7FDC1E3F"/>
    <w:rsid w:val="7FDF36DE"/>
    <w:rsid w:val="7FE2421A"/>
    <w:rsid w:val="7FE36660"/>
    <w:rsid w:val="7FE47E50"/>
    <w:rsid w:val="7FEA49BA"/>
    <w:rsid w:val="7FEA5F46"/>
    <w:rsid w:val="7FEB2083"/>
    <w:rsid w:val="7FEC0F70"/>
    <w:rsid w:val="7FEC1957"/>
    <w:rsid w:val="7FEC212C"/>
    <w:rsid w:val="7FED4A4C"/>
    <w:rsid w:val="7FF058EB"/>
    <w:rsid w:val="7FF37189"/>
    <w:rsid w:val="7FF41029"/>
    <w:rsid w:val="7FF60A27"/>
    <w:rsid w:val="7FF64583"/>
    <w:rsid w:val="7FF66DF9"/>
    <w:rsid w:val="7FF8479F"/>
    <w:rsid w:val="7FFC4290"/>
    <w:rsid w:val="7FFE7847"/>
    <w:rsid w:val="7FFF16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2"/>
    <w:qFormat/>
    <w:locked/>
    <w:uiPriority w:val="99"/>
    <w:pPr>
      <w:keepNext/>
      <w:overflowPunct w:val="0"/>
      <w:snapToGrid w:val="0"/>
      <w:spacing w:before="120" w:after="160" w:line="360" w:lineRule="auto"/>
      <w:ind w:left="431" w:hanging="431"/>
      <w:jc w:val="center"/>
      <w:outlineLvl w:val="0"/>
    </w:pPr>
    <w:rPr>
      <w:rFonts w:ascii="Times New Roman" w:hAnsi="Times New Roman" w:eastAsia="黑体"/>
      <w:b/>
      <w:bCs/>
      <w:color w:val="000000"/>
      <w:kern w:val="44"/>
      <w:sz w:val="30"/>
      <w:szCs w:val="30"/>
    </w:rPr>
  </w:style>
  <w:style w:type="paragraph" w:styleId="4">
    <w:name w:val="heading 2"/>
    <w:basedOn w:val="1"/>
    <w:next w:val="1"/>
    <w:qFormat/>
    <w:locked/>
    <w:uiPriority w:val="0"/>
    <w:pPr>
      <w:keepNext/>
      <w:keepLines/>
      <w:spacing w:line="360" w:lineRule="auto"/>
      <w:outlineLvl w:val="1"/>
    </w:pPr>
    <w:rPr>
      <w:rFonts w:eastAsia="Times New Roman"/>
      <w:b/>
      <w:bCs/>
      <w:sz w:val="28"/>
      <w:szCs w:val="32"/>
    </w:rPr>
  </w:style>
  <w:style w:type="paragraph" w:styleId="5">
    <w:name w:val="heading 3"/>
    <w:basedOn w:val="1"/>
    <w:next w:val="1"/>
    <w:qFormat/>
    <w:locked/>
    <w:uiPriority w:val="0"/>
    <w:pPr>
      <w:keepNext/>
      <w:keepLines/>
      <w:spacing w:line="360" w:lineRule="auto"/>
      <w:outlineLvl w:val="2"/>
    </w:pPr>
    <w:rPr>
      <w:b/>
      <w:bCs/>
      <w:sz w:val="24"/>
      <w:szCs w:val="32"/>
    </w:rPr>
  </w:style>
  <w:style w:type="paragraph" w:styleId="6">
    <w:name w:val="heading 4"/>
    <w:basedOn w:val="1"/>
    <w:next w:val="1"/>
    <w:qFormat/>
    <w:locked/>
    <w:uiPriority w:val="0"/>
    <w:pPr>
      <w:keepNext/>
      <w:keepLines/>
      <w:ind w:firstLine="0" w:firstLineChars="0"/>
      <w:outlineLvl w:val="3"/>
    </w:pPr>
    <w:rPr>
      <w:b/>
      <w:color w:val="000000"/>
      <w:kern w:val="0"/>
      <w:szCs w:val="20"/>
    </w:rPr>
  </w:style>
  <w:style w:type="paragraph" w:styleId="7">
    <w:name w:val="heading 6"/>
    <w:basedOn w:val="1"/>
    <w:next w:val="1"/>
    <w:qFormat/>
    <w:locked/>
    <w:uiPriority w:val="0"/>
    <w:pPr>
      <w:keepNext/>
      <w:keepLines/>
      <w:overflowPunct w:val="0"/>
      <w:autoSpaceDE w:val="0"/>
      <w:autoSpaceDN w:val="0"/>
      <w:adjustRightInd w:val="0"/>
      <w:ind w:firstLine="544"/>
      <w:textAlignment w:val="baseline"/>
      <w:outlineLvl w:val="5"/>
    </w:pPr>
    <w:rPr>
      <w:rFonts w:hAnsi="Arial" w:eastAsia="宋体"/>
      <w:spacing w:val="-4"/>
      <w:kern w:val="20"/>
      <w:sz w:val="20"/>
      <w:szCs w:val="20"/>
    </w:rPr>
  </w:style>
  <w:style w:type="character" w:default="1" w:styleId="31">
    <w:name w:val="Default Paragraph Font"/>
    <w:semiHidden/>
    <w:qFormat/>
    <w:uiPriority w:val="0"/>
  </w:style>
  <w:style w:type="table" w:default="1" w:styleId="2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next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8">
    <w:name w:val="Normal Indent"/>
    <w:basedOn w:val="1"/>
    <w:qFormat/>
    <w:locked/>
    <w:uiPriority w:val="0"/>
    <w:pPr>
      <w:ind w:firstLine="420" w:firstLineChars="200"/>
    </w:pPr>
    <w:rPr>
      <w:rFonts w:ascii="宋体"/>
      <w:sz w:val="28"/>
    </w:rPr>
  </w:style>
  <w:style w:type="paragraph" w:styleId="9">
    <w:name w:val="caption"/>
    <w:basedOn w:val="1"/>
    <w:next w:val="1"/>
    <w:qFormat/>
    <w:locked/>
    <w:uiPriority w:val="0"/>
    <w:rPr>
      <w:rFonts w:ascii="Cambria" w:hAnsi="Cambria" w:eastAsia="黑体"/>
      <w:kern w:val="0"/>
      <w:sz w:val="20"/>
    </w:rPr>
  </w:style>
  <w:style w:type="paragraph" w:styleId="10">
    <w:name w:val="annotation text"/>
    <w:basedOn w:val="1"/>
    <w:link w:val="43"/>
    <w:semiHidden/>
    <w:qFormat/>
    <w:uiPriority w:val="0"/>
    <w:pPr>
      <w:jc w:val="left"/>
    </w:pPr>
    <w:rPr>
      <w:kern w:val="0"/>
      <w:sz w:val="24"/>
      <w:szCs w:val="20"/>
    </w:rPr>
  </w:style>
  <w:style w:type="paragraph" w:styleId="11">
    <w:name w:val="Body Text"/>
    <w:basedOn w:val="1"/>
    <w:link w:val="54"/>
    <w:qFormat/>
    <w:uiPriority w:val="0"/>
    <w:pPr>
      <w:widowControl/>
      <w:snapToGrid w:val="0"/>
      <w:spacing w:before="60" w:after="160" w:line="259" w:lineRule="auto"/>
      <w:ind w:right="113"/>
    </w:pPr>
    <w:rPr>
      <w:kern w:val="0"/>
      <w:sz w:val="18"/>
      <w:szCs w:val="20"/>
    </w:rPr>
  </w:style>
  <w:style w:type="paragraph" w:styleId="12">
    <w:name w:val="Body Text Indent"/>
    <w:basedOn w:val="1"/>
    <w:link w:val="45"/>
    <w:qFormat/>
    <w:uiPriority w:val="0"/>
    <w:pPr>
      <w:spacing w:after="120"/>
      <w:ind w:left="420" w:leftChars="200"/>
    </w:pPr>
    <w:rPr>
      <w:kern w:val="0"/>
      <w:sz w:val="24"/>
      <w:szCs w:val="20"/>
    </w:rPr>
  </w:style>
  <w:style w:type="paragraph" w:styleId="13">
    <w:name w:val="Block Text"/>
    <w:basedOn w:val="1"/>
    <w:qFormat/>
    <w:locked/>
    <w:uiPriority w:val="0"/>
    <w:pPr>
      <w:keepNext w:val="0"/>
      <w:keepLines w:val="0"/>
      <w:widowControl w:val="0"/>
      <w:suppressLineNumbers w:val="0"/>
      <w:spacing w:before="0" w:beforeAutospacing="0" w:after="0" w:afterAutospacing="0" w:line="480" w:lineRule="exact"/>
      <w:ind w:left="-125" w:right="-56" w:firstLine="570"/>
      <w:jc w:val="both"/>
    </w:pPr>
    <w:rPr>
      <w:rFonts w:hint="default" w:ascii="Times New Roman" w:hAnsi="Times New Roman" w:eastAsia="宋体" w:cs="Times New Roman"/>
      <w:kern w:val="2"/>
      <w:sz w:val="28"/>
      <w:szCs w:val="24"/>
      <w:lang w:val="en-US" w:eastAsia="zh-CN" w:bidi="ar"/>
    </w:rPr>
  </w:style>
  <w:style w:type="paragraph" w:styleId="14">
    <w:name w:val="Plain Text"/>
    <w:basedOn w:val="1"/>
    <w:link w:val="46"/>
    <w:qFormat/>
    <w:locked/>
    <w:uiPriority w:val="0"/>
    <w:rPr>
      <w:rFonts w:ascii="宋体" w:hAnsi="Courier New" w:eastAsia="仿宋_GB2312"/>
      <w:sz w:val="28"/>
      <w:szCs w:val="20"/>
    </w:rPr>
  </w:style>
  <w:style w:type="paragraph" w:styleId="15">
    <w:name w:val="List Bullet 5"/>
    <w:basedOn w:val="1"/>
    <w:qFormat/>
    <w:locked/>
    <w:uiPriority w:val="0"/>
    <w:pPr>
      <w:numPr>
        <w:ilvl w:val="0"/>
        <w:numId w:val="1"/>
      </w:numPr>
    </w:pPr>
  </w:style>
  <w:style w:type="paragraph" w:styleId="16">
    <w:name w:val="Date"/>
    <w:basedOn w:val="1"/>
    <w:next w:val="1"/>
    <w:link w:val="47"/>
    <w:qFormat/>
    <w:uiPriority w:val="0"/>
    <w:pPr>
      <w:ind w:left="100" w:leftChars="2500"/>
    </w:pPr>
    <w:rPr>
      <w:kern w:val="0"/>
      <w:sz w:val="24"/>
      <w:szCs w:val="20"/>
    </w:rPr>
  </w:style>
  <w:style w:type="paragraph" w:styleId="17">
    <w:name w:val="Body Text Indent 2"/>
    <w:basedOn w:val="1"/>
    <w:qFormat/>
    <w:locked/>
    <w:uiPriority w:val="0"/>
    <w:pPr>
      <w:spacing w:line="480" w:lineRule="exact"/>
      <w:ind w:firstLine="573"/>
    </w:pPr>
    <w:rPr>
      <w:sz w:val="28"/>
    </w:rPr>
  </w:style>
  <w:style w:type="paragraph" w:styleId="18">
    <w:name w:val="Balloon Text"/>
    <w:basedOn w:val="1"/>
    <w:link w:val="48"/>
    <w:semiHidden/>
    <w:qFormat/>
    <w:uiPriority w:val="0"/>
    <w:rPr>
      <w:kern w:val="0"/>
      <w:sz w:val="18"/>
      <w:szCs w:val="20"/>
    </w:rPr>
  </w:style>
  <w:style w:type="paragraph" w:styleId="19">
    <w:name w:val="footer"/>
    <w:basedOn w:val="1"/>
    <w:link w:val="49"/>
    <w:qFormat/>
    <w:uiPriority w:val="99"/>
    <w:pPr>
      <w:tabs>
        <w:tab w:val="center" w:pos="4153"/>
        <w:tab w:val="right" w:pos="8306"/>
      </w:tabs>
      <w:snapToGrid w:val="0"/>
      <w:jc w:val="left"/>
    </w:pPr>
    <w:rPr>
      <w:kern w:val="0"/>
      <w:sz w:val="18"/>
      <w:szCs w:val="20"/>
    </w:rPr>
  </w:style>
  <w:style w:type="paragraph" w:styleId="20">
    <w:name w:val="toc 1"/>
    <w:basedOn w:val="1"/>
    <w:next w:val="1"/>
    <w:qFormat/>
    <w:locked/>
    <w:uiPriority w:val="39"/>
    <w:pPr>
      <w:tabs>
        <w:tab w:val="right" w:leader="dot" w:pos="8306"/>
      </w:tabs>
      <w:overflowPunct w:val="0"/>
      <w:topLinePunct/>
      <w:spacing w:before="120" w:after="120" w:line="360" w:lineRule="auto"/>
      <w:ind w:firstLine="482" w:firstLineChars="200"/>
      <w:jc w:val="left"/>
    </w:pPr>
    <w:rPr>
      <w:b/>
      <w:bCs/>
      <w:caps/>
      <w:sz w:val="24"/>
    </w:rPr>
  </w:style>
  <w:style w:type="paragraph" w:styleId="21">
    <w:name w:val="List"/>
    <w:basedOn w:val="1"/>
    <w:next w:val="1"/>
    <w:qFormat/>
    <w:locked/>
    <w:uiPriority w:val="99"/>
    <w:pPr>
      <w:spacing w:line="240" w:lineRule="auto"/>
      <w:ind w:left="200" w:hanging="200" w:hangingChars="200"/>
    </w:pPr>
    <w:rPr>
      <w:sz w:val="21"/>
      <w:szCs w:val="20"/>
    </w:rPr>
  </w:style>
  <w:style w:type="paragraph" w:styleId="22">
    <w:name w:val="footnote text"/>
    <w:basedOn w:val="1"/>
    <w:link w:val="51"/>
    <w:qFormat/>
    <w:locked/>
    <w:uiPriority w:val="0"/>
    <w:pPr>
      <w:snapToGrid w:val="0"/>
      <w:jc w:val="left"/>
    </w:pPr>
    <w:rPr>
      <w:sz w:val="18"/>
    </w:rPr>
  </w:style>
  <w:style w:type="paragraph" w:styleId="23">
    <w:name w:val="Body Text 2"/>
    <w:basedOn w:val="1"/>
    <w:qFormat/>
    <w:locked/>
    <w:uiPriority w:val="0"/>
    <w:pPr>
      <w:spacing w:after="120" w:line="480" w:lineRule="auto"/>
    </w:pPr>
  </w:style>
  <w:style w:type="paragraph" w:styleId="24">
    <w:name w:val="HTML Preformatted"/>
    <w:basedOn w:val="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宋体" w:hAnsi="宋体"/>
      <w:color w:val="000000"/>
      <w:kern w:val="0"/>
      <w:sz w:val="24"/>
      <w:szCs w:val="21"/>
    </w:rPr>
  </w:style>
  <w:style w:type="paragraph" w:styleId="25">
    <w:name w:val="Normal (Web)"/>
    <w:basedOn w:val="1"/>
    <w:link w:val="52"/>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10"/>
    <w:next w:val="10"/>
    <w:link w:val="53"/>
    <w:semiHidden/>
    <w:qFormat/>
    <w:uiPriority w:val="0"/>
    <w:rPr>
      <w:b/>
      <w:sz w:val="24"/>
      <w:szCs w:val="20"/>
    </w:rPr>
  </w:style>
  <w:style w:type="paragraph" w:styleId="27">
    <w:name w:val="Body Text First Indent"/>
    <w:basedOn w:val="11"/>
    <w:unhideWhenUsed/>
    <w:qFormat/>
    <w:locked/>
    <w:uiPriority w:val="99"/>
    <w:pPr>
      <w:ind w:firstLine="420" w:firstLineChars="100"/>
    </w:pPr>
  </w:style>
  <w:style w:type="paragraph" w:styleId="28">
    <w:name w:val="Body Text First Indent 2"/>
    <w:basedOn w:val="12"/>
    <w:next w:val="12"/>
    <w:qFormat/>
    <w:locked/>
    <w:uiPriority w:val="0"/>
    <w:pPr>
      <w:spacing w:after="120" w:line="240" w:lineRule="auto"/>
      <w:ind w:left="420" w:leftChars="200" w:firstLine="420" w:firstLineChars="200"/>
    </w:pPr>
    <w:rPr>
      <w:sz w:val="21"/>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locked/>
    <w:uiPriority w:val="0"/>
    <w:rPr>
      <w:b/>
    </w:rPr>
  </w:style>
  <w:style w:type="character" w:styleId="33">
    <w:name w:val="page number"/>
    <w:qFormat/>
    <w:locked/>
    <w:uiPriority w:val="0"/>
  </w:style>
  <w:style w:type="character" w:styleId="34">
    <w:name w:val="FollowedHyperlink"/>
    <w:qFormat/>
    <w:locked/>
    <w:uiPriority w:val="0"/>
    <w:rPr>
      <w:color w:val="000000"/>
      <w:u w:val="none"/>
    </w:rPr>
  </w:style>
  <w:style w:type="character" w:styleId="35">
    <w:name w:val="Emphasis"/>
    <w:qFormat/>
    <w:locked/>
    <w:uiPriority w:val="0"/>
  </w:style>
  <w:style w:type="character" w:styleId="36">
    <w:name w:val="Hyperlink"/>
    <w:qFormat/>
    <w:locked/>
    <w:uiPriority w:val="0"/>
    <w:rPr>
      <w:color w:val="000000"/>
      <w:u w:val="none"/>
    </w:rPr>
  </w:style>
  <w:style w:type="character" w:styleId="37">
    <w:name w:val="annotation reference"/>
    <w:semiHidden/>
    <w:qFormat/>
    <w:uiPriority w:val="0"/>
    <w:rPr>
      <w:sz w:val="21"/>
    </w:rPr>
  </w:style>
  <w:style w:type="paragraph" w:customStyle="1" w:styleId="38">
    <w:name w:val="Default"/>
    <w:basedOn w:val="39"/>
    <w:next w:val="1"/>
    <w:qFormat/>
    <w:uiPriority w:val="0"/>
    <w:pPr>
      <w:widowControl w:val="0"/>
      <w:tabs>
        <w:tab w:val="left" w:pos="2760"/>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纯文本1"/>
    <w:qFormat/>
    <w:uiPriority w:val="0"/>
    <w:pPr>
      <w:widowControl w:val="0"/>
      <w:tabs>
        <w:tab w:val="left" w:pos="2760"/>
      </w:tabs>
      <w:adjustRightInd w:val="0"/>
      <w:spacing w:line="300" w:lineRule="atLeast"/>
      <w:jc w:val="both"/>
    </w:pPr>
    <w:rPr>
      <w:rFonts w:ascii="宋体" w:hAnsi="Courier New" w:eastAsia="Times New Roman" w:cs="Times New Roman"/>
      <w:sz w:val="24"/>
      <w:szCs w:val="20"/>
      <w:lang w:val="en-US" w:eastAsia="zh-CN" w:bidi="ar-SA"/>
    </w:rPr>
  </w:style>
  <w:style w:type="paragraph" w:customStyle="1" w:styleId="40">
    <w:name w:val="默认段落"/>
    <w:basedOn w:val="1"/>
    <w:qFormat/>
    <w:uiPriority w:val="0"/>
    <w:rPr>
      <w:sz w:val="24"/>
      <w:szCs w:val="24"/>
    </w:rPr>
  </w:style>
  <w:style w:type="paragraph" w:customStyle="1" w:styleId="41">
    <w:name w:val="Char"/>
    <w:basedOn w:val="1"/>
    <w:next w:val="1"/>
    <w:qFormat/>
    <w:uiPriority w:val="0"/>
    <w:pPr>
      <w:spacing w:line="240" w:lineRule="exact"/>
      <w:ind w:firstLine="200" w:firstLineChars="200"/>
    </w:pPr>
    <w:rPr>
      <w:sz w:val="28"/>
      <w:szCs w:val="28"/>
    </w:rPr>
  </w:style>
  <w:style w:type="character" w:customStyle="1" w:styleId="42">
    <w:name w:val="标题 1 字符"/>
    <w:link w:val="3"/>
    <w:qFormat/>
    <w:uiPriority w:val="99"/>
    <w:rPr>
      <w:rFonts w:ascii="Times New Roman" w:hAnsi="Times New Roman" w:eastAsia="黑体"/>
      <w:b/>
      <w:bCs/>
      <w:color w:val="000000"/>
      <w:kern w:val="44"/>
      <w:sz w:val="30"/>
      <w:szCs w:val="30"/>
    </w:rPr>
  </w:style>
  <w:style w:type="character" w:customStyle="1" w:styleId="43">
    <w:name w:val="批注文字 字符"/>
    <w:link w:val="10"/>
    <w:qFormat/>
    <w:locked/>
    <w:uiPriority w:val="0"/>
    <w:rPr>
      <w:rFonts w:ascii="Times New Roman" w:hAnsi="Times New Roman" w:eastAsia="宋体"/>
      <w:sz w:val="24"/>
    </w:rPr>
  </w:style>
  <w:style w:type="character" w:customStyle="1" w:styleId="44">
    <w:name w:val="正文文本 字符"/>
    <w:link w:val="11"/>
    <w:qFormat/>
    <w:uiPriority w:val="0"/>
    <w:rPr>
      <w:kern w:val="2"/>
      <w:sz w:val="21"/>
      <w:szCs w:val="24"/>
    </w:rPr>
  </w:style>
  <w:style w:type="character" w:customStyle="1" w:styleId="45">
    <w:name w:val="正文文本缩进 字符"/>
    <w:link w:val="12"/>
    <w:semiHidden/>
    <w:qFormat/>
    <w:locked/>
    <w:uiPriority w:val="0"/>
    <w:rPr>
      <w:rFonts w:ascii="Times New Roman" w:hAnsi="Times New Roman" w:eastAsia="宋体"/>
      <w:sz w:val="24"/>
    </w:rPr>
  </w:style>
  <w:style w:type="character" w:customStyle="1" w:styleId="46">
    <w:name w:val="纯文本 字符"/>
    <w:link w:val="14"/>
    <w:qFormat/>
    <w:uiPriority w:val="0"/>
    <w:rPr>
      <w:rFonts w:ascii="宋体" w:hAnsi="Courier New" w:eastAsia="仿宋_GB2312"/>
      <w:kern w:val="2"/>
      <w:sz w:val="28"/>
    </w:rPr>
  </w:style>
  <w:style w:type="character" w:customStyle="1" w:styleId="47">
    <w:name w:val="日期 字符1"/>
    <w:link w:val="16"/>
    <w:qFormat/>
    <w:locked/>
    <w:uiPriority w:val="0"/>
    <w:rPr>
      <w:rFonts w:ascii="Times New Roman" w:hAnsi="Times New Roman" w:eastAsia="宋体"/>
      <w:sz w:val="24"/>
    </w:rPr>
  </w:style>
  <w:style w:type="character" w:customStyle="1" w:styleId="48">
    <w:name w:val="批注框文本 字符"/>
    <w:link w:val="18"/>
    <w:semiHidden/>
    <w:qFormat/>
    <w:locked/>
    <w:uiPriority w:val="0"/>
    <w:rPr>
      <w:rFonts w:ascii="Times New Roman" w:hAnsi="Times New Roman" w:eastAsia="宋体"/>
      <w:sz w:val="18"/>
    </w:rPr>
  </w:style>
  <w:style w:type="character" w:customStyle="1" w:styleId="49">
    <w:name w:val="页脚 字符1"/>
    <w:link w:val="19"/>
    <w:qFormat/>
    <w:locked/>
    <w:uiPriority w:val="99"/>
    <w:rPr>
      <w:sz w:val="18"/>
    </w:rPr>
  </w:style>
  <w:style w:type="character" w:customStyle="1" w:styleId="50">
    <w:name w:val="页眉 字符"/>
    <w:link w:val="2"/>
    <w:qFormat/>
    <w:locked/>
    <w:uiPriority w:val="0"/>
    <w:rPr>
      <w:sz w:val="18"/>
    </w:rPr>
  </w:style>
  <w:style w:type="character" w:customStyle="1" w:styleId="51">
    <w:name w:val="脚注文本 字符"/>
    <w:link w:val="22"/>
    <w:qFormat/>
    <w:uiPriority w:val="0"/>
    <w:rPr>
      <w:kern w:val="2"/>
      <w:sz w:val="18"/>
      <w:szCs w:val="18"/>
    </w:rPr>
  </w:style>
  <w:style w:type="character" w:customStyle="1" w:styleId="52">
    <w:name w:val="普通(网站) 字符"/>
    <w:link w:val="25"/>
    <w:qFormat/>
    <w:locked/>
    <w:uiPriority w:val="99"/>
    <w:rPr>
      <w:rFonts w:ascii="宋体" w:hAnsi="宋体" w:eastAsia="宋体"/>
      <w:sz w:val="24"/>
    </w:rPr>
  </w:style>
  <w:style w:type="character" w:customStyle="1" w:styleId="53">
    <w:name w:val="批注主题 字符"/>
    <w:link w:val="26"/>
    <w:semiHidden/>
    <w:qFormat/>
    <w:locked/>
    <w:uiPriority w:val="0"/>
    <w:rPr>
      <w:rFonts w:ascii="Times New Roman" w:hAnsi="Times New Roman" w:eastAsia="宋体"/>
      <w:b/>
      <w:kern w:val="2"/>
      <w:sz w:val="24"/>
    </w:rPr>
  </w:style>
  <w:style w:type="character" w:customStyle="1" w:styleId="54">
    <w:name w:val="正文文本 字符2"/>
    <w:link w:val="11"/>
    <w:qFormat/>
    <w:locked/>
    <w:uiPriority w:val="0"/>
    <w:rPr>
      <w:sz w:val="18"/>
    </w:rPr>
  </w:style>
  <w:style w:type="paragraph" w:customStyle="1" w:styleId="55">
    <w:name w:val="表格内"/>
    <w:basedOn w:val="1"/>
    <w:qFormat/>
    <w:uiPriority w:val="0"/>
    <w:pPr>
      <w:spacing w:line="360" w:lineRule="exact"/>
      <w:jc w:val="center"/>
    </w:pPr>
    <w:rPr>
      <w:snapToGrid w:val="0"/>
      <w:szCs w:val="21"/>
    </w:rPr>
  </w:style>
  <w:style w:type="character" w:customStyle="1" w:styleId="56">
    <w:name w:val="font31"/>
    <w:qFormat/>
    <w:uiPriority w:val="0"/>
    <w:rPr>
      <w:rFonts w:hint="eastAsia" w:ascii="宋体" w:hAnsi="宋体" w:eastAsia="宋体" w:cs="宋体"/>
      <w:color w:val="000000"/>
      <w:sz w:val="21"/>
      <w:szCs w:val="21"/>
      <w:u w:val="none"/>
    </w:rPr>
  </w:style>
  <w:style w:type="character" w:customStyle="1" w:styleId="57">
    <w:name w:val="fontstyle01"/>
    <w:qFormat/>
    <w:uiPriority w:val="0"/>
    <w:rPr>
      <w:rFonts w:hint="eastAsia" w:ascii="宋体" w:hAnsi="宋体" w:eastAsia="宋体"/>
      <w:color w:val="000000"/>
      <w:sz w:val="22"/>
      <w:szCs w:val="22"/>
    </w:rPr>
  </w:style>
  <w:style w:type="character" w:customStyle="1" w:styleId="58">
    <w:name w:val="font41"/>
    <w:qFormat/>
    <w:uiPriority w:val="0"/>
    <w:rPr>
      <w:rFonts w:hint="default" w:ascii="Times New Roman" w:hAnsi="Times New Roman" w:cs="Times New Roman"/>
      <w:color w:val="000000"/>
      <w:sz w:val="21"/>
      <w:szCs w:val="21"/>
      <w:u w:val="none"/>
    </w:rPr>
  </w:style>
  <w:style w:type="character" w:customStyle="1" w:styleId="59">
    <w:name w:val="页脚 字符"/>
    <w:qFormat/>
    <w:uiPriority w:val="99"/>
  </w:style>
  <w:style w:type="character" w:customStyle="1" w:styleId="60">
    <w:name w:val="正文文本 字符1"/>
    <w:semiHidden/>
    <w:qFormat/>
    <w:uiPriority w:val="0"/>
    <w:rPr>
      <w:rFonts w:ascii="Times New Roman" w:hAnsi="Times New Roman" w:eastAsia="宋体"/>
      <w:sz w:val="24"/>
    </w:rPr>
  </w:style>
  <w:style w:type="character" w:customStyle="1" w:styleId="61">
    <w:name w:val="日期 字符"/>
    <w:semiHidden/>
    <w:qFormat/>
    <w:uiPriority w:val="0"/>
    <w:rPr>
      <w:rFonts w:ascii="Times New Roman" w:hAnsi="Times New Roman" w:eastAsia="宋体"/>
      <w:sz w:val="24"/>
    </w:rPr>
  </w:style>
  <w:style w:type="character" w:customStyle="1" w:styleId="62">
    <w:name w:val="fontstyle21"/>
    <w:qFormat/>
    <w:uiPriority w:val="0"/>
    <w:rPr>
      <w:rFonts w:hint="default" w:ascii="Calibri" w:hAnsi="Calibri" w:cs="Calibri"/>
      <w:color w:val="000000"/>
      <w:sz w:val="22"/>
      <w:szCs w:val="22"/>
    </w:rPr>
  </w:style>
  <w:style w:type="character" w:customStyle="1" w:styleId="63">
    <w:name w:val="font01"/>
    <w:qFormat/>
    <w:uiPriority w:val="0"/>
    <w:rPr>
      <w:rFonts w:hint="default" w:ascii="Times New Roman" w:hAnsi="Times New Roman" w:cs="Times New Roman"/>
      <w:color w:val="000000"/>
      <w:sz w:val="21"/>
      <w:szCs w:val="21"/>
      <w:u w:val="none"/>
    </w:rPr>
  </w:style>
  <w:style w:type="character" w:customStyle="1" w:styleId="64">
    <w:name w:val="表格 Char"/>
    <w:link w:val="65"/>
    <w:qFormat/>
    <w:locked/>
    <w:uiPriority w:val="0"/>
    <w:rPr>
      <w:rFonts w:ascii="宋体"/>
      <w:sz w:val="21"/>
    </w:rPr>
  </w:style>
  <w:style w:type="paragraph" w:customStyle="1" w:styleId="65">
    <w:name w:val="表格"/>
    <w:basedOn w:val="1"/>
    <w:next w:val="1"/>
    <w:link w:val="64"/>
    <w:qFormat/>
    <w:uiPriority w:val="0"/>
    <w:pPr>
      <w:adjustRightInd w:val="0"/>
      <w:snapToGrid w:val="0"/>
      <w:spacing w:beforeLines="10" w:afterLines="10" w:line="259" w:lineRule="auto"/>
      <w:jc w:val="center"/>
    </w:pPr>
    <w:rPr>
      <w:rFonts w:ascii="宋体"/>
      <w:kern w:val="0"/>
      <w:szCs w:val="20"/>
    </w:rPr>
  </w:style>
  <w:style w:type="character" w:customStyle="1" w:styleId="66">
    <w:name w:val="批注文字 字符1"/>
    <w:semiHidden/>
    <w:qFormat/>
    <w:uiPriority w:val="0"/>
    <w:rPr>
      <w:rFonts w:ascii="Times New Roman" w:hAnsi="Times New Roman" w:eastAsia="宋体"/>
      <w:sz w:val="24"/>
    </w:rPr>
  </w:style>
  <w:style w:type="paragraph" w:customStyle="1" w:styleId="67">
    <w:name w:val="表内容"/>
    <w:basedOn w:val="1"/>
    <w:qFormat/>
    <w:uiPriority w:val="0"/>
    <w:pPr>
      <w:overflowPunct w:val="0"/>
      <w:autoSpaceDE w:val="0"/>
      <w:autoSpaceDN w:val="0"/>
      <w:adjustRightInd w:val="0"/>
      <w:snapToGrid w:val="0"/>
      <w:spacing w:line="360" w:lineRule="exact"/>
      <w:jc w:val="center"/>
    </w:pPr>
    <w:rPr>
      <w:rFonts w:cs="宋体"/>
      <w:color w:val="000000"/>
      <w:kern w:val="0"/>
      <w:szCs w:val="21"/>
    </w:rPr>
  </w:style>
  <w:style w:type="paragraph" w:customStyle="1" w:styleId="68">
    <w:name w:val="正文格式"/>
    <w:basedOn w:val="69"/>
    <w:next w:val="70"/>
    <w:qFormat/>
    <w:uiPriority w:val="0"/>
    <w:pPr>
      <w:spacing w:before="100" w:beforeAutospacing="1" w:after="0" w:line="480" w:lineRule="exact"/>
      <w:ind w:firstLine="200" w:firstLineChars="200"/>
    </w:pPr>
    <w:rPr>
      <w:rFonts w:ascii="宋体" w:hAnsi="宋体" w:cs="宋体"/>
      <w:sz w:val="24"/>
    </w:rPr>
  </w:style>
  <w:style w:type="paragraph" w:customStyle="1" w:styleId="69">
    <w:name w:val="正文文本首行缩进1"/>
    <w:basedOn w:val="11"/>
    <w:qFormat/>
    <w:uiPriority w:val="0"/>
    <w:pPr>
      <w:ind w:firstLine="420" w:firstLineChars="100"/>
    </w:pPr>
  </w:style>
  <w:style w:type="paragraph" w:styleId="70">
    <w:name w:val="List Paragraph"/>
    <w:basedOn w:val="1"/>
    <w:qFormat/>
    <w:uiPriority w:val="1"/>
    <w:pPr>
      <w:ind w:left="1099" w:hanging="703"/>
    </w:pPr>
    <w:rPr>
      <w:rFonts w:ascii="宋体" w:hAnsi="宋体" w:eastAsia="宋体" w:cs="宋体"/>
      <w:lang w:val="zh-CN" w:eastAsia="zh-CN" w:bidi="zh-CN"/>
    </w:rPr>
  </w:style>
  <w:style w:type="paragraph" w:customStyle="1" w:styleId="71">
    <w:name w:val="正文首行缩进1"/>
    <w:basedOn w:val="11"/>
    <w:qFormat/>
    <w:uiPriority w:val="0"/>
    <w:pPr>
      <w:spacing w:after="120" w:line="240" w:lineRule="auto"/>
      <w:ind w:firstLine="420" w:firstLineChars="100"/>
    </w:pPr>
    <w:rPr>
      <w:sz w:val="21"/>
      <w:szCs w:val="24"/>
    </w:rPr>
  </w:style>
  <w:style w:type="paragraph" w:customStyle="1" w:styleId="72">
    <w:name w:val="样式4"/>
    <w:basedOn w:val="1"/>
    <w:qFormat/>
    <w:uiPriority w:val="0"/>
    <w:pPr>
      <w:spacing w:line="520" w:lineRule="exact"/>
      <w:outlineLvl w:val="1"/>
    </w:pPr>
    <w:rPr>
      <w:rFonts w:ascii="黑体" w:hAnsi="宋体" w:eastAsia="黑体"/>
      <w:sz w:val="28"/>
      <w:szCs w:val="28"/>
    </w:rPr>
  </w:style>
  <w:style w:type="paragraph" w:customStyle="1" w:styleId="73">
    <w:name w:val="B正文"/>
    <w:basedOn w:val="1"/>
    <w:qFormat/>
    <w:uiPriority w:val="0"/>
    <w:pPr>
      <w:widowControl/>
      <w:spacing w:line="360" w:lineRule="auto"/>
      <w:ind w:firstLine="200" w:firstLineChars="200"/>
      <w:jc w:val="left"/>
    </w:pPr>
    <w:rPr>
      <w:rFonts w:cs="宋体"/>
      <w:kern w:val="0"/>
      <w:sz w:val="24"/>
    </w:rPr>
  </w:style>
  <w:style w:type="paragraph" w:customStyle="1" w:styleId="74">
    <w:name w:val="正文A"/>
    <w:basedOn w:val="75"/>
    <w:qFormat/>
    <w:uiPriority w:val="0"/>
    <w:pPr>
      <w:spacing w:line="500" w:lineRule="exact"/>
      <w:ind w:firstLine="480" w:firstLineChars="200"/>
    </w:pPr>
    <w:rPr>
      <w:rFonts w:cs="华文仿宋"/>
      <w:sz w:val="24"/>
      <w:szCs w:val="24"/>
    </w:rPr>
  </w:style>
  <w:style w:type="paragraph" w:customStyle="1" w:styleId="75">
    <w:name w:val="正文!!!!!!!!!!!"/>
    <w:basedOn w:val="76"/>
    <w:qFormat/>
    <w:uiPriority w:val="0"/>
    <w:pPr>
      <w:ind w:firstLine="480"/>
    </w:pPr>
    <w:rPr>
      <w:rFonts w:ascii="Times New Roman" w:hAnsi="Times New Roman" w:eastAsia="宋体" w:cs="Times New Roman"/>
    </w:rPr>
  </w:style>
  <w:style w:type="paragraph" w:customStyle="1" w:styleId="76">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77">
    <w:name w:val="表内字"/>
    <w:basedOn w:val="1"/>
    <w:qFormat/>
    <w:uiPriority w:val="0"/>
    <w:pPr>
      <w:spacing w:line="320" w:lineRule="exact"/>
      <w:jc w:val="center"/>
    </w:pPr>
    <w:rPr>
      <w:kern w:val="0"/>
      <w:szCs w:val="21"/>
    </w:rPr>
  </w:style>
  <w:style w:type="paragraph" w:customStyle="1" w:styleId="78">
    <w:name w:val="表头A"/>
    <w:basedOn w:val="79"/>
    <w:qFormat/>
    <w:uiPriority w:val="0"/>
    <w:pPr>
      <w:spacing w:line="400" w:lineRule="exact"/>
    </w:pPr>
  </w:style>
  <w:style w:type="paragraph" w:customStyle="1" w:styleId="79">
    <w:name w:val="表头"/>
    <w:basedOn w:val="8"/>
    <w:next w:val="1"/>
    <w:qFormat/>
    <w:uiPriority w:val="0"/>
    <w:pPr>
      <w:overflowPunct w:val="0"/>
      <w:snapToGrid w:val="0"/>
      <w:ind w:firstLine="200" w:firstLineChars="200"/>
    </w:pPr>
    <w:rPr>
      <w:b/>
    </w:rPr>
  </w:style>
  <w:style w:type="paragraph" w:customStyle="1" w:styleId="80">
    <w:name w:val="环评一室报告报告正文"/>
    <w:basedOn w:val="1"/>
    <w:qFormat/>
    <w:uiPriority w:val="0"/>
    <w:pPr>
      <w:spacing w:line="360" w:lineRule="auto"/>
      <w:ind w:firstLine="480" w:firstLineChars="200"/>
    </w:pPr>
    <w:rPr>
      <w:rFonts w:ascii="宋体" w:hAnsi="宋体" w:eastAsia="宋体" w:cs="宋体"/>
      <w:sz w:val="24"/>
      <w:szCs w:val="24"/>
    </w:rPr>
  </w:style>
  <w:style w:type="paragraph" w:customStyle="1" w:styleId="81">
    <w:name w:val="Table Paragraph"/>
    <w:basedOn w:val="1"/>
    <w:qFormat/>
    <w:uiPriority w:val="1"/>
    <w:pPr>
      <w:spacing w:line="320" w:lineRule="exact"/>
      <w:jc w:val="center"/>
    </w:pPr>
    <w:rPr>
      <w:rFonts w:ascii="宋体" w:hAnsi="宋体" w:cs="宋体"/>
      <w:szCs w:val="21"/>
    </w:rPr>
  </w:style>
  <w:style w:type="paragraph" w:customStyle="1" w:styleId="82">
    <w:name w:val="Heading #4|1"/>
    <w:basedOn w:val="1"/>
    <w:qFormat/>
    <w:uiPriority w:val="0"/>
    <w:pPr>
      <w:spacing w:after="80" w:line="466" w:lineRule="exact"/>
      <w:outlineLvl w:val="3"/>
    </w:pPr>
    <w:rPr>
      <w:rFonts w:cs="宋体"/>
      <w:b/>
      <w:bCs/>
      <w:lang w:val="zh-TW" w:eastAsia="zh-TW" w:bidi="zh-TW"/>
    </w:rPr>
  </w:style>
  <w:style w:type="paragraph" w:customStyle="1" w:styleId="83">
    <w:name w:val="表"/>
    <w:basedOn w:val="1"/>
    <w:next w:val="1"/>
    <w:qFormat/>
    <w:uiPriority w:val="0"/>
    <w:pPr>
      <w:snapToGrid w:val="0"/>
      <w:jc w:val="center"/>
    </w:pPr>
    <w:rPr>
      <w:b/>
      <w:spacing w:val="2"/>
    </w:rPr>
  </w:style>
  <w:style w:type="paragraph" w:customStyle="1" w:styleId="84">
    <w:name w:val="表+五号"/>
    <w:basedOn w:val="1"/>
    <w:qFormat/>
    <w:uiPriority w:val="0"/>
    <w:rPr>
      <w:szCs w:val="28"/>
    </w:rPr>
  </w:style>
  <w:style w:type="paragraph" w:customStyle="1" w:styleId="85">
    <w:name w:val="样式 正文缩进 + 宋体 行距: 固定值 22 磅"/>
    <w:basedOn w:val="8"/>
    <w:qFormat/>
    <w:uiPriority w:val="0"/>
    <w:pPr>
      <w:ind w:firstLine="0" w:firstLineChars="0"/>
    </w:pPr>
    <w:rPr>
      <w:rFonts w:ascii="Arial Unicode MS" w:hAnsi="Arial Unicode MS" w:cs="宋体"/>
      <w:szCs w:val="20"/>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文本"/>
    <w:basedOn w:val="1"/>
    <w:qFormat/>
    <w:uiPriority w:val="0"/>
    <w:pPr>
      <w:adjustRightInd w:val="0"/>
      <w:snapToGrid w:val="0"/>
      <w:spacing w:line="360" w:lineRule="auto"/>
      <w:ind w:firstLine="480" w:firstLineChars="200"/>
      <w:jc w:val="left"/>
    </w:pPr>
    <w:rPr>
      <w:sz w:val="24"/>
      <w:szCs w:val="24"/>
    </w:rPr>
  </w:style>
  <w:style w:type="paragraph" w:customStyle="1" w:styleId="88">
    <w:name w:val="【报告书】正文"/>
    <w:basedOn w:val="1"/>
    <w:qFormat/>
    <w:uiPriority w:val="0"/>
    <w:pPr>
      <w:spacing w:line="480" w:lineRule="exact"/>
      <w:ind w:firstLine="200" w:firstLineChars="200"/>
    </w:pPr>
    <w:rPr>
      <w:rFonts w:ascii="Times New Roman" w:hAnsi="Times New Roman" w:cs="Times New Roman"/>
      <w:kern w:val="0"/>
      <w:sz w:val="24"/>
      <w:szCs w:val="24"/>
    </w:rPr>
  </w:style>
  <w:style w:type="paragraph" w:customStyle="1" w:styleId="89">
    <w:name w:val="Body text|1"/>
    <w:basedOn w:val="1"/>
    <w:qFormat/>
    <w:uiPriority w:val="0"/>
    <w:pPr>
      <w:spacing w:after="220"/>
      <w:jc w:val="center"/>
    </w:pPr>
    <w:rPr>
      <w:rFonts w:cs="宋体"/>
      <w:sz w:val="26"/>
      <w:szCs w:val="26"/>
      <w:lang w:val="zh-TW" w:eastAsia="zh-TW" w:bidi="zh-TW"/>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表格文字邓"/>
    <w:basedOn w:val="1"/>
    <w:qFormat/>
    <w:uiPriority w:val="0"/>
    <w:pPr>
      <w:widowControl/>
      <w:snapToGrid w:val="0"/>
      <w:spacing w:line="200" w:lineRule="exact"/>
      <w:jc w:val="center"/>
    </w:pPr>
    <w:rPr>
      <w:rFonts w:ascii="宋体" w:hAnsi="宋体" w:eastAsia="华文中宋"/>
      <w:color w:val="000000"/>
      <w:sz w:val="18"/>
      <w:szCs w:val="18"/>
    </w:rPr>
  </w:style>
  <w:style w:type="paragraph" w:customStyle="1" w:styleId="92">
    <w:name w:val="表格后空行"/>
    <w:qFormat/>
    <w:uiPriority w:val="0"/>
    <w:pPr>
      <w:spacing w:line="240" w:lineRule="exact"/>
      <w:jc w:val="both"/>
      <w:textAlignment w:val="baseline"/>
    </w:pPr>
    <w:rPr>
      <w:rFonts w:ascii="宋体" w:hAnsi="宋体" w:eastAsia="宋体" w:cs="Times New Roman"/>
      <w:color w:val="000000"/>
      <w:lang w:val="en-US" w:eastAsia="zh-CN" w:bidi="ar-SA"/>
    </w:rPr>
  </w:style>
  <w:style w:type="paragraph" w:customStyle="1" w:styleId="93">
    <w:name w:val="Other|1"/>
    <w:basedOn w:val="1"/>
    <w:qFormat/>
    <w:uiPriority w:val="0"/>
    <w:pPr>
      <w:widowControl w:val="0"/>
      <w:shd w:val="clear" w:color="auto" w:fill="auto"/>
      <w:spacing w:line="475" w:lineRule="auto"/>
      <w:ind w:firstLine="400"/>
    </w:pPr>
    <w:rPr>
      <w:rFonts w:ascii="宋体" w:hAnsi="宋体" w:eastAsia="宋体" w:cs="宋体"/>
      <w:sz w:val="20"/>
      <w:szCs w:val="20"/>
      <w:u w:val="none"/>
      <w:shd w:val="clear" w:color="auto" w:fill="auto"/>
      <w:lang w:val="zh-TW" w:eastAsia="zh-TW" w:bidi="zh-TW"/>
    </w:rPr>
  </w:style>
  <w:style w:type="paragraph" w:customStyle="1" w:styleId="94">
    <w:name w:val="标题三A"/>
    <w:basedOn w:val="5"/>
    <w:qFormat/>
    <w:uiPriority w:val="0"/>
    <w:pPr>
      <w:keepNext w:val="0"/>
      <w:keepLines w:val="0"/>
      <w:spacing w:before="0" w:after="0" w:line="500" w:lineRule="exact"/>
    </w:pPr>
    <w:rPr>
      <w:rFonts w:ascii="Times New Roman" w:hAnsi="Times New Roman"/>
      <w:sz w:val="28"/>
      <w:szCs w:val="28"/>
    </w:rPr>
  </w:style>
  <w:style w:type="paragraph" w:customStyle="1" w:styleId="95">
    <w:name w:val="标题二!!!!!!!!!!!!!!!!"/>
    <w:basedOn w:val="96"/>
    <w:qFormat/>
    <w:uiPriority w:val="0"/>
    <w:pPr>
      <w:keepNext w:val="0"/>
      <w:keepLines w:val="0"/>
      <w:widowControl w:val="0"/>
      <w:jc w:val="both"/>
    </w:pPr>
  </w:style>
  <w:style w:type="paragraph" w:customStyle="1" w:styleId="96">
    <w:name w:val="标题二！！！！！"/>
    <w:basedOn w:val="4"/>
    <w:qFormat/>
    <w:uiPriority w:val="0"/>
    <w:pPr>
      <w:keepNext w:val="0"/>
      <w:keepLines w:val="0"/>
      <w:spacing w:before="120" w:after="120" w:line="500" w:lineRule="exact"/>
    </w:pPr>
    <w:rPr>
      <w:rFonts w:ascii="楷体_GB2312" w:hAnsi="楷体_GB2312" w:eastAsia="楷体_GB2312" w:cs="Times New Roman"/>
    </w:rPr>
  </w:style>
  <w:style w:type="paragraph" w:customStyle="1" w:styleId="97">
    <w:name w:val="标题四A"/>
    <w:basedOn w:val="1"/>
    <w:qFormat/>
    <w:uiPriority w:val="0"/>
    <w:pPr>
      <w:spacing w:line="500" w:lineRule="exact"/>
      <w:outlineLvl w:val="3"/>
    </w:pPr>
    <w:rPr>
      <w:rFonts w:ascii="Times New Roman" w:hAnsi="Times New Roman"/>
      <w:b/>
      <w:kern w:val="0"/>
      <w:sz w:val="24"/>
      <w:szCs w:val="24"/>
    </w:rPr>
  </w:style>
  <w:style w:type="paragraph" w:customStyle="1" w:styleId="98">
    <w:name w:val="正文-ls"/>
    <w:basedOn w:val="1"/>
    <w:qFormat/>
    <w:uiPriority w:val="0"/>
    <w:pPr>
      <w:spacing w:line="360" w:lineRule="auto"/>
      <w:ind w:firstLine="200" w:firstLineChars="200"/>
    </w:pPr>
    <w:rPr>
      <w:rFonts w:hAnsi="宋体" w:cs="宋体"/>
      <w:sz w:val="24"/>
    </w:rPr>
  </w:style>
  <w:style w:type="paragraph" w:customStyle="1" w:styleId="99">
    <w:name w:val="表格文字"/>
    <w:basedOn w:val="11"/>
    <w:next w:val="1"/>
    <w:qFormat/>
    <w:uiPriority w:val="0"/>
    <w:pPr>
      <w:spacing w:line="240" w:lineRule="atLeast"/>
      <w:jc w:val="center"/>
    </w:pPr>
    <w:rPr>
      <w:b/>
      <w:color w:val="FF0000"/>
      <w:szCs w:val="21"/>
    </w:rPr>
  </w:style>
  <w:style w:type="paragraph" w:customStyle="1" w:styleId="100">
    <w:name w:val="标题二A"/>
    <w:basedOn w:val="95"/>
    <w:qFormat/>
    <w:uiPriority w:val="0"/>
    <w:pPr>
      <w:spacing w:before="120" w:after="120" w:line="500" w:lineRule="exact"/>
      <w:outlineLvl w:val="1"/>
    </w:pPr>
    <w:rPr>
      <w:sz w:val="30"/>
      <w:szCs w:val="30"/>
    </w:rPr>
  </w:style>
  <w:style w:type="paragraph" w:customStyle="1" w:styleId="101">
    <w:name w:val="邓表格文字"/>
    <w:basedOn w:val="91"/>
    <w:qFormat/>
    <w:uiPriority w:val="0"/>
    <w:pPr>
      <w:widowControl/>
      <w:snapToGrid w:val="0"/>
      <w:spacing w:line="220" w:lineRule="exact"/>
      <w:jc w:val="center"/>
    </w:pPr>
    <w:rPr>
      <w:rFonts w:ascii="宋体" w:hAnsi="宋体"/>
      <w:color w:val="000000"/>
      <w:kern w:val="0"/>
      <w:sz w:val="15"/>
      <w:szCs w:val="15"/>
    </w:rPr>
  </w:style>
  <w:style w:type="paragraph" w:customStyle="1" w:styleId="102">
    <w:name w:val="表格式"/>
    <w:basedOn w:val="1"/>
    <w:qFormat/>
    <w:uiPriority w:val="0"/>
    <w:pPr>
      <w:jc w:val="center"/>
    </w:pPr>
    <w:rPr>
      <w:kern w:val="0"/>
      <w:szCs w:val="21"/>
    </w:rPr>
  </w:style>
  <w:style w:type="paragraph" w:customStyle="1" w:styleId="103">
    <w:name w:val="Re-表中文字"/>
    <w:basedOn w:val="1"/>
    <w:qFormat/>
    <w:uiPriority w:val="5"/>
    <w:pPr>
      <w:jc w:val="center"/>
    </w:pPr>
    <w:rPr>
      <w:kern w:val="0"/>
      <w:szCs w:val="22"/>
      <w:lang w:eastAsia="en-US"/>
    </w:rPr>
  </w:style>
  <w:style w:type="paragraph" w:customStyle="1" w:styleId="104">
    <w:name w:val="正文样式"/>
    <w:basedOn w:val="1"/>
    <w:qFormat/>
    <w:uiPriority w:val="0"/>
    <w:pPr>
      <w:widowControl/>
      <w:spacing w:line="360" w:lineRule="auto"/>
      <w:ind w:firstLine="480" w:firstLineChars="200"/>
      <w:jc w:val="left"/>
    </w:pPr>
    <w:rPr>
      <w:rFonts w:ascii="宋体" w:hAnsi="宋体" w:eastAsia="宋体" w:cs="宋体"/>
      <w:color w:val="000000"/>
      <w:kern w:val="0"/>
      <w:sz w:val="24"/>
      <w:szCs w:val="24"/>
    </w:rPr>
  </w:style>
  <w:style w:type="paragraph" w:customStyle="1" w:styleId="105">
    <w:name w:val="样式 兴化美联正文样式 + 自动设置"/>
    <w:basedOn w:val="104"/>
    <w:qFormat/>
    <w:uiPriority w:val="0"/>
    <w:rPr>
      <w:color w:val="auto"/>
    </w:rPr>
  </w:style>
  <w:style w:type="paragraph" w:customStyle="1" w:styleId="106">
    <w:name w:val="p0"/>
    <w:basedOn w:val="1"/>
    <w:qFormat/>
    <w:uiPriority w:val="0"/>
    <w:pPr>
      <w:widowControl/>
      <w:adjustRightInd/>
      <w:spacing w:line="240" w:lineRule="auto"/>
      <w:textAlignment w:val="auto"/>
    </w:pPr>
    <w:rPr>
      <w:rFonts w:ascii="Calibri" w:hAnsi="Calibri" w:cs="宋体"/>
      <w:kern w:val="0"/>
      <w:szCs w:val="21"/>
    </w:rPr>
  </w:style>
  <w:style w:type="character" w:customStyle="1" w:styleId="107">
    <w:name w:val="font11"/>
    <w:qFormat/>
    <w:uiPriority w:val="0"/>
    <w:rPr>
      <w:rFonts w:hint="default" w:ascii="Times New Roman" w:hAnsi="Times New Roman" w:cs="Times New Roman"/>
      <w:color w:val="000000"/>
      <w:sz w:val="21"/>
      <w:szCs w:val="21"/>
      <w:u w:val="none"/>
      <w:vertAlign w:val="subscript"/>
    </w:rPr>
  </w:style>
  <w:style w:type="paragraph" w:customStyle="1" w:styleId="108">
    <w:name w:val="兴化美联表格"/>
    <w:basedOn w:val="1"/>
    <w:qFormat/>
    <w:uiPriority w:val="0"/>
    <w:pPr>
      <w:widowControl/>
      <w:jc w:val="center"/>
    </w:pPr>
    <w:rPr>
      <w:rFonts w:ascii="宋体" w:hAnsi="宋体" w:eastAsia="宋体" w:cs="宋体"/>
      <w:kern w:val="0"/>
      <w:sz w:val="24"/>
      <w:szCs w:val="24"/>
    </w:rPr>
  </w:style>
  <w:style w:type="character" w:customStyle="1" w:styleId="109">
    <w:name w:val="radio-btn"/>
    <w:qFormat/>
    <w:uiPriority w:val="0"/>
    <w:rPr>
      <w:sz w:val="24"/>
      <w:szCs w:val="24"/>
    </w:rPr>
  </w:style>
  <w:style w:type="character" w:customStyle="1" w:styleId="110">
    <w:name w:val="radio-btn1"/>
    <w:qFormat/>
    <w:uiPriority w:val="0"/>
    <w:rPr>
      <w:sz w:val="24"/>
      <w:szCs w:val="24"/>
    </w:rPr>
  </w:style>
  <w:style w:type="character" w:customStyle="1" w:styleId="111">
    <w:name w:val="radio-btn2"/>
    <w:qFormat/>
    <w:uiPriority w:val="0"/>
    <w:rPr>
      <w:sz w:val="21"/>
      <w:szCs w:val="21"/>
    </w:rPr>
  </w:style>
  <w:style w:type="character" w:customStyle="1" w:styleId="112">
    <w:name w:val="cur1"/>
    <w:qFormat/>
    <w:uiPriority w:val="0"/>
    <w:rPr>
      <w:color w:val="FFFFFF"/>
      <w:shd w:val="clear" w:color="auto" w:fill="2F6B98"/>
    </w:rPr>
  </w:style>
  <w:style w:type="character" w:customStyle="1" w:styleId="113">
    <w:name w:val="znspantitle"/>
    <w:qFormat/>
    <w:uiPriority w:val="0"/>
    <w:rPr>
      <w:b/>
      <w:bCs/>
      <w:color w:val="333333"/>
    </w:rPr>
  </w:style>
  <w:style w:type="character" w:customStyle="1" w:styleId="114">
    <w:name w:val="lable"/>
    <w:qFormat/>
    <w:uiPriority w:val="0"/>
    <w:rPr>
      <w:sz w:val="24"/>
      <w:szCs w:val="24"/>
    </w:rPr>
  </w:style>
  <w:style w:type="character" w:customStyle="1" w:styleId="115">
    <w:name w:val="lishishuju"/>
    <w:qFormat/>
    <w:uiPriority w:val="0"/>
    <w:rPr>
      <w:b/>
      <w:bCs/>
      <w:color w:val="000052"/>
      <w:sz w:val="24"/>
      <w:szCs w:val="24"/>
      <w:bdr w:val="single" w:color="E3E3E3" w:sz="6" w:space="0"/>
    </w:rPr>
  </w:style>
  <w:style w:type="table" w:customStyle="1" w:styleId="116">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17">
    <w:name w:val="15"/>
    <w:qFormat/>
    <w:uiPriority w:val="0"/>
    <w:rPr>
      <w:rFonts w:hint="default" w:ascii="Calibri" w:hAnsi="Calibri"/>
      <w:sz w:val="21"/>
      <w:szCs w:val="21"/>
    </w:rPr>
  </w:style>
  <w:style w:type="paragraph" w:customStyle="1" w:styleId="118">
    <w:name w:val="p17"/>
    <w:basedOn w:val="1"/>
    <w:qFormat/>
    <w:uiPriority w:val="0"/>
    <w:pPr>
      <w:widowControl/>
      <w:spacing w:line="240" w:lineRule="auto"/>
      <w:ind w:firstLine="0" w:firstLineChars="0"/>
      <w:jc w:val="both"/>
    </w:pPr>
    <w:rPr>
      <w:rFonts w:ascii="宋体" w:hAnsi="宋体" w:cs="宋体"/>
      <w:kern w:val="0"/>
      <w:szCs w:val="28"/>
    </w:rPr>
  </w:style>
  <w:style w:type="paragraph" w:customStyle="1" w:styleId="119">
    <w:name w:val="表头001"/>
    <w:basedOn w:val="25"/>
    <w:qFormat/>
    <w:uiPriority w:val="0"/>
    <w:pPr>
      <w:snapToGrid w:val="0"/>
      <w:spacing w:before="0" w:beforeAutospacing="0" w:after="0" w:afterAutospacing="0" w:line="360" w:lineRule="auto"/>
      <w:jc w:val="center"/>
    </w:pPr>
    <w:rPr>
      <w:rFonts w:ascii="Times New Roman" w:hAnsi="Times New Roman" w:cs="Times New Roman"/>
      <w:b/>
      <w:color w:val="000000"/>
    </w:rPr>
  </w:style>
  <w:style w:type="paragraph" w:customStyle="1" w:styleId="120">
    <w:name w:val="表格内容"/>
    <w:basedOn w:val="121"/>
    <w:next w:val="1"/>
    <w:qFormat/>
    <w:uiPriority w:val="99"/>
    <w:pPr>
      <w:tabs>
        <w:tab w:val="left" w:pos="0"/>
      </w:tabs>
      <w:spacing w:line="240" w:lineRule="auto"/>
      <w:ind w:firstLine="0" w:firstLineChars="0"/>
      <w:jc w:val="center"/>
    </w:pPr>
    <w:rPr>
      <w:rFonts w:ascii="Times New Roman" w:hAnsi="Times New Roman"/>
      <w:sz w:val="21"/>
    </w:rPr>
  </w:style>
  <w:style w:type="paragraph" w:customStyle="1" w:styleId="121">
    <w:name w:val="表格内文字"/>
    <w:basedOn w:val="1"/>
    <w:qFormat/>
    <w:uiPriority w:val="0"/>
    <w:pPr>
      <w:tabs>
        <w:tab w:val="left" w:pos="0"/>
      </w:tabs>
      <w:adjustRightInd w:val="0"/>
      <w:snapToGrid w:val="0"/>
      <w:jc w:val="center"/>
    </w:pPr>
    <w:rPr>
      <w:rFonts w:eastAsia="仿宋_GB2312"/>
      <w:kern w:val="2"/>
      <w:sz w:val="24"/>
      <w:szCs w:val="28"/>
      <w:lang w:val="en-US" w:eastAsia="zh-CN" w:bidi="ar-SA"/>
    </w:rPr>
  </w:style>
  <w:style w:type="paragraph" w:customStyle="1" w:styleId="122">
    <w:name w:val="表 图 内容"/>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23">
    <w:name w:val="文本正文"/>
    <w:basedOn w:val="1"/>
    <w:qFormat/>
    <w:uiPriority w:val="0"/>
    <w:pPr>
      <w:spacing w:line="360" w:lineRule="auto"/>
      <w:ind w:firstLine="480" w:firstLineChars="200"/>
    </w:pPr>
    <w:rPr>
      <w:sz w:val="24"/>
      <w:szCs w:val="24"/>
    </w:rPr>
  </w:style>
  <w:style w:type="paragraph" w:customStyle="1" w:styleId="124">
    <w:name w:val="WPSOffice手动目录 1"/>
    <w:qFormat/>
    <w:uiPriority w:val="0"/>
    <w:rPr>
      <w:rFonts w:ascii="Times New Roman" w:hAnsi="Times New Roman" w:eastAsia="宋体" w:cs="Times New Roman"/>
      <w:lang w:val="en-US" w:eastAsia="zh-CN" w:bidi="ar-SA"/>
    </w:rPr>
  </w:style>
  <w:style w:type="paragraph" w:customStyle="1" w:styleId="125">
    <w:name w:val="正文邓"/>
    <w:basedOn w:val="126"/>
    <w:link w:val="139"/>
    <w:qFormat/>
    <w:uiPriority w:val="0"/>
    <w:pPr>
      <w:tabs>
        <w:tab w:val="left" w:pos="2304"/>
      </w:tabs>
      <w:adjustRightInd w:val="0"/>
      <w:ind w:firstLine="200" w:firstLineChars="200"/>
    </w:pPr>
    <w:rPr>
      <w:rFonts w:ascii="仿宋" w:hAnsi="仿宋" w:eastAsia="仿宋"/>
      <w:bCs/>
      <w:color w:val="000000"/>
      <w:kern w:val="0"/>
    </w:rPr>
  </w:style>
  <w:style w:type="paragraph" w:customStyle="1" w:styleId="126">
    <w:name w:val="邓正文"/>
    <w:basedOn w:val="1"/>
    <w:link w:val="140"/>
    <w:qFormat/>
    <w:uiPriority w:val="0"/>
    <w:pPr>
      <w:snapToGrid w:val="0"/>
      <w:spacing w:line="360" w:lineRule="auto"/>
      <w:ind w:firstLine="360" w:firstLineChars="150"/>
      <w:jc w:val="left"/>
    </w:pPr>
    <w:rPr>
      <w:rFonts w:ascii="宋体" w:hAnsi="宋体" w:eastAsia="仿宋_GB2312"/>
      <w:color w:val="000000"/>
      <w:sz w:val="24"/>
      <w:szCs w:val="24"/>
    </w:rPr>
  </w:style>
  <w:style w:type="paragraph" w:customStyle="1" w:styleId="127">
    <w:name w:val="二级标题"/>
    <w:basedOn w:val="1"/>
    <w:link w:val="128"/>
    <w:qFormat/>
    <w:uiPriority w:val="0"/>
    <w:pPr>
      <w:spacing w:line="360" w:lineRule="auto"/>
    </w:pPr>
    <w:rPr>
      <w:rFonts w:hint="eastAsia" w:ascii="Times New Roman" w:hAnsi="Times New Roman" w:eastAsia="宋体"/>
      <w:b/>
      <w:bCs/>
      <w:color w:val="000000"/>
      <w:sz w:val="24"/>
    </w:rPr>
  </w:style>
  <w:style w:type="character" w:customStyle="1" w:styleId="128">
    <w:name w:val="二级标题 Char"/>
    <w:link w:val="127"/>
    <w:qFormat/>
    <w:uiPriority w:val="0"/>
    <w:rPr>
      <w:rFonts w:hint="eastAsia" w:ascii="Times New Roman" w:hAnsi="Times New Roman" w:eastAsia="宋体"/>
      <w:b/>
      <w:bCs/>
      <w:color w:val="000000"/>
      <w:sz w:val="24"/>
    </w:rPr>
  </w:style>
  <w:style w:type="paragraph" w:customStyle="1" w:styleId="129">
    <w:name w:val="正文1"/>
    <w:basedOn w:val="8"/>
    <w:next w:val="130"/>
    <w:qFormat/>
    <w:uiPriority w:val="0"/>
    <w:pPr>
      <w:adjustRightInd w:val="0"/>
      <w:snapToGrid w:val="0"/>
      <w:spacing w:line="520" w:lineRule="exact"/>
      <w:ind w:firstLine="584" w:firstLineChars="200"/>
      <w:textAlignment w:val="baseline"/>
    </w:pPr>
    <w:rPr>
      <w:rFonts w:ascii="宋体" w:hAnsi="宋体" w:cs="Arial"/>
      <w:bCs/>
      <w:snapToGrid w:val="0"/>
      <w:color w:val="000000"/>
      <w:spacing w:val="6"/>
      <w:kern w:val="0"/>
      <w:sz w:val="28"/>
      <w:szCs w:val="28"/>
    </w:rPr>
  </w:style>
  <w:style w:type="paragraph" w:customStyle="1" w:styleId="130">
    <w:name w:val="样式 样式 正文缩进正文（首行缩进两字）正文2 + 首行缩进:  2 字符 + 首行缩进:  2 字符"/>
    <w:basedOn w:val="1"/>
    <w:qFormat/>
    <w:uiPriority w:val="0"/>
    <w:pPr>
      <w:snapToGrid w:val="0"/>
      <w:spacing w:line="324" w:lineRule="auto"/>
      <w:ind w:firstLine="600"/>
    </w:pPr>
    <w:rPr>
      <w:rFonts w:ascii="Times New Roman" w:hAnsi="宋体" w:cs="宋体"/>
      <w:sz w:val="28"/>
      <w:szCs w:val="20"/>
    </w:rPr>
  </w:style>
  <w:style w:type="paragraph" w:customStyle="1" w:styleId="131">
    <w:name w:val="邓表头标题"/>
    <w:basedOn w:val="1"/>
    <w:qFormat/>
    <w:uiPriority w:val="0"/>
    <w:pPr>
      <w:snapToGrid w:val="0"/>
      <w:spacing w:line="240" w:lineRule="auto"/>
      <w:jc w:val="center"/>
    </w:pPr>
    <w:rPr>
      <w:rFonts w:ascii="黑体" w:hAnsi="黑体"/>
    </w:rPr>
  </w:style>
  <w:style w:type="paragraph" w:customStyle="1" w:styleId="132">
    <w:name w:val="标题3"/>
    <w:basedOn w:val="5"/>
    <w:next w:val="1"/>
    <w:qFormat/>
    <w:uiPriority w:val="0"/>
    <w:pPr>
      <w:keepNext w:val="0"/>
      <w:keepLines w:val="0"/>
      <w:numPr>
        <w:ilvl w:val="2"/>
        <w:numId w:val="2"/>
      </w:numPr>
      <w:adjustRightInd w:val="0"/>
      <w:snapToGrid w:val="0"/>
      <w:spacing w:before="0" w:after="0" w:line="360" w:lineRule="auto"/>
      <w:jc w:val="left"/>
    </w:pPr>
    <w:rPr>
      <w:rFonts w:ascii="宋体" w:hAnsi="宋体" w:eastAsia="仿宋_GB2312"/>
      <w:sz w:val="28"/>
      <w:szCs w:val="28"/>
    </w:rPr>
  </w:style>
  <w:style w:type="paragraph" w:customStyle="1" w:styleId="133">
    <w:name w:val="邓表后空格"/>
    <w:basedOn w:val="76"/>
    <w:qFormat/>
    <w:uiPriority w:val="0"/>
    <w:pPr>
      <w:spacing w:line="240" w:lineRule="exact"/>
      <w:ind w:firstLine="0" w:firstLineChars="0"/>
      <w:jc w:val="both"/>
    </w:pPr>
    <w:rPr>
      <w:rFonts w:ascii="楷体_GB2312" w:hAnsi="楷体_GB2312" w:eastAsia="宋体"/>
      <w:kern w:val="2"/>
      <w:sz w:val="18"/>
    </w:rPr>
  </w:style>
  <w:style w:type="paragraph" w:customStyle="1" w:styleId="134">
    <w:name w:val="标题2"/>
    <w:basedOn w:val="4"/>
    <w:qFormat/>
    <w:uiPriority w:val="0"/>
    <w:pPr>
      <w:numPr>
        <w:ilvl w:val="1"/>
        <w:numId w:val="2"/>
      </w:numPr>
      <w:snapToGrid w:val="0"/>
      <w:spacing w:before="0" w:after="0" w:line="360" w:lineRule="auto"/>
    </w:pPr>
    <w:rPr>
      <w:rFonts w:ascii="Times New Roman" w:hAnsi="Times New Roman" w:eastAsia="仿宋_GB2312"/>
      <w:bCs w:val="0"/>
      <w:sz w:val="30"/>
      <w:szCs w:val="30"/>
    </w:rPr>
  </w:style>
  <w:style w:type="paragraph" w:customStyle="1" w:styleId="135">
    <w:name w:val="Table Text"/>
    <w:basedOn w:val="1"/>
    <w:semiHidden/>
    <w:qFormat/>
    <w:uiPriority w:val="0"/>
    <w:rPr>
      <w:rFonts w:ascii="宋体" w:hAnsi="宋体" w:eastAsia="宋体" w:cs="宋体"/>
      <w:sz w:val="13"/>
      <w:szCs w:val="13"/>
      <w:lang w:val="en-US" w:eastAsia="en-US" w:bidi="ar-SA"/>
    </w:rPr>
  </w:style>
  <w:style w:type="paragraph" w:customStyle="1" w:styleId="136">
    <w:name w:val="邓图后正文"/>
    <w:basedOn w:val="137"/>
    <w:qFormat/>
    <w:uiPriority w:val="0"/>
    <w:pPr>
      <w:snapToGrid w:val="0"/>
      <w:ind w:firstLine="0" w:firstLineChars="0"/>
    </w:pPr>
    <w:rPr>
      <w:rFonts w:ascii="黑体" w:hAnsi="黑体"/>
    </w:rPr>
  </w:style>
  <w:style w:type="paragraph" w:customStyle="1" w:styleId="137">
    <w:name w:val="图后正文"/>
    <w:basedOn w:val="1"/>
    <w:qFormat/>
    <w:uiPriority w:val="0"/>
    <w:pPr>
      <w:widowControl/>
      <w:spacing w:line="360" w:lineRule="auto"/>
      <w:ind w:firstLine="200" w:firstLineChars="200"/>
      <w:jc w:val="center"/>
    </w:pPr>
    <w:rPr>
      <w:rFonts w:ascii="宋体"/>
      <w:sz w:val="24"/>
      <w:szCs w:val="24"/>
    </w:rPr>
  </w:style>
  <w:style w:type="paragraph" w:customStyle="1" w:styleId="138">
    <w:name w:val="珍珍环评正文"/>
    <w:basedOn w:val="1"/>
    <w:qFormat/>
    <w:uiPriority w:val="99"/>
    <w:pPr>
      <w:adjustRightInd w:val="0"/>
      <w:spacing w:line="360" w:lineRule="auto"/>
      <w:ind w:firstLine="480" w:firstLineChars="200"/>
      <w:jc w:val="both"/>
    </w:pPr>
    <w:rPr>
      <w:rFonts w:ascii="宋体" w:hAnsi="宋体" w:cs="宋体"/>
      <w:snapToGrid w:val="0"/>
      <w:sz w:val="24"/>
      <w:szCs w:val="24"/>
    </w:rPr>
  </w:style>
  <w:style w:type="character" w:customStyle="1" w:styleId="139">
    <w:name w:val="正文邓 Char"/>
    <w:basedOn w:val="140"/>
    <w:link w:val="125"/>
    <w:qFormat/>
    <w:uiPriority w:val="0"/>
    <w:rPr>
      <w:rFonts w:ascii="仿宋" w:hAnsi="仿宋" w:eastAsia="仿宋"/>
      <w:bCs/>
      <w:color w:val="000000"/>
      <w:kern w:val="0"/>
    </w:rPr>
  </w:style>
  <w:style w:type="character" w:customStyle="1" w:styleId="140">
    <w:name w:val="邓正文 Char"/>
    <w:basedOn w:val="31"/>
    <w:link w:val="126"/>
    <w:qFormat/>
    <w:uiPriority w:val="0"/>
    <w:rPr>
      <w:rFonts w:ascii="宋体" w:hAnsi="宋体" w:eastAsia="仿宋_GB2312"/>
      <w:color w:val="000000"/>
      <w:sz w:val="24"/>
      <w:szCs w:val="24"/>
    </w:rPr>
  </w:style>
  <w:style w:type="paragraph" w:customStyle="1" w:styleId="141">
    <w:name w:val="改性沥青正文"/>
    <w:basedOn w:val="1"/>
    <w:qFormat/>
    <w:uiPriority w:val="0"/>
    <w:pPr>
      <w:adjustRightInd w:val="0"/>
      <w:snapToGrid w:val="0"/>
      <w:spacing w:line="560" w:lineRule="exact"/>
      <w:ind w:firstLine="482"/>
      <w:jc w:val="left"/>
      <w:textAlignment w:val="baseline"/>
    </w:pPr>
    <w:rPr>
      <w:rFonts w:ascii="宋体" w:hAnsi="宋体" w:eastAsia="宋体" w:cs="Calibri"/>
      <w:color w:val="FF0000"/>
      <w:kern w:val="0"/>
      <w:sz w:val="24"/>
      <w:szCs w:val="24"/>
    </w:rPr>
  </w:style>
  <w:style w:type="paragraph" w:customStyle="1" w:styleId="142">
    <w:name w:val="表中文字"/>
    <w:next w:val="1"/>
    <w:qFormat/>
    <w:uiPriority w:val="0"/>
    <w:pPr>
      <w:spacing w:line="360" w:lineRule="exact"/>
      <w:jc w:val="center"/>
    </w:pPr>
    <w:rPr>
      <w:rFonts w:ascii="Times New Roman" w:hAnsi="Times New Roman" w:eastAsia="宋体" w:cstheme="minorBidi"/>
      <w:color w:val="000000"/>
      <w:kern w:val="2"/>
      <w:sz w:val="21"/>
      <w:szCs w:val="24"/>
      <w:lang w:val="en-US" w:eastAsia="zh-CN" w:bidi="ar-SA"/>
    </w:rPr>
  </w:style>
  <w:style w:type="table" w:customStyle="1" w:styleId="143">
    <w:name w:val="Grid Table Light"/>
    <w:basedOn w:val="29"/>
    <w:qFormat/>
    <w:uiPriority w:val="40"/>
    <w:pPr>
      <w:jc w:val="center"/>
    </w:pPr>
    <w:rPr>
      <w:rFonts w:ascii="Times New Roman" w:hAnsi="Times New Roman"/>
    </w:rPr>
    <w:tblPr>
      <w:tblBorders>
        <w:top w:val="single" w:color="7030A0" w:sz="2" w:space="0"/>
        <w:bottom w:val="single" w:color="7030A0" w:sz="2" w:space="0"/>
        <w:insideH w:val="single" w:color="7030A0" w:sz="2" w:space="0"/>
        <w:insideV w:val="single" w:color="7030A0" w:sz="2" w:space="0"/>
      </w:tblBorders>
      <w:tblCellMar>
        <w:left w:w="0" w:type="dxa"/>
        <w:right w:w="0" w:type="dxa"/>
      </w:tblCellMar>
    </w:tblPr>
    <w:tcPr>
      <w:shd w:val="clear" w:color="auto" w:fill="auto"/>
      <w:vAlign w:val="center"/>
    </w:tcPr>
  </w:style>
  <w:style w:type="table" w:customStyle="1" w:styleId="144">
    <w:name w:val="33"/>
    <w:qFormat/>
    <w:uiPriority w:val="99"/>
    <w:pPr>
      <w:widowControl w:val="0"/>
      <w:autoSpaceDE w:val="0"/>
      <w:autoSpaceDN w:val="0"/>
      <w:adjustRightInd w:val="0"/>
    </w:pPr>
    <w:rPr>
      <w:rFonts w:ascii="Times New Roman" w:hAnsi="Times New Roman"/>
      <w:sz w:val="24"/>
      <w:szCs w:val="24"/>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0" w:type="dxa"/>
        <w:bottom w:w="0" w:type="dxa"/>
        <w:right w:w="0" w:type="dxa"/>
      </w:tblCellMar>
    </w:tblPr>
    <w:tcPr>
      <w:vAlign w:val="center"/>
    </w:tcPr>
  </w:style>
  <w:style w:type="paragraph" w:customStyle="1" w:styleId="145">
    <w:name w:val="正文我"/>
    <w:qFormat/>
    <w:uiPriority w:val="0"/>
    <w:pPr>
      <w:adjustRightInd w:val="0"/>
      <w:snapToGrid w:val="0"/>
      <w:spacing w:line="360" w:lineRule="auto"/>
      <w:ind w:firstLine="200" w:firstLineChars="200"/>
    </w:pPr>
    <w:rPr>
      <w:rFonts w:ascii="宋体" w:hAnsi="Times New Roman" w:eastAsia="华文中宋" w:cs="Times New Roman"/>
      <w:kern w:val="2"/>
      <w:sz w:val="24"/>
      <w:szCs w:val="24"/>
      <w:lang w:bidi="ar-SA"/>
    </w:rPr>
  </w:style>
  <w:style w:type="paragraph" w:customStyle="1" w:styleId="146">
    <w:name w:val="标题4 样式"/>
    <w:qFormat/>
    <w:uiPriority w:val="0"/>
    <w:pPr>
      <w:numPr>
        <w:ilvl w:val="3"/>
        <w:numId w:val="2"/>
      </w:numPr>
      <w:adjustRightInd w:val="0"/>
      <w:snapToGrid w:val="0"/>
      <w:spacing w:line="360" w:lineRule="auto"/>
      <w:outlineLvl w:val="3"/>
    </w:pPr>
    <w:rPr>
      <w:rFonts w:ascii="仿宋" w:hAnsi="仿宋" w:eastAsia="仿宋" w:cs="宋体"/>
      <w:b/>
      <w:color w:val="000000"/>
      <w:kern w:val="2"/>
      <w:sz w:val="24"/>
      <w:szCs w:val="24"/>
      <w:lang w:val="en-US" w:eastAsia="zh-CN" w:bidi="ar-SA"/>
    </w:rPr>
  </w:style>
  <w:style w:type="paragraph" w:customStyle="1" w:styleId="147">
    <w:name w:val="图形格式"/>
    <w:qFormat/>
    <w:uiPriority w:val="99"/>
    <w:pPr>
      <w:spacing w:line="360" w:lineRule="auto"/>
      <w:jc w:val="center"/>
    </w:pPr>
    <w:rPr>
      <w:rFonts w:ascii="Calibri" w:hAnsi="Calibri" w:eastAsia="宋体" w:cs="Times New Roman"/>
      <w:sz w:val="28"/>
      <w:lang w:val="en-US" w:eastAsia="zh-CN" w:bidi="ar-SA"/>
    </w:rPr>
  </w:style>
  <w:style w:type="table" w:customStyle="1" w:styleId="148">
    <w:name w:val="环评报告书"/>
    <w:basedOn w:val="29"/>
    <w:qFormat/>
    <w:uiPriority w:val="99"/>
    <w:pPr>
      <w:jc w:val="center"/>
    </w:pPr>
    <w:rPr>
      <w:rFonts w:ascii="Times New Roman" w:hAnsi="Times New Roman"/>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rPr>
      <w:tblHeader/>
      <w:jc w:val="center"/>
    </w:trPr>
    <w:tcPr>
      <w:vAlign w:val="center"/>
    </w:tcPr>
  </w:style>
  <w:style w:type="paragraph" w:customStyle="1" w:styleId="149">
    <w:name w:val="正文文本缩进1"/>
    <w:basedOn w:val="1"/>
    <w:qFormat/>
    <w:uiPriority w:val="0"/>
    <w:pPr>
      <w:spacing w:line="560" w:lineRule="exact"/>
      <w:ind w:firstLine="560" w:firstLineChars="200"/>
    </w:pPr>
    <w:rPr>
      <w:rFonts w:ascii="宋体" w:hAnsi="宋体"/>
      <w:sz w:val="28"/>
    </w:rPr>
  </w:style>
  <w:style w:type="paragraph" w:customStyle="1" w:styleId="150">
    <w:name w:val="A正文"/>
    <w:basedOn w:val="68"/>
    <w:qFormat/>
    <w:uiPriority w:val="0"/>
    <w:pPr>
      <w:ind w:firstLine="480"/>
      <w:jc w:val="both"/>
    </w:pPr>
    <w:rPr>
      <w:rFonts w:ascii="Times New Roman"/>
      <w:color w:val="000000" w:themeColor="text1"/>
      <w14:textFill>
        <w14:solidFill>
          <w14:schemeClr w14:val="tx1"/>
        </w14:solidFill>
      </w14:textFill>
    </w:rPr>
  </w:style>
  <w:style w:type="paragraph" w:customStyle="1" w:styleId="151">
    <w:name w:val="W表头图头"/>
    <w:basedOn w:val="1"/>
    <w:qFormat/>
    <w:uiPriority w:val="0"/>
    <w:pPr>
      <w:spacing w:line="360" w:lineRule="auto"/>
      <w:jc w:val="center"/>
    </w:pPr>
    <w:rPr>
      <w:rFonts w:ascii="黑体" w:hAnsi="黑体" w:eastAsia="黑体"/>
      <w:b/>
    </w:rPr>
  </w:style>
  <w:style w:type="paragraph" w:customStyle="1" w:styleId="152">
    <w:name w:val="A【正文】用"/>
    <w:basedOn w:val="1"/>
    <w:qFormat/>
    <w:uiPriority w:val="0"/>
    <w:pPr>
      <w:overflowPunct w:val="0"/>
      <w:spacing w:line="360" w:lineRule="auto"/>
      <w:ind w:firstLine="200" w:firstLineChars="200"/>
    </w:pPr>
    <w:rPr>
      <w:rFonts w:eastAsia="Times New Roman"/>
      <w:szCs w:val="21"/>
    </w:rPr>
  </w:style>
  <w:style w:type="paragraph" w:customStyle="1" w:styleId="153">
    <w:name w:val="W正文"/>
    <w:basedOn w:val="1"/>
    <w:qFormat/>
    <w:uiPriority w:val="0"/>
    <w:pPr>
      <w:spacing w:line="360" w:lineRule="auto"/>
      <w:ind w:firstLine="480" w:firstLineChars="200"/>
    </w:pPr>
    <w:rPr>
      <w:rFonts w:ascii="Times New Roman" w:hAnsi="Times New Roman" w:cs="Arial"/>
    </w:rPr>
  </w:style>
  <w:style w:type="paragraph" w:customStyle="1" w:styleId="154">
    <w:name w:val="A.表中文字 用"/>
    <w:basedOn w:val="1"/>
    <w:next w:val="1"/>
    <w:qFormat/>
    <w:uiPriority w:val="0"/>
    <w:pPr>
      <w:autoSpaceDE w:val="0"/>
      <w:autoSpaceDN w:val="0"/>
      <w:jc w:val="center"/>
    </w:pPr>
    <w:rPr>
      <w:sz w:val="18"/>
      <w:szCs w:val="22"/>
    </w:rPr>
  </w:style>
  <w:style w:type="paragraph" w:customStyle="1" w:styleId="155">
    <w:name w:val="曙光表格文字"/>
    <w:basedOn w:val="1"/>
    <w:qFormat/>
    <w:uiPriority w:val="0"/>
    <w:pPr>
      <w:jc w:val="center"/>
    </w:pPr>
    <w:rPr>
      <w:rFonts w:eastAsiaTheme="minorEastAsia"/>
      <w:sz w:val="18"/>
      <w:szCs w:val="18"/>
      <w:lang w:bidi="en-US"/>
    </w:rPr>
  </w:style>
  <w:style w:type="character" w:customStyle="1" w:styleId="156">
    <w:name w:val="font21"/>
    <w:basedOn w:val="31"/>
    <w:qFormat/>
    <w:uiPriority w:val="0"/>
    <w:rPr>
      <w:rFonts w:hint="default" w:ascii="Times New Roman" w:hAnsi="Times New Roman" w:cs="Times New Roman"/>
      <w:color w:val="000000"/>
      <w:sz w:val="21"/>
      <w:szCs w:val="21"/>
      <w:u w:val="none"/>
    </w:rPr>
  </w:style>
  <w:style w:type="paragraph" w:customStyle="1" w:styleId="157">
    <w:name w:val="样式 标题4 1.1.1.1"/>
    <w:basedOn w:val="6"/>
    <w:next w:val="1"/>
    <w:qFormat/>
    <w:uiPriority w:val="0"/>
    <w:pPr>
      <w:numPr>
        <w:ilvl w:val="3"/>
        <w:numId w:val="3"/>
      </w:numPr>
      <w:spacing w:before="0" w:after="0" w:line="360" w:lineRule="auto"/>
    </w:pPr>
    <w:rPr>
      <w:rFonts w:ascii="黑体" w:hAnsi="黑体" w:eastAsia="黑体"/>
      <w:snapToGrid w:val="0"/>
      <w:sz w:val="24"/>
      <w:szCs w:val="24"/>
    </w:rPr>
  </w:style>
  <w:style w:type="paragraph" w:customStyle="1" w:styleId="158">
    <w:name w:val="任表头"/>
    <w:basedOn w:val="1"/>
    <w:next w:val="1"/>
    <w:qFormat/>
    <w:uiPriority w:val="0"/>
    <w:pPr>
      <w:ind w:firstLine="0" w:firstLineChars="0"/>
      <w:jc w:val="center"/>
    </w:pPr>
    <w:rPr>
      <w:rFonts w:ascii="Times New Roman" w:hAnsi="Times New Roman" w:eastAsia="宋体" w:cs="Times New Roman"/>
      <w:b/>
      <w:bCs/>
    </w:rPr>
  </w:style>
  <w:style w:type="paragraph" w:customStyle="1" w:styleId="159">
    <w:name w:val="任表格文字"/>
    <w:next w:val="1"/>
    <w:qFormat/>
    <w:uiPriority w:val="0"/>
    <w:pPr>
      <w:spacing w:line="340" w:lineRule="exact"/>
      <w:jc w:val="center"/>
    </w:pPr>
    <w:rPr>
      <w:rFonts w:ascii="Times New Roman" w:hAnsi="Times New Roman" w:eastAsia="宋体" w:cs="Times New Roman"/>
      <w:color w:val="000000"/>
      <w:kern w:val="2"/>
      <w:sz w:val="21"/>
      <w:szCs w:val="24"/>
      <w:lang w:val="en-US" w:eastAsia="zh-CN" w:bidi="ar-SA"/>
    </w:rPr>
  </w:style>
  <w:style w:type="paragraph" w:customStyle="1" w:styleId="160">
    <w:name w:val="图表后空格"/>
    <w:basedOn w:val="1"/>
    <w:qFormat/>
    <w:uiPriority w:val="0"/>
    <w:pPr>
      <w:spacing w:line="240" w:lineRule="auto"/>
      <w:ind w:firstLine="0" w:firstLineChars="0"/>
    </w:pPr>
    <w:rPr>
      <w:rFonts w:hint="eastAsia" w:ascii="Times New Roman" w:hAnsi="Times New Roman"/>
      <w:sz w:val="21"/>
      <w:szCs w:val="21"/>
    </w:rPr>
  </w:style>
  <w:style w:type="paragraph" w:customStyle="1" w:styleId="161">
    <w:name w:val="正文-珍"/>
    <w:qFormat/>
    <w:uiPriority w:val="0"/>
    <w:pPr>
      <w:adjustRightInd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62">
    <w:name w:val="zw"/>
    <w:basedOn w:val="14"/>
    <w:next w:val="1"/>
    <w:qFormat/>
    <w:uiPriority w:val="0"/>
    <w:pPr>
      <w:spacing w:line="360" w:lineRule="auto"/>
      <w:ind w:firstLine="480" w:firstLineChars="200"/>
    </w:pPr>
    <w:rPr>
      <w:rFonts w:ascii="Times New Roman" w:hAnsi="Times New Roman"/>
      <w:sz w:val="24"/>
      <w:szCs w:val="20"/>
    </w:rPr>
  </w:style>
  <w:style w:type="paragraph" w:customStyle="1" w:styleId="163">
    <w:name w:val="正文2"/>
    <w:basedOn w:val="1"/>
    <w:link w:val="165"/>
    <w:qFormat/>
    <w:uiPriority w:val="0"/>
    <w:pPr>
      <w:spacing w:line="360" w:lineRule="auto"/>
      <w:ind w:left="0" w:leftChars="0" w:firstLine="720" w:firstLineChars="200"/>
    </w:pPr>
    <w:rPr>
      <w:sz w:val="24"/>
      <w:szCs w:val="44"/>
    </w:rPr>
  </w:style>
  <w:style w:type="paragraph" w:customStyle="1" w:styleId="164">
    <w:name w:val="01正文"/>
    <w:basedOn w:val="1"/>
    <w:qFormat/>
    <w:uiPriority w:val="0"/>
    <w:pPr>
      <w:wordWrap w:val="0"/>
    </w:pPr>
    <w:rPr>
      <w:rFonts w:cs="Arial"/>
      <w:szCs w:val="23"/>
      <w:lang w:val="zh-CN"/>
    </w:rPr>
  </w:style>
  <w:style w:type="character" w:customStyle="1" w:styleId="165">
    <w:name w:val="正文2 Char"/>
    <w:link w:val="163"/>
    <w:qFormat/>
    <w:uiPriority w:val="0"/>
    <w:rPr>
      <w:sz w:val="2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292</Words>
  <Characters>307</Characters>
  <Lines>281</Lines>
  <Paragraphs>79</Paragraphs>
  <TotalTime>8</TotalTime>
  <ScaleCrop>false</ScaleCrop>
  <LinksUpToDate>false</LinksUpToDate>
  <CharactersWithSpaces>366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2023-11-29T03:05:00Z</dcterms:created>
  <dc:creator>lhj</dc:creator>
  <cp:lastModifiedBy>黄晓雨</cp:lastModifiedBy>
  <cp:lastPrinted>2023-11-29T09:43:00Z</cp:lastPrinted>
  <dcterms:modified xsi:type="dcterms:W3CDTF">2025-06-26T08:37:15Z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DE88060394C1498592A4EA06B52AFEDA_13</vt:lpwstr>
  </property>
  <property fmtid="{D5CDD505-2E9C-101B-9397-08002B2CF9AE}" pid="4" name="KSOTemplateDocerSaveRecord">
    <vt:lpwstr>eyJoZGlkIjoiMzNmOGIwNzA5NWUwY2M2NjRmZjk5MjY4ZWM5MjI3ZDEiLCJ1c2VySWQiOiIzMTUyNzM1NjAifQ==</vt:lpwstr>
  </property>
</Properties>
</file>