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rPr>
      </w:pPr>
      <w:bookmarkStart w:id="0" w:name="_Hlk57883707"/>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bookmarkEnd w:id="0"/>
    <w:p>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（生态影响类）</w:t>
      </w:r>
    </w:p>
    <w:p>
      <w:pPr>
        <w:ind w:firstLine="1040"/>
        <w:rPr>
          <w:rFonts w:eastAsia="仿宋"/>
          <w:color w:val="auto"/>
          <w:sz w:val="44"/>
          <w:szCs w:val="44"/>
        </w:rPr>
      </w:pPr>
      <w:bookmarkStart w:id="1" w:name="_Hlk57883728"/>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pStyle w:val="2"/>
      </w:pPr>
    </w:p>
    <w:p>
      <w:pPr>
        <w:ind w:firstLine="1040"/>
        <w:rPr>
          <w:rFonts w:hint="eastAsia" w:eastAsia="仿宋"/>
          <w:color w:val="auto"/>
          <w:sz w:val="44"/>
          <w:szCs w:val="44"/>
          <w:lang w:eastAsia="zh-CN"/>
        </w:rPr>
      </w:pPr>
    </w:p>
    <w:p>
      <w:pPr>
        <w:pStyle w:val="27"/>
        <w:rPr>
          <w:rFonts w:hint="eastAsia"/>
          <w:lang w:eastAsia="zh-CN"/>
        </w:rPr>
      </w:pPr>
    </w:p>
    <w:p>
      <w:pPr>
        <w:rPr>
          <w:rFonts w:hint="eastAsia"/>
          <w:lang w:eastAsia="zh-CN"/>
        </w:rPr>
      </w:pPr>
    </w:p>
    <w:p>
      <w:pPr>
        <w:ind w:firstLine="1040"/>
        <w:rPr>
          <w:rFonts w:eastAsia="仿宋"/>
          <w:color w:val="auto"/>
          <w:sz w:val="44"/>
          <w:szCs w:val="44"/>
        </w:rPr>
      </w:pPr>
    </w:p>
    <w:bookmarkEnd w:id="1"/>
    <w:p>
      <w:pPr>
        <w:adjustRightInd w:val="0"/>
        <w:snapToGrid w:val="0"/>
        <w:spacing w:line="288" w:lineRule="auto"/>
        <w:ind w:left="2159" w:leftChars="171" w:hanging="1800" w:hangingChars="500"/>
        <w:rPr>
          <w:rFonts w:hint="default" w:ascii="仿宋_GB2312" w:hAnsi="Times New Roman" w:eastAsia="仿宋_GB2312" w:cs="Times New Roman"/>
          <w:sz w:val="36"/>
          <w:szCs w:val="36"/>
          <w:lang w:val="en-US" w:eastAsia="zh-CN"/>
        </w:rPr>
      </w:pPr>
      <w:r>
        <w:rPr>
          <w:rFonts w:hint="eastAsia" w:ascii="仿宋_GB2312" w:hAnsi="Times New Roman" w:eastAsia="仿宋_GB2312" w:cs="Times New Roman"/>
          <w:sz w:val="36"/>
          <w:szCs w:val="36"/>
        </w:rPr>
        <w:t>项目名称：</w:t>
      </w:r>
      <w:r>
        <w:rPr>
          <w:rFonts w:hint="eastAsia" w:ascii="仿宋_GB2312" w:eastAsia="仿宋_GB2312" w:cs="Times New Roman"/>
          <w:sz w:val="36"/>
          <w:szCs w:val="36"/>
          <w:u w:val="single"/>
          <w:lang w:val="en-US" w:eastAsia="zh-CN"/>
        </w:rPr>
        <w:t xml:space="preserve"> </w:t>
      </w:r>
      <w:r>
        <w:rPr>
          <w:rFonts w:hint="eastAsia" w:ascii="仿宋_GB2312" w:hAnsi="Times New Roman" w:eastAsia="仿宋_GB2312" w:cs="Times New Roman"/>
          <w:sz w:val="36"/>
          <w:szCs w:val="36"/>
          <w:u w:val="single"/>
          <w:lang w:val="zh-CN"/>
        </w:rPr>
        <w:t>和硕恒达石业有限公司新疆和硕县爱盖尔其西饰面石材花岗岩矿建设项目</w:t>
      </w:r>
      <w:r>
        <w:rPr>
          <w:rFonts w:hint="eastAsia" w:ascii="仿宋_GB2312" w:hAnsi="Times New Roman" w:eastAsia="仿宋_GB2312" w:cs="Times New Roman"/>
          <w:sz w:val="36"/>
          <w:szCs w:val="36"/>
          <w:u w:val="single"/>
          <w:lang w:val="en-US" w:eastAsia="zh-CN"/>
        </w:rPr>
        <w:t xml:space="preserve"> </w:t>
      </w:r>
      <w:r>
        <w:rPr>
          <w:rFonts w:hint="eastAsia" w:ascii="仿宋_GB2312" w:eastAsia="仿宋_GB2312" w:cs="Times New Roman"/>
          <w:sz w:val="36"/>
          <w:szCs w:val="36"/>
          <w:u w:val="single"/>
          <w:lang w:val="en-US" w:eastAsia="zh-CN"/>
        </w:rPr>
        <w:t xml:space="preserve">         </w:t>
      </w:r>
    </w:p>
    <w:p>
      <w:pPr>
        <w:adjustRightInd w:val="0"/>
        <w:snapToGrid w:val="0"/>
        <w:spacing w:line="288" w:lineRule="auto"/>
        <w:ind w:firstLine="360" w:firstLineChars="100"/>
        <w:rPr>
          <w:rFonts w:hint="eastAsia" w:ascii="仿宋_GB2312" w:hAnsi="Times New Roman" w:eastAsia="仿宋_GB2312" w:cs="Times New Roman"/>
          <w:sz w:val="36"/>
          <w:szCs w:val="36"/>
        </w:rPr>
      </w:pPr>
      <w:r>
        <w:rPr>
          <w:rFonts w:hint="eastAsia" w:ascii="仿宋_GB2312" w:hAnsi="Times New Roman" w:eastAsia="仿宋_GB2312" w:cs="Times New Roman"/>
          <w:sz w:val="36"/>
          <w:szCs w:val="36"/>
        </w:rPr>
        <w:t>建设单位（盖章）</w:t>
      </w:r>
      <w:r>
        <w:rPr>
          <w:rFonts w:hint="eastAsia" w:ascii="仿宋_GB2312" w:eastAsia="仿宋_GB2312" w:cs="Times New Roman"/>
          <w:sz w:val="36"/>
          <w:szCs w:val="36"/>
          <w:lang w:eastAsia="zh-CN"/>
        </w:rPr>
        <w:t>：</w:t>
      </w:r>
      <w:r>
        <w:rPr>
          <w:rFonts w:hint="eastAsia" w:ascii="仿宋_GB2312" w:hAnsi="Times New Roman" w:eastAsia="仿宋_GB2312" w:cs="Times New Roman"/>
          <w:sz w:val="36"/>
          <w:szCs w:val="36"/>
          <w:u w:val="single"/>
          <w:lang w:val="en-US" w:eastAsia="zh-CN"/>
        </w:rPr>
        <w:t xml:space="preserve"> </w:t>
      </w:r>
      <w:r>
        <w:rPr>
          <w:rFonts w:hint="eastAsia" w:ascii="仿宋_GB2312" w:eastAsia="仿宋_GB2312" w:cs="Times New Roman"/>
          <w:sz w:val="36"/>
          <w:szCs w:val="36"/>
          <w:u w:val="single"/>
          <w:lang w:val="en-US" w:eastAsia="zh-CN"/>
        </w:rPr>
        <w:t xml:space="preserve"> </w:t>
      </w:r>
      <w:r>
        <w:rPr>
          <w:rFonts w:hint="eastAsia" w:ascii="仿宋_GB2312" w:hAnsi="Times New Roman" w:eastAsia="仿宋_GB2312" w:cs="Times New Roman"/>
          <w:sz w:val="36"/>
          <w:szCs w:val="36"/>
          <w:u w:val="single"/>
          <w:lang w:val="zh-CN"/>
        </w:rPr>
        <w:t>和硕恒达石业有限公司</w:t>
      </w:r>
      <w:r>
        <w:rPr>
          <w:rFonts w:hint="eastAsia" w:ascii="仿宋_GB2312" w:hAnsi="Times New Roman" w:eastAsia="仿宋_GB2312" w:cs="Times New Roman"/>
          <w:sz w:val="36"/>
          <w:szCs w:val="36"/>
          <w:u w:val="single"/>
          <w:lang w:val="en-US" w:eastAsia="zh-CN"/>
        </w:rPr>
        <w:t xml:space="preserve"> </w:t>
      </w:r>
      <w:r>
        <w:rPr>
          <w:rFonts w:hint="eastAsia" w:ascii="仿宋_GB2312" w:eastAsia="仿宋_GB2312" w:cs="Times New Roman"/>
          <w:sz w:val="36"/>
          <w:szCs w:val="36"/>
          <w:u w:val="single"/>
          <w:lang w:val="en-US" w:eastAsia="zh-CN"/>
        </w:rPr>
        <w:t xml:space="preserve">       </w:t>
      </w:r>
    </w:p>
    <w:p>
      <w:pPr>
        <w:adjustRightInd w:val="0"/>
        <w:snapToGrid w:val="0"/>
        <w:spacing w:line="288" w:lineRule="auto"/>
        <w:ind w:firstLine="360" w:firstLineChars="100"/>
        <w:rPr>
          <w:rFonts w:hint="eastAsia" w:ascii="仿宋_GB2312" w:hAnsi="Times New Roman" w:eastAsia="仿宋_GB2312" w:cs="Times New Roman"/>
          <w:sz w:val="36"/>
          <w:szCs w:val="36"/>
        </w:rPr>
      </w:pPr>
      <w:r>
        <w:rPr>
          <w:rFonts w:hint="eastAsia" w:ascii="仿宋_GB2312" w:hAnsi="Times New Roman" w:eastAsia="仿宋_GB2312" w:cs="Times New Roman"/>
          <w:sz w:val="36"/>
          <w:szCs w:val="36"/>
        </w:rPr>
        <w:t>编制日期：</w:t>
      </w:r>
      <w:r>
        <w:rPr>
          <w:rFonts w:hint="eastAsia" w:ascii="仿宋_GB2312" w:hAnsi="Times New Roman" w:eastAsia="仿宋_GB2312" w:cs="Times New Roman"/>
          <w:sz w:val="36"/>
          <w:szCs w:val="36"/>
          <w:u w:val="single"/>
          <w:lang w:val="zh-CN"/>
        </w:rPr>
        <w:t xml:space="preserve">        </w:t>
      </w:r>
      <w:r>
        <w:rPr>
          <w:rFonts w:hint="eastAsia" w:ascii="仿宋_GB2312" w:hAnsi="Times New Roman" w:eastAsia="仿宋_GB2312" w:cs="Times New Roman"/>
          <w:sz w:val="36"/>
          <w:szCs w:val="36"/>
          <w:u w:val="single"/>
          <w:lang w:val="en-US" w:eastAsia="zh-CN"/>
        </w:rPr>
        <w:t xml:space="preserve">     202</w:t>
      </w:r>
      <w:r>
        <w:rPr>
          <w:rFonts w:hint="eastAsia" w:ascii="仿宋_GB2312" w:eastAsia="仿宋_GB2312" w:cs="Times New Roman"/>
          <w:sz w:val="36"/>
          <w:szCs w:val="36"/>
          <w:u w:val="single"/>
          <w:lang w:val="en-US" w:eastAsia="zh-CN"/>
        </w:rPr>
        <w:t>5</w:t>
      </w:r>
      <w:r>
        <w:rPr>
          <w:rFonts w:hint="eastAsia" w:ascii="仿宋_GB2312" w:hAnsi="Times New Roman" w:eastAsia="仿宋_GB2312" w:cs="Times New Roman"/>
          <w:sz w:val="36"/>
          <w:szCs w:val="36"/>
          <w:u w:val="single"/>
          <w:lang w:val="en-US" w:eastAsia="zh-CN"/>
        </w:rPr>
        <w:t>年</w:t>
      </w:r>
      <w:r>
        <w:rPr>
          <w:rFonts w:hint="eastAsia" w:ascii="仿宋_GB2312" w:eastAsia="仿宋_GB2312" w:cs="Times New Roman"/>
          <w:sz w:val="36"/>
          <w:szCs w:val="36"/>
          <w:u w:val="single"/>
          <w:lang w:val="en-US" w:eastAsia="zh-CN"/>
        </w:rPr>
        <w:t>6</w:t>
      </w:r>
      <w:r>
        <w:rPr>
          <w:rFonts w:hint="eastAsia" w:ascii="仿宋_GB2312" w:hAnsi="Times New Roman" w:eastAsia="仿宋_GB2312" w:cs="Times New Roman"/>
          <w:sz w:val="36"/>
          <w:szCs w:val="36"/>
          <w:u w:val="single"/>
          <w:lang w:val="en-US" w:eastAsia="zh-CN"/>
        </w:rPr>
        <w:t>月</w:t>
      </w:r>
      <w:r>
        <w:rPr>
          <w:rFonts w:hint="eastAsia" w:ascii="仿宋_GB2312" w:hAnsi="Times New Roman" w:eastAsia="仿宋_GB2312" w:cs="Times New Roman"/>
          <w:sz w:val="36"/>
          <w:szCs w:val="36"/>
          <w:u w:val="single"/>
          <w:lang w:val="zh-CN"/>
        </w:rPr>
        <w:t xml:space="preserve"> </w:t>
      </w:r>
      <w:r>
        <w:rPr>
          <w:rFonts w:hint="eastAsia" w:ascii="仿宋_GB2312" w:hAnsi="Times New Roman" w:eastAsia="仿宋_GB2312" w:cs="Times New Roman"/>
          <w:sz w:val="36"/>
          <w:szCs w:val="36"/>
          <w:u w:val="single"/>
          <w:lang w:val="en-US" w:eastAsia="zh-CN"/>
        </w:rPr>
        <w:t xml:space="preserve"> </w:t>
      </w:r>
      <w:r>
        <w:rPr>
          <w:rFonts w:hint="eastAsia" w:ascii="仿宋_GB2312" w:hAnsi="Times New Roman" w:eastAsia="仿宋_GB2312" w:cs="Times New Roman"/>
          <w:sz w:val="36"/>
          <w:szCs w:val="36"/>
          <w:u w:val="single"/>
          <w:lang w:val="zh-CN"/>
        </w:rPr>
        <w:t xml:space="preserve"> </w:t>
      </w:r>
      <w:r>
        <w:rPr>
          <w:rFonts w:hint="eastAsia" w:ascii="仿宋_GB2312" w:hAnsi="Times New Roman" w:eastAsia="仿宋_GB2312" w:cs="Times New Roman"/>
          <w:sz w:val="36"/>
          <w:szCs w:val="36"/>
          <w:u w:val="single"/>
          <w:lang w:val="en-US" w:eastAsia="zh-CN"/>
        </w:rPr>
        <w:t xml:space="preserve">     </w:t>
      </w:r>
      <w:r>
        <w:rPr>
          <w:rFonts w:hint="eastAsia" w:ascii="仿宋_GB2312" w:eastAsia="仿宋_GB2312" w:cs="Times New Roman"/>
          <w:sz w:val="36"/>
          <w:szCs w:val="36"/>
          <w:u w:val="single"/>
          <w:lang w:val="en-US" w:eastAsia="zh-CN"/>
        </w:rPr>
        <w:t xml:space="preserve">    </w:t>
      </w:r>
      <w:r>
        <w:rPr>
          <w:rFonts w:hint="eastAsia" w:ascii="仿宋_GB2312" w:hAnsi="Times New Roman" w:eastAsia="仿宋_GB2312" w:cs="Times New Roman"/>
          <w:sz w:val="36"/>
          <w:szCs w:val="36"/>
          <w:u w:val="single"/>
          <w:lang w:val="en-US" w:eastAsia="zh-CN"/>
        </w:rPr>
        <w:t xml:space="preserve">  </w:t>
      </w:r>
    </w:p>
    <w:p>
      <w:pPr>
        <w:adjustRightInd w:val="0"/>
        <w:snapToGrid w:val="0"/>
        <w:spacing w:line="288" w:lineRule="auto"/>
        <w:ind w:firstLine="1040"/>
        <w:rPr>
          <w:rFonts w:ascii="仿宋_GB2312" w:eastAsia="仿宋_GB2312"/>
          <w:color w:val="auto"/>
          <w:sz w:val="30"/>
          <w:szCs w:val="30"/>
          <w:u w:val="single"/>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hint="eastAsia" w:ascii="仿宋_GB2312" w:eastAsia="仿宋_GB2312"/>
          <w:color w:val="auto"/>
          <w:sz w:val="36"/>
          <w:szCs w:val="36"/>
        </w:rPr>
      </w:pPr>
    </w:p>
    <w:p>
      <w:pPr>
        <w:adjustRightInd w:val="0"/>
        <w:snapToGrid w:val="0"/>
        <w:spacing w:line="288" w:lineRule="auto"/>
        <w:ind w:firstLine="1040"/>
        <w:rPr>
          <w:rFonts w:hint="eastAsia" w:ascii="仿宋_GB2312" w:eastAsia="仿宋_GB2312"/>
          <w:color w:val="auto"/>
          <w:sz w:val="36"/>
          <w:szCs w:val="36"/>
        </w:rPr>
      </w:pPr>
    </w:p>
    <w:p>
      <w:pPr>
        <w:pStyle w:val="2"/>
        <w:rPr>
          <w:rFonts w:hint="eastAsia"/>
        </w:rPr>
      </w:pPr>
    </w:p>
    <w:p>
      <w:pPr>
        <w:adjustRightInd w:val="0"/>
        <w:snapToGrid w:val="0"/>
        <w:spacing w:line="288" w:lineRule="auto"/>
        <w:jc w:val="center"/>
        <w:rPr>
          <w:rFonts w:hint="eastAsia" w:ascii="楷体_GB2312" w:eastAsia="楷体_GB2312"/>
          <w:color w:val="auto"/>
          <w:sz w:val="36"/>
          <w:szCs w:val="36"/>
        </w:rPr>
        <w:sectPr>
          <w:footerReference r:id="rId3" w:type="default"/>
          <w:pgSz w:w="11906" w:h="16838"/>
          <w:pgMar w:top="1304" w:right="1304" w:bottom="1304" w:left="1361" w:header="851" w:footer="1077" w:gutter="0"/>
          <w:pgBorders>
            <w:top w:val="none" w:sz="0" w:space="0"/>
            <w:left w:val="none" w:sz="0" w:space="0"/>
            <w:bottom w:val="none" w:sz="0" w:space="0"/>
            <w:right w:val="none" w:sz="0" w:space="0"/>
          </w:pgBorders>
          <w:pgNumType w:fmt="numberInDash" w:start="1"/>
          <w:cols w:space="720" w:num="1"/>
          <w:docGrid w:linePitch="312" w:charSpace="0"/>
        </w:sectPr>
      </w:pPr>
      <w:r>
        <w:rPr>
          <w:rFonts w:hint="eastAsia" w:ascii="楷体_GB2312" w:eastAsia="楷体_GB2312"/>
          <w:color w:val="auto"/>
          <w:sz w:val="36"/>
          <w:szCs w:val="36"/>
        </w:rPr>
        <w:t>中华人民共和国生态环境部制</w:t>
      </w:r>
    </w:p>
    <w:p>
      <w:pPr>
        <w:rPr>
          <w:rFonts w:hint="eastAsia" w:ascii="黑体" w:hAnsi="黑体" w:eastAsia="黑体"/>
          <w:snapToGrid w:val="0"/>
          <w:sz w:val="30"/>
          <w:szCs w:val="30"/>
        </w:rPr>
      </w:pPr>
      <w:r>
        <w:rPr>
          <w:rFonts w:hint="eastAsia" w:ascii="黑体" w:hAnsi="黑体" w:eastAsia="黑体"/>
          <w:snapToGrid w:val="0"/>
          <w:sz w:val="30"/>
          <w:szCs w:val="30"/>
        </w:rPr>
        <w:drawing>
          <wp:inline distT="0" distB="0" distL="114300" distR="114300">
            <wp:extent cx="5864860" cy="8298815"/>
            <wp:effectExtent l="0" t="0" r="2540" b="6985"/>
            <wp:docPr id="10" name="图片 10" descr="4、编制单位和编制人员情况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编制单位和编制人员情况表_00"/>
                    <pic:cNvPicPr>
                      <a:picLocks noChangeAspect="1"/>
                    </pic:cNvPicPr>
                  </pic:nvPicPr>
                  <pic:blipFill>
                    <a:blip r:embed="rId6"/>
                    <a:stretch>
                      <a:fillRect/>
                    </a:stretch>
                  </pic:blipFill>
                  <pic:spPr>
                    <a:xfrm>
                      <a:off x="0" y="0"/>
                      <a:ext cx="5864860" cy="8298815"/>
                    </a:xfrm>
                    <a:prstGeom prst="rect">
                      <a:avLst/>
                    </a:prstGeom>
                  </pic:spPr>
                </pic:pic>
              </a:graphicData>
            </a:graphic>
          </wp:inline>
        </w:drawing>
      </w:r>
      <w:r>
        <w:rPr>
          <w:rFonts w:hint="eastAsia" w:ascii="黑体" w:hAnsi="黑体" w:eastAsia="黑体"/>
          <w:snapToGrid w:val="0"/>
          <w:sz w:val="30"/>
          <w:szCs w:val="30"/>
        </w:rPr>
        <w:drawing>
          <wp:inline distT="0" distB="0" distL="114300" distR="114300">
            <wp:extent cx="5860415" cy="8288020"/>
            <wp:effectExtent l="0" t="0" r="6985" b="17780"/>
            <wp:docPr id="11" name="图片 11" descr="5、建设项目环境影响报告书（表）编制情况承诺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建设项目环境影响报告书（表）编制情况承诺书_00"/>
                    <pic:cNvPicPr>
                      <a:picLocks noChangeAspect="1"/>
                    </pic:cNvPicPr>
                  </pic:nvPicPr>
                  <pic:blipFill>
                    <a:blip r:embed="rId7"/>
                    <a:stretch>
                      <a:fillRect/>
                    </a:stretch>
                  </pic:blipFill>
                  <pic:spPr>
                    <a:xfrm>
                      <a:off x="0" y="0"/>
                      <a:ext cx="5860415" cy="8288020"/>
                    </a:xfrm>
                    <a:prstGeom prst="rect">
                      <a:avLst/>
                    </a:prstGeom>
                  </pic:spPr>
                </pic:pic>
              </a:graphicData>
            </a:graphic>
          </wp:inline>
        </w:drawing>
      </w:r>
      <w:r>
        <w:rPr>
          <w:rFonts w:hint="eastAsia" w:ascii="黑体" w:hAnsi="黑体" w:eastAsia="黑体"/>
          <w:snapToGrid w:val="0"/>
          <w:sz w:val="30"/>
          <w:szCs w:val="30"/>
        </w:rPr>
        <w:br w:type="page"/>
      </w:r>
    </w:p>
    <w:p>
      <w:pPr>
        <w:pStyle w:val="21"/>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23"/>
        <w:tblW w:w="499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56"/>
        <w:gridCol w:w="1622"/>
        <w:gridCol w:w="2091"/>
        <w:gridCol w:w="2272"/>
        <w:gridCol w:w="11"/>
        <w:gridCol w:w="26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22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3770" w:type="pct"/>
            <w:gridSpan w:val="4"/>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zh-CN" w:eastAsia="zh-CN"/>
              </w:rPr>
              <w:t>和硕恒达石业有限公司新疆和硕县爱盖尔其西饰面石材花岗岩矿建设项目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22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3770" w:type="pct"/>
            <w:gridSpan w:val="4"/>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122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1128" w:type="pc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lang w:val="en-US" w:eastAsia="zh-CN"/>
              </w:rPr>
            </w:pPr>
          </w:p>
        </w:tc>
        <w:tc>
          <w:tcPr>
            <w:tcW w:w="1232" w:type="pct"/>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1409" w:type="pc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122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3770" w:type="pct"/>
            <w:gridSpan w:val="4"/>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新疆维吾尔自治区巴音郭楞蒙古自治州和硕县城东南方向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122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3770" w:type="pct"/>
            <w:gridSpan w:val="4"/>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bookmarkStart w:id="7" w:name="_GoBack"/>
            <w:bookmarkEnd w:id="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22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1128" w:type="pc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八、非金属矿采选业11土砂石开采（不含河道采砂项目）</w:t>
            </w:r>
          </w:p>
        </w:tc>
        <w:tc>
          <w:tcPr>
            <w:tcW w:w="1226" w:type="pc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用地（用海）面积（m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）/长度（km）</w:t>
            </w:r>
          </w:p>
        </w:tc>
        <w:tc>
          <w:tcPr>
            <w:tcW w:w="1415" w:type="pct"/>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981700（永久占地面981700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eastAsia" w:cs="Times New Roman"/>
                <w:color w:val="auto"/>
                <w:sz w:val="24"/>
                <w:szCs w:val="24"/>
                <w:vertAlign w:val="baseline"/>
                <w:lang w:eastAsia="zh-CN"/>
              </w:rPr>
              <w:t>；</w:t>
            </w:r>
            <w:r>
              <w:rPr>
                <w:rFonts w:hint="eastAsia" w:cs="Times New Roman"/>
                <w:color w:val="auto"/>
                <w:sz w:val="24"/>
                <w:szCs w:val="24"/>
                <w:vertAlign w:val="baseline"/>
                <w:lang w:val="en-US" w:eastAsia="zh-CN"/>
              </w:rPr>
              <w:t>临时占地0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eastAsia"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22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1128" w:type="pct"/>
            <w:noWrap w:val="0"/>
            <w:vAlign w:val="center"/>
          </w:tcPr>
          <w:p>
            <w:pPr>
              <w:pStyle w:val="70"/>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w:char="00FE"/>
            </w:r>
            <w:r>
              <w:rPr>
                <w:rFonts w:hint="default" w:ascii="Times New Roman" w:hAnsi="Times New Roman" w:cs="Times New Roman"/>
                <w:color w:val="auto"/>
                <w:sz w:val="24"/>
                <w:szCs w:val="24"/>
              </w:rPr>
              <w:t>新建（迁建）</w:t>
            </w:r>
          </w:p>
          <w:p>
            <w:pPr>
              <w:pStyle w:val="70"/>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w:char="00A8"/>
            </w:r>
            <w:r>
              <w:rPr>
                <w:rFonts w:hint="default" w:ascii="Times New Roman" w:hAnsi="Times New Roman" w:cs="Times New Roman"/>
                <w:color w:val="auto"/>
                <w:sz w:val="24"/>
                <w:szCs w:val="24"/>
              </w:rPr>
              <w:t>改建</w:t>
            </w:r>
          </w:p>
          <w:p>
            <w:pPr>
              <w:pStyle w:val="70"/>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w:char="00A8"/>
            </w:r>
            <w:r>
              <w:rPr>
                <w:rFonts w:hint="default" w:ascii="Times New Roman" w:hAnsi="Times New Roman" w:cs="Times New Roman"/>
                <w:color w:val="auto"/>
                <w:sz w:val="24"/>
                <w:szCs w:val="24"/>
              </w:rPr>
              <w:t>扩建</w:t>
            </w:r>
          </w:p>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w:char="00A8"/>
            </w:r>
            <w:r>
              <w:rPr>
                <w:rFonts w:hint="default" w:ascii="Times New Roman" w:hAnsi="Times New Roman" w:cs="Times New Roman"/>
                <w:color w:val="auto"/>
                <w:sz w:val="24"/>
                <w:szCs w:val="24"/>
              </w:rPr>
              <w:t>技术改造</w:t>
            </w:r>
          </w:p>
        </w:tc>
        <w:tc>
          <w:tcPr>
            <w:tcW w:w="1226" w:type="pc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1415" w:type="pct"/>
            <w:gridSpan w:val="2"/>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首次申报项目</w:t>
            </w:r>
          </w:p>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□不予批准后再次申报项目</w:t>
            </w:r>
          </w:p>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□超五年重新审核项目</w:t>
            </w:r>
          </w:p>
          <w:p>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22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备案）部门（选填）</w:t>
            </w:r>
          </w:p>
        </w:tc>
        <w:tc>
          <w:tcPr>
            <w:tcW w:w="1128" w:type="pc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无</w:t>
            </w:r>
          </w:p>
        </w:tc>
        <w:tc>
          <w:tcPr>
            <w:tcW w:w="1226" w:type="pc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1415" w:type="pct"/>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1" w:hRule="atLeast"/>
        </w:trPr>
        <w:tc>
          <w:tcPr>
            <w:tcW w:w="122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1128" w:type="pc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750</w:t>
            </w:r>
          </w:p>
        </w:tc>
        <w:tc>
          <w:tcPr>
            <w:tcW w:w="1226"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1415" w:type="pct"/>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5" w:hRule="atLeast"/>
        </w:trPr>
        <w:tc>
          <w:tcPr>
            <w:tcW w:w="122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1128" w:type="pct"/>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7.95</w:t>
            </w:r>
          </w:p>
        </w:tc>
        <w:tc>
          <w:tcPr>
            <w:tcW w:w="1226"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1415" w:type="pct"/>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229" w:type="pct"/>
            <w:gridSpan w:val="2"/>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3770" w:type="pct"/>
            <w:gridSpan w:val="4"/>
            <w:noWrap w:val="0"/>
            <w:vAlign w:val="center"/>
          </w:tcPr>
          <w:p>
            <w:pPr>
              <w:keepNext w:val="0"/>
              <w:keepLines w:val="0"/>
              <w:pageBreakBefore w:val="0"/>
              <w:widowControl w:val="0"/>
              <w:kinsoku/>
              <w:wordWrap/>
              <w:overflowPunct/>
              <w:topLinePunct w:val="0"/>
              <w:bidi w:val="0"/>
              <w:adjustRightInd w:val="0"/>
              <w:snapToGrid w:val="0"/>
              <w:ind w:firstLine="105"/>
              <w:jc w:val="left"/>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否</w:t>
            </w:r>
          </w:p>
          <w:p>
            <w:pPr>
              <w:keepNext w:val="0"/>
              <w:keepLines w:val="0"/>
              <w:pageBreakBefore w:val="0"/>
              <w:widowControl w:val="0"/>
              <w:kinsoku/>
              <w:wordWrap/>
              <w:overflowPunct/>
              <w:topLinePunct w:val="0"/>
              <w:bidi w:val="0"/>
              <w:adjustRightInd w:val="0"/>
              <w:snapToGrid w:val="0"/>
              <w:ind w:firstLine="92"/>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5" w:hRule="atLeast"/>
        </w:trPr>
        <w:tc>
          <w:tcPr>
            <w:tcW w:w="1229" w:type="pct"/>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3770" w:type="pct"/>
            <w:gridSpan w:val="4"/>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80" w:hRule="atLeast"/>
        </w:trPr>
        <w:tc>
          <w:tcPr>
            <w:tcW w:w="1229" w:type="pct"/>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3770" w:type="pct"/>
            <w:gridSpan w:val="4"/>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ind w:firstLine="480" w:firstLineChars="200"/>
              <w:jc w:val="both"/>
              <w:textAlignment w:val="auto"/>
              <w:rPr>
                <w:rFonts w:hint="default" w:ascii="Times New Roman" w:hAnsi="Times New Roman" w:cs="Times New Roman"/>
                <w:color w:val="auto"/>
                <w:kern w:val="0"/>
                <w:sz w:val="24"/>
                <w:szCs w:val="24"/>
                <w:lang w:val="en-US" w:eastAsia="zh-CN"/>
              </w:rPr>
            </w:pPr>
            <w:r>
              <w:rPr>
                <w:rFonts w:hint="eastAsia" w:cs="Times New Roman"/>
                <w:color w:val="auto"/>
                <w:kern w:val="0"/>
                <w:sz w:val="24"/>
                <w:szCs w:val="24"/>
                <w:lang w:val="en-US" w:eastAsia="zh-CN"/>
              </w:rPr>
              <w:t>（1）</w:t>
            </w:r>
            <w:r>
              <w:rPr>
                <w:rFonts w:hint="default" w:ascii="Times New Roman" w:hAnsi="Times New Roman" w:cs="Times New Roman"/>
                <w:color w:val="auto"/>
                <w:kern w:val="0"/>
                <w:sz w:val="24"/>
                <w:szCs w:val="24"/>
                <w:lang w:val="en-US" w:eastAsia="zh-CN"/>
              </w:rPr>
              <w:t>规划名称：新疆维吾尔自治区矿产资源总体规划（2021-2025年）</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both"/>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审批机关：中华人民共和国自然资源部</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both"/>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审批文件：《关于〈新疆维吾尔自治区矿产资源总体规划（2021~2025年）〉的审查意见》</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both"/>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审批文号为：自然资函</w:t>
            </w:r>
            <w:r>
              <w:rPr>
                <w:rFonts w:hint="eastAsia" w:cs="Times New Roman"/>
                <w:color w:val="auto"/>
                <w:kern w:val="0"/>
                <w:sz w:val="24"/>
                <w:szCs w:val="24"/>
                <w:lang w:val="en-US" w:eastAsia="zh-CN"/>
              </w:rPr>
              <w:t>〔2022〕1092号</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（2）规划名称：《巴音郭楞蒙古自治州矿产资源总体规划（2021-2025年）》</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查组织机关：巴音郭楞蒙古自治州自治区人民政府</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审批文件名称及文号：规划已发布，未发布审批文件</w:t>
            </w:r>
          </w:p>
          <w:p>
            <w:pPr>
              <w:pStyle w:val="2"/>
              <w:numPr>
                <w:ilvl w:val="0"/>
                <w:numId w:val="0"/>
              </w:numPr>
              <w:ind w:firstLine="240" w:firstLineChars="1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bidi="ar-SA"/>
              </w:rPr>
              <w:t>（3）</w:t>
            </w:r>
            <w:r>
              <w:rPr>
                <w:rFonts w:hint="default" w:ascii="Times New Roman" w:hAnsi="Times New Roman" w:eastAsia="宋体" w:cs="Times New Roman"/>
                <w:color w:val="auto"/>
                <w:kern w:val="0"/>
                <w:sz w:val="24"/>
                <w:szCs w:val="24"/>
                <w:lang w:val="en-US" w:eastAsia="zh-CN"/>
              </w:rPr>
              <w:t>规划名称：《和硕县矿产资源总体规划（2021-2025年）》</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查组织机关：</w:t>
            </w:r>
            <w:r>
              <w:rPr>
                <w:rFonts w:hint="eastAsia" w:cs="Times New Roman"/>
                <w:color w:val="auto"/>
                <w:kern w:val="0"/>
                <w:sz w:val="24"/>
                <w:szCs w:val="24"/>
                <w:lang w:val="en-US" w:eastAsia="zh-CN"/>
              </w:rPr>
              <w:t>和硕县</w:t>
            </w:r>
            <w:r>
              <w:rPr>
                <w:rFonts w:hint="default" w:ascii="Times New Roman" w:hAnsi="Times New Roman" w:eastAsia="宋体" w:cs="Times New Roman"/>
                <w:color w:val="auto"/>
                <w:kern w:val="0"/>
                <w:sz w:val="24"/>
                <w:szCs w:val="24"/>
                <w:lang w:val="en-US" w:eastAsia="zh-CN"/>
              </w:rPr>
              <w:t>人民政府</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both"/>
              <w:textAlignment w:val="auto"/>
              <w:rPr>
                <w:rFonts w:hint="default"/>
                <w:color w:val="auto"/>
                <w:lang w:val="en-US" w:eastAsia="zh-CN"/>
              </w:rPr>
            </w:pPr>
            <w:r>
              <w:rPr>
                <w:rFonts w:hint="default" w:ascii="Times New Roman" w:hAnsi="Times New Roman" w:eastAsia="宋体" w:cs="Times New Roman"/>
                <w:color w:val="auto"/>
                <w:kern w:val="0"/>
                <w:sz w:val="24"/>
                <w:szCs w:val="24"/>
                <w:lang w:val="en-US" w:eastAsia="zh-CN"/>
              </w:rPr>
              <w:t>审批文件名称及文号：规划已发布，未发布审批文件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823" w:hRule="atLeast"/>
        </w:trPr>
        <w:tc>
          <w:tcPr>
            <w:tcW w:w="1229" w:type="pct"/>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3770" w:type="pct"/>
            <w:gridSpan w:val="4"/>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rPr>
                <w:rFonts w:hint="eastAsia" w:ascii="Times New Roman" w:hAnsi="Times New Roman" w:cs="Times New Roman"/>
                <w:color w:val="auto"/>
                <w:kern w:val="0"/>
                <w:sz w:val="24"/>
                <w:szCs w:val="24"/>
                <w:lang w:val="en-US" w:eastAsia="zh-CN" w:bidi="ar-SA"/>
              </w:rPr>
            </w:pPr>
            <w:r>
              <w:rPr>
                <w:rFonts w:hint="eastAsia" w:ascii="Times New Roman" w:hAnsi="Times New Roman" w:cs="Times New Roman"/>
                <w:color w:val="auto"/>
                <w:kern w:val="0"/>
                <w:sz w:val="24"/>
                <w:szCs w:val="24"/>
                <w:lang w:val="en-US" w:eastAsia="zh-CN" w:bidi="ar-SA"/>
              </w:rPr>
              <w:t>规划环境影响评价文件名称：新疆维吾尔自治区矿产资源总体规划（2021-2025年）环境影响报告书</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eastAsia" w:ascii="Times New Roman" w:hAnsi="Times New Roman" w:cs="Times New Roman"/>
                <w:color w:val="auto"/>
                <w:kern w:val="0"/>
                <w:sz w:val="24"/>
                <w:szCs w:val="24"/>
                <w:lang w:val="en-US" w:eastAsia="zh-CN" w:bidi="ar-SA"/>
              </w:rPr>
            </w:pPr>
            <w:r>
              <w:rPr>
                <w:rFonts w:hint="eastAsia" w:ascii="Times New Roman" w:hAnsi="Times New Roman" w:cs="Times New Roman"/>
                <w:color w:val="auto"/>
                <w:kern w:val="0"/>
                <w:sz w:val="24"/>
                <w:szCs w:val="24"/>
                <w:lang w:val="en-US" w:eastAsia="zh-CN" w:bidi="ar-SA"/>
              </w:rPr>
              <w:t>审查机关：中华人民共和国生态环境部</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eastAsia" w:ascii="Times New Roman" w:hAnsi="Times New Roman" w:cs="Times New Roman"/>
                <w:color w:val="auto"/>
                <w:kern w:val="0"/>
                <w:sz w:val="24"/>
                <w:szCs w:val="24"/>
                <w:lang w:val="en-US" w:eastAsia="zh-CN" w:bidi="ar-SA"/>
              </w:rPr>
            </w:pPr>
            <w:r>
              <w:rPr>
                <w:rFonts w:hint="eastAsia" w:ascii="Times New Roman" w:hAnsi="Times New Roman" w:cs="Times New Roman"/>
                <w:color w:val="auto"/>
                <w:kern w:val="0"/>
                <w:sz w:val="24"/>
                <w:szCs w:val="24"/>
                <w:lang w:val="en-US" w:eastAsia="zh-CN" w:bidi="ar-SA"/>
              </w:rPr>
              <w:t>审查批复：《关于新疆维吾尔自治区矿产资源总体规划（2021-2025年）环境影响报告书的审查意见》</w:t>
            </w:r>
          </w:p>
          <w:p>
            <w:pPr>
              <w:keepNext w:val="0"/>
              <w:keepLines w:val="0"/>
              <w:pageBreakBefore w:val="0"/>
              <w:widowControl w:val="0"/>
              <w:kinsoku/>
              <w:wordWrap/>
              <w:overflowPunct/>
              <w:topLinePunct w:val="0"/>
              <w:bidi w:val="0"/>
              <w:adjustRightInd w:val="0"/>
              <w:snapToGrid w:val="0"/>
              <w:spacing w:line="240" w:lineRule="auto"/>
              <w:jc w:val="both"/>
              <w:textAlignment w:val="auto"/>
              <w:rPr>
                <w:rFonts w:hint="eastAsia" w:ascii="Times New Roman" w:hAnsi="Times New Roman" w:cs="Times New Roman"/>
                <w:color w:val="auto"/>
                <w:kern w:val="0"/>
                <w:sz w:val="24"/>
                <w:szCs w:val="24"/>
                <w:lang w:val="en-US" w:eastAsia="zh-CN" w:bidi="ar-SA"/>
              </w:rPr>
            </w:pPr>
            <w:r>
              <w:rPr>
                <w:rFonts w:hint="eastAsia" w:ascii="Times New Roman" w:hAnsi="Times New Roman" w:cs="Times New Roman"/>
                <w:color w:val="auto"/>
                <w:kern w:val="0"/>
                <w:sz w:val="24"/>
                <w:szCs w:val="24"/>
                <w:lang w:val="en-US" w:eastAsia="zh-CN" w:bidi="ar-SA"/>
              </w:rPr>
              <w:t>审查文号：环审〔2022〕124号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662" w:hRule="atLeast"/>
        </w:trPr>
        <w:tc>
          <w:tcPr>
            <w:tcW w:w="354" w:type="pct"/>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w:t>
            </w:r>
            <w:r>
              <w:rPr>
                <w:rFonts w:hint="default" w:ascii="Times New Roman" w:hAnsi="Times New Roman" w:cs="Times New Roman"/>
                <w:color w:val="auto"/>
                <w:sz w:val="24"/>
                <w:szCs w:val="24"/>
              </w:rPr>
              <w:t>规划环境影响评价</w:t>
            </w:r>
            <w:r>
              <w:rPr>
                <w:rFonts w:hint="default" w:ascii="Times New Roman" w:hAnsi="Times New Roman" w:cs="Times New Roman"/>
                <w:color w:val="auto"/>
                <w:kern w:val="0"/>
                <w:sz w:val="24"/>
                <w:szCs w:val="24"/>
              </w:rPr>
              <w:t>符合性分析</w:t>
            </w:r>
          </w:p>
        </w:tc>
        <w:tc>
          <w:tcPr>
            <w:tcW w:w="4645" w:type="pct"/>
            <w:gridSpan w:val="5"/>
            <w:noWrap w:val="0"/>
            <w:tcMar>
              <w:top w:w="16" w:type="dxa"/>
              <w:left w:w="16" w:type="dxa"/>
              <w:right w:w="16"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w:t>
            </w:r>
            <w:r>
              <w:rPr>
                <w:rFonts w:hint="eastAsia" w:ascii="Times New Roman" w:hAnsi="Times New Roman" w:eastAsia="宋体" w:cs="Times New Roman"/>
                <w:b w:val="0"/>
                <w:bCs w:val="0"/>
                <w:color w:val="auto"/>
                <w:sz w:val="24"/>
                <w:szCs w:val="24"/>
                <w:lang w:val="en-US" w:eastAsia="zh-CN"/>
              </w:rPr>
              <w:t>、与《新疆维吾尔自治区矿产资源总体规划（</w:t>
            </w:r>
            <w:r>
              <w:rPr>
                <w:rFonts w:hint="default" w:ascii="Times New Roman" w:hAnsi="Times New Roman" w:eastAsia="宋体" w:cs="Times New Roman"/>
                <w:b w:val="0"/>
                <w:bCs w:val="0"/>
                <w:color w:val="auto"/>
                <w:sz w:val="24"/>
                <w:szCs w:val="24"/>
                <w:lang w:val="en-US" w:eastAsia="zh-CN"/>
              </w:rPr>
              <w:t>2021</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2025</w:t>
            </w:r>
            <w:r>
              <w:rPr>
                <w:rFonts w:hint="eastAsia" w:ascii="Times New Roman" w:hAnsi="Times New Roman" w:eastAsia="宋体" w:cs="Times New Roman"/>
                <w:b w:val="0"/>
                <w:bCs w:val="0"/>
                <w:color w:val="auto"/>
                <w:sz w:val="24"/>
                <w:szCs w:val="24"/>
                <w:lang w:val="en-US" w:eastAsia="zh-CN"/>
              </w:rPr>
              <w:t>年）》的符合性分析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新疆矿产资源丰富，具有资源优势突出、矿种齐全、分布广、配套程度高、部分矿种资源储量大、质量好等特点，是我国重要的能源资源开发区。围绕新疆“三屏两环多廊”的生态安全格局，坚持矿产资源开发与资源环境承载力相匹配，做好与国家和新疆区域发展战略及主体功能区的衔接，执行国土空间三条控制线内矿业活动管控要求，探索对三条控制线内、建设项目压覆、政策性关闭矿山的矿产资源保护与储备。落实生态环境准入清单，严格矿产资源开发禁止和限制的环境准入要求。坚守环境质量底线，加强矿产资源开发管控，合理调控全区矿产资源开发利用总量、强度，提高矿产资源利用效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依据矿产资源分布特点及勘查开发利用现状，按照“深化北疆东疆，加快南疆勘查开发”的总体思路，划分环准噶尔、环塔里木、阿尔泰、东准噶尔、西准噶尔、东天山、西天山、西南天山、西昆仑、东昆仑—阿尔金等“两环八带”十个勘查开发区。规划要求对产生的污染物采取相应的治理措施，对实施过程中产生的生态影响采取有效的减缓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zh-CN" w:eastAsia="zh-CN"/>
              </w:rPr>
              <w:t>和硕恒达石业有限公司新疆和硕县爱盖尔其西饰面石材花岗岩矿建设项目</w:t>
            </w:r>
            <w:r>
              <w:rPr>
                <w:rFonts w:hint="eastAsia" w:ascii="Times New Roman" w:hAnsi="Times New Roman" w:eastAsia="宋体" w:cs="Times New Roman"/>
                <w:color w:val="auto"/>
                <w:sz w:val="24"/>
                <w:szCs w:val="24"/>
                <w:lang w:val="en-US" w:eastAsia="zh-CN"/>
              </w:rPr>
              <w:t>位于“‘两环八带’十个勘查开发区”中的东天山能源矿产、黑色及有色金属勘查开发区，对开采过程产生的“三废”、噪声及生态影响均提出了相应的治理或减缓措施，符合规划相关要求。</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w:t>
            </w:r>
            <w:r>
              <w:rPr>
                <w:rFonts w:hint="eastAsia" w:ascii="Times New Roman" w:hAnsi="Times New Roman" w:eastAsia="宋体" w:cs="Times New Roman"/>
                <w:b w:val="0"/>
                <w:bCs w:val="0"/>
                <w:color w:val="auto"/>
                <w:sz w:val="24"/>
                <w:szCs w:val="24"/>
                <w:lang w:val="en-US" w:eastAsia="zh-CN"/>
              </w:rPr>
              <w:t>、与《巴音郭楞蒙古自治州矿产资源总体规划（2021-2025年）》的符合性分析</w:t>
            </w:r>
          </w:p>
          <w:p>
            <w:pPr>
              <w:pStyle w:val="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snapToGrid/>
                <w:color w:val="auto"/>
                <w:spacing w:val="0"/>
                <w:kern w:val="2"/>
                <w:sz w:val="24"/>
                <w:szCs w:val="24"/>
                <w:lang w:val="en-US" w:eastAsia="zh-CN" w:bidi="ar-SA"/>
              </w:rPr>
            </w:pPr>
            <w:r>
              <w:rPr>
                <w:rFonts w:hint="default" w:ascii="Times New Roman" w:hAnsi="Times New Roman" w:eastAsia="宋体" w:cs="Times New Roman"/>
                <w:snapToGrid/>
                <w:color w:val="auto"/>
                <w:spacing w:val="0"/>
                <w:kern w:val="2"/>
                <w:sz w:val="24"/>
                <w:szCs w:val="24"/>
                <w:lang w:val="en-US" w:eastAsia="zh-CN" w:bidi="ar-SA"/>
              </w:rPr>
              <w:t>重点开采矿种：煤、煤层气、地热等能源矿产，铁、铜、铅锌、镍、锡、金、银、锂、铍、铌、钽等金属矿产，钾盐、萤石、硅质原料、菱镁矿等非金属矿产；限制开采矿种：限制开采高硫、高灰、高砷、高氟煤炭，砖瓦用粘土、建筑用砂、石灰岩、石棉等矿产，严格控制钨、稀土等特定保护性开采矿产。严禁新设非共伴生硫铁矿开采项目，“限粘”县市禁止新设砖瓦用粘土采矿权；禁止开采矿种：禁止开采灰分大于40％或含硫大于3％、砷和放射性等有毒有害物质超过规定标准的煤炭项目，砂金、砂铁、汞、可耕地砖瓦用粘土等矿产；对重点开采矿种，优先投放采矿权，严格规范采矿权人准入条件，对矿产资源开采总量进行调控；对限制开采矿种，坚持生态保护优先原则，严格采矿权人准入条件，对矿产资源开采总量进行调控。</w:t>
            </w:r>
          </w:p>
          <w:p>
            <w:pPr>
              <w:pStyle w:val="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snapToGrid/>
                <w:color w:val="auto"/>
                <w:spacing w:val="0"/>
                <w:kern w:val="2"/>
                <w:sz w:val="24"/>
                <w:szCs w:val="24"/>
                <w:lang w:val="en-US" w:eastAsia="zh-CN" w:bidi="ar-SA"/>
              </w:rPr>
            </w:pPr>
            <w:r>
              <w:rPr>
                <w:rFonts w:hint="default" w:ascii="Times New Roman" w:hAnsi="Times New Roman" w:eastAsia="宋体" w:cs="Times New Roman"/>
                <w:snapToGrid/>
                <w:color w:val="auto"/>
                <w:spacing w:val="0"/>
                <w:kern w:val="2"/>
                <w:sz w:val="24"/>
                <w:szCs w:val="24"/>
                <w:lang w:val="en-US" w:eastAsia="zh-CN" w:bidi="ar-SA"/>
              </w:rPr>
              <w:t>落实自治区规划，规划重点开采区8个，巴州规划重点开采区15个，在重点开采区内向资源利用率高、技术先进的大型矿山企业倾斜矿产资源配置，引导和支持各类生产要素集聚，优化资源配置，进一步做好矿产资源整合，推动资源的规模化开发和集约利用，稳定矿产资源产业链、供应链，打造新型现代化资源高效开发利用示范区</w:t>
            </w:r>
          </w:p>
          <w:p>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color w:val="auto"/>
                <w:lang w:val="en-US" w:eastAsia="zh-CN"/>
              </w:rPr>
            </w:pPr>
            <w:r>
              <w:rPr>
                <w:rFonts w:hint="eastAsia" w:ascii="Times New Roman" w:hAnsi="Times New Roman" w:eastAsia="宋体" w:cs="Times New Roman"/>
                <w:color w:val="auto"/>
                <w:sz w:val="24"/>
                <w:szCs w:val="24"/>
                <w:lang w:val="zh-CN" w:eastAsia="zh-CN"/>
              </w:rPr>
              <w:t>和硕恒达石业有限公司新疆和硕县爱盖尔其西饰面石材花岗岩矿建设项目</w:t>
            </w:r>
            <w:r>
              <w:rPr>
                <w:rFonts w:hint="eastAsia" w:ascii="Times New Roman" w:hAnsi="Times New Roman" w:eastAsia="宋体" w:cs="Times New Roman"/>
                <w:color w:val="auto"/>
                <w:sz w:val="24"/>
                <w:szCs w:val="24"/>
                <w:lang w:val="en-US" w:eastAsia="zh-CN"/>
              </w:rPr>
              <w:t>属于“新疆和硕县爱盖尔琪一带饰面石材重点开采区”，本项目已取得采矿许可证。证书编号为：C6528002025047210158310。本项目已编制矿产资源开发利用与生态保护修复方案，做好矿山中长期开采规划和短期开采计划的编制，采场作业面推进均衡有序，符合规划相关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3</w:t>
            </w:r>
            <w:r>
              <w:rPr>
                <w:rFonts w:hint="eastAsia" w:ascii="Times New Roman" w:hAnsi="Times New Roman" w:eastAsia="宋体" w:cs="Times New Roman"/>
                <w:b w:val="0"/>
                <w:bCs w:val="0"/>
                <w:color w:val="auto"/>
                <w:sz w:val="24"/>
                <w:szCs w:val="24"/>
                <w:lang w:val="en-US" w:eastAsia="zh-CN"/>
              </w:rPr>
              <w:t>、与《新疆维吾尔自治区矿产资源总体规划（</w:t>
            </w:r>
            <w:r>
              <w:rPr>
                <w:rFonts w:hint="default" w:ascii="Times New Roman" w:hAnsi="Times New Roman" w:eastAsia="宋体" w:cs="Times New Roman"/>
                <w:b w:val="0"/>
                <w:bCs w:val="0"/>
                <w:color w:val="auto"/>
                <w:sz w:val="24"/>
                <w:szCs w:val="24"/>
                <w:lang w:val="en-US" w:eastAsia="zh-CN"/>
              </w:rPr>
              <w:t>2021</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2025年</w:t>
            </w:r>
            <w:r>
              <w:rPr>
                <w:rFonts w:hint="eastAsia" w:ascii="Times New Roman" w:hAnsi="Times New Roman" w:eastAsia="宋体" w:cs="Times New Roman"/>
                <w:b w:val="0"/>
                <w:bCs w:val="0"/>
                <w:color w:val="auto"/>
                <w:sz w:val="24"/>
                <w:szCs w:val="24"/>
                <w:lang w:val="en-US" w:eastAsia="zh-CN"/>
              </w:rPr>
              <w:t>）环境影响报告书》及批复的符合性分析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根据《新疆维吾尔自治区矿产资源总体规划（</w:t>
            </w:r>
            <w:r>
              <w:rPr>
                <w:rFonts w:hint="default" w:ascii="Times New Roman" w:hAnsi="Times New Roman" w:eastAsia="宋体" w:cs="Times New Roman"/>
                <w:color w:val="auto"/>
                <w:sz w:val="24"/>
                <w:szCs w:val="24"/>
                <w:lang w:val="en-US" w:eastAsia="zh-CN"/>
              </w:rPr>
              <w:t>2021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2025年</w:t>
            </w:r>
            <w:r>
              <w:rPr>
                <w:rFonts w:hint="eastAsia" w:ascii="Times New Roman" w:hAnsi="Times New Roman" w:eastAsia="宋体" w:cs="Times New Roman"/>
                <w:color w:val="auto"/>
                <w:sz w:val="24"/>
                <w:szCs w:val="24"/>
                <w:lang w:val="en-US" w:eastAsia="zh-CN"/>
              </w:rPr>
              <w:t>）环境影响报告书》及批复的要求，严格环境准入，保护区域生态功能。按照新疆维吾尔自治区生态环境分区管控方案、生态环境保护规划等新要求，与大气环境优先保护区、水环境优先保护区、农用地优先保护区等存在空间重</w:t>
            </w:r>
            <w:r>
              <w:rPr>
                <w:rFonts w:hint="eastAsia" w:cs="Times New Roman"/>
                <w:color w:val="auto"/>
                <w:sz w:val="24"/>
                <w:szCs w:val="24"/>
                <w:lang w:val="en-US" w:eastAsia="zh-CN"/>
              </w:rPr>
              <w:t>叠</w:t>
            </w:r>
            <w:r>
              <w:rPr>
                <w:rFonts w:hint="eastAsia" w:ascii="Times New Roman" w:hAnsi="Times New Roman" w:eastAsia="宋体" w:cs="Times New Roman"/>
                <w:color w:val="auto"/>
                <w:sz w:val="24"/>
                <w:szCs w:val="24"/>
                <w:lang w:val="en-US" w:eastAsia="zh-CN"/>
              </w:rPr>
              <w:t>的现有矿业权、勘查规划区块、开采规划区块，应严格执行相应管控要求，控制勘查、开采活动范围和强度，严格执行绿色勘查、开采及矿山环境生态保护修复相关要求，确保生态系统结构和主要功能不受破坏。严格控制涉及生物多样性保护优先区域、国家重点生态功能区、国家重</w:t>
            </w:r>
            <w:r>
              <w:rPr>
                <w:rFonts w:hint="eastAsia" w:cs="Times New Roman"/>
                <w:color w:val="auto"/>
                <w:sz w:val="24"/>
                <w:szCs w:val="24"/>
                <w:lang w:val="en-US" w:eastAsia="zh-CN"/>
              </w:rPr>
              <w:t>点</w:t>
            </w:r>
            <w:r>
              <w:rPr>
                <w:rFonts w:hint="eastAsia" w:ascii="Times New Roman" w:hAnsi="Times New Roman" w:eastAsia="宋体" w:cs="Times New Roman"/>
                <w:color w:val="auto"/>
                <w:sz w:val="24"/>
                <w:szCs w:val="24"/>
                <w:lang w:val="en-US" w:eastAsia="zh-CN"/>
              </w:rPr>
              <w:t>生态功能区、水源涵养区、水土流失重点防治区等区域矿产资源开发活动，并采取相应保护措施，防止加剧对重点生态功能区的不良环境影响。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选址不在水源涵养区、地下水源、饮用水源、各类自然保护区、自然生态良好区域、风景名胜区和人群密集区等生态敏感区域。项目产生的各类废气经处理后稳定达标排放，机械噪声采用隔声、减震等措施降噪达标排放，固体废物根据相关技术要求妥善处理。综上所述，项目投产后各污染物均能做到稳定达标排放，项目的建设符合《新疆维吾尔自治区矿产资源总体规划（</w:t>
            </w:r>
            <w:r>
              <w:rPr>
                <w:rFonts w:hint="default" w:ascii="Times New Roman" w:hAnsi="Times New Roman" w:eastAsia="宋体" w:cs="Times New Roman"/>
                <w:color w:val="auto"/>
                <w:sz w:val="24"/>
                <w:szCs w:val="24"/>
                <w:lang w:val="en-US" w:eastAsia="zh-CN"/>
              </w:rPr>
              <w:t>2021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2025</w:t>
            </w:r>
            <w:r>
              <w:rPr>
                <w:rFonts w:hint="eastAsia" w:ascii="Times New Roman" w:hAnsi="Times New Roman" w:eastAsia="宋体" w:cs="Times New Roman"/>
                <w:color w:val="auto"/>
                <w:sz w:val="24"/>
                <w:szCs w:val="24"/>
                <w:lang w:val="en-US" w:eastAsia="zh-CN"/>
              </w:rPr>
              <w:t>年）环境影响报告书》及批复的要求。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shd w:val="clear" w:color="auto" w:fill="auto"/>
                <w:lang w:val="en-US" w:eastAsia="zh-CN"/>
              </w:rPr>
            </w:pPr>
            <w:r>
              <w:rPr>
                <w:rFonts w:hint="eastAsia" w:ascii="Times New Roman" w:hAnsi="Times New Roman" w:eastAsia="宋体" w:cs="Times New Roman"/>
                <w:b w:val="0"/>
                <w:bCs w:val="0"/>
                <w:color w:val="auto"/>
                <w:sz w:val="24"/>
                <w:szCs w:val="24"/>
                <w:shd w:val="clear" w:color="auto" w:fill="auto"/>
                <w:lang w:val="en-US" w:eastAsia="zh-CN"/>
              </w:rPr>
              <w:t>4、与《</w:t>
            </w:r>
            <w:r>
              <w:rPr>
                <w:rFonts w:hint="eastAsia" w:cs="Times New Roman"/>
                <w:b w:val="0"/>
                <w:bCs w:val="0"/>
                <w:color w:val="auto"/>
                <w:sz w:val="24"/>
                <w:szCs w:val="24"/>
                <w:shd w:val="clear" w:color="auto" w:fill="auto"/>
                <w:lang w:val="en-US" w:eastAsia="zh-CN"/>
              </w:rPr>
              <w:t>和硕县</w:t>
            </w:r>
            <w:r>
              <w:rPr>
                <w:rFonts w:hint="eastAsia" w:ascii="Times New Roman" w:hAnsi="Times New Roman" w:eastAsia="宋体" w:cs="Times New Roman"/>
                <w:b w:val="0"/>
                <w:bCs w:val="0"/>
                <w:color w:val="auto"/>
                <w:sz w:val="24"/>
                <w:szCs w:val="24"/>
                <w:shd w:val="clear" w:color="auto" w:fill="auto"/>
                <w:lang w:val="en-US" w:eastAsia="zh-CN"/>
              </w:rPr>
              <w:t>矿产资源总体规划（</w:t>
            </w:r>
            <w:r>
              <w:rPr>
                <w:rFonts w:hint="default" w:ascii="Times New Roman" w:hAnsi="Times New Roman" w:eastAsia="宋体" w:cs="Times New Roman"/>
                <w:b w:val="0"/>
                <w:bCs w:val="0"/>
                <w:color w:val="auto"/>
                <w:sz w:val="24"/>
                <w:szCs w:val="24"/>
                <w:shd w:val="clear" w:color="auto" w:fill="auto"/>
                <w:lang w:val="en-US" w:eastAsia="zh-CN"/>
              </w:rPr>
              <w:t>2021</w:t>
            </w:r>
            <w:r>
              <w:rPr>
                <w:rFonts w:hint="eastAsia" w:ascii="Times New Roman" w:hAnsi="Times New Roman" w:eastAsia="宋体" w:cs="Times New Roman"/>
                <w:b w:val="0"/>
                <w:bCs w:val="0"/>
                <w:color w:val="auto"/>
                <w:sz w:val="24"/>
                <w:szCs w:val="24"/>
                <w:shd w:val="clear" w:color="auto" w:fill="auto"/>
                <w:lang w:val="en-US" w:eastAsia="zh-CN"/>
              </w:rPr>
              <w:t>-</w:t>
            </w:r>
            <w:r>
              <w:rPr>
                <w:rFonts w:hint="default" w:ascii="Times New Roman" w:hAnsi="Times New Roman" w:eastAsia="宋体" w:cs="Times New Roman"/>
                <w:b w:val="0"/>
                <w:bCs w:val="0"/>
                <w:color w:val="auto"/>
                <w:sz w:val="24"/>
                <w:szCs w:val="24"/>
                <w:shd w:val="clear" w:color="auto" w:fill="auto"/>
                <w:lang w:val="en-US" w:eastAsia="zh-CN"/>
              </w:rPr>
              <w:t>2025</w:t>
            </w:r>
            <w:r>
              <w:rPr>
                <w:rFonts w:hint="eastAsia" w:ascii="Times New Roman" w:hAnsi="Times New Roman" w:eastAsia="宋体" w:cs="Times New Roman"/>
                <w:b w:val="0"/>
                <w:bCs w:val="0"/>
                <w:color w:val="auto"/>
                <w:sz w:val="24"/>
                <w:szCs w:val="24"/>
                <w:shd w:val="clear" w:color="auto" w:fill="auto"/>
                <w:lang w:val="en-US" w:eastAsia="zh-CN"/>
              </w:rPr>
              <w:t>年）》的符合性分析</w:t>
            </w:r>
          </w:p>
          <w:p>
            <w:pPr>
              <w:pStyle w:val="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snapToGrid/>
                <w:color w:val="auto"/>
                <w:spacing w:val="0"/>
                <w:kern w:val="2"/>
                <w:sz w:val="24"/>
                <w:szCs w:val="24"/>
                <w:shd w:val="clear" w:color="auto" w:fill="auto"/>
                <w:lang w:val="en-US" w:eastAsia="zh-CN" w:bidi="ar-SA"/>
              </w:rPr>
            </w:pPr>
            <w:r>
              <w:rPr>
                <w:rFonts w:hint="default" w:ascii="Times New Roman" w:hAnsi="Times New Roman" w:eastAsia="宋体" w:cs="Times New Roman"/>
                <w:snapToGrid/>
                <w:color w:val="auto"/>
                <w:spacing w:val="0"/>
                <w:kern w:val="2"/>
                <w:sz w:val="24"/>
                <w:szCs w:val="24"/>
                <w:shd w:val="clear" w:color="auto" w:fill="auto"/>
                <w:lang w:val="en-US" w:eastAsia="zh-CN" w:bidi="ar-SA"/>
              </w:rPr>
              <w:t>矿山必须有符合国家规定的矿山设计和矿产资源开发利用方案，开采方法、选矿工艺及设备必须科学、先进、合理、安全，对具有工业价值的共（伴）生矿产必须综合开采、综合利用。开采回采率、选矿回收率和综合利用率指标必须达到规定标准要求。主要为饰面用花岗岩和饰面用大理岩，是和硕县优势矿产，鼓励生产多品种石材产品，尤其是生产异型、超薄型、工艺装饰石材等高档产品。实行矿区的统一规划与整体开采，推进矿山规范与达标，彻底改变矿山生产小、散、乱状态，实现矿区生产正规化、规模化和集约化。改进矿山开采加工工艺，提高荒料利用率和废石、尾渣综合利用水平。加强对石材废物运输处置监管，设置固定堆放场，严禁乱堆乱放，</w:t>
            </w:r>
            <w:r>
              <w:rPr>
                <w:rFonts w:hint="eastAsia" w:ascii="Times New Roman" w:eastAsia="宋体" w:cs="Times New Roman"/>
                <w:snapToGrid/>
                <w:color w:val="auto"/>
                <w:spacing w:val="0"/>
                <w:kern w:val="2"/>
                <w:sz w:val="24"/>
                <w:szCs w:val="24"/>
                <w:shd w:val="clear" w:color="auto" w:fill="auto"/>
                <w:lang w:val="en-US" w:eastAsia="zh-CN" w:bidi="ar-SA"/>
              </w:rPr>
              <w:t>严控</w:t>
            </w:r>
            <w:r>
              <w:rPr>
                <w:rFonts w:hint="default" w:ascii="Times New Roman" w:hAnsi="Times New Roman" w:eastAsia="宋体" w:cs="Times New Roman"/>
                <w:snapToGrid/>
                <w:color w:val="auto"/>
                <w:spacing w:val="0"/>
                <w:kern w:val="2"/>
                <w:sz w:val="24"/>
                <w:szCs w:val="24"/>
                <w:shd w:val="clear" w:color="auto" w:fill="auto"/>
                <w:lang w:val="en-US" w:eastAsia="zh-CN" w:bidi="ar-SA"/>
              </w:rPr>
              <w:t>粉尘污染，实现生产废水循环利用，打造</w:t>
            </w:r>
            <w:r>
              <w:rPr>
                <w:rFonts w:hint="eastAsia" w:ascii="宋体" w:hAnsi="宋体" w:eastAsia="宋体" w:cs="宋体"/>
                <w:snapToGrid/>
                <w:color w:val="auto"/>
                <w:spacing w:val="0"/>
                <w:kern w:val="2"/>
                <w:sz w:val="24"/>
                <w:szCs w:val="24"/>
                <w:shd w:val="clear" w:color="auto" w:fill="auto"/>
                <w:lang w:val="en-US" w:eastAsia="zh-CN" w:bidi="ar-SA"/>
              </w:rPr>
              <w:t>“绿色矿山、清洁园区、循环产业”</w:t>
            </w:r>
            <w:r>
              <w:rPr>
                <w:rFonts w:hint="default" w:ascii="Times New Roman" w:hAnsi="Times New Roman" w:eastAsia="宋体" w:cs="Times New Roman"/>
                <w:snapToGrid/>
                <w:color w:val="auto"/>
                <w:spacing w:val="0"/>
                <w:kern w:val="2"/>
                <w:sz w:val="24"/>
                <w:szCs w:val="24"/>
                <w:shd w:val="clear" w:color="auto" w:fill="auto"/>
                <w:lang w:val="en-US" w:eastAsia="zh-CN" w:bidi="ar-SA"/>
              </w:rPr>
              <w:t>。到2025年，矿石处理量达到150万立方米、荒料量30万立方米。要严格执行环境影响评价制度，必须符合和硕县国土空间规划要求的生态环境保护准入条件。矿山地质环境保护、土地复垦等措施应符合国家有关规定，并与矿山建设同步实施。</w:t>
            </w:r>
          </w:p>
          <w:p>
            <w:pPr>
              <w:adjustRightInd w:val="0"/>
              <w:snapToGrid w:val="0"/>
              <w:spacing w:line="360" w:lineRule="auto"/>
              <w:ind w:firstLine="480" w:firstLineChars="200"/>
              <w:rPr>
                <w:rFonts w:ascii="宋体" w:hAnsi="宋体"/>
                <w:color w:val="auto"/>
                <w:sz w:val="24"/>
                <w:shd w:val="clear" w:color="auto" w:fill="auto"/>
              </w:rPr>
            </w:pPr>
            <w:r>
              <w:rPr>
                <w:rFonts w:hint="eastAsia" w:ascii="Times New Roman" w:hAnsi="Times New Roman" w:eastAsia="宋体" w:cs="Times New Roman"/>
                <w:color w:val="auto"/>
                <w:sz w:val="24"/>
                <w:szCs w:val="24"/>
                <w:shd w:val="clear" w:color="auto" w:fill="auto"/>
                <w:lang w:val="en-US" w:eastAsia="zh-CN"/>
              </w:rPr>
              <w:t>本项目</w:t>
            </w:r>
            <w:r>
              <w:rPr>
                <w:rFonts w:hint="eastAsia" w:cs="Times New Roman"/>
                <w:color w:val="auto"/>
                <w:sz w:val="24"/>
                <w:szCs w:val="24"/>
                <w:shd w:val="clear" w:color="auto" w:fill="auto"/>
                <w:lang w:val="en-US" w:eastAsia="zh-CN"/>
              </w:rPr>
              <w:t>属于</w:t>
            </w:r>
            <w:r>
              <w:rPr>
                <w:rFonts w:hint="default" w:ascii="Times New Roman" w:hAnsi="Times New Roman" w:eastAsia="宋体" w:cs="Times New Roman"/>
                <w:snapToGrid/>
                <w:color w:val="auto"/>
                <w:spacing w:val="0"/>
                <w:kern w:val="2"/>
                <w:sz w:val="24"/>
                <w:szCs w:val="24"/>
                <w:shd w:val="clear" w:color="auto" w:fill="auto"/>
                <w:lang w:val="en-US" w:eastAsia="zh-CN" w:bidi="ar-SA"/>
              </w:rPr>
              <w:t>和硕县矿产资源重点开采区</w:t>
            </w:r>
            <w:r>
              <w:rPr>
                <w:rFonts w:hint="eastAsia" w:cs="Times New Roman"/>
                <w:snapToGrid/>
                <w:color w:val="auto"/>
                <w:spacing w:val="0"/>
                <w:kern w:val="2"/>
                <w:sz w:val="24"/>
                <w:szCs w:val="24"/>
                <w:shd w:val="clear" w:color="auto" w:fill="auto"/>
                <w:lang w:val="en-US" w:eastAsia="zh-CN" w:bidi="ar-SA"/>
              </w:rPr>
              <w:t>-</w:t>
            </w:r>
            <w:r>
              <w:rPr>
                <w:rFonts w:hint="eastAsia" w:cs="Times New Roman"/>
                <w:color w:val="auto"/>
                <w:sz w:val="24"/>
                <w:szCs w:val="24"/>
                <w:shd w:val="clear" w:color="auto" w:fill="auto"/>
                <w:lang w:val="en-US" w:eastAsia="zh-CN"/>
              </w:rPr>
              <w:t>“新疆和硕县爱盖尔琪一带饰面石材重点开采区</w:t>
            </w:r>
            <w:r>
              <w:rPr>
                <w:rFonts w:ascii="宋体" w:hAnsi="宋体"/>
                <w:color w:val="auto"/>
                <w:sz w:val="24"/>
                <w:szCs w:val="28"/>
                <w:shd w:val="clear" w:color="auto" w:fill="auto"/>
              </w:rPr>
              <w:t>矿区</w:t>
            </w:r>
            <w:r>
              <w:rPr>
                <w:rFonts w:hint="eastAsia" w:ascii="宋体" w:hAnsi="宋体"/>
                <w:color w:val="auto"/>
                <w:sz w:val="24"/>
                <w:szCs w:val="28"/>
                <w:shd w:val="clear" w:color="auto" w:fill="auto"/>
                <w:lang w:eastAsia="zh-CN"/>
              </w:rPr>
              <w:t>”，</w:t>
            </w:r>
            <w:r>
              <w:rPr>
                <w:rFonts w:ascii="宋体" w:hAnsi="宋体"/>
                <w:color w:val="auto"/>
                <w:sz w:val="24"/>
                <w:szCs w:val="28"/>
                <w:shd w:val="clear" w:color="auto" w:fill="auto"/>
              </w:rPr>
              <w:t>范围内矿石资源量总计</w:t>
            </w:r>
            <w:r>
              <w:rPr>
                <w:rFonts w:hint="eastAsia" w:ascii="宋体" w:hAnsi="宋体"/>
                <w:color w:val="auto"/>
                <w:sz w:val="24"/>
                <w:szCs w:val="28"/>
                <w:shd w:val="clear" w:color="auto" w:fill="auto"/>
                <w:lang w:val="en-US" w:eastAsia="zh-CN"/>
              </w:rPr>
              <w:t>133.55</w:t>
            </w:r>
            <w:r>
              <w:rPr>
                <w:rFonts w:hint="eastAsia" w:ascii="宋体" w:hAnsi="宋体"/>
                <w:color w:val="auto"/>
                <w:sz w:val="24"/>
                <w:szCs w:val="28"/>
                <w:shd w:val="clear" w:color="auto" w:fill="auto"/>
              </w:rPr>
              <w:t>万立方米；</w:t>
            </w:r>
            <w:r>
              <w:rPr>
                <w:rFonts w:ascii="宋体" w:hAnsi="宋体"/>
                <w:color w:val="auto"/>
                <w:sz w:val="24"/>
                <w:szCs w:val="28"/>
                <w:shd w:val="clear" w:color="auto" w:fill="auto"/>
              </w:rPr>
              <w:t>荒料量</w:t>
            </w:r>
            <w:r>
              <w:rPr>
                <w:rFonts w:hint="eastAsia" w:ascii="宋体" w:hAnsi="宋体"/>
                <w:color w:val="auto"/>
                <w:sz w:val="24"/>
                <w:szCs w:val="28"/>
                <w:shd w:val="clear" w:color="auto" w:fill="auto"/>
                <w:lang w:val="en-US" w:eastAsia="zh-CN"/>
              </w:rPr>
              <w:t>27.04</w:t>
            </w:r>
            <w:r>
              <w:rPr>
                <w:rFonts w:hint="eastAsia" w:ascii="宋体" w:hAnsi="宋体"/>
                <w:color w:val="auto"/>
                <w:sz w:val="24"/>
                <w:szCs w:val="28"/>
                <w:shd w:val="clear" w:color="auto" w:fill="auto"/>
              </w:rPr>
              <w:t>万立方米；</w:t>
            </w:r>
            <w:r>
              <w:rPr>
                <w:rFonts w:ascii="宋体" w:hAnsi="宋体"/>
                <w:color w:val="auto"/>
                <w:sz w:val="24"/>
                <w:szCs w:val="28"/>
                <w:shd w:val="clear" w:color="auto" w:fill="auto"/>
              </w:rPr>
              <w:t>开采境界内圈定矿石资源量</w:t>
            </w:r>
            <w:r>
              <w:rPr>
                <w:rFonts w:hint="eastAsia" w:ascii="宋体" w:hAnsi="宋体"/>
                <w:color w:val="auto"/>
                <w:sz w:val="24"/>
                <w:szCs w:val="28"/>
                <w:shd w:val="clear" w:color="auto" w:fill="auto"/>
                <w:lang w:val="en-US" w:eastAsia="zh-CN"/>
              </w:rPr>
              <w:t>133.55</w:t>
            </w:r>
            <w:r>
              <w:rPr>
                <w:rFonts w:hint="eastAsia" w:ascii="宋体" w:hAnsi="宋体"/>
                <w:color w:val="auto"/>
                <w:sz w:val="24"/>
                <w:szCs w:val="28"/>
                <w:shd w:val="clear" w:color="auto" w:fill="auto"/>
              </w:rPr>
              <w:t>万立方米，</w:t>
            </w:r>
            <w:r>
              <w:rPr>
                <w:rFonts w:ascii="宋体" w:hAnsi="宋体"/>
                <w:color w:val="auto"/>
                <w:sz w:val="24"/>
                <w:szCs w:val="28"/>
                <w:shd w:val="clear" w:color="auto" w:fill="auto"/>
              </w:rPr>
              <w:t>荒料量</w:t>
            </w:r>
            <w:r>
              <w:rPr>
                <w:rFonts w:hint="eastAsia" w:ascii="宋体" w:hAnsi="宋体"/>
                <w:color w:val="auto"/>
                <w:sz w:val="24"/>
                <w:szCs w:val="28"/>
                <w:shd w:val="clear" w:color="auto" w:fill="auto"/>
                <w:lang w:val="en-US" w:eastAsia="zh-CN"/>
              </w:rPr>
              <w:t>27.04</w:t>
            </w:r>
            <w:r>
              <w:rPr>
                <w:rFonts w:hint="eastAsia" w:ascii="宋体" w:hAnsi="宋体"/>
                <w:color w:val="auto"/>
                <w:sz w:val="24"/>
                <w:szCs w:val="28"/>
                <w:shd w:val="clear" w:color="auto" w:fill="auto"/>
              </w:rPr>
              <w:t>万立方米，</w:t>
            </w:r>
            <w:r>
              <w:rPr>
                <w:rFonts w:ascii="宋体" w:hAnsi="宋体"/>
                <w:color w:val="auto"/>
                <w:sz w:val="24"/>
                <w:shd w:val="clear" w:color="auto" w:fill="auto"/>
              </w:rPr>
              <w:t>设计矿石利用率</w:t>
            </w:r>
            <w:r>
              <w:rPr>
                <w:rFonts w:hint="eastAsia" w:ascii="宋体" w:hAnsi="宋体"/>
                <w:color w:val="auto"/>
                <w:sz w:val="24"/>
                <w:shd w:val="clear" w:color="auto" w:fill="auto"/>
                <w:lang w:val="en-US" w:eastAsia="zh-CN"/>
              </w:rPr>
              <w:t>97</w:t>
            </w:r>
            <w:r>
              <w:rPr>
                <w:rFonts w:ascii="宋体" w:hAnsi="宋体"/>
                <w:color w:val="auto"/>
                <w:sz w:val="24"/>
                <w:shd w:val="clear" w:color="auto" w:fill="auto"/>
              </w:rPr>
              <w:t>%</w:t>
            </w:r>
            <w:r>
              <w:rPr>
                <w:rFonts w:ascii="宋体" w:hAnsi="宋体"/>
                <w:color w:val="auto"/>
                <w:sz w:val="24"/>
                <w:szCs w:val="28"/>
                <w:shd w:val="clear" w:color="auto" w:fill="auto"/>
              </w:rPr>
              <w:t>。</w:t>
            </w:r>
            <w:r>
              <w:rPr>
                <w:rFonts w:ascii="宋体" w:hAnsi="宋体"/>
                <w:color w:val="auto"/>
                <w:sz w:val="24"/>
                <w:shd w:val="clear" w:color="auto" w:fill="auto"/>
              </w:rPr>
              <w:t>设计矿山生</w:t>
            </w:r>
            <w:r>
              <w:rPr>
                <w:rFonts w:hint="eastAsia" w:ascii="宋体" w:hAnsi="宋体"/>
                <w:color w:val="auto"/>
                <w:sz w:val="24"/>
                <w:szCs w:val="28"/>
                <w:shd w:val="clear" w:color="auto" w:fill="auto"/>
              </w:rPr>
              <w:t>产规模</w:t>
            </w:r>
            <w:r>
              <w:rPr>
                <w:rFonts w:hint="eastAsia" w:ascii="宋体" w:hAnsi="宋体"/>
                <w:color w:val="auto"/>
                <w:sz w:val="24"/>
                <w:szCs w:val="28"/>
                <w:shd w:val="clear" w:color="auto" w:fill="auto"/>
                <w:lang w:val="en-US" w:eastAsia="zh-CN"/>
              </w:rPr>
              <w:t>1.8</w:t>
            </w:r>
            <w:r>
              <w:rPr>
                <w:rFonts w:hint="eastAsia" w:ascii="宋体" w:hAnsi="宋体"/>
                <w:color w:val="auto"/>
                <w:sz w:val="24"/>
                <w:szCs w:val="28"/>
                <w:shd w:val="clear" w:color="auto" w:fill="auto"/>
              </w:rPr>
              <w:t>万立方米/年，设计矿山采矿回采率</w:t>
            </w:r>
            <w:r>
              <w:rPr>
                <w:rFonts w:hint="eastAsia" w:ascii="宋体" w:hAnsi="宋体"/>
                <w:color w:val="auto"/>
                <w:sz w:val="24"/>
                <w:szCs w:val="28"/>
                <w:shd w:val="clear" w:color="auto" w:fill="auto"/>
                <w:lang w:val="en-US" w:eastAsia="zh-CN"/>
              </w:rPr>
              <w:t>97</w:t>
            </w:r>
            <w:r>
              <w:rPr>
                <w:rFonts w:hint="eastAsia" w:ascii="宋体" w:hAnsi="宋体"/>
                <w:color w:val="auto"/>
                <w:sz w:val="24"/>
                <w:szCs w:val="28"/>
                <w:shd w:val="clear" w:color="auto" w:fill="auto"/>
              </w:rPr>
              <w:t>%，不考虑贫化率，则</w:t>
            </w:r>
            <w:r>
              <w:rPr>
                <w:rFonts w:hint="eastAsia" w:ascii="宋体" w:hAnsi="宋体" w:cs="Arial"/>
                <w:color w:val="auto"/>
                <w:sz w:val="24"/>
                <w:shd w:val="clear" w:color="auto" w:fill="auto"/>
              </w:rPr>
              <w:t>设计采出矿量</w:t>
            </w:r>
            <w:r>
              <w:rPr>
                <w:rFonts w:hint="eastAsia" w:ascii="宋体" w:hAnsi="宋体" w:cs="Arial"/>
                <w:color w:val="auto"/>
                <w:sz w:val="24"/>
                <w:shd w:val="clear" w:color="auto" w:fill="auto"/>
                <w:lang w:val="en-US" w:eastAsia="zh-CN"/>
              </w:rPr>
              <w:t>129.54</w:t>
            </w:r>
            <w:r>
              <w:rPr>
                <w:rFonts w:hint="eastAsia" w:ascii="宋体" w:hAnsi="宋体" w:cs="Arial"/>
                <w:color w:val="auto"/>
                <w:sz w:val="24"/>
                <w:shd w:val="clear" w:color="auto" w:fill="auto"/>
              </w:rPr>
              <w:t>万立方米，荒料量</w:t>
            </w:r>
            <w:r>
              <w:rPr>
                <w:rFonts w:hint="eastAsia" w:ascii="宋体" w:hAnsi="宋体" w:cs="Arial"/>
                <w:color w:val="auto"/>
                <w:sz w:val="24"/>
                <w:shd w:val="clear" w:color="auto" w:fill="auto"/>
                <w:lang w:val="en-US" w:eastAsia="zh-CN"/>
              </w:rPr>
              <w:t>26.23</w:t>
            </w:r>
            <w:r>
              <w:rPr>
                <w:rFonts w:hint="eastAsia" w:ascii="宋体" w:hAnsi="宋体" w:cs="Arial"/>
                <w:color w:val="auto"/>
                <w:sz w:val="24"/>
                <w:shd w:val="clear" w:color="auto" w:fill="auto"/>
              </w:rPr>
              <w:t>2万立方米</w:t>
            </w:r>
            <w:r>
              <w:rPr>
                <w:rFonts w:ascii="宋体" w:hAnsi="宋体"/>
                <w:color w:val="auto"/>
                <w:sz w:val="24"/>
                <w:szCs w:val="28"/>
                <w:shd w:val="clear" w:color="auto" w:fill="auto"/>
              </w:rPr>
              <w:t>。设计范围内矿山服务年限约为</w:t>
            </w:r>
            <w:r>
              <w:rPr>
                <w:rFonts w:hint="eastAsia" w:ascii="宋体" w:hAnsi="宋体"/>
                <w:color w:val="auto"/>
                <w:sz w:val="24"/>
                <w:szCs w:val="28"/>
                <w:shd w:val="clear" w:color="auto" w:fill="auto"/>
                <w:lang w:val="en-US" w:eastAsia="zh-CN"/>
              </w:rPr>
              <w:t>14.57</w:t>
            </w:r>
            <w:r>
              <w:rPr>
                <w:rFonts w:ascii="宋体" w:hAnsi="宋体"/>
                <w:color w:val="auto"/>
                <w:sz w:val="24"/>
                <w:szCs w:val="28"/>
                <w:shd w:val="clear" w:color="auto" w:fill="auto"/>
              </w:rPr>
              <w:t>年</w:t>
            </w:r>
            <w:r>
              <w:rPr>
                <w:rFonts w:ascii="宋体" w:hAnsi="宋体"/>
                <w:color w:val="auto"/>
                <w:sz w:val="24"/>
                <w:shd w:val="clear" w:color="auto" w:fill="auto"/>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color w:val="auto"/>
                <w:spacing w:val="0"/>
                <w:kern w:val="2"/>
                <w:sz w:val="24"/>
                <w:szCs w:val="24"/>
                <w:lang w:val="en-US" w:eastAsia="zh-CN" w:bidi="ar-SA"/>
              </w:rPr>
            </w:pPr>
            <w:r>
              <w:rPr>
                <w:rFonts w:hint="eastAsia" w:cs="Times New Roman"/>
                <w:color w:val="auto"/>
                <w:sz w:val="24"/>
                <w:szCs w:val="24"/>
                <w:shd w:val="clear" w:color="auto" w:fill="auto"/>
                <w:lang w:val="en-US" w:eastAsia="zh-CN"/>
              </w:rPr>
              <w:t>本项目产生的废石集中堆放在规划排土场，闭坑后用于回填露天采场凹陷区域；集中收集后拉运至和硕县垃圾填埋场处理</w:t>
            </w:r>
            <w:r>
              <w:rPr>
                <w:rFonts w:hint="eastAsia" w:ascii="Times New Roman" w:hAnsi="Times New Roman" w:eastAsia="宋体" w:cs="Times New Roman"/>
                <w:color w:val="auto"/>
                <w:sz w:val="24"/>
                <w:szCs w:val="24"/>
                <w:shd w:val="clear" w:color="auto" w:fill="auto"/>
                <w:lang w:val="en-US" w:eastAsia="zh-CN"/>
              </w:rPr>
              <w:t>；废机油暂存于危废暂存间，定期交由具有相关处理资质的单位处理。</w:t>
            </w:r>
            <w:r>
              <w:rPr>
                <w:rFonts w:hint="default" w:ascii="Times New Roman" w:hAnsi="Times New Roman" w:eastAsia="宋体" w:cs="Times New Roman"/>
                <w:color w:val="auto"/>
                <w:sz w:val="24"/>
                <w:szCs w:val="24"/>
                <w:shd w:val="clear" w:color="auto" w:fill="auto"/>
                <w:lang w:val="en-US" w:eastAsia="zh-CN"/>
              </w:rPr>
              <w:t>永久占地由于项目区域内自然条件的限制，植被的自然恢复极其困难，项目区内永久占地</w:t>
            </w:r>
            <w:r>
              <w:rPr>
                <w:rFonts w:hint="eastAsia" w:cs="Times New Roman"/>
                <w:color w:val="auto"/>
                <w:sz w:val="24"/>
                <w:szCs w:val="24"/>
                <w:shd w:val="clear" w:color="auto" w:fill="auto"/>
                <w:lang w:val="en-US" w:eastAsia="zh-CN"/>
              </w:rPr>
              <w:t>均</w:t>
            </w:r>
            <w:r>
              <w:rPr>
                <w:rFonts w:hint="default" w:ascii="Times New Roman" w:hAnsi="Times New Roman" w:eastAsia="宋体" w:cs="Times New Roman"/>
                <w:color w:val="auto"/>
                <w:sz w:val="24"/>
                <w:szCs w:val="24"/>
                <w:shd w:val="clear" w:color="auto" w:fill="auto"/>
                <w:lang w:val="en-US" w:eastAsia="zh-CN"/>
              </w:rPr>
              <w:t>为未利用裸地；根据矿产资源开发利用与生态保护修复方案可知，项目区内道路全部为砂石路面，减少风蚀量。</w:t>
            </w:r>
            <w:r>
              <w:rPr>
                <w:rFonts w:hint="eastAsia" w:ascii="Times New Roman" w:hAnsi="Times New Roman" w:eastAsia="宋体" w:cs="Times New Roman"/>
                <w:color w:val="auto"/>
                <w:sz w:val="24"/>
                <w:szCs w:val="24"/>
                <w:shd w:val="clear" w:color="auto" w:fill="auto"/>
                <w:lang w:val="en-US" w:eastAsia="zh-CN"/>
              </w:rPr>
              <w:t>本项目</w:t>
            </w:r>
            <w:r>
              <w:rPr>
                <w:rFonts w:hint="default" w:ascii="Times New Roman" w:hAnsi="Times New Roman" w:eastAsia="宋体" w:cs="Times New Roman"/>
                <w:color w:val="auto"/>
                <w:sz w:val="24"/>
                <w:szCs w:val="24"/>
                <w:shd w:val="clear" w:color="auto" w:fill="auto"/>
                <w:lang w:val="en-US" w:eastAsia="zh-CN"/>
              </w:rPr>
              <w:t>对开采区域采用洒水降尘措施，密封运输物料。采矿结束后，使用废</w:t>
            </w:r>
            <w:r>
              <w:rPr>
                <w:rFonts w:hint="eastAsia" w:cs="Times New Roman"/>
                <w:color w:val="auto"/>
                <w:sz w:val="24"/>
                <w:szCs w:val="24"/>
                <w:shd w:val="clear" w:color="auto" w:fill="auto"/>
                <w:lang w:val="en-US" w:eastAsia="zh-CN"/>
              </w:rPr>
              <w:t>石</w:t>
            </w:r>
            <w:r>
              <w:rPr>
                <w:rFonts w:hint="default" w:ascii="Times New Roman" w:hAnsi="Times New Roman" w:eastAsia="宋体" w:cs="Times New Roman"/>
                <w:color w:val="auto"/>
                <w:sz w:val="24"/>
                <w:szCs w:val="24"/>
                <w:shd w:val="clear" w:color="auto" w:fill="auto"/>
                <w:lang w:val="en-US" w:eastAsia="zh-CN"/>
              </w:rPr>
              <w:t>回填采坑，并覆盖剥离的表土后，播撒草籽，进行植被恢复，降低土地沙化影响。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24" w:hRule="atLeast"/>
        </w:trPr>
        <w:tc>
          <w:tcPr>
            <w:tcW w:w="354" w:type="pct"/>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 w:val="24"/>
                <w:szCs w:val="24"/>
              </w:rPr>
            </w:pPr>
            <w:bookmarkStart w:id="2" w:name="_Hlk56690880"/>
            <w:r>
              <w:rPr>
                <w:rFonts w:hint="default" w:ascii="Times New Roman" w:hAnsi="Times New Roman" w:cs="Times New Roman"/>
                <w:color w:val="auto"/>
                <w:kern w:val="0"/>
                <w:sz w:val="24"/>
                <w:szCs w:val="24"/>
              </w:rPr>
              <w:t>其他符合性分析</w:t>
            </w:r>
          </w:p>
        </w:tc>
        <w:tc>
          <w:tcPr>
            <w:tcW w:w="4645" w:type="pct"/>
            <w:gridSpan w:val="5"/>
            <w:noWrap w:val="0"/>
            <w:tcMar>
              <w:top w:w="16" w:type="dxa"/>
              <w:left w:w="16" w:type="dxa"/>
              <w:right w:w="16" w:type="dxa"/>
            </w:tcMar>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产业政策符合性分析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本项目为</w:t>
            </w:r>
            <w:r>
              <w:rPr>
                <w:rFonts w:hint="eastAsia" w:cs="Times New Roman"/>
                <w:color w:val="auto"/>
                <w:sz w:val="24"/>
                <w:szCs w:val="24"/>
                <w:lang w:val="en-US" w:eastAsia="zh-CN"/>
              </w:rPr>
              <w:t>花岗岩</w:t>
            </w:r>
            <w:r>
              <w:rPr>
                <w:rFonts w:hint="eastAsia" w:ascii="Times New Roman" w:hAnsi="Times New Roman" w:eastAsia="宋体" w:cs="Times New Roman"/>
                <w:color w:val="auto"/>
                <w:sz w:val="24"/>
                <w:szCs w:val="24"/>
                <w:lang w:val="en-US" w:eastAsia="zh-CN"/>
              </w:rPr>
              <w:t>矿开采项目，行业类别属于《国民经济行业分类》（</w:t>
            </w:r>
            <w:r>
              <w:rPr>
                <w:rFonts w:hint="default" w:ascii="Times New Roman" w:hAnsi="Times New Roman" w:eastAsia="宋体" w:cs="Times New Roman"/>
                <w:color w:val="auto"/>
                <w:sz w:val="24"/>
                <w:szCs w:val="24"/>
                <w:lang w:val="en-US" w:eastAsia="zh-CN"/>
              </w:rPr>
              <w:t>GB/T</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4754-2017</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C1012建筑装饰用石开采</w:t>
            </w:r>
            <w:r>
              <w:rPr>
                <w:rFonts w:hint="eastAsia" w:ascii="Times New Roman" w:hAnsi="Times New Roman" w:eastAsia="宋体" w:cs="Times New Roman"/>
                <w:color w:val="auto"/>
                <w:sz w:val="24"/>
                <w:szCs w:val="24"/>
                <w:lang w:val="en-US" w:eastAsia="zh-CN"/>
              </w:rPr>
              <w:t>”；本项目不属于《产业结构调整指导目录（</w:t>
            </w: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24年本）》中的鼓励类、限制类和淘汰类项目。根据国务院关于发布实施《促进产业结构调整暂行规定》的决定第三章产业结构调整指导目录第十三条“不属于鼓励类、限制类和淘汰类，且符合国家有关法律法规和政策规定的，为允许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因此，本项目符合国家相关产业政策要求。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2、</w:t>
            </w:r>
            <w:r>
              <w:rPr>
                <w:rFonts w:hint="eastAsia" w:ascii="Times New Roman" w:hAnsi="Times New Roman" w:eastAsia="宋体" w:cs="Times New Roman"/>
                <w:b w:val="0"/>
                <w:bCs w:val="0"/>
                <w:color w:val="auto"/>
                <w:sz w:val="24"/>
                <w:szCs w:val="24"/>
                <w:lang w:val="en-US" w:eastAsia="zh-CN"/>
              </w:rPr>
              <w:t>与《巴音郭楞蒙古自治州矿产资源总体规划（2021-2025年）》的符合性分析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进一步完善矿山地质环境保护与治理管理体系</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全面落实矿山地质环境保护与治理恢复责任制，强化矿业权人主体责任</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依法履行矿山地质环境保护与土地复垦义务</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严格落实矿山地质环境保护与土地复垦方案。新建、生产矿山地质环境实现“边开采、边治理”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加强对矿山地质环境保护与治理规划执行情况的监督管理。加大露天矿山地质环境治理力度。完成巴州境内历史形成责任灭失非煤矿山采空区及巴州矿山地质环境保护与治理2025年规划目标。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矿山规模结构更加合理。先进适用技术全面推广应用，资源利用效率达到新水平，加强矿石三废处理及利用，严格执行“三率”考核，共伴生矿产资源、固体废弃物综合利用水平进一步提升。绿色勘查、绿色矿山建设和矿山智能化水平不断提高，矿山生态环境明显好转，基本实现矿山生产与自然生态和谐共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本项目制定详细的矿山生态环境治理恢复方案，并严格落实，从矿山生产收益中抽取一定比例作为矿山生态环境治理资金。</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产生的各类废气经处理后稳定达标排放，机械噪声采用隔声、减震等措施降噪达标排放，固体废物根据相关技术要求妥善处理。综上所述，项目投产后各污染物均能做到稳定达标排放，项目的建设符合《巴音郭楞蒙古自治州矿产资源总体规划（2021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2025年）》的要求</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与</w:t>
            </w:r>
            <w:r>
              <w:rPr>
                <w:rFonts w:hint="eastAsia" w:ascii="Times New Roman" w:hAnsi="Times New Roman" w:eastAsia="宋体" w:cs="Times New Roman"/>
                <w:b w:val="0"/>
                <w:bCs w:val="0"/>
                <w:color w:val="auto"/>
                <w:sz w:val="24"/>
                <w:szCs w:val="24"/>
                <w:highlight w:val="none"/>
                <w:lang w:val="en-US" w:eastAsia="zh-CN"/>
              </w:rPr>
              <w:t>《巴音郭楞蒙古自治州生态环境“十四五”规划》符合性分析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健全国土空间开发保护制度。完善国土空间规划体系，划定并严格落实“三区三线”，明晰生态、农业、城镇三类空间及生态保护红线、永久基本农田、城镇开发边界三条控制线，持续优化城市化地区、农产品产区、生态功能区布局。合理确定新增建设用地规模，严格控制建设项目土地使用标准，提高资源利用效率。强化国土空间用途管制，对国土空间分级分类实施管控，推动形成优势互补、绿色低碳、高质量发展的经济布局。严格落实国家绿色产业指导目录标准，依法依规把好土地审批供应关，加强建设用地准入监管。全面推进绿色矿山建设，规范绿色矿山第三方评估，推广矿产资源节约与综合利用先进技术。加强矿山粉尘治理，充分运用新型、高效的防尘、降尘、除尘技术，全面加强矿山开采各环节粉尘防控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选址不在水源涵养区、地下水源、饮用水源、各类自然保护区、自然生态良好区域、风景名胜区和人群密集区等生态敏感区域。项目产生的各类废气经处理后稳定达标排放，机械噪声采用隔声、减震等措施降噪达标排放，固体废物根据相关技术要求妥善处理。综上所述，项目投产后各污染物均能做到稳定达标排放，项目的建设符合《巴音郭楞蒙古自治州生态环境“十四五”规划》的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与《新</w:t>
            </w:r>
            <w:r>
              <w:rPr>
                <w:rFonts w:hint="eastAsia" w:ascii="Times New Roman" w:hAnsi="Times New Roman" w:eastAsia="宋体" w:cs="Times New Roman"/>
                <w:b w:val="0"/>
                <w:bCs w:val="0"/>
                <w:color w:val="auto"/>
                <w:sz w:val="24"/>
                <w:szCs w:val="24"/>
                <w:lang w:val="en-US" w:eastAsia="zh-CN"/>
              </w:rPr>
              <w:t>疆维吾尔自治区主体功能区规划》的符合性分析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w:t>
            </w:r>
            <w:r>
              <w:rPr>
                <w:rFonts w:hint="default" w:ascii="Times New Roman" w:hAnsi="Times New Roman" w:eastAsia="宋体" w:cs="Times New Roman"/>
                <w:color w:val="auto"/>
                <w:sz w:val="24"/>
                <w:szCs w:val="24"/>
                <w:lang w:val="en-US" w:eastAsia="zh-CN"/>
              </w:rPr>
              <w:t>据主体功能区开发的理念，结合新疆独特的自然地理状况和新时期发展的需要，本规划将新疆国土空间划分为重点开发、限制开发和禁止开发区域；按开发内容，分为城市化地区、农产品主产区和重点生态功能区；按层级，包括国家和自治区两个层面。</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新疆的主体功能区划中，重点开发区域和限制开发区域覆盖国土全域，而禁止开发区域镶嵌于重点开发区域或者限制开发区域内。</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（1）重点开发区域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新疆重点开发区域包括：国家层面重点开发区域主要指天山北坡城市或城区以及县市城关镇和重要工业园区，涉及23个县市，总面积65293.42km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。自治区层面重点开发区域主要指内点状分布的承载绿洲经济发展的县市城关镇和重要工业园区，涉及36个县市，总面积3800.38km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，占全区总面积的0.23%，总人口250.07万人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2009</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占全区总人口的11.78%。</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（2）限制开发区域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新疆限制开发区域主要分为：农产品主产区和重点生态功能区。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新疆国家级农产品主产区包括天山北坡主产区和天山南坡主产区，共涉及23个县市，总面积414265.55km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其中天山北坡主产区涉及13个县市，这些农产品主产区县市的城区或城关镇及其境内的重要工业园区是国家级重点开发区域，但这些县市以享受国家农产品主产区的政策为主；天山南坡主产区涉及10个县市，这些农产品主产区县市的城区或城关镇和重要工业园区是自治区级的重点开发区域，但这些县市以享受国家农产品主产区的政策为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新疆重点生态功能区包括：三个国家级重点生态功能区（享受国家的重点生态功能区政策）阿尔泰山地森林草原生态功能区、塔里木河荒漠化防治生态功能区、阿尔金山草原荒漠化防治生态功能区。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（3）禁止开发区域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新疆禁止开发区域包括：国家层面禁止开发区域—国家级自然保护区、世界文化自然遗产、国家级风景名胜区、国家森林公园和国家地质公园。新疆国家层面禁止开发区域共44处，面积为138902.9km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，占全区面积的8.34%。自治区层面禁止开发区域—自治区级及以下各级各类自然文化资源保护区域、重要水源地、重要湿地、湿地公园、水产种质资源保护区及其他自治区人民政府根据需要确定的禁止开发区域。</w:t>
            </w:r>
            <w:r>
              <w:rPr>
                <w:rFonts w:hint="eastAsia" w:ascii="Times New Roman" w:hAnsi="Times New Roman" w:eastAsia="宋体" w:cs="Times New Roman"/>
                <w:color w:val="auto"/>
                <w:sz w:val="24"/>
                <w:szCs w:val="24"/>
                <w:lang w:val="en-US" w:eastAsia="zh-CN"/>
              </w:rPr>
              <w:t>自治区</w:t>
            </w:r>
            <w:r>
              <w:rPr>
                <w:rFonts w:hint="default" w:ascii="Times New Roman" w:hAnsi="Times New Roman" w:eastAsia="宋体" w:cs="Times New Roman"/>
                <w:color w:val="auto"/>
                <w:sz w:val="24"/>
                <w:szCs w:val="24"/>
                <w:lang w:val="en-US" w:eastAsia="zh-CN"/>
              </w:rPr>
              <w:t>级禁止开发区共63处，总面积为94789.47km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，占全区总面积的5.69%。</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新疆维吾尔自治区主体功能区规划，本项目地处和硕县，项目选址不在水源涵养区、地下水源、饮用水源、各类自然保护区、自然生态良好区域、风景名胜区和人群密集区等生态敏感区域，不属于主体功能区中禁止开发区域</w:t>
            </w:r>
            <w:r>
              <w:rPr>
                <w:rFonts w:hint="eastAsia" w:cs="Times New Roman"/>
                <w:color w:val="auto"/>
                <w:sz w:val="24"/>
                <w:szCs w:val="24"/>
                <w:highlight w:val="none"/>
                <w:lang w:val="en-US" w:eastAsia="zh-CN"/>
              </w:rPr>
              <w:t>和限制开发区域</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5、</w:t>
            </w:r>
            <w:r>
              <w:rPr>
                <w:rFonts w:hint="eastAsia" w:ascii="Times New Roman" w:hAnsi="Times New Roman" w:eastAsia="宋体" w:cs="Times New Roman"/>
                <w:b w:val="0"/>
                <w:bCs w:val="0"/>
                <w:color w:val="auto"/>
                <w:sz w:val="24"/>
                <w:szCs w:val="24"/>
                <w:lang w:val="en-US" w:eastAsia="zh-CN"/>
              </w:rPr>
              <w:t>与</w:t>
            </w:r>
            <w:r>
              <w:rPr>
                <w:rFonts w:hint="default" w:ascii="Times New Roman" w:hAnsi="Times New Roman" w:eastAsia="宋体" w:cs="Times New Roman"/>
                <w:b w:val="0"/>
                <w:bCs w:val="0"/>
                <w:color w:val="auto"/>
                <w:sz w:val="24"/>
                <w:szCs w:val="24"/>
                <w:lang w:val="en-US" w:eastAsia="zh-CN"/>
              </w:rPr>
              <w:t>“生态环境分区管控要求符合性分析”符合性分析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r>
              <w:rPr>
                <w:rFonts w:hint="eastAsia" w:ascii="Times New Roman" w:hAnsi="Times New Roman" w:eastAsia="宋体" w:cs="Times New Roman"/>
                <w:b w:val="0"/>
                <w:bCs w:val="0"/>
                <w:color w:val="auto"/>
                <w:sz w:val="24"/>
                <w:szCs w:val="24"/>
                <w:lang w:val="en-US" w:eastAsia="zh-CN"/>
              </w:rPr>
              <w:t>与</w:t>
            </w:r>
            <w:r>
              <w:rPr>
                <w:rFonts w:hint="default" w:ascii="Times New Roman" w:hAnsi="Times New Roman" w:eastAsia="宋体" w:cs="Times New Roman"/>
                <w:b w:val="0"/>
                <w:bCs w:val="0"/>
                <w:color w:val="auto"/>
                <w:sz w:val="24"/>
                <w:szCs w:val="24"/>
                <w:lang w:val="en-US" w:eastAsia="zh-CN"/>
              </w:rPr>
              <w:t>“巴音郭楞蒙古自治州“三线一单”生态环境分区管控动态更新成果(2023年)”符合性分析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本项目位于和硕</w:t>
            </w:r>
            <w:r>
              <w:rPr>
                <w:rFonts w:hint="default" w:ascii="Times New Roman" w:hAnsi="Times New Roman" w:eastAsia="宋体" w:cs="Times New Roman"/>
                <w:color w:val="auto"/>
                <w:sz w:val="24"/>
                <w:szCs w:val="24"/>
                <w:lang w:val="en-US" w:eastAsia="zh-CN"/>
              </w:rPr>
              <w:t>县东南方位，直线距离约</w:t>
            </w:r>
            <w:r>
              <w:rPr>
                <w:rFonts w:hint="eastAsia" w:cs="Times New Roman"/>
                <w:color w:val="auto"/>
                <w:sz w:val="24"/>
                <w:szCs w:val="24"/>
                <w:lang w:val="en-US" w:eastAsia="zh-CN"/>
              </w:rPr>
              <w:t>58</w:t>
            </w:r>
            <w:r>
              <w:rPr>
                <w:rFonts w:hint="default" w:ascii="Times New Roman" w:hAnsi="Times New Roman" w:eastAsia="宋体" w:cs="Times New Roman"/>
                <w:color w:val="auto"/>
                <w:sz w:val="24"/>
                <w:szCs w:val="24"/>
                <w:lang w:val="en-US" w:eastAsia="zh-CN"/>
              </w:rPr>
              <w:t>千米</w:t>
            </w:r>
            <w:r>
              <w:rPr>
                <w:rFonts w:hint="eastAsia" w:ascii="Times New Roman" w:hAnsi="Times New Roman" w:eastAsia="宋体" w:cs="Times New Roman"/>
                <w:color w:val="auto"/>
                <w:sz w:val="24"/>
                <w:szCs w:val="24"/>
                <w:lang w:val="en-US" w:eastAsia="zh-CN"/>
              </w:rPr>
              <w:t>处，根据</w:t>
            </w:r>
            <w:r>
              <w:rPr>
                <w:rFonts w:hint="eastAsia" w:cs="Times New Roman"/>
                <w:color w:val="auto"/>
                <w:sz w:val="24"/>
                <w:szCs w:val="24"/>
                <w:lang w:val="en-US" w:eastAsia="zh-CN"/>
              </w:rPr>
              <w:t>2024年12月9日</w:t>
            </w:r>
            <w:r>
              <w:rPr>
                <w:rFonts w:hint="eastAsia" w:ascii="Times New Roman" w:hAnsi="Times New Roman" w:eastAsia="宋体" w:cs="Times New Roman"/>
                <w:color w:val="auto"/>
                <w:sz w:val="24"/>
                <w:szCs w:val="24"/>
                <w:lang w:val="en-US" w:eastAsia="zh-CN"/>
              </w:rPr>
              <w:t>新疆维吾尔自治区巴音郭楞蒙古自治州人民政府办公室《关于印发巴音郭楞蒙古自治州“三线一单”生态环境分区管控动态更新成果(2023年)的通知》(巴政办发</w:t>
            </w:r>
            <w:r>
              <w:rPr>
                <w:rFonts w:hint="eastAsia" w:cs="Times New Roman"/>
                <w:color w:val="auto"/>
                <w:sz w:val="24"/>
                <w:szCs w:val="24"/>
                <w:lang w:val="en-US" w:eastAsia="zh-CN"/>
              </w:rPr>
              <w:t>〔2024〕32号</w:t>
            </w:r>
            <w:r>
              <w:rPr>
                <w:rFonts w:hint="eastAsia" w:ascii="Times New Roman" w:hAnsi="Times New Roman" w:eastAsia="宋体" w:cs="Times New Roman"/>
                <w:color w:val="auto"/>
                <w:sz w:val="24"/>
                <w:szCs w:val="24"/>
                <w:lang w:val="en-US" w:eastAsia="zh-CN"/>
              </w:rPr>
              <w:t>)，本项目属于该文件中的</w:t>
            </w:r>
            <w:r>
              <w:rPr>
                <w:rFonts w:hint="default" w:ascii="Times New Roman" w:hAnsi="Times New Roman" w:eastAsia="宋体" w:cs="Times New Roman"/>
                <w:color w:val="auto"/>
                <w:sz w:val="24"/>
                <w:szCs w:val="24"/>
                <w:lang w:val="en-US" w:eastAsia="zh-CN"/>
              </w:rPr>
              <w:t>ZH65282830001</w:t>
            </w:r>
            <w:r>
              <w:rPr>
                <w:rFonts w:hint="eastAsia" w:ascii="Times New Roman" w:hAnsi="Times New Roman" w:eastAsia="宋体" w:cs="Times New Roman"/>
                <w:color w:val="auto"/>
                <w:sz w:val="24"/>
                <w:szCs w:val="24"/>
                <w:lang w:val="en-US" w:eastAsia="zh-CN"/>
              </w:rPr>
              <w:t>“和硕县一般管控区”。本项目与其符合情况见下表。本项目与《巴音郭楞蒙古自治州“三线一单”环境管控单元分类图》相关位置关系</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项目区和生态红线位置关系见附图。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w:t>
            </w:r>
            <w:r>
              <w:rPr>
                <w:rFonts w:hint="default" w:ascii="Times New Roman" w:hAnsi="Times New Roman" w:eastAsia="宋体" w:cs="Times New Roman"/>
                <w:b/>
                <w:bCs/>
                <w:color w:val="auto"/>
                <w:sz w:val="22"/>
                <w:szCs w:val="22"/>
                <w:lang w:val="en-US" w:eastAsia="zh-CN"/>
              </w:rPr>
              <w:t>1-</w:t>
            </w:r>
            <w:r>
              <w:rPr>
                <w:rFonts w:hint="eastAsia" w:cs="Times New Roman"/>
                <w:b/>
                <w:bCs/>
                <w:color w:val="auto"/>
                <w:sz w:val="22"/>
                <w:szCs w:val="22"/>
                <w:lang w:val="en-US" w:eastAsia="zh-CN"/>
              </w:rPr>
              <w:t>1</w:t>
            </w:r>
            <w:r>
              <w:rPr>
                <w:rFonts w:hint="default" w:ascii="Times New Roman" w:hAnsi="Times New Roman" w:eastAsia="宋体" w:cs="Times New Roman"/>
                <w:b/>
                <w:bCs/>
                <w:color w:val="auto"/>
                <w:sz w:val="22"/>
                <w:szCs w:val="22"/>
                <w:lang w:val="en-US" w:eastAsia="zh-CN"/>
              </w:rPr>
              <w:t xml:space="preserve">  </w:t>
            </w:r>
            <w:r>
              <w:rPr>
                <w:rFonts w:hint="eastAsia" w:ascii="Times New Roman" w:hAnsi="Times New Roman" w:eastAsia="宋体" w:cs="Times New Roman"/>
                <w:b/>
                <w:bCs/>
                <w:color w:val="auto"/>
                <w:sz w:val="22"/>
                <w:szCs w:val="22"/>
                <w:lang w:val="en-US" w:eastAsia="zh-CN"/>
              </w:rPr>
              <w:t>项目与“巴音郭楞蒙古自治州“三线一单”生态环境分区管控动态更新成果(2023年)”符合性分析一览表</w:t>
            </w:r>
          </w:p>
          <w:tbl>
            <w:tblPr>
              <w:tblStyle w:val="23"/>
              <w:tblW w:w="494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40"/>
              <w:gridCol w:w="647"/>
              <w:gridCol w:w="3061"/>
              <w:gridCol w:w="2944"/>
              <w:gridCol w:w="3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tcBorders>
                    <w:tl2br w:val="nil"/>
                    <w:tr2bl w:val="nil"/>
                  </w:tcBorders>
                  <w:noWrap w:val="0"/>
                  <w:vAlign w:val="center"/>
                </w:tcPr>
                <w:p>
                  <w:pPr>
                    <w:keepNext w:val="0"/>
                    <w:keepLines w:val="0"/>
                    <w:suppressLineNumbers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b w:val="0"/>
                      <w:bCs/>
                      <w:color w:val="auto"/>
                      <w:sz w:val="21"/>
                      <w:szCs w:val="21"/>
                    </w:rPr>
                  </w:pPr>
                  <w:r>
                    <w:rPr>
                      <w:rFonts w:hint="eastAsia" w:ascii="宋体" w:hAnsi="宋体" w:eastAsia="宋体" w:cs="宋体"/>
                      <w:b w:val="0"/>
                      <w:bCs/>
                      <w:color w:val="auto"/>
                      <w:sz w:val="21"/>
                      <w:szCs w:val="21"/>
                      <w:lang w:bidi="ar"/>
                    </w:rPr>
                    <w:t>管控单元名称</w:t>
                  </w:r>
                </w:p>
              </w:tc>
              <w:tc>
                <w:tcPr>
                  <w:tcW w:w="2323" w:type="pct"/>
                  <w:gridSpan w:val="2"/>
                  <w:tcBorders>
                    <w:tl2br w:val="nil"/>
                    <w:tr2bl w:val="nil"/>
                  </w:tcBorders>
                  <w:noWrap w:val="0"/>
                  <w:vAlign w:val="center"/>
                </w:tcPr>
                <w:p>
                  <w:pPr>
                    <w:keepNext w:val="0"/>
                    <w:keepLines w:val="0"/>
                    <w:suppressLineNumbers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b w:val="0"/>
                      <w:bCs/>
                      <w:color w:val="auto"/>
                      <w:sz w:val="21"/>
                      <w:szCs w:val="21"/>
                    </w:rPr>
                  </w:pPr>
                  <w:r>
                    <w:rPr>
                      <w:rFonts w:hint="eastAsia" w:ascii="宋体" w:hAnsi="宋体" w:eastAsia="宋体" w:cs="宋体"/>
                      <w:b w:val="0"/>
                      <w:bCs/>
                      <w:color w:val="auto"/>
                      <w:sz w:val="21"/>
                      <w:szCs w:val="21"/>
                      <w:lang w:bidi="ar"/>
                    </w:rPr>
                    <w:t>管控要求</w:t>
                  </w:r>
                </w:p>
              </w:tc>
              <w:tc>
                <w:tcPr>
                  <w:tcW w:w="1803" w:type="pct"/>
                  <w:tcBorders>
                    <w:tl2br w:val="nil"/>
                    <w:tr2bl w:val="nil"/>
                  </w:tcBorders>
                  <w:noWrap w:val="0"/>
                  <w:vAlign w:val="center"/>
                </w:tcPr>
                <w:p>
                  <w:pPr>
                    <w:keepNext w:val="0"/>
                    <w:keepLines w:val="0"/>
                    <w:suppressLineNumbers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b w:val="0"/>
                      <w:bCs/>
                      <w:color w:val="auto"/>
                      <w:sz w:val="21"/>
                      <w:szCs w:val="21"/>
                    </w:rPr>
                  </w:pPr>
                  <w:r>
                    <w:rPr>
                      <w:rFonts w:hint="eastAsia" w:ascii="宋体" w:hAnsi="宋体" w:eastAsia="宋体" w:cs="宋体"/>
                      <w:b w:val="0"/>
                      <w:bCs/>
                      <w:color w:val="auto"/>
                      <w:sz w:val="21"/>
                      <w:szCs w:val="21"/>
                      <w:lang w:bidi="ar"/>
                    </w:rPr>
                    <w:t>项目情况</w:t>
                  </w:r>
                </w:p>
              </w:tc>
              <w:tc>
                <w:tcPr>
                  <w:tcW w:w="296" w:type="pct"/>
                  <w:tcBorders>
                    <w:tl2br w:val="nil"/>
                    <w:tr2bl w:val="nil"/>
                  </w:tcBorders>
                  <w:noWrap w:val="0"/>
                  <w:vAlign w:val="center"/>
                </w:tcPr>
                <w:p>
                  <w:pPr>
                    <w:keepNext w:val="0"/>
                    <w:keepLines w:val="0"/>
                    <w:suppressLineNumbers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b w:val="0"/>
                      <w:bCs/>
                      <w:color w:val="auto"/>
                      <w:sz w:val="21"/>
                      <w:szCs w:val="21"/>
                    </w:rPr>
                  </w:pPr>
                  <w:r>
                    <w:rPr>
                      <w:rFonts w:hint="eastAsia" w:ascii="宋体" w:hAnsi="宋体" w:eastAsia="宋体" w:cs="宋体"/>
                      <w:b w:val="0"/>
                      <w:bCs/>
                      <w:color w:val="auto"/>
                      <w:sz w:val="21"/>
                      <w:szCs w:val="21"/>
                      <w:lang w:bidi="ar"/>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vMerge w:val="restart"/>
                  <w:tcBorders>
                    <w:tl2br w:val="nil"/>
                    <w:tr2bl w:val="nil"/>
                  </w:tcBorders>
                  <w:noWrap w:val="0"/>
                  <w:vAlign w:val="center"/>
                </w:tcPr>
                <w:p>
                  <w:pPr>
                    <w:keepNext w:val="0"/>
                    <w:keepLines w:val="0"/>
                    <w:suppressLineNumbers w:val="0"/>
                    <w:autoSpaceDE w:val="0"/>
                    <w:autoSpaceDN w:val="0"/>
                    <w:adjustRightInd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ZH65282830001</w:t>
                  </w:r>
                  <w:r>
                    <w:rPr>
                      <w:rFonts w:hint="eastAsia" w:ascii="宋体" w:hAnsi="宋体" w:eastAsia="宋体" w:cs="宋体"/>
                      <w:color w:val="auto"/>
                      <w:sz w:val="21"/>
                      <w:szCs w:val="21"/>
                      <w:lang w:bidi="ar"/>
                    </w:rPr>
                    <w:t>和硕县一般管控区</w:t>
                  </w:r>
                </w:p>
              </w:tc>
              <w:tc>
                <w:tcPr>
                  <w:tcW w:w="450" w:type="pct"/>
                  <w:tcBorders>
                    <w:tl2br w:val="nil"/>
                    <w:tr2bl w:val="nil"/>
                  </w:tcBorders>
                  <w:noWrap w:val="0"/>
                  <w:vAlign w:val="center"/>
                </w:tcPr>
                <w:p>
                  <w:pPr>
                    <w:keepNext w:val="0"/>
                    <w:keepLines w:val="0"/>
                    <w:suppressLineNumbers w:val="0"/>
                    <w:autoSpaceDE w:val="0"/>
                    <w:autoSpaceDN w:val="0"/>
                    <w:adjustRightInd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lang w:bidi="ar"/>
                    </w:rPr>
                  </w:pPr>
                  <w:r>
                    <w:rPr>
                      <w:rFonts w:hint="eastAsia" w:ascii="Times New Roman" w:hAnsi="Times New Roman" w:eastAsia="宋体" w:cs="Times New Roman"/>
                      <w:color w:val="auto"/>
                      <w:sz w:val="21"/>
                      <w:szCs w:val="21"/>
                      <w:lang w:bidi="ar"/>
                    </w:rPr>
                    <w:t>空间布局约束</w:t>
                  </w:r>
                </w:p>
              </w:tc>
              <w:tc>
                <w:tcPr>
                  <w:tcW w:w="1873" w:type="pct"/>
                  <w:tcBorders>
                    <w:tl2br w:val="nil"/>
                    <w:tr2bl w:val="nil"/>
                  </w:tcBorders>
                  <w:noWrap w:val="0"/>
                  <w:vAlign w:val="center"/>
                </w:tcPr>
                <w:p>
                  <w:pPr>
                    <w:keepNext w:val="0"/>
                    <w:keepLines w:val="0"/>
                    <w:suppressLineNumbers w:val="0"/>
                    <w:autoSpaceDE w:val="0"/>
                    <w:autoSpaceDN w:val="0"/>
                    <w:adjustRightInd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1.执行自治区七大片区天山南坡管控要求和巴州总体管控要求中关于一般管控单元的空间布局约束准入要求。</w:t>
                  </w:r>
                </w:p>
              </w:tc>
              <w:tc>
                <w:tcPr>
                  <w:tcW w:w="1803" w:type="pct"/>
                  <w:tcBorders>
                    <w:tl2br w:val="nil"/>
                    <w:tr2bl w:val="nil"/>
                  </w:tcBorders>
                  <w:noWrap w:val="0"/>
                  <w:vAlign w:val="center"/>
                </w:tcPr>
                <w:p>
                  <w:pPr>
                    <w:keepNext w:val="0"/>
                    <w:keepLines w:val="0"/>
                    <w:suppressLineNumbers w:val="0"/>
                    <w:autoSpaceDE w:val="0"/>
                    <w:autoSpaceDN w:val="0"/>
                    <w:adjustRightInd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本项目为</w:t>
                  </w:r>
                  <w:r>
                    <w:rPr>
                      <w:rFonts w:hint="eastAsia" w:cs="Times New Roman"/>
                      <w:color w:val="auto"/>
                      <w:sz w:val="21"/>
                      <w:szCs w:val="21"/>
                      <w:lang w:eastAsia="zh-CN"/>
                    </w:rPr>
                    <w:t>花岗岩矿</w:t>
                  </w:r>
                  <w:r>
                    <w:rPr>
                      <w:rFonts w:hint="eastAsia" w:ascii="Times New Roman" w:hAnsi="Times New Roman" w:eastAsia="宋体" w:cs="Times New Roman"/>
                      <w:color w:val="auto"/>
                      <w:sz w:val="21"/>
                      <w:szCs w:val="21"/>
                    </w:rPr>
                    <w:t>开采，不属于限制类、淘汰类项目</w:t>
                  </w:r>
                  <w:r>
                    <w:rPr>
                      <w:rFonts w:hint="eastAsia" w:cs="Times New Roman"/>
                      <w:color w:val="auto"/>
                      <w:sz w:val="21"/>
                      <w:szCs w:val="21"/>
                      <w:lang w:eastAsia="zh-CN"/>
                    </w:rPr>
                    <w:t>，</w:t>
                  </w:r>
                  <w:r>
                    <w:rPr>
                      <w:rFonts w:hint="eastAsia" w:cs="Times New Roman"/>
                      <w:color w:val="auto"/>
                      <w:sz w:val="21"/>
                      <w:szCs w:val="21"/>
                      <w:lang w:val="en-US" w:eastAsia="zh-CN"/>
                    </w:rPr>
                    <w:t>不使用淘汰或禁止使用的生产工艺、技术和设备</w:t>
                  </w:r>
                  <w:r>
                    <w:rPr>
                      <w:rFonts w:hint="eastAsia" w:ascii="Times New Roman" w:hAnsi="Times New Roman" w:eastAsia="宋体" w:cs="Times New Roman"/>
                      <w:color w:val="auto"/>
                      <w:sz w:val="21"/>
                      <w:szCs w:val="21"/>
                    </w:rPr>
                    <w:t>。</w:t>
                  </w:r>
                </w:p>
              </w:tc>
              <w:tc>
                <w:tcPr>
                  <w:tcW w:w="296" w:type="pct"/>
                  <w:vMerge w:val="restart"/>
                  <w:tcBorders>
                    <w:tl2br w:val="nil"/>
                    <w:tr2bl w:val="nil"/>
                  </w:tcBorders>
                  <w:noWrap w:val="0"/>
                  <w:vAlign w:val="center"/>
                </w:tcPr>
                <w:p>
                  <w:pPr>
                    <w:keepNext w:val="0"/>
                    <w:keepLines w:val="0"/>
                    <w:suppressLineNumbers w:val="0"/>
                    <w:autoSpaceDE w:val="0"/>
                    <w:autoSpaceDN w:val="0"/>
                    <w:adjustRightInd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vMerge w:val="continue"/>
                  <w:tcBorders>
                    <w:tl2br w:val="nil"/>
                    <w:tr2bl w:val="nil"/>
                  </w:tcBorders>
                  <w:noWrap w:val="0"/>
                  <w:vAlign w:val="center"/>
                </w:tcPr>
                <w:p>
                  <w:pPr>
                    <w:keepNext w:val="0"/>
                    <w:keepLines w:val="0"/>
                    <w:suppressLineNumbers w:val="0"/>
                    <w:spacing w:before="0" w:beforeLines="0" w:beforeAutospacing="0" w:after="0" w:afterLines="0" w:afterAutospacing="0"/>
                    <w:ind w:left="0" w:right="0"/>
                    <w:rPr>
                      <w:rFonts w:hint="default" w:ascii="Calibri" w:hAnsi="Calibri" w:eastAsia="宋体" w:cs="Times New Roman"/>
                      <w:color w:val="auto"/>
                      <w:sz w:val="21"/>
                      <w:szCs w:val="21"/>
                    </w:rPr>
                  </w:pPr>
                </w:p>
              </w:tc>
              <w:tc>
                <w:tcPr>
                  <w:tcW w:w="450" w:type="pct"/>
                  <w:tcBorders>
                    <w:tl2br w:val="nil"/>
                    <w:tr2bl w:val="nil"/>
                  </w:tcBorders>
                  <w:noWrap w:val="0"/>
                  <w:vAlign w:val="center"/>
                </w:tcPr>
                <w:p>
                  <w:pPr>
                    <w:keepNext w:val="0"/>
                    <w:keepLines w:val="0"/>
                    <w:suppressLineNumbers w:val="0"/>
                    <w:spacing w:before="0" w:beforeLines="0" w:beforeAutospacing="0" w:after="0" w:afterLines="0" w:afterAutospacing="0"/>
                    <w:ind w:left="0" w:right="0"/>
                    <w:rPr>
                      <w:rFonts w:hint="default" w:ascii="Calibri" w:hAnsi="Calibri" w:eastAsia="宋体" w:cs="Times New Roman"/>
                      <w:color w:val="auto"/>
                      <w:sz w:val="21"/>
                      <w:szCs w:val="21"/>
                    </w:rPr>
                  </w:pPr>
                  <w:r>
                    <w:rPr>
                      <w:rFonts w:hint="default" w:ascii="Calibri" w:hAnsi="Calibri" w:eastAsia="宋体" w:cs="Times New Roman"/>
                      <w:color w:val="auto"/>
                      <w:sz w:val="21"/>
                      <w:szCs w:val="21"/>
                    </w:rPr>
                    <w:t>污染物排放管控</w:t>
                  </w:r>
                </w:p>
              </w:tc>
              <w:tc>
                <w:tcPr>
                  <w:tcW w:w="1873" w:type="pct"/>
                  <w:tcBorders>
                    <w:tl2br w:val="nil"/>
                    <w:tr2bl w:val="nil"/>
                  </w:tcBorders>
                  <w:noWrap w:val="0"/>
                  <w:vAlign w:val="center"/>
                </w:tcPr>
                <w:p>
                  <w:pPr>
                    <w:keepNext w:val="0"/>
                    <w:keepLines w:val="0"/>
                    <w:suppressLineNumbers w:val="0"/>
                    <w:autoSpaceDE w:val="0"/>
                    <w:autoSpaceDN w:val="0"/>
                    <w:adjustRightInd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1.执行自治区七大片区天山南坡管控要求和巴州总体管控要求中关于一般管控单元的污染物排放管控要求。</w:t>
                  </w:r>
                </w:p>
                <w:p>
                  <w:pPr>
                    <w:keepNext w:val="0"/>
                    <w:keepLines w:val="0"/>
                    <w:suppressLineNumbers w:val="0"/>
                    <w:autoSpaceDE w:val="0"/>
                    <w:autoSpaceDN w:val="0"/>
                    <w:adjustRightInd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rPr>
                  </w:pPr>
                </w:p>
              </w:tc>
              <w:tc>
                <w:tcPr>
                  <w:tcW w:w="1803" w:type="pct"/>
                  <w:tcBorders>
                    <w:tl2br w:val="nil"/>
                    <w:tr2bl w:val="nil"/>
                  </w:tcBorders>
                  <w:noWrap w:val="0"/>
                  <w:vAlign w:val="center"/>
                </w:tcPr>
                <w:p>
                  <w:pPr>
                    <w:keepNext w:val="0"/>
                    <w:keepLines w:val="0"/>
                    <w:suppressLineNumbers w:val="0"/>
                    <w:autoSpaceDE w:val="0"/>
                    <w:autoSpaceDN w:val="0"/>
                    <w:adjustRightInd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本项目为</w:t>
                  </w:r>
                  <w:r>
                    <w:rPr>
                      <w:rFonts w:hint="eastAsia" w:cs="Times New Roman"/>
                      <w:color w:val="auto"/>
                      <w:sz w:val="21"/>
                      <w:szCs w:val="21"/>
                      <w:lang w:eastAsia="zh-CN"/>
                    </w:rPr>
                    <w:t>花岗岩矿</w:t>
                  </w:r>
                  <w:r>
                    <w:rPr>
                      <w:rFonts w:hint="eastAsia" w:ascii="Times New Roman" w:hAnsi="Times New Roman" w:eastAsia="宋体" w:cs="Times New Roman"/>
                      <w:color w:val="auto"/>
                      <w:sz w:val="21"/>
                      <w:szCs w:val="21"/>
                    </w:rPr>
                    <w:t>开采</w:t>
                  </w:r>
                  <w:r>
                    <w:rPr>
                      <w:rFonts w:hint="eastAsia" w:cs="Times New Roman"/>
                      <w:color w:val="auto"/>
                      <w:sz w:val="21"/>
                      <w:szCs w:val="21"/>
                      <w:lang w:eastAsia="zh-CN"/>
                    </w:rPr>
                    <w:t>，</w:t>
                  </w:r>
                  <w:r>
                    <w:rPr>
                      <w:rFonts w:hint="eastAsia" w:cs="Times New Roman"/>
                      <w:color w:val="auto"/>
                      <w:sz w:val="21"/>
                      <w:szCs w:val="21"/>
                      <w:lang w:val="en-US" w:eastAsia="zh-CN"/>
                    </w:rPr>
                    <w:t>生产不需供热，不产生有机废气</w:t>
                  </w:r>
                  <w:r>
                    <w:rPr>
                      <w:rFonts w:hint="eastAsia" w:ascii="Times New Roman" w:hAnsi="Times New Roman" w:eastAsia="宋体" w:cs="Times New Roman"/>
                      <w:color w:val="auto"/>
                      <w:sz w:val="21"/>
                      <w:szCs w:val="21"/>
                    </w:rPr>
                    <w:t>，生产过程产生的废气、废水、噪声和固废在采取合理的处置措施后，对周围的环境影响较小。</w:t>
                  </w:r>
                </w:p>
              </w:tc>
              <w:tc>
                <w:tcPr>
                  <w:tcW w:w="296" w:type="pct"/>
                  <w:vMerge w:val="continue"/>
                  <w:tcBorders>
                    <w:tl2br w:val="nil"/>
                    <w:tr2bl w:val="nil"/>
                  </w:tcBorders>
                  <w:noWrap w:val="0"/>
                  <w:vAlign w:val="center"/>
                </w:tcPr>
                <w:p>
                  <w:pPr>
                    <w:keepNext w:val="0"/>
                    <w:keepLines w:val="0"/>
                    <w:suppressLineNumbers w:val="0"/>
                    <w:spacing w:before="0" w:beforeLines="0" w:beforeAutospacing="0" w:after="0" w:afterLines="0" w:afterAutospacing="0"/>
                    <w:ind w:left="0" w:right="0"/>
                    <w:rPr>
                      <w:rFonts w:hint="default" w:ascii="Calibri" w:hAnsi="Calibri" w:eastAsia="宋体"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vMerge w:val="continue"/>
                  <w:tcBorders>
                    <w:tl2br w:val="nil"/>
                    <w:tr2bl w:val="nil"/>
                  </w:tcBorders>
                  <w:noWrap w:val="0"/>
                  <w:vAlign w:val="center"/>
                </w:tcPr>
                <w:p>
                  <w:pPr>
                    <w:keepNext w:val="0"/>
                    <w:keepLines w:val="0"/>
                    <w:suppressLineNumbers w:val="0"/>
                    <w:spacing w:before="0" w:beforeLines="0" w:beforeAutospacing="0" w:after="0" w:afterLines="0" w:afterAutospacing="0"/>
                    <w:ind w:left="0" w:right="0"/>
                    <w:rPr>
                      <w:rFonts w:hint="default" w:ascii="Calibri" w:hAnsi="Calibri" w:eastAsia="宋体" w:cs="Times New Roman"/>
                      <w:color w:val="auto"/>
                      <w:sz w:val="21"/>
                      <w:szCs w:val="21"/>
                    </w:rPr>
                  </w:pPr>
                </w:p>
              </w:tc>
              <w:tc>
                <w:tcPr>
                  <w:tcW w:w="450" w:type="pct"/>
                  <w:tcBorders>
                    <w:tl2br w:val="nil"/>
                    <w:tr2bl w:val="nil"/>
                  </w:tcBorders>
                  <w:noWrap w:val="0"/>
                  <w:vAlign w:val="center"/>
                </w:tcPr>
                <w:p>
                  <w:pPr>
                    <w:keepNext w:val="0"/>
                    <w:keepLines w:val="0"/>
                    <w:suppressLineNumbers w:val="0"/>
                    <w:spacing w:before="0" w:beforeLines="0" w:beforeAutospacing="0" w:after="0" w:afterLines="0" w:afterAutospacing="0"/>
                    <w:ind w:left="0" w:right="0"/>
                    <w:rPr>
                      <w:rFonts w:hint="default" w:ascii="Calibri" w:hAnsi="Calibri" w:eastAsia="宋体" w:cs="Times New Roman"/>
                      <w:color w:val="auto"/>
                      <w:sz w:val="21"/>
                      <w:szCs w:val="21"/>
                    </w:rPr>
                  </w:pPr>
                  <w:r>
                    <w:rPr>
                      <w:rFonts w:hint="default" w:ascii="Calibri" w:hAnsi="Calibri" w:eastAsia="宋体" w:cs="Times New Roman"/>
                      <w:color w:val="auto"/>
                      <w:sz w:val="21"/>
                      <w:szCs w:val="21"/>
                    </w:rPr>
                    <w:t>环境风险防控</w:t>
                  </w:r>
                </w:p>
              </w:tc>
              <w:tc>
                <w:tcPr>
                  <w:tcW w:w="1873" w:type="pct"/>
                  <w:tcBorders>
                    <w:tl2br w:val="nil"/>
                    <w:tr2bl w:val="nil"/>
                  </w:tcBorders>
                  <w:noWrap w:val="0"/>
                  <w:vAlign w:val="center"/>
                </w:tcPr>
                <w:p>
                  <w:pPr>
                    <w:keepNext w:val="0"/>
                    <w:keepLines w:val="0"/>
                    <w:suppressLineNumbers w:val="0"/>
                    <w:autoSpaceDE w:val="0"/>
                    <w:autoSpaceDN w:val="0"/>
                    <w:adjustRightInd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1.执行自治区七大片区天山南坡管控要求和巴州总体管控要求中关于一般管控单元的环境风险防控要求。</w:t>
                  </w:r>
                </w:p>
              </w:tc>
              <w:tc>
                <w:tcPr>
                  <w:tcW w:w="1803" w:type="pct"/>
                  <w:tcBorders>
                    <w:tl2br w:val="nil"/>
                    <w:tr2bl w:val="nil"/>
                  </w:tcBorders>
                  <w:noWrap w:val="0"/>
                  <w:vAlign w:val="center"/>
                </w:tcPr>
                <w:p>
                  <w:pPr>
                    <w:keepNext w:val="0"/>
                    <w:keepLines w:val="0"/>
                    <w:suppressLineNumbers w:val="0"/>
                    <w:autoSpaceDE w:val="0"/>
                    <w:autoSpaceDN w:val="0"/>
                    <w:adjustRightInd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本项目为</w:t>
                  </w:r>
                  <w:r>
                    <w:rPr>
                      <w:rFonts w:hint="eastAsia" w:cs="Times New Roman"/>
                      <w:color w:val="auto"/>
                      <w:sz w:val="21"/>
                      <w:szCs w:val="21"/>
                      <w:lang w:eastAsia="zh-CN"/>
                    </w:rPr>
                    <w:t>花岗岩矿</w:t>
                  </w:r>
                  <w:r>
                    <w:rPr>
                      <w:rFonts w:hint="eastAsia" w:ascii="Times New Roman" w:hAnsi="Times New Roman" w:eastAsia="宋体" w:cs="Times New Roman"/>
                      <w:color w:val="auto"/>
                      <w:sz w:val="21"/>
                      <w:szCs w:val="21"/>
                    </w:rPr>
                    <w:t>开采，</w:t>
                  </w:r>
                  <w:r>
                    <w:rPr>
                      <w:rFonts w:hint="eastAsia" w:cs="Times New Roman"/>
                      <w:color w:val="auto"/>
                      <w:sz w:val="21"/>
                      <w:szCs w:val="21"/>
                      <w:lang w:val="en-US" w:eastAsia="zh-CN"/>
                    </w:rPr>
                    <w:t>不涉及</w:t>
                  </w:r>
                  <w:r>
                    <w:rPr>
                      <w:rFonts w:hint="eastAsia" w:ascii="Times New Roman" w:hAnsi="Times New Roman" w:eastAsia="宋体" w:cs="Times New Roman"/>
                      <w:color w:val="auto"/>
                      <w:sz w:val="21"/>
                      <w:szCs w:val="21"/>
                    </w:rPr>
                    <w:t>重金属污染。</w:t>
                  </w:r>
                  <w:r>
                    <w:rPr>
                      <w:rFonts w:hint="eastAsia" w:cs="Times New Roman"/>
                      <w:color w:val="auto"/>
                      <w:sz w:val="21"/>
                      <w:szCs w:val="21"/>
                      <w:lang w:val="en-US" w:eastAsia="zh-CN"/>
                    </w:rPr>
                    <w:t>项目建设完成投产前编制突发环境事件应急预案。</w:t>
                  </w:r>
                </w:p>
              </w:tc>
              <w:tc>
                <w:tcPr>
                  <w:tcW w:w="296" w:type="pct"/>
                  <w:vMerge w:val="continue"/>
                  <w:tcBorders>
                    <w:tl2br w:val="nil"/>
                    <w:tr2bl w:val="nil"/>
                  </w:tcBorders>
                  <w:noWrap w:val="0"/>
                  <w:vAlign w:val="center"/>
                </w:tcPr>
                <w:p>
                  <w:pPr>
                    <w:keepNext w:val="0"/>
                    <w:keepLines w:val="0"/>
                    <w:suppressLineNumbers w:val="0"/>
                    <w:spacing w:before="0" w:beforeLines="0" w:beforeAutospacing="0" w:after="0" w:afterLines="0" w:afterAutospacing="0"/>
                    <w:ind w:left="0" w:right="0"/>
                    <w:rPr>
                      <w:rFonts w:hint="default" w:ascii="Calibri" w:hAnsi="Calibri" w:eastAsia="宋体"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6" w:type="pct"/>
                  <w:vMerge w:val="continue"/>
                  <w:tcBorders>
                    <w:tl2br w:val="nil"/>
                    <w:tr2bl w:val="nil"/>
                  </w:tcBorders>
                  <w:noWrap w:val="0"/>
                  <w:vAlign w:val="center"/>
                </w:tcPr>
                <w:p>
                  <w:pPr>
                    <w:keepNext w:val="0"/>
                    <w:keepLines w:val="0"/>
                    <w:suppressLineNumbers w:val="0"/>
                    <w:spacing w:before="0" w:beforeLines="0" w:beforeAutospacing="0" w:after="0" w:afterLines="0" w:afterAutospacing="0"/>
                    <w:ind w:left="0" w:right="0"/>
                    <w:rPr>
                      <w:rFonts w:hint="default" w:ascii="Calibri" w:hAnsi="Calibri" w:eastAsia="宋体" w:cs="Times New Roman"/>
                      <w:color w:val="auto"/>
                      <w:sz w:val="21"/>
                      <w:szCs w:val="21"/>
                    </w:rPr>
                  </w:pPr>
                </w:p>
              </w:tc>
              <w:tc>
                <w:tcPr>
                  <w:tcW w:w="450" w:type="pct"/>
                  <w:tcBorders>
                    <w:tl2br w:val="nil"/>
                    <w:tr2bl w:val="nil"/>
                  </w:tcBorders>
                  <w:noWrap w:val="0"/>
                  <w:vAlign w:val="center"/>
                </w:tcPr>
                <w:p>
                  <w:pPr>
                    <w:keepNext w:val="0"/>
                    <w:keepLines w:val="0"/>
                    <w:suppressLineNumbers w:val="0"/>
                    <w:spacing w:before="0" w:beforeLines="0" w:beforeAutospacing="0" w:after="0" w:afterLines="0" w:afterAutospacing="0"/>
                    <w:ind w:left="0" w:right="0"/>
                    <w:rPr>
                      <w:rFonts w:hint="default" w:ascii="Calibri" w:hAnsi="Calibri" w:eastAsia="宋体" w:cs="Times New Roman"/>
                      <w:color w:val="auto"/>
                      <w:sz w:val="21"/>
                      <w:szCs w:val="21"/>
                    </w:rPr>
                  </w:pPr>
                  <w:r>
                    <w:rPr>
                      <w:rFonts w:hint="default" w:ascii="Calibri" w:hAnsi="Calibri" w:eastAsia="宋体" w:cs="Times New Roman"/>
                      <w:color w:val="auto"/>
                      <w:sz w:val="21"/>
                      <w:szCs w:val="21"/>
                    </w:rPr>
                    <w:t>资源利用效率</w:t>
                  </w:r>
                </w:p>
              </w:tc>
              <w:tc>
                <w:tcPr>
                  <w:tcW w:w="1873" w:type="pct"/>
                  <w:tcBorders>
                    <w:tl2br w:val="nil"/>
                    <w:tr2bl w:val="nil"/>
                  </w:tcBorders>
                  <w:noWrap w:val="0"/>
                  <w:vAlign w:val="center"/>
                </w:tcPr>
                <w:p>
                  <w:pPr>
                    <w:keepNext w:val="0"/>
                    <w:keepLines w:val="0"/>
                    <w:suppressLineNumbers w:val="0"/>
                    <w:autoSpaceDE w:val="0"/>
                    <w:autoSpaceDN w:val="0"/>
                    <w:adjustRightInd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1.执行自治区七大片区天山南坡管控要求和巴州总体管控要求中关于一般管控单元的资源利用效率要求。</w:t>
                  </w:r>
                </w:p>
                <w:p>
                  <w:pPr>
                    <w:keepNext w:val="0"/>
                    <w:keepLines w:val="0"/>
                    <w:suppressLineNumbers w:val="0"/>
                    <w:autoSpaceDE w:val="0"/>
                    <w:autoSpaceDN w:val="0"/>
                    <w:adjustRightInd w:val="0"/>
                    <w:snapToGrid w:val="0"/>
                    <w:spacing w:before="0" w:beforeLines="0" w:beforeAutospacing="0" w:after="0" w:afterLines="0" w:afterAutospacing="0"/>
                    <w:ind w:left="0" w:right="0"/>
                    <w:rPr>
                      <w:rFonts w:hint="default" w:ascii="Times New Roman" w:hAnsi="Times New Roman" w:eastAsia="宋体" w:cs="Times New Roman"/>
                      <w:color w:val="auto"/>
                      <w:sz w:val="21"/>
                      <w:szCs w:val="21"/>
                      <w:lang w:bidi="ar"/>
                    </w:rPr>
                  </w:pPr>
                </w:p>
              </w:tc>
              <w:tc>
                <w:tcPr>
                  <w:tcW w:w="1803" w:type="pct"/>
                  <w:tcBorders>
                    <w:tl2br w:val="nil"/>
                    <w:tr2bl w:val="nil"/>
                  </w:tcBorders>
                  <w:noWrap w:val="0"/>
                  <w:vAlign w:val="center"/>
                </w:tcPr>
                <w:p>
                  <w:pPr>
                    <w:keepNext w:val="0"/>
                    <w:keepLines w:val="0"/>
                    <w:suppressLineNumbers w:val="0"/>
                    <w:autoSpaceDE w:val="0"/>
                    <w:autoSpaceDN w:val="0"/>
                    <w:adjustRightInd w:val="0"/>
                    <w:snapToGrid w:val="0"/>
                    <w:spacing w:before="0" w:beforeLines="0" w:beforeAutospacing="0" w:after="0" w:afterLines="0" w:afterAutospacing="0"/>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本项目为</w:t>
                  </w:r>
                  <w:r>
                    <w:rPr>
                      <w:rFonts w:hint="eastAsia" w:cs="Times New Roman"/>
                      <w:color w:val="auto"/>
                      <w:sz w:val="21"/>
                      <w:szCs w:val="21"/>
                      <w:lang w:eastAsia="zh-CN"/>
                    </w:rPr>
                    <w:t>花岗岩矿</w:t>
                  </w:r>
                  <w:r>
                    <w:rPr>
                      <w:rFonts w:hint="eastAsia" w:ascii="Times New Roman" w:hAnsi="Times New Roman" w:eastAsia="宋体" w:cs="Times New Roman"/>
                      <w:color w:val="auto"/>
                      <w:sz w:val="21"/>
                      <w:szCs w:val="21"/>
                    </w:rPr>
                    <w:t>开采</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rPr>
                    <w:t>项目本身水、电资源使用量较少，不会突破区域的资源利用上限。</w:t>
                  </w:r>
                </w:p>
              </w:tc>
              <w:tc>
                <w:tcPr>
                  <w:tcW w:w="296" w:type="pct"/>
                  <w:vMerge w:val="continue"/>
                  <w:tcBorders>
                    <w:tl2br w:val="nil"/>
                    <w:tr2bl w:val="nil"/>
                  </w:tcBorders>
                  <w:noWrap w:val="0"/>
                  <w:vAlign w:val="center"/>
                </w:tcPr>
                <w:p>
                  <w:pPr>
                    <w:keepNext w:val="0"/>
                    <w:keepLines w:val="0"/>
                    <w:suppressLineNumbers w:val="0"/>
                    <w:spacing w:before="0" w:beforeLines="0" w:beforeAutospacing="0" w:after="0" w:afterLines="0" w:afterAutospacing="0"/>
                    <w:ind w:left="0" w:right="0"/>
                    <w:rPr>
                      <w:rFonts w:hint="default" w:ascii="Calibri" w:hAnsi="Calibri" w:eastAsia="宋体" w:cs="Times New Roman"/>
                      <w:color w:val="auto"/>
                      <w:sz w:val="21"/>
                      <w:szCs w:val="21"/>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2</w:t>
            </w:r>
            <w:r>
              <w:rPr>
                <w:rFonts w:hint="eastAsia" w:ascii="Times New Roman" w:hAnsi="Times New Roman" w:cs="Times New Roman"/>
                <w:color w:val="auto"/>
                <w:sz w:val="24"/>
                <w:szCs w:val="24"/>
                <w:lang w:val="en-US" w:eastAsia="zh-CN"/>
              </w:rPr>
              <w:t>）与“七大片区“三线一单”生态环境分区管控要求”符合性分析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根据关于印发《新疆维吾尔自治区七大片</w:t>
            </w:r>
            <w:r>
              <w:rPr>
                <w:rFonts w:hint="eastAsia" w:ascii="宋体" w:hAnsi="宋体" w:eastAsia="宋体" w:cs="宋体"/>
                <w:color w:val="auto"/>
                <w:sz w:val="24"/>
                <w:szCs w:val="24"/>
                <w:lang w:val="en-US" w:eastAsia="zh-CN"/>
              </w:rPr>
              <w:t>区“三线一单”生</w:t>
            </w:r>
            <w:r>
              <w:rPr>
                <w:rFonts w:hint="default" w:ascii="Times New Roman" w:hAnsi="Times New Roman" w:eastAsia="宋体" w:cs="Times New Roman"/>
                <w:color w:val="auto"/>
                <w:sz w:val="24"/>
                <w:szCs w:val="24"/>
                <w:lang w:val="en-US" w:eastAsia="zh-CN"/>
              </w:rPr>
              <w:t>态环境分区管控要求》（2021年版）的通知（新环环评发〔2021〕162号），本项目</w:t>
            </w:r>
            <w:r>
              <w:rPr>
                <w:rFonts w:hint="eastAsia" w:ascii="宋体" w:hAnsi="宋体" w:eastAsia="宋体" w:cs="宋体"/>
                <w:color w:val="auto"/>
                <w:sz w:val="24"/>
                <w:szCs w:val="24"/>
                <w:lang w:val="en-US" w:eastAsia="zh-CN"/>
              </w:rPr>
              <w:t>位于“天山南坡（巴州、阿克苏地区）”</w:t>
            </w:r>
            <w:r>
              <w:rPr>
                <w:rFonts w:hint="default" w:ascii="Times New Roman" w:hAnsi="Times New Roman" w:eastAsia="宋体" w:cs="Times New Roman"/>
                <w:color w:val="auto"/>
                <w:sz w:val="24"/>
                <w:szCs w:val="24"/>
                <w:lang w:val="en-US" w:eastAsia="zh-CN"/>
              </w:rPr>
              <w:t>区域，具体管控要求见下表。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表1-</w:t>
            </w:r>
            <w:r>
              <w:rPr>
                <w:rFonts w:hint="eastAsia" w:cs="Times New Roman"/>
                <w:b/>
                <w:bCs/>
                <w:color w:val="auto"/>
                <w:sz w:val="22"/>
                <w:szCs w:val="22"/>
                <w:lang w:val="en-US" w:eastAsia="zh-CN"/>
              </w:rPr>
              <w:t>2</w:t>
            </w:r>
            <w:r>
              <w:rPr>
                <w:rFonts w:hint="default" w:ascii="Times New Roman" w:hAnsi="Times New Roman" w:eastAsia="宋体" w:cs="Times New Roman"/>
                <w:b/>
                <w:bCs/>
                <w:color w:val="auto"/>
                <w:sz w:val="22"/>
                <w:szCs w:val="22"/>
                <w:lang w:val="en-US" w:eastAsia="zh-CN"/>
              </w:rPr>
              <w:t xml:space="preserve"> </w:t>
            </w:r>
            <w:r>
              <w:rPr>
                <w:rFonts w:hint="eastAsia" w:ascii="Times New Roman" w:hAnsi="Times New Roman" w:eastAsia="宋体" w:cs="Times New Roman"/>
                <w:b/>
                <w:bCs/>
                <w:color w:val="auto"/>
                <w:sz w:val="22"/>
                <w:szCs w:val="22"/>
                <w:lang w:val="en-US" w:eastAsia="zh-CN"/>
              </w:rPr>
              <w:t xml:space="preserve">  </w:t>
            </w:r>
            <w:r>
              <w:rPr>
                <w:rFonts w:hint="default" w:ascii="Times New Roman" w:hAnsi="Times New Roman" w:eastAsia="宋体" w:cs="Times New Roman"/>
                <w:b/>
                <w:bCs/>
                <w:color w:val="auto"/>
                <w:sz w:val="22"/>
                <w:szCs w:val="22"/>
                <w:lang w:val="en-US" w:eastAsia="zh-CN"/>
              </w:rPr>
              <w:t xml:space="preserve"> 七大片区“三线一单”生态环境分区管控要求符合性</w:t>
            </w:r>
          </w:p>
          <w:tbl>
            <w:tblPr>
              <w:tblStyle w:val="2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4671"/>
              <w:gridCol w:w="1585"/>
              <w:gridCol w:w="6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30" w:type="dxa"/>
                  <w:tcBorders>
                    <w:tl2br w:val="nil"/>
                    <w:tr2bl w:val="nil"/>
                  </w:tcBorders>
                  <w:noWrap w:val="0"/>
                  <w:vAlign w:val="center"/>
                </w:tcPr>
                <w:p>
                  <w:pPr>
                    <w:pStyle w:val="21"/>
                    <w:keepNext w:val="0"/>
                    <w:keepLines w:val="0"/>
                    <w:suppressLineNumbers w:val="0"/>
                    <w:adjustRightInd w:val="0"/>
                    <w:snapToGrid w:val="0"/>
                    <w:spacing w:line="252" w:lineRule="auto"/>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文件名称</w:t>
                  </w:r>
                </w:p>
              </w:tc>
              <w:tc>
                <w:tcPr>
                  <w:tcW w:w="4671" w:type="dxa"/>
                  <w:tcBorders>
                    <w:tl2br w:val="nil"/>
                    <w:tr2bl w:val="nil"/>
                  </w:tcBorders>
                  <w:noWrap w:val="0"/>
                  <w:vAlign w:val="center"/>
                </w:tcPr>
                <w:p>
                  <w:pPr>
                    <w:pStyle w:val="21"/>
                    <w:keepNext w:val="0"/>
                    <w:keepLines w:val="0"/>
                    <w:suppressLineNumbers w:val="0"/>
                    <w:adjustRightInd w:val="0"/>
                    <w:snapToGrid w:val="0"/>
                    <w:spacing w:line="252" w:lineRule="auto"/>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环境管理政策有关要求</w:t>
                  </w:r>
                </w:p>
              </w:tc>
              <w:tc>
                <w:tcPr>
                  <w:tcW w:w="1585" w:type="dxa"/>
                  <w:tcBorders>
                    <w:tl2br w:val="nil"/>
                    <w:tr2bl w:val="nil"/>
                  </w:tcBorders>
                  <w:noWrap w:val="0"/>
                  <w:vAlign w:val="center"/>
                </w:tcPr>
                <w:p>
                  <w:pPr>
                    <w:pStyle w:val="21"/>
                    <w:keepNext w:val="0"/>
                    <w:keepLines w:val="0"/>
                    <w:suppressLineNumbers w:val="0"/>
                    <w:adjustRightInd w:val="0"/>
                    <w:snapToGrid w:val="0"/>
                    <w:spacing w:line="252" w:lineRule="auto"/>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本项目情况</w:t>
                  </w:r>
                </w:p>
              </w:tc>
              <w:tc>
                <w:tcPr>
                  <w:tcW w:w="612" w:type="dxa"/>
                  <w:tcBorders>
                    <w:tl2br w:val="nil"/>
                    <w:tr2bl w:val="nil"/>
                  </w:tcBorders>
                  <w:noWrap w:val="0"/>
                  <w:vAlign w:val="center"/>
                </w:tcPr>
                <w:p>
                  <w:pPr>
                    <w:pStyle w:val="21"/>
                    <w:keepNext w:val="0"/>
                    <w:keepLines w:val="0"/>
                    <w:suppressLineNumbers w:val="0"/>
                    <w:adjustRightInd w:val="0"/>
                    <w:snapToGrid w:val="0"/>
                    <w:spacing w:line="252" w:lineRule="auto"/>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3" w:hRule="atLeast"/>
                <w:jc w:val="center"/>
              </w:trPr>
              <w:tc>
                <w:tcPr>
                  <w:tcW w:w="1230" w:type="dxa"/>
                  <w:tcBorders>
                    <w:tl2br w:val="nil"/>
                    <w:tr2bl w:val="nil"/>
                  </w:tcBorders>
                  <w:noWrap w:val="0"/>
                  <w:vAlign w:val="center"/>
                </w:tcPr>
                <w:p>
                  <w:pPr>
                    <w:pStyle w:val="21"/>
                    <w:keepNext w:val="0"/>
                    <w:keepLines w:val="0"/>
                    <w:widowControl w:val="0"/>
                    <w:suppressLineNumbers w:val="0"/>
                    <w:autoSpaceDE w:val="0"/>
                    <w:autoSpaceDN w:val="0"/>
                    <w:spacing w:line="240" w:lineRule="auto"/>
                    <w:ind w:left="0" w:right="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bidi="ar"/>
                    </w:rPr>
                    <w:t>《新疆维吾尔自治区七大片</w:t>
                  </w:r>
                  <w:r>
                    <w:rPr>
                      <w:rFonts w:hint="eastAsia" w:ascii="宋体" w:hAnsi="宋体" w:eastAsia="宋体" w:cs="宋体"/>
                      <w:color w:val="auto"/>
                      <w:kern w:val="2"/>
                      <w:sz w:val="21"/>
                      <w:szCs w:val="21"/>
                      <w:lang w:bidi="ar"/>
                    </w:rPr>
                    <w:t>区“三线一单”</w:t>
                  </w:r>
                  <w:r>
                    <w:rPr>
                      <w:rFonts w:hint="default" w:ascii="Times New Roman" w:hAnsi="Times New Roman" w:eastAsia="宋体" w:cs="Times New Roman"/>
                      <w:color w:val="auto"/>
                      <w:kern w:val="2"/>
                      <w:sz w:val="21"/>
                      <w:szCs w:val="21"/>
                      <w:lang w:bidi="ar"/>
                    </w:rPr>
                    <w:t>生态环境分区管控要求》（2021年版）的通知（新环环评发〔2021〕162号）</w:t>
                  </w:r>
                </w:p>
              </w:tc>
              <w:tc>
                <w:tcPr>
                  <w:tcW w:w="467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切实保护托木尔峰和天山南坡中段冰雪水源及生物多样性保护生态功能区内的托木尔峰自然景观、高山冰川、野生动物、森林和草原，合理利用天然草地，稳步推进草原减牧，加强保护区管理，维护自然景观和生物多样性。</w:t>
                  </w: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重点做好塔里木盆地北缘荒漠化防治。加强荒漠植被及河岸荒漠林保护，规范油气勘探开发作业，建立油田和公路扰动区域工程与生物相结合的防风固沙体系，逐步形成生态屏障。</w:t>
                  </w: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推进塔里木河流域用水结构调整，维护塔里木河、博斯腾湖基本生态用水。</w:t>
                  </w: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2"/>
                      <w:sz w:val="21"/>
                      <w:szCs w:val="21"/>
                      <w:lang w:bidi="ar"/>
                    </w:rPr>
                  </w:pPr>
                  <w:r>
                    <w:rPr>
                      <w:rFonts w:hint="default" w:ascii="Times New Roman" w:hAnsi="Times New Roman" w:eastAsia="宋体" w:cs="Times New Roman"/>
                      <w:color w:val="auto"/>
                      <w:kern w:val="2"/>
                      <w:sz w:val="21"/>
                      <w:szCs w:val="21"/>
                      <w:lang w:bidi="ar"/>
                    </w:rPr>
                    <w:t>加强塔里木河流域水环境风险管控。加大博斯腾湖污染源头达标排放治理和监督力度，实施博斯腾湖综合治理。</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eastAsia="宋体" w:cs="Times New Roman"/>
                      <w:color w:val="auto"/>
                      <w:kern w:val="2"/>
                      <w:sz w:val="21"/>
                      <w:szCs w:val="21"/>
                      <w:lang w:bidi="ar"/>
                    </w:rPr>
                    <w:t>加强油（气）资源开发区土壤环境污染综合整治。强化涉重金属行业污染防控与工业废物处理处置。</w:t>
                  </w:r>
                </w:p>
              </w:tc>
              <w:tc>
                <w:tcPr>
                  <w:tcW w:w="1585" w:type="dxa"/>
                  <w:tcBorders>
                    <w:tl2br w:val="nil"/>
                    <w:tr2bl w:val="nil"/>
                  </w:tcBorders>
                  <w:noWrap w:val="0"/>
                  <w:vAlign w:val="center"/>
                </w:tcPr>
                <w:p>
                  <w:pPr>
                    <w:pStyle w:val="21"/>
                    <w:keepNext w:val="0"/>
                    <w:keepLines w:val="0"/>
                    <w:widowControl w:val="0"/>
                    <w:suppressLineNumbers w:val="0"/>
                    <w:autoSpaceDE w:val="0"/>
                    <w:autoSpaceDN w:val="0"/>
                    <w:adjustRightInd w:val="0"/>
                    <w:snapToGrid w:val="0"/>
                    <w:spacing w:line="240" w:lineRule="auto"/>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bidi="ar"/>
                    </w:rPr>
                    <w:t>本项目位于</w:t>
                  </w:r>
                  <w:r>
                    <w:rPr>
                      <w:rFonts w:hint="default" w:ascii="Times New Roman" w:hAnsi="Times New Roman" w:eastAsia="宋体" w:cs="Times New Roman"/>
                      <w:color w:val="auto"/>
                      <w:kern w:val="2"/>
                      <w:sz w:val="21"/>
                      <w:szCs w:val="21"/>
                      <w:lang w:val="en-US" w:eastAsia="zh-CN" w:bidi="ar"/>
                    </w:rPr>
                    <w:t>和硕县城东南方向，直线距离约</w:t>
                  </w:r>
                  <w:r>
                    <w:rPr>
                      <w:rFonts w:hint="eastAsia" w:ascii="Times New Roman" w:hAnsi="Times New Roman" w:cs="Times New Roman"/>
                      <w:color w:val="auto"/>
                      <w:kern w:val="2"/>
                      <w:sz w:val="21"/>
                      <w:szCs w:val="21"/>
                      <w:lang w:val="en-US" w:eastAsia="zh-CN" w:bidi="ar"/>
                    </w:rPr>
                    <w:t>58</w:t>
                  </w:r>
                  <w:r>
                    <w:rPr>
                      <w:rFonts w:hint="default" w:ascii="Times New Roman" w:hAnsi="Times New Roman" w:eastAsia="宋体" w:cs="Times New Roman"/>
                      <w:color w:val="auto"/>
                      <w:kern w:val="2"/>
                      <w:sz w:val="21"/>
                      <w:szCs w:val="21"/>
                      <w:lang w:val="en-US" w:eastAsia="zh-CN" w:bidi="ar"/>
                    </w:rPr>
                    <w:t>km</w:t>
                  </w:r>
                  <w:r>
                    <w:rPr>
                      <w:rFonts w:hint="default" w:ascii="Times New Roman" w:hAnsi="Times New Roman" w:eastAsia="宋体" w:cs="Times New Roman"/>
                      <w:color w:val="auto"/>
                      <w:kern w:val="2"/>
                      <w:sz w:val="21"/>
                      <w:szCs w:val="21"/>
                      <w:lang w:bidi="ar"/>
                    </w:rPr>
                    <w:t>。项目选址不在水源涵养区、地下水源、饮用水源、各类自然保护区、自然生态良好区域、风景名胜区和人群密集区等生态敏感区域；不涉及油气勘探开发。</w:t>
                  </w:r>
                </w:p>
              </w:tc>
              <w:tc>
                <w:tcPr>
                  <w:tcW w:w="612" w:type="dxa"/>
                  <w:tcBorders>
                    <w:tl2br w:val="nil"/>
                    <w:tr2bl w:val="nil"/>
                  </w:tcBorders>
                  <w:noWrap w:val="0"/>
                  <w:vAlign w:val="center"/>
                </w:tcPr>
                <w:p>
                  <w:pPr>
                    <w:pStyle w:val="21"/>
                    <w:keepNext w:val="0"/>
                    <w:keepLines w:val="0"/>
                    <w:widowControl w:val="0"/>
                    <w:suppressLineNumbers w:val="0"/>
                    <w:autoSpaceDE w:val="0"/>
                    <w:autoSpaceDN w:val="0"/>
                    <w:spacing w:line="240" w:lineRule="exact"/>
                    <w:ind w:left="-105" w:leftChars="-50" w:right="-105" w:rightChars="-50"/>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bidi="ar"/>
                    </w:rPr>
                    <w:t>符合</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（3）与“《新疆维吾尔自治区生态环境分区管控动态更新成果》（新环环评发〔2024〕157号）”符合性分析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2024年11月，新疆维吾尔自治区生态环境厅发布了《关于印发&lt;新疆维吾尔自治区生态环境分区管控动态更新成果＞的通知》（新环环评发</w:t>
            </w:r>
            <w:r>
              <w:rPr>
                <w:rFonts w:hint="eastAsia" w:cs="Times New Roman"/>
                <w:color w:val="auto"/>
                <w:sz w:val="24"/>
                <w:szCs w:val="24"/>
                <w:lang w:val="en-US" w:eastAsia="zh-CN"/>
              </w:rPr>
              <w:t>〔2024〕157号</w:t>
            </w:r>
            <w:r>
              <w:rPr>
                <w:rFonts w:hint="eastAsia" w:ascii="Times New Roman" w:hAnsi="Times New Roman" w:eastAsia="宋体" w:cs="Times New Roman"/>
                <w:color w:val="auto"/>
                <w:sz w:val="24"/>
                <w:szCs w:val="24"/>
                <w:lang w:val="en-US" w:eastAsia="zh-CN"/>
              </w:rPr>
              <w:t>），与其符合性分析内容见下表。</w:t>
            </w:r>
          </w:p>
          <w:p>
            <w:pPr>
              <w:pStyle w:val="2"/>
              <w:rPr>
                <w:rFonts w:hint="eastAsia" w:ascii="Times New Roman" w:hAnsi="Times New Roman" w:eastAsia="宋体" w:cs="Times New Roman"/>
                <w:color w:val="auto"/>
                <w:sz w:val="24"/>
                <w:szCs w:val="24"/>
                <w:lang w:val="en-US" w:eastAsia="zh-CN"/>
              </w:rPr>
            </w:pPr>
          </w:p>
          <w:p>
            <w:pPr>
              <w:pStyle w:val="3"/>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w:t>
            </w:r>
            <w:r>
              <w:rPr>
                <w:rFonts w:hint="default" w:ascii="Times New Roman" w:hAnsi="Times New Roman" w:eastAsia="宋体" w:cs="Times New Roman"/>
                <w:b/>
                <w:bCs/>
                <w:color w:val="auto"/>
                <w:sz w:val="22"/>
                <w:szCs w:val="22"/>
                <w:lang w:val="en-US" w:eastAsia="zh-CN"/>
              </w:rPr>
              <w:t>1</w:t>
            </w:r>
            <w:r>
              <w:rPr>
                <w:rFonts w:hint="eastAsia" w:ascii="Times New Roman" w:hAnsi="Times New Roman" w:cs="Times New Roman"/>
                <w:b/>
                <w:bCs/>
                <w:color w:val="auto"/>
                <w:sz w:val="22"/>
                <w:szCs w:val="22"/>
                <w:lang w:val="en-US" w:eastAsia="zh-CN"/>
              </w:rPr>
              <w:t>-</w:t>
            </w:r>
            <w:r>
              <w:rPr>
                <w:rFonts w:hint="eastAsia" w:cs="Times New Roman"/>
                <w:b/>
                <w:bCs/>
                <w:color w:val="auto"/>
                <w:sz w:val="22"/>
                <w:szCs w:val="22"/>
                <w:lang w:val="en-US" w:eastAsia="zh-CN"/>
              </w:rPr>
              <w:t>3</w:t>
            </w:r>
            <w:r>
              <w:rPr>
                <w:rFonts w:hint="eastAsia" w:ascii="Times New Roman" w:hAnsi="Times New Roman" w:eastAsia="宋体" w:cs="Times New Roman"/>
                <w:b/>
                <w:bCs/>
                <w:color w:val="auto"/>
                <w:sz w:val="22"/>
                <w:szCs w:val="22"/>
                <w:lang w:val="en-US" w:eastAsia="zh-CN"/>
              </w:rPr>
              <w:t xml:space="preserve">  《新疆维吾尔自治区生态环境分区管控动态更新成果》（新环环评发〔2024〕157号）相符性分析</w:t>
            </w:r>
          </w:p>
          <w:tbl>
            <w:tblPr>
              <w:tblStyle w:val="23"/>
              <w:tblW w:w="490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88"/>
              <w:gridCol w:w="425"/>
              <w:gridCol w:w="673"/>
              <w:gridCol w:w="3638"/>
              <w:gridCol w:w="2775"/>
              <w:gridCol w:w="5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tcBorders>
                    <w:tl2br w:val="nil"/>
                    <w:tr2bl w:val="nil"/>
                  </w:tcBorders>
                  <w:noWrap w:val="0"/>
                  <w:vAlign w:val="center"/>
                </w:tcPr>
                <w:p>
                  <w:pPr>
                    <w:jc w:val="center"/>
                    <w:rPr>
                      <w:rFonts w:hint="eastAsia"/>
                      <w:color w:val="auto"/>
                      <w:sz w:val="21"/>
                      <w:szCs w:val="21"/>
                    </w:rPr>
                  </w:pPr>
                  <w:r>
                    <w:rPr>
                      <w:rFonts w:hint="eastAsia"/>
                      <w:color w:val="auto"/>
                      <w:sz w:val="21"/>
                      <w:szCs w:val="21"/>
                    </w:rPr>
                    <w:t>名称</w:t>
                  </w:r>
                </w:p>
              </w:tc>
              <w:tc>
                <w:tcPr>
                  <w:tcW w:w="2815" w:type="pct"/>
                  <w:gridSpan w:val="3"/>
                  <w:tcBorders>
                    <w:tl2br w:val="nil"/>
                    <w:tr2bl w:val="nil"/>
                  </w:tcBorders>
                  <w:noWrap w:val="0"/>
                  <w:vAlign w:val="center"/>
                </w:tcPr>
                <w:p>
                  <w:pPr>
                    <w:jc w:val="center"/>
                    <w:rPr>
                      <w:rFonts w:hint="eastAsia"/>
                      <w:color w:val="auto"/>
                      <w:sz w:val="21"/>
                      <w:szCs w:val="21"/>
                    </w:rPr>
                  </w:pPr>
                  <w:r>
                    <w:rPr>
                      <w:rFonts w:hint="eastAsia"/>
                      <w:color w:val="auto"/>
                      <w:sz w:val="21"/>
                      <w:szCs w:val="21"/>
                    </w:rPr>
                    <w:t>管控要求</w:t>
                  </w:r>
                </w:p>
              </w:tc>
              <w:tc>
                <w:tcPr>
                  <w:tcW w:w="1649" w:type="pct"/>
                  <w:tcBorders>
                    <w:tl2br w:val="nil"/>
                    <w:tr2bl w:val="nil"/>
                  </w:tcBorders>
                  <w:noWrap w:val="0"/>
                  <w:vAlign w:val="center"/>
                </w:tcPr>
                <w:p>
                  <w:pPr>
                    <w:jc w:val="center"/>
                    <w:rPr>
                      <w:rFonts w:hint="eastAsia"/>
                      <w:color w:val="auto"/>
                      <w:sz w:val="21"/>
                      <w:szCs w:val="21"/>
                    </w:rPr>
                  </w:pPr>
                  <w:r>
                    <w:rPr>
                      <w:rFonts w:hint="eastAsia"/>
                      <w:color w:val="auto"/>
                      <w:sz w:val="21"/>
                      <w:szCs w:val="21"/>
                    </w:rPr>
                    <w:t>拟建工程</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restart"/>
                  <w:tcBorders>
                    <w:tl2br w:val="nil"/>
                    <w:tr2bl w:val="nil"/>
                  </w:tcBorders>
                  <w:noWrap w:val="0"/>
                  <w:vAlign w:val="center"/>
                </w:tcPr>
                <w:p>
                  <w:pPr>
                    <w:jc w:val="center"/>
                    <w:rPr>
                      <w:rFonts w:hint="eastAsia"/>
                      <w:color w:val="auto"/>
                      <w:sz w:val="21"/>
                      <w:szCs w:val="21"/>
                    </w:rPr>
                  </w:pPr>
                  <w:r>
                    <w:rPr>
                      <w:rFonts w:hint="eastAsia"/>
                      <w:color w:val="auto"/>
                      <w:sz w:val="21"/>
                      <w:szCs w:val="21"/>
                    </w:rPr>
                    <w:t>新疆维吾尔自治区总体管控要求</w:t>
                  </w:r>
                </w:p>
              </w:tc>
              <w:tc>
                <w:tcPr>
                  <w:tcW w:w="253" w:type="pct"/>
                  <w:vMerge w:val="restart"/>
                  <w:tcBorders>
                    <w:tl2br w:val="nil"/>
                    <w:tr2bl w:val="nil"/>
                  </w:tcBorders>
                  <w:noWrap w:val="0"/>
                  <w:vAlign w:val="center"/>
                </w:tcPr>
                <w:p>
                  <w:pPr>
                    <w:jc w:val="center"/>
                    <w:rPr>
                      <w:rFonts w:hint="eastAsia"/>
                      <w:color w:val="auto"/>
                      <w:sz w:val="21"/>
                      <w:szCs w:val="21"/>
                    </w:rPr>
                  </w:pPr>
                  <w:r>
                    <w:rPr>
                      <w:rFonts w:hint="eastAsia"/>
                      <w:color w:val="auto"/>
                      <w:sz w:val="21"/>
                      <w:szCs w:val="21"/>
                    </w:rPr>
                    <w:t>A1空间布局约束</w:t>
                  </w:r>
                </w:p>
              </w:tc>
              <w:tc>
                <w:tcPr>
                  <w:tcW w:w="400" w:type="pct"/>
                  <w:vMerge w:val="restart"/>
                  <w:tcBorders>
                    <w:tl2br w:val="nil"/>
                    <w:tr2bl w:val="nil"/>
                  </w:tcBorders>
                  <w:noWrap w:val="0"/>
                  <w:vAlign w:val="center"/>
                </w:tcPr>
                <w:p>
                  <w:pPr>
                    <w:jc w:val="center"/>
                    <w:rPr>
                      <w:color w:val="auto"/>
                      <w:sz w:val="21"/>
                      <w:szCs w:val="21"/>
                    </w:rPr>
                  </w:pPr>
                  <w:r>
                    <w:rPr>
                      <w:rFonts w:hint="eastAsia"/>
                      <w:color w:val="auto"/>
                      <w:sz w:val="21"/>
                      <w:szCs w:val="21"/>
                    </w:rPr>
                    <w:t>A1.1禁止开发建设的活动</w:t>
                  </w: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【A1.1-1】禁止新建、扩建《产业结构调整指导目录</w:t>
                  </w:r>
                  <w:r>
                    <w:rPr>
                      <w:rFonts w:hint="default"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lang w:val="en-US" w:eastAsia="zh-CN"/>
                    </w:rPr>
                    <w:t>年本）</w:t>
                  </w:r>
                  <w:r>
                    <w:rPr>
                      <w:rFonts w:hint="eastAsia"/>
                      <w:color w:val="auto"/>
                      <w:sz w:val="21"/>
                      <w:szCs w:val="21"/>
                    </w:rPr>
                    <w:t>》中淘汰类项目。禁止引入《市场准入负面清单</w:t>
                  </w:r>
                  <w:r>
                    <w:rPr>
                      <w:rFonts w:hint="default" w:ascii="Times New Roman" w:hAnsi="Times New Roman" w:eastAsia="宋体" w:cs="Times New Roman"/>
                      <w:color w:val="auto"/>
                      <w:sz w:val="21"/>
                      <w:szCs w:val="21"/>
                      <w:lang w:val="en-US" w:eastAsia="zh-CN"/>
                    </w:rPr>
                    <w:t>（</w:t>
                  </w:r>
                  <w:r>
                    <w:rPr>
                      <w:rFonts w:hint="eastAsia"/>
                      <w:color w:val="auto"/>
                      <w:sz w:val="21"/>
                      <w:szCs w:val="21"/>
                    </w:rPr>
                    <w:t>20</w:t>
                  </w:r>
                  <w:r>
                    <w:rPr>
                      <w:rFonts w:hint="eastAsia"/>
                      <w:color w:val="auto"/>
                      <w:sz w:val="21"/>
                      <w:szCs w:val="21"/>
                      <w:lang w:val="en-US" w:eastAsia="zh-CN"/>
                    </w:rPr>
                    <w:t>25</w:t>
                  </w:r>
                  <w:r>
                    <w:rPr>
                      <w:rFonts w:hint="eastAsia"/>
                      <w:color w:val="auto"/>
                      <w:sz w:val="21"/>
                      <w:szCs w:val="21"/>
                    </w:rPr>
                    <w:t>年版</w:t>
                  </w:r>
                  <w:r>
                    <w:rPr>
                      <w:rFonts w:hint="default" w:ascii="Times New Roman" w:hAnsi="Times New Roman" w:eastAsia="宋体" w:cs="Times New Roman"/>
                      <w:color w:val="auto"/>
                      <w:sz w:val="21"/>
                      <w:szCs w:val="21"/>
                      <w:lang w:val="en-US" w:eastAsia="zh-CN"/>
                    </w:rPr>
                    <w:t>）</w:t>
                  </w:r>
                  <w:r>
                    <w:rPr>
                      <w:rFonts w:hint="eastAsia"/>
                      <w:color w:val="auto"/>
                      <w:sz w:val="21"/>
                      <w:szCs w:val="21"/>
                    </w:rPr>
                    <w:t>》禁止准入类事项。</w:t>
                  </w:r>
                </w:p>
              </w:tc>
              <w:tc>
                <w:tcPr>
                  <w:tcW w:w="1649" w:type="pct"/>
                  <w:tcBorders>
                    <w:tl2br w:val="nil"/>
                    <w:tr2bl w:val="nil"/>
                  </w:tcBorders>
                  <w:noWrap w:val="0"/>
                  <w:vAlign w:val="center"/>
                </w:tcPr>
                <w:p>
                  <w:pPr>
                    <w:rPr>
                      <w:color w:val="auto"/>
                      <w:sz w:val="21"/>
                      <w:szCs w:val="21"/>
                    </w:rPr>
                  </w:pPr>
                  <w:r>
                    <w:rPr>
                      <w:rFonts w:hint="eastAsia" w:ascii="Times New Roman" w:hAnsi="Times New Roman" w:eastAsia="宋体" w:cs="Times New Roman"/>
                      <w:color w:val="auto"/>
                      <w:sz w:val="21"/>
                      <w:szCs w:val="21"/>
                      <w:lang w:val="en-US" w:eastAsia="zh-CN"/>
                    </w:rPr>
                    <w:t>本项目为花岗岩矿开采项目，属于</w:t>
                  </w:r>
                  <w:r>
                    <w:rPr>
                      <w:rFonts w:hint="default" w:ascii="Times New Roman" w:hAnsi="Times New Roman" w:eastAsia="宋体" w:cs="Times New Roman"/>
                      <w:color w:val="auto"/>
                      <w:sz w:val="21"/>
                      <w:szCs w:val="21"/>
                      <w:lang w:val="en-US" w:eastAsia="zh-CN"/>
                    </w:rPr>
                    <w:t>《产业结构调整指导目录（20</w:t>
                  </w: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lang w:val="en-US" w:eastAsia="zh-CN"/>
                    </w:rPr>
                    <w:t>年本）》</w:t>
                  </w:r>
                  <w:r>
                    <w:rPr>
                      <w:rFonts w:hint="eastAsia" w:ascii="Times New Roman" w:hAnsi="Times New Roman" w:eastAsia="宋体" w:cs="Times New Roman"/>
                      <w:color w:val="auto"/>
                      <w:sz w:val="21"/>
                      <w:szCs w:val="21"/>
                    </w:rPr>
                    <w:t>中的</w:t>
                  </w:r>
                  <w:r>
                    <w:rPr>
                      <w:rFonts w:hint="eastAsia" w:ascii="Times New Roman" w:hAnsi="Times New Roman" w:eastAsia="宋体" w:cs="Times New Roman"/>
                      <w:color w:val="auto"/>
                      <w:sz w:val="21"/>
                      <w:szCs w:val="21"/>
                      <w:lang w:val="en-US" w:eastAsia="zh-CN"/>
                    </w:rPr>
                    <w:t>允许</w:t>
                  </w:r>
                  <w:r>
                    <w:rPr>
                      <w:rFonts w:hint="eastAsia" w:ascii="Times New Roman" w:hAnsi="Times New Roman" w:eastAsia="宋体" w:cs="Times New Roman"/>
                      <w:color w:val="auto"/>
                      <w:sz w:val="21"/>
                      <w:szCs w:val="21"/>
                    </w:rPr>
                    <w:t>类项目，符合国家当前产业政策</w:t>
                  </w:r>
                  <w:r>
                    <w:rPr>
                      <w:rFonts w:hint="eastAsia"/>
                      <w:color w:val="auto"/>
                      <w:sz w:val="21"/>
                      <w:szCs w:val="21"/>
                    </w:rPr>
                    <w:t>要求；不属于《市场准入负面清单</w:t>
                  </w:r>
                  <w:r>
                    <w:rPr>
                      <w:rFonts w:hint="default" w:ascii="Times New Roman" w:hAnsi="Times New Roman" w:eastAsia="宋体" w:cs="Times New Roman"/>
                      <w:color w:val="auto"/>
                      <w:sz w:val="21"/>
                      <w:szCs w:val="21"/>
                      <w:lang w:val="en-US" w:eastAsia="zh-CN"/>
                    </w:rPr>
                    <w:t>（</w:t>
                  </w:r>
                  <w:r>
                    <w:rPr>
                      <w:rFonts w:hint="eastAsia"/>
                      <w:color w:val="auto"/>
                      <w:sz w:val="21"/>
                      <w:szCs w:val="21"/>
                    </w:rPr>
                    <w:t>20</w:t>
                  </w:r>
                  <w:r>
                    <w:rPr>
                      <w:rFonts w:hint="eastAsia"/>
                      <w:color w:val="auto"/>
                      <w:sz w:val="21"/>
                      <w:szCs w:val="21"/>
                      <w:lang w:val="en-US" w:eastAsia="zh-CN"/>
                    </w:rPr>
                    <w:t>25</w:t>
                  </w:r>
                  <w:r>
                    <w:rPr>
                      <w:rFonts w:hint="eastAsia"/>
                      <w:color w:val="auto"/>
                      <w:sz w:val="21"/>
                      <w:szCs w:val="21"/>
                    </w:rPr>
                    <w:t>年版</w:t>
                  </w:r>
                  <w:r>
                    <w:rPr>
                      <w:rFonts w:hint="default" w:ascii="Times New Roman" w:hAnsi="Times New Roman" w:eastAsia="宋体" w:cs="Times New Roman"/>
                      <w:color w:val="auto"/>
                      <w:sz w:val="21"/>
                      <w:szCs w:val="21"/>
                      <w:lang w:val="en-US" w:eastAsia="zh-CN"/>
                    </w:rPr>
                    <w:t>）》</w:t>
                  </w:r>
                  <w:r>
                    <w:rPr>
                      <w:rFonts w:hint="eastAsia"/>
                      <w:color w:val="auto"/>
                      <w:sz w:val="21"/>
                      <w:szCs w:val="21"/>
                    </w:rPr>
                    <w:t>中禁止准入类项目</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color w:val="auto"/>
                      <w:sz w:val="21"/>
                      <w:szCs w:val="21"/>
                    </w:rPr>
                  </w:pPr>
                </w:p>
              </w:tc>
              <w:tc>
                <w:tcPr>
                  <w:tcW w:w="253" w:type="pct"/>
                  <w:vMerge w:val="continue"/>
                  <w:tcBorders>
                    <w:tl2br w:val="nil"/>
                    <w:tr2bl w:val="nil"/>
                  </w:tcBorders>
                  <w:noWrap w:val="0"/>
                  <w:vAlign w:val="center"/>
                </w:tcPr>
                <w:p>
                  <w:pPr>
                    <w:jc w:val="center"/>
                    <w:rPr>
                      <w:color w:val="auto"/>
                      <w:sz w:val="21"/>
                      <w:szCs w:val="21"/>
                    </w:rPr>
                  </w:pPr>
                </w:p>
              </w:tc>
              <w:tc>
                <w:tcPr>
                  <w:tcW w:w="400" w:type="pct"/>
                  <w:vMerge w:val="continue"/>
                  <w:tcBorders>
                    <w:tl2br w:val="nil"/>
                    <w:tr2bl w:val="nil"/>
                  </w:tcBorders>
                  <w:noWrap w:val="0"/>
                  <w:vAlign w:val="center"/>
                </w:tcPr>
                <w:p>
                  <w:pPr>
                    <w:jc w:val="center"/>
                    <w:rPr>
                      <w:rFonts w:hint="eastAsia"/>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【A1.1-2】禁止建设不符合国家和自治区环境保护标准的项目。</w:t>
                  </w:r>
                </w:p>
              </w:tc>
              <w:tc>
                <w:tcPr>
                  <w:tcW w:w="1649" w:type="pct"/>
                  <w:tcBorders>
                    <w:tl2br w:val="nil"/>
                    <w:tr2bl w:val="nil"/>
                  </w:tcBorders>
                  <w:noWrap w:val="0"/>
                  <w:vAlign w:val="center"/>
                </w:tcPr>
                <w:p>
                  <w:pPr>
                    <w:rPr>
                      <w:rFonts w:hint="eastAsia"/>
                      <w:color w:val="auto"/>
                      <w:sz w:val="21"/>
                      <w:szCs w:val="21"/>
                    </w:rPr>
                  </w:pPr>
                  <w:r>
                    <w:rPr>
                      <w:rFonts w:hint="eastAsia" w:ascii="Times New Roman" w:hAnsi="Times New Roman" w:eastAsia="宋体" w:cs="Times New Roman"/>
                      <w:color w:val="auto"/>
                      <w:sz w:val="21"/>
                      <w:szCs w:val="21"/>
                      <w:lang w:val="en-US" w:eastAsia="zh-CN"/>
                    </w:rPr>
                    <w:t>本项目</w:t>
                  </w:r>
                  <w:r>
                    <w:rPr>
                      <w:rFonts w:hint="eastAsia"/>
                      <w:color w:val="auto"/>
                      <w:sz w:val="21"/>
                      <w:szCs w:val="21"/>
                    </w:rPr>
                    <w:t>执行标准符合国家和自治区环境保护标准</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vMerge w:val="continue"/>
                  <w:tcBorders>
                    <w:tl2br w:val="nil"/>
                    <w:tr2bl w:val="nil"/>
                  </w:tcBorders>
                  <w:noWrap w:val="0"/>
                  <w:vAlign w:val="center"/>
                </w:tcPr>
                <w:p>
                  <w:pPr>
                    <w:jc w:val="center"/>
                    <w:rPr>
                      <w:rFonts w:hint="eastAsia"/>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【A1.1-3】禁止在饮用水水源保护区、风景名胜区、自然保护区的核心区和缓冲区、城镇居民区、文化教育科学研究区等人口集中区域以及</w:t>
                  </w:r>
                  <w:r>
                    <w:rPr>
                      <w:rFonts w:hint="eastAsia"/>
                      <w:color w:val="auto"/>
                      <w:sz w:val="21"/>
                      <w:szCs w:val="21"/>
                      <w:lang w:eastAsia="zh-CN"/>
                    </w:rPr>
                    <w:t>法律法规</w:t>
                  </w:r>
                  <w:r>
                    <w:rPr>
                      <w:rFonts w:hint="eastAsia"/>
                      <w:color w:val="auto"/>
                      <w:sz w:val="21"/>
                      <w:szCs w:val="21"/>
                    </w:rPr>
                    <w:t>规定的其他禁止养殖区域建设畜禽养殖场、养殖小区。</w:t>
                  </w:r>
                </w:p>
              </w:tc>
              <w:tc>
                <w:tcPr>
                  <w:tcW w:w="1649" w:type="pct"/>
                  <w:tcBorders>
                    <w:tl2br w:val="nil"/>
                    <w:tr2bl w:val="nil"/>
                  </w:tcBorders>
                  <w:noWrap w:val="0"/>
                  <w:vAlign w:val="center"/>
                </w:tcPr>
                <w:p>
                  <w:pPr>
                    <w:rPr>
                      <w:rFonts w:hint="eastAsia"/>
                      <w:color w:val="auto"/>
                      <w:sz w:val="21"/>
                      <w:szCs w:val="21"/>
                    </w:rPr>
                  </w:pPr>
                  <w:r>
                    <w:rPr>
                      <w:rFonts w:hint="eastAsia" w:ascii="Times New Roman" w:hAnsi="Times New Roman" w:eastAsia="宋体" w:cs="Times New Roman"/>
                      <w:color w:val="auto"/>
                      <w:sz w:val="21"/>
                      <w:szCs w:val="21"/>
                      <w:lang w:val="en-US" w:eastAsia="zh-CN"/>
                    </w:rPr>
                    <w:t>本项目</w:t>
                  </w:r>
                  <w:r>
                    <w:rPr>
                      <w:rFonts w:hint="eastAsia"/>
                      <w:color w:val="auto"/>
                      <w:sz w:val="21"/>
                      <w:szCs w:val="21"/>
                    </w:rPr>
                    <w:t>不涉及相关内容</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vMerge w:val="continue"/>
                  <w:tcBorders>
                    <w:tl2br w:val="nil"/>
                    <w:tr2bl w:val="nil"/>
                  </w:tcBorders>
                  <w:noWrap w:val="0"/>
                  <w:vAlign w:val="center"/>
                </w:tcPr>
                <w:p>
                  <w:pPr>
                    <w:jc w:val="center"/>
                    <w:rPr>
                      <w:rFonts w:hint="eastAsia"/>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【A1.1-4】禁止在水源涵养区、地下水源、饮用水源、自然保护区、风景名胜区、森林公园、重要湿地及人群密集区等生态敏感区域内进行煤炭、石油、天然气开发。</w:t>
                  </w:r>
                </w:p>
              </w:tc>
              <w:tc>
                <w:tcPr>
                  <w:tcW w:w="1649" w:type="pct"/>
                  <w:tcBorders>
                    <w:tl2br w:val="nil"/>
                    <w:tr2bl w:val="nil"/>
                  </w:tcBorders>
                  <w:noWrap w:val="0"/>
                  <w:vAlign w:val="center"/>
                </w:tcPr>
                <w:p>
                  <w:pPr>
                    <w:rPr>
                      <w:rFonts w:hint="eastAsia"/>
                      <w:color w:val="auto"/>
                      <w:sz w:val="21"/>
                      <w:szCs w:val="21"/>
                    </w:rPr>
                  </w:pPr>
                  <w:r>
                    <w:rPr>
                      <w:rFonts w:hint="eastAsia" w:ascii="Times New Roman" w:hAnsi="Times New Roman" w:eastAsia="宋体" w:cs="Times New Roman"/>
                      <w:color w:val="auto"/>
                      <w:sz w:val="21"/>
                      <w:szCs w:val="21"/>
                      <w:lang w:val="en-US" w:eastAsia="zh-CN"/>
                    </w:rPr>
                    <w:t>本项目</w:t>
                  </w:r>
                  <w:r>
                    <w:rPr>
                      <w:rFonts w:hint="eastAsia"/>
                      <w:color w:val="auto"/>
                      <w:sz w:val="21"/>
                      <w:szCs w:val="21"/>
                    </w:rPr>
                    <w:t>占地范围内不涉及水源涵养区、地下水源、饮用水源、自然保护区、风景名胜区、森林公园、重要湿地及人群密集区等生态敏感区域</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restart"/>
                  <w:tcBorders>
                    <w:tl2br w:val="nil"/>
                    <w:tr2bl w:val="nil"/>
                  </w:tcBorders>
                  <w:noWrap w:val="0"/>
                  <w:vAlign w:val="center"/>
                </w:tcPr>
                <w:p>
                  <w:pPr>
                    <w:jc w:val="center"/>
                    <w:rPr>
                      <w:rFonts w:hint="eastAsia"/>
                      <w:color w:val="auto"/>
                      <w:sz w:val="21"/>
                      <w:szCs w:val="21"/>
                    </w:rPr>
                  </w:pPr>
                  <w:r>
                    <w:rPr>
                      <w:rFonts w:hint="eastAsia"/>
                      <w:color w:val="auto"/>
                      <w:sz w:val="21"/>
                      <w:szCs w:val="21"/>
                    </w:rPr>
                    <w:t>新疆维吾尔自治区总体管控要求</w:t>
                  </w:r>
                </w:p>
              </w:tc>
              <w:tc>
                <w:tcPr>
                  <w:tcW w:w="253" w:type="pct"/>
                  <w:vMerge w:val="restart"/>
                  <w:tcBorders>
                    <w:tl2br w:val="nil"/>
                    <w:tr2bl w:val="nil"/>
                  </w:tcBorders>
                  <w:noWrap w:val="0"/>
                  <w:vAlign w:val="center"/>
                </w:tcPr>
                <w:p>
                  <w:pPr>
                    <w:jc w:val="center"/>
                    <w:rPr>
                      <w:rFonts w:hint="eastAsia"/>
                      <w:color w:val="auto"/>
                      <w:sz w:val="21"/>
                      <w:szCs w:val="21"/>
                    </w:rPr>
                  </w:pPr>
                  <w:r>
                    <w:rPr>
                      <w:rFonts w:hint="eastAsia"/>
                      <w:color w:val="auto"/>
                      <w:sz w:val="21"/>
                      <w:szCs w:val="21"/>
                    </w:rPr>
                    <w:t>A1空间布局约束</w:t>
                  </w:r>
                </w:p>
              </w:tc>
              <w:tc>
                <w:tcPr>
                  <w:tcW w:w="400" w:type="pct"/>
                  <w:vMerge w:val="restart"/>
                  <w:tcBorders>
                    <w:tl2br w:val="nil"/>
                    <w:tr2bl w:val="nil"/>
                  </w:tcBorders>
                  <w:noWrap w:val="0"/>
                  <w:vAlign w:val="center"/>
                </w:tcPr>
                <w:p>
                  <w:pPr>
                    <w:jc w:val="center"/>
                    <w:rPr>
                      <w:color w:val="auto"/>
                      <w:sz w:val="21"/>
                      <w:szCs w:val="21"/>
                    </w:rPr>
                  </w:pPr>
                  <w:r>
                    <w:rPr>
                      <w:rFonts w:hint="eastAsia"/>
                      <w:color w:val="auto"/>
                      <w:sz w:val="21"/>
                      <w:szCs w:val="21"/>
                    </w:rPr>
                    <w:t>A1.1禁止开发建设的活动</w:t>
                  </w: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【A1.1-6】禁止在自治区行政区域内引进能(水)耗不符合相关国家标准中准入值要求且污染物排放和环境风险防控不符合国家(地方)标准及有关产业准入条件的高污染(排放)、高能(水)耗、高环境风险的工业项目。</w:t>
                  </w:r>
                </w:p>
              </w:tc>
              <w:tc>
                <w:tcPr>
                  <w:tcW w:w="1649" w:type="pct"/>
                  <w:tcBorders>
                    <w:tl2br w:val="nil"/>
                    <w:tr2bl w:val="nil"/>
                  </w:tcBorders>
                  <w:noWrap w:val="0"/>
                  <w:vAlign w:val="center"/>
                </w:tcPr>
                <w:p>
                  <w:pPr>
                    <w:rPr>
                      <w:rFonts w:hint="eastAsia"/>
                      <w:color w:val="auto"/>
                      <w:sz w:val="21"/>
                      <w:szCs w:val="21"/>
                    </w:rPr>
                  </w:pPr>
                  <w:r>
                    <w:rPr>
                      <w:rFonts w:hint="eastAsia" w:ascii="Times New Roman" w:hAnsi="Times New Roman" w:eastAsia="宋体" w:cs="Times New Roman"/>
                      <w:color w:val="auto"/>
                      <w:sz w:val="21"/>
                      <w:szCs w:val="21"/>
                      <w:lang w:val="en-US" w:eastAsia="zh-CN"/>
                    </w:rPr>
                    <w:t>本项目</w:t>
                  </w:r>
                  <w:r>
                    <w:rPr>
                      <w:rFonts w:hint="eastAsia"/>
                      <w:color w:val="auto"/>
                      <w:sz w:val="21"/>
                      <w:szCs w:val="21"/>
                    </w:rPr>
                    <w:t>不属于高污染(排放)、高能(水)耗、高环境风险的工业项目</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vMerge w:val="continue"/>
                  <w:tcBorders>
                    <w:tl2br w:val="nil"/>
                    <w:tr2bl w:val="nil"/>
                  </w:tcBorders>
                  <w:noWrap w:val="0"/>
                  <w:vAlign w:val="center"/>
                </w:tcPr>
                <w:p>
                  <w:pPr>
                    <w:jc w:val="center"/>
                    <w:rPr>
                      <w:rFonts w:hint="eastAsia"/>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【A1.1-7】①坚决遏制高耗能高排放低水平项目盲目发展。严把高耗能高排放低水平项目准入关口，严格落实污染物排放区域削减要求，对不符合规定的项目坚决停批停建。依法依规淘汰落后产能和化解过剩产能。</w:t>
                  </w:r>
                </w:p>
                <w:p>
                  <w:pPr>
                    <w:rPr>
                      <w:rFonts w:hint="eastAsia"/>
                      <w:color w:val="auto"/>
                      <w:sz w:val="21"/>
                      <w:szCs w:val="21"/>
                    </w:rPr>
                  </w:pPr>
                  <w:r>
                    <w:rPr>
                      <w:rFonts w:hint="eastAsia"/>
                      <w:color w:val="auto"/>
                      <w:sz w:val="21"/>
                      <w:szCs w:val="21"/>
                    </w:rPr>
                    <w:t>②重点行业企业纳入重污染天气绩效分级，制定“一厂一策”应急减排清单，实现应纳尽纳；引导重点企业在秋冬季安排停产检修计划，减少冬季和采暖期排放。推进重点行业深度治理实施全工况脱硫脱硝提标改造，加大无组织排放治理力度，深度开展工业炉窑综合整治，全面提升电解铝、活性炭、硅冶炼、纯碱、电石、聚氯乙烯、石化等行业污染治理水平。</w:t>
                  </w:r>
                </w:p>
              </w:tc>
              <w:tc>
                <w:tcPr>
                  <w:tcW w:w="1649" w:type="pct"/>
                  <w:tcBorders>
                    <w:tl2br w:val="nil"/>
                    <w:tr2bl w:val="nil"/>
                  </w:tcBorders>
                  <w:noWrap w:val="0"/>
                  <w:vAlign w:val="center"/>
                </w:tcPr>
                <w:p>
                  <w:pPr>
                    <w:rPr>
                      <w:color w:val="auto"/>
                      <w:sz w:val="21"/>
                      <w:szCs w:val="21"/>
                    </w:rPr>
                  </w:pPr>
                  <w:r>
                    <w:rPr>
                      <w:rFonts w:hint="eastAsia" w:ascii="Times New Roman" w:hAnsi="Times New Roman" w:eastAsia="宋体" w:cs="Times New Roman"/>
                      <w:color w:val="auto"/>
                      <w:sz w:val="21"/>
                      <w:szCs w:val="21"/>
                      <w:lang w:val="en-US" w:eastAsia="zh-CN"/>
                    </w:rPr>
                    <w:t>本项目</w:t>
                  </w:r>
                  <w:r>
                    <w:rPr>
                      <w:rFonts w:hint="eastAsia"/>
                      <w:color w:val="auto"/>
                      <w:sz w:val="21"/>
                      <w:szCs w:val="21"/>
                    </w:rPr>
                    <w:t>不属于高耗能高排放低水平项目；不属于重点行业企业</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vMerge w:val="restart"/>
                  <w:tcBorders>
                    <w:tl2br w:val="nil"/>
                    <w:tr2bl w:val="nil"/>
                  </w:tcBorders>
                  <w:noWrap w:val="0"/>
                  <w:vAlign w:val="center"/>
                </w:tcPr>
                <w:p>
                  <w:pPr>
                    <w:jc w:val="center"/>
                    <w:rPr>
                      <w:color w:val="auto"/>
                      <w:sz w:val="21"/>
                      <w:szCs w:val="21"/>
                    </w:rPr>
                  </w:pPr>
                  <w:r>
                    <w:rPr>
                      <w:rFonts w:hint="eastAsia"/>
                      <w:color w:val="auto"/>
                      <w:sz w:val="21"/>
                      <w:szCs w:val="21"/>
                    </w:rPr>
                    <w:t>A1.2限制开发建设的活动</w:t>
                  </w: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【A1.2-1】严格控制缺水地区、水污染严重区域和敏感区域高耗水高污染行业发展。</w:t>
                  </w:r>
                </w:p>
              </w:tc>
              <w:tc>
                <w:tcPr>
                  <w:tcW w:w="1649" w:type="pct"/>
                  <w:tcBorders>
                    <w:tl2br w:val="nil"/>
                    <w:tr2bl w:val="nil"/>
                  </w:tcBorders>
                  <w:noWrap w:val="0"/>
                  <w:vAlign w:val="center"/>
                </w:tcPr>
                <w:p>
                  <w:pPr>
                    <w:rPr>
                      <w:color w:val="auto"/>
                      <w:sz w:val="21"/>
                      <w:szCs w:val="21"/>
                    </w:rPr>
                  </w:pPr>
                  <w:r>
                    <w:rPr>
                      <w:rFonts w:hint="eastAsia" w:ascii="Times New Roman" w:hAnsi="Times New Roman" w:eastAsia="宋体" w:cs="Times New Roman"/>
                      <w:color w:val="auto"/>
                      <w:sz w:val="21"/>
                      <w:szCs w:val="21"/>
                      <w:lang w:val="en-US" w:eastAsia="zh-CN"/>
                    </w:rPr>
                    <w:t>本项目</w:t>
                  </w:r>
                  <w:r>
                    <w:rPr>
                      <w:rFonts w:hint="eastAsia"/>
                      <w:color w:val="auto"/>
                      <w:sz w:val="21"/>
                      <w:szCs w:val="21"/>
                    </w:rPr>
                    <w:t>不属于高耗水高污染行业</w:t>
                  </w:r>
                </w:p>
              </w:tc>
              <w:tc>
                <w:tcPr>
                  <w:tcW w:w="304" w:type="pct"/>
                  <w:tcBorders>
                    <w:tl2br w:val="nil"/>
                    <w:tr2bl w:val="nil"/>
                  </w:tcBorders>
                  <w:noWrap w:val="0"/>
                  <w:vAlign w:val="center"/>
                </w:tcPr>
                <w:p>
                  <w:pPr>
                    <w:jc w:val="center"/>
                    <w:rPr>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color w:val="auto"/>
                      <w:sz w:val="21"/>
                      <w:szCs w:val="21"/>
                    </w:rPr>
                  </w:pPr>
                </w:p>
              </w:tc>
              <w:tc>
                <w:tcPr>
                  <w:tcW w:w="253" w:type="pct"/>
                  <w:vMerge w:val="continue"/>
                  <w:tcBorders>
                    <w:tl2br w:val="nil"/>
                    <w:tr2bl w:val="nil"/>
                  </w:tcBorders>
                  <w:noWrap w:val="0"/>
                  <w:vAlign w:val="center"/>
                </w:tcPr>
                <w:p>
                  <w:pPr>
                    <w:jc w:val="center"/>
                    <w:rPr>
                      <w:color w:val="auto"/>
                      <w:sz w:val="21"/>
                      <w:szCs w:val="21"/>
                    </w:rPr>
                  </w:pPr>
                </w:p>
              </w:tc>
              <w:tc>
                <w:tcPr>
                  <w:tcW w:w="400" w:type="pct"/>
                  <w:vMerge w:val="continue"/>
                  <w:tcBorders>
                    <w:tl2br w:val="nil"/>
                    <w:tr2bl w:val="nil"/>
                  </w:tcBorders>
                  <w:noWrap w:val="0"/>
                  <w:vAlign w:val="center"/>
                </w:tcPr>
                <w:p>
                  <w:pPr>
                    <w:jc w:val="center"/>
                    <w:rPr>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1649" w:type="pct"/>
                  <w:tcBorders>
                    <w:tl2br w:val="nil"/>
                    <w:tr2bl w:val="nil"/>
                  </w:tcBorders>
                  <w:noWrap w:val="0"/>
                  <w:vAlign w:val="center"/>
                </w:tcPr>
                <w:p>
                  <w:pPr>
                    <w:rPr>
                      <w:color w:val="auto"/>
                      <w:sz w:val="21"/>
                      <w:szCs w:val="21"/>
                    </w:rPr>
                  </w:pPr>
                  <w:r>
                    <w:rPr>
                      <w:rFonts w:hint="eastAsia" w:ascii="Times New Roman" w:hAnsi="Times New Roman" w:eastAsia="宋体" w:cs="Times New Roman"/>
                      <w:color w:val="auto"/>
                      <w:sz w:val="21"/>
                      <w:szCs w:val="21"/>
                      <w:lang w:val="en-US" w:eastAsia="zh-CN"/>
                    </w:rPr>
                    <w:t>本项目</w:t>
                  </w:r>
                  <w:r>
                    <w:rPr>
                      <w:rFonts w:hint="eastAsia"/>
                      <w:color w:val="auto"/>
                      <w:sz w:val="21"/>
                      <w:szCs w:val="21"/>
                    </w:rPr>
                    <w:t>不占用基本农田</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vMerge w:val="continue"/>
                  <w:tcBorders>
                    <w:tl2br w:val="nil"/>
                    <w:tr2bl w:val="nil"/>
                  </w:tcBorders>
                  <w:noWrap w:val="0"/>
                  <w:vAlign w:val="center"/>
                </w:tcPr>
                <w:p>
                  <w:pPr>
                    <w:jc w:val="center"/>
                    <w:rPr>
                      <w:rFonts w:hint="eastAsia"/>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【A1.2-3】以用途变更为住宅、公共管理与公共服务用地的地块为重点，严格建设用地准入管理和风险管控，未依法完成土壤污染状况调查或风险评估的地块，不得开工建设与风险管控和修复无关的项目。</w:t>
                  </w:r>
                </w:p>
              </w:tc>
              <w:tc>
                <w:tcPr>
                  <w:tcW w:w="1649" w:type="pct"/>
                  <w:tcBorders>
                    <w:tl2br w:val="nil"/>
                    <w:tr2bl w:val="nil"/>
                  </w:tcBorders>
                  <w:noWrap w:val="0"/>
                  <w:vAlign w:val="center"/>
                </w:tcPr>
                <w:p>
                  <w:pPr>
                    <w:rPr>
                      <w:rFonts w:hint="eastAsia"/>
                      <w:color w:val="auto"/>
                      <w:sz w:val="21"/>
                      <w:szCs w:val="21"/>
                    </w:rPr>
                  </w:pPr>
                  <w:r>
                    <w:rPr>
                      <w:rFonts w:hint="eastAsia" w:ascii="Times New Roman" w:hAnsi="Times New Roman" w:eastAsia="宋体" w:cs="Times New Roman"/>
                      <w:color w:val="auto"/>
                      <w:sz w:val="21"/>
                      <w:szCs w:val="21"/>
                      <w:lang w:val="en-US" w:eastAsia="zh-CN"/>
                    </w:rPr>
                    <w:t>本项目</w:t>
                  </w:r>
                  <w:r>
                    <w:rPr>
                      <w:rFonts w:hint="eastAsia"/>
                      <w:color w:val="auto"/>
                      <w:sz w:val="21"/>
                      <w:szCs w:val="21"/>
                    </w:rPr>
                    <w:t>不涉及相关内容</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color w:val="auto"/>
                      <w:sz w:val="21"/>
                      <w:szCs w:val="21"/>
                    </w:rPr>
                  </w:pPr>
                </w:p>
              </w:tc>
              <w:tc>
                <w:tcPr>
                  <w:tcW w:w="253" w:type="pct"/>
                  <w:vMerge w:val="continue"/>
                  <w:tcBorders>
                    <w:tl2br w:val="nil"/>
                    <w:tr2bl w:val="nil"/>
                  </w:tcBorders>
                  <w:noWrap w:val="0"/>
                  <w:vAlign w:val="center"/>
                </w:tcPr>
                <w:p>
                  <w:pPr>
                    <w:jc w:val="center"/>
                    <w:rPr>
                      <w:color w:val="auto"/>
                      <w:sz w:val="21"/>
                      <w:szCs w:val="21"/>
                    </w:rPr>
                  </w:pPr>
                </w:p>
              </w:tc>
              <w:tc>
                <w:tcPr>
                  <w:tcW w:w="400" w:type="pct"/>
                  <w:vMerge w:val="continue"/>
                  <w:tcBorders>
                    <w:tl2br w:val="nil"/>
                    <w:tr2bl w:val="nil"/>
                  </w:tcBorders>
                  <w:noWrap w:val="0"/>
                  <w:vAlign w:val="center"/>
                </w:tcPr>
                <w:p>
                  <w:pPr>
                    <w:jc w:val="center"/>
                    <w:rPr>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【A1.3-2】对不符合国家产业政策、严重污染水环境的生产项目全部予以取缔。</w:t>
                  </w:r>
                </w:p>
              </w:tc>
              <w:tc>
                <w:tcPr>
                  <w:tcW w:w="1649" w:type="pct"/>
                  <w:tcBorders>
                    <w:tl2br w:val="nil"/>
                    <w:tr2bl w:val="nil"/>
                  </w:tcBorders>
                  <w:noWrap w:val="0"/>
                  <w:vAlign w:val="center"/>
                </w:tcPr>
                <w:p>
                  <w:pPr>
                    <w:rPr>
                      <w:rFonts w:hint="eastAsia"/>
                      <w:color w:val="auto"/>
                      <w:sz w:val="21"/>
                      <w:szCs w:val="21"/>
                    </w:rPr>
                  </w:pPr>
                  <w:r>
                    <w:rPr>
                      <w:rFonts w:hint="eastAsia" w:ascii="Times New Roman" w:hAnsi="Times New Roman" w:eastAsia="宋体" w:cs="Times New Roman"/>
                      <w:color w:val="auto"/>
                      <w:sz w:val="21"/>
                      <w:szCs w:val="21"/>
                      <w:lang w:val="en-US" w:eastAsia="zh-CN"/>
                    </w:rPr>
                    <w:t>本项目</w:t>
                  </w:r>
                  <w:r>
                    <w:rPr>
                      <w:rFonts w:hint="eastAsia"/>
                      <w:color w:val="auto"/>
                      <w:sz w:val="21"/>
                      <w:szCs w:val="21"/>
                    </w:rPr>
                    <w:t>不属于严重污染水环境的生产项目</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tcBorders>
                    <w:tl2br w:val="nil"/>
                    <w:tr2bl w:val="nil"/>
                  </w:tcBorders>
                  <w:noWrap w:val="0"/>
                  <w:vAlign w:val="center"/>
                </w:tcPr>
                <w:p>
                  <w:pPr>
                    <w:jc w:val="center"/>
                    <w:rPr>
                      <w:rFonts w:hint="eastAsia"/>
                      <w:color w:val="auto"/>
                      <w:sz w:val="21"/>
                      <w:szCs w:val="21"/>
                    </w:rPr>
                  </w:pPr>
                  <w:r>
                    <w:rPr>
                      <w:rFonts w:hint="eastAsia"/>
                      <w:color w:val="auto"/>
                      <w:sz w:val="21"/>
                      <w:szCs w:val="21"/>
                    </w:rPr>
                    <w:t>A1.4其它布局要求</w:t>
                  </w: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【A1.4-1】一切开发建设活动应符合国家、自治区主体功能区规划自治区和各地颁布实施的生态环境功能</w:t>
                  </w:r>
                  <w:r>
                    <w:rPr>
                      <w:rFonts w:hint="eastAsia"/>
                      <w:color w:val="auto"/>
                      <w:sz w:val="21"/>
                      <w:szCs w:val="21"/>
                      <w:lang w:eastAsia="zh-CN"/>
                    </w:rPr>
                    <w:t>区规</w:t>
                  </w:r>
                  <w:r>
                    <w:rPr>
                      <w:rFonts w:hint="eastAsia"/>
                      <w:color w:val="auto"/>
                      <w:sz w:val="21"/>
                      <w:szCs w:val="21"/>
                    </w:rPr>
                    <w:t>划、国民经济发展规划、产业发展规划、国土空间规划等相关规划及重点生态功能区负面清单要求，符合区域或产业规划环评要求。</w:t>
                  </w:r>
                </w:p>
              </w:tc>
              <w:tc>
                <w:tcPr>
                  <w:tcW w:w="1649" w:type="pct"/>
                  <w:tcBorders>
                    <w:tl2br w:val="nil"/>
                    <w:tr2bl w:val="nil"/>
                  </w:tcBorders>
                  <w:noWrap w:val="0"/>
                  <w:vAlign w:val="center"/>
                </w:tcPr>
                <w:p>
                  <w:pPr>
                    <w:rPr>
                      <w:rFonts w:hint="eastAsia"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color w:val="auto"/>
                      <w:sz w:val="21"/>
                      <w:szCs w:val="21"/>
                    </w:rPr>
                    <w:t>与区域主体功能区划目标相协调，符合规划及规划环评</w:t>
                  </w:r>
                  <w:r>
                    <w:rPr>
                      <w:rFonts w:hint="eastAsia"/>
                      <w:color w:val="auto"/>
                      <w:sz w:val="21"/>
                      <w:szCs w:val="21"/>
                      <w:lang w:val="en-US" w:eastAsia="zh-CN"/>
                    </w:rPr>
                    <w:t>要求</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restart"/>
                  <w:tcBorders>
                    <w:tl2br w:val="nil"/>
                    <w:tr2bl w:val="nil"/>
                  </w:tcBorders>
                  <w:noWrap w:val="0"/>
                  <w:vAlign w:val="center"/>
                </w:tcPr>
                <w:p>
                  <w:pPr>
                    <w:jc w:val="center"/>
                    <w:rPr>
                      <w:rFonts w:hint="eastAsia"/>
                      <w:color w:val="auto"/>
                      <w:sz w:val="21"/>
                      <w:szCs w:val="21"/>
                    </w:rPr>
                  </w:pPr>
                  <w:r>
                    <w:rPr>
                      <w:rFonts w:hint="eastAsia"/>
                      <w:color w:val="auto"/>
                      <w:sz w:val="21"/>
                      <w:szCs w:val="21"/>
                    </w:rPr>
                    <w:t>新疆维吾尔自治区总体管控要求</w:t>
                  </w:r>
                </w:p>
              </w:tc>
              <w:tc>
                <w:tcPr>
                  <w:tcW w:w="253" w:type="pct"/>
                  <w:vMerge w:val="restart"/>
                  <w:tcBorders>
                    <w:tl2br w:val="nil"/>
                    <w:tr2bl w:val="nil"/>
                  </w:tcBorders>
                  <w:noWrap w:val="0"/>
                  <w:vAlign w:val="center"/>
                </w:tcPr>
                <w:p>
                  <w:pPr>
                    <w:jc w:val="center"/>
                    <w:rPr>
                      <w:color w:val="auto"/>
                      <w:sz w:val="21"/>
                      <w:szCs w:val="21"/>
                    </w:rPr>
                  </w:pPr>
                  <w:r>
                    <w:rPr>
                      <w:rFonts w:hint="eastAsia"/>
                      <w:color w:val="auto"/>
                      <w:sz w:val="21"/>
                      <w:szCs w:val="21"/>
                    </w:rPr>
                    <w:t>A2污染物排放管控</w:t>
                  </w:r>
                </w:p>
              </w:tc>
              <w:tc>
                <w:tcPr>
                  <w:tcW w:w="400" w:type="pct"/>
                  <w:vMerge w:val="restart"/>
                  <w:tcBorders>
                    <w:tl2br w:val="nil"/>
                    <w:tr2bl w:val="nil"/>
                  </w:tcBorders>
                  <w:noWrap w:val="0"/>
                  <w:vAlign w:val="center"/>
                </w:tcPr>
                <w:p>
                  <w:pPr>
                    <w:jc w:val="center"/>
                    <w:rPr>
                      <w:color w:val="auto"/>
                      <w:sz w:val="21"/>
                      <w:szCs w:val="21"/>
                    </w:rPr>
                  </w:pPr>
                  <w:r>
                    <w:rPr>
                      <w:rFonts w:hint="eastAsia"/>
                      <w:color w:val="auto"/>
                      <w:sz w:val="21"/>
                      <w:szCs w:val="21"/>
                    </w:rPr>
                    <w:t>A2.1污染物削减/替代要求</w:t>
                  </w: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2.1-1】新、改、扩建重点行业建设项目应符合“三线一单”、产业政策、区域环评、规划环评和行业环境准入管控要求。重点区域的新、改、扩建重点行业建设项目应遵循重点重金属污染物排放“减量替代”原则。</w:t>
                  </w:r>
                </w:p>
              </w:tc>
              <w:tc>
                <w:tcPr>
                  <w:tcW w:w="1649" w:type="pct"/>
                  <w:tcBorders>
                    <w:tl2br w:val="nil"/>
                    <w:tr2bl w:val="nil"/>
                  </w:tcBorders>
                  <w:noWrap w:val="0"/>
                  <w:vAlign w:val="center"/>
                </w:tcPr>
                <w:p>
                  <w:pPr>
                    <w:rPr>
                      <w:rFonts w:hint="eastAsia"/>
                      <w:color w:val="auto"/>
                      <w:sz w:val="21"/>
                      <w:szCs w:val="21"/>
                    </w:rPr>
                  </w:pPr>
                  <w:r>
                    <w:rPr>
                      <w:rFonts w:hint="eastAsia"/>
                      <w:color w:val="auto"/>
                      <w:sz w:val="21"/>
                      <w:szCs w:val="21"/>
                      <w:lang w:val="en-US" w:eastAsia="zh-CN"/>
                    </w:rPr>
                    <w:t>本项目</w:t>
                  </w:r>
                  <w:r>
                    <w:rPr>
                      <w:rFonts w:hint="eastAsia"/>
                      <w:color w:val="auto"/>
                      <w:sz w:val="21"/>
                      <w:szCs w:val="21"/>
                    </w:rPr>
                    <w:t>属于</w:t>
                  </w:r>
                  <w:r>
                    <w:rPr>
                      <w:rFonts w:hint="eastAsia" w:ascii="Times New Roman" w:hAnsi="Times New Roman" w:eastAsia="宋体" w:cs="Times New Roman"/>
                      <w:color w:val="auto"/>
                      <w:sz w:val="21"/>
                      <w:szCs w:val="21"/>
                      <w:lang w:val="en-US" w:eastAsia="zh-CN"/>
                    </w:rPr>
                    <w:t>花岗岩矿开采项目</w:t>
                  </w:r>
                  <w:r>
                    <w:rPr>
                      <w:rFonts w:hint="eastAsia"/>
                      <w:color w:val="auto"/>
                      <w:sz w:val="21"/>
                      <w:szCs w:val="21"/>
                    </w:rPr>
                    <w:t>，不属于重点行业建设项目</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vMerge w:val="continue"/>
                  <w:tcBorders>
                    <w:tl2br w:val="nil"/>
                    <w:tr2bl w:val="nil"/>
                  </w:tcBorders>
                  <w:noWrap w:val="0"/>
                  <w:vAlign w:val="center"/>
                </w:tcPr>
                <w:p>
                  <w:pPr>
                    <w:jc w:val="center"/>
                    <w:rPr>
                      <w:rFonts w:hint="eastAsia"/>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2.1-3】促进大气污染物与温室气体协同控制。实施污染物和温室气体协同控制，实现减污降碳协同效应。开展工业、农业温室气体和污染减排协同控制研究，减少温室气体和污染物排放。强化污水、垃圾等集中处置设施环境管理，协同控制氢氟碳化物、甲烷、氧化亚氮等温室气体。加强节约能源与大气污染防治协同有效衔接促进大气污染防治协同增效。</w:t>
                  </w:r>
                </w:p>
              </w:tc>
              <w:tc>
                <w:tcPr>
                  <w:tcW w:w="1649" w:type="pct"/>
                  <w:tcBorders>
                    <w:tl2br w:val="nil"/>
                    <w:tr2bl w:val="nil"/>
                  </w:tcBorders>
                  <w:noWrap w:val="0"/>
                  <w:vAlign w:val="center"/>
                </w:tcPr>
                <w:p>
                  <w:pPr>
                    <w:rPr>
                      <w:rFonts w:hint="eastAsia"/>
                      <w:color w:val="auto"/>
                      <w:sz w:val="21"/>
                      <w:szCs w:val="21"/>
                    </w:rPr>
                  </w:pPr>
                  <w:r>
                    <w:rPr>
                      <w:rFonts w:hint="eastAsia"/>
                      <w:color w:val="auto"/>
                      <w:sz w:val="21"/>
                      <w:szCs w:val="21"/>
                    </w:rPr>
                    <w:t>不涉及</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color w:val="auto"/>
                      <w:sz w:val="21"/>
                      <w:szCs w:val="21"/>
                    </w:rPr>
                  </w:pPr>
                </w:p>
              </w:tc>
              <w:tc>
                <w:tcPr>
                  <w:tcW w:w="400" w:type="pct"/>
                  <w:vMerge w:val="restart"/>
                  <w:tcBorders>
                    <w:tl2br w:val="nil"/>
                    <w:tr2bl w:val="nil"/>
                  </w:tcBorders>
                  <w:noWrap w:val="0"/>
                  <w:vAlign w:val="center"/>
                </w:tcPr>
                <w:p>
                  <w:pPr>
                    <w:jc w:val="center"/>
                    <w:rPr>
                      <w:color w:val="auto"/>
                      <w:sz w:val="21"/>
                      <w:szCs w:val="21"/>
                    </w:rPr>
                  </w:pPr>
                  <w:r>
                    <w:rPr>
                      <w:rFonts w:hint="eastAsia"/>
                      <w:color w:val="auto"/>
                      <w:sz w:val="21"/>
                      <w:szCs w:val="21"/>
                    </w:rPr>
                    <w:t>A2.2污染控制措施要求</w:t>
                  </w: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【A2.2-2】实施重点行业氮氧化物等污染物深度治理。</w:t>
                  </w:r>
                </w:p>
                <w:p>
                  <w:pPr>
                    <w:rPr>
                      <w:rFonts w:hint="eastAsia"/>
                      <w:color w:val="auto"/>
                      <w:sz w:val="21"/>
                      <w:szCs w:val="21"/>
                    </w:rPr>
                  </w:pPr>
                  <w:r>
                    <w:rPr>
                      <w:rFonts w:hint="eastAsia"/>
                      <w:color w:val="auto"/>
                      <w:sz w:val="21"/>
                      <w:szCs w:val="21"/>
                    </w:rPr>
                    <w:t>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tc>
              <w:tc>
                <w:tcPr>
                  <w:tcW w:w="1649" w:type="pct"/>
                  <w:tcBorders>
                    <w:tl2br w:val="nil"/>
                    <w:tr2bl w:val="nil"/>
                  </w:tcBorders>
                  <w:noWrap w:val="0"/>
                  <w:vAlign w:val="center"/>
                </w:tcPr>
                <w:p>
                  <w:pPr>
                    <w:rPr>
                      <w:rFonts w:hint="eastAsia"/>
                      <w:color w:val="auto"/>
                      <w:sz w:val="21"/>
                      <w:szCs w:val="21"/>
                    </w:rPr>
                  </w:pPr>
                  <w:r>
                    <w:rPr>
                      <w:rFonts w:hint="eastAsia"/>
                      <w:color w:val="auto"/>
                      <w:sz w:val="21"/>
                      <w:szCs w:val="21"/>
                    </w:rPr>
                    <w:t>不涉及</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vMerge w:val="continue"/>
                  <w:tcBorders>
                    <w:tl2br w:val="nil"/>
                    <w:tr2bl w:val="nil"/>
                  </w:tcBorders>
                  <w:noWrap w:val="0"/>
                  <w:vAlign w:val="center"/>
                </w:tcPr>
                <w:p>
                  <w:pPr>
                    <w:jc w:val="center"/>
                    <w:rPr>
                      <w:rFonts w:hint="eastAsia"/>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【A2.2-4】强化用水定额管理。推进地下水超采综合治理。开展河湖生态流量(水量)确定工作，强化生态用水保障。</w:t>
                  </w:r>
                </w:p>
              </w:tc>
              <w:tc>
                <w:tcPr>
                  <w:tcW w:w="1649" w:type="pct"/>
                  <w:tcBorders>
                    <w:tl2br w:val="nil"/>
                    <w:tr2bl w:val="nil"/>
                  </w:tcBorders>
                  <w:noWrap w:val="0"/>
                  <w:vAlign w:val="center"/>
                </w:tcPr>
                <w:p>
                  <w:pPr>
                    <w:rPr>
                      <w:rFonts w:hint="eastAsia"/>
                      <w:color w:val="auto"/>
                      <w:sz w:val="21"/>
                      <w:szCs w:val="21"/>
                    </w:rPr>
                  </w:pPr>
                  <w:r>
                    <w:rPr>
                      <w:rFonts w:hint="eastAsia"/>
                      <w:color w:val="auto"/>
                      <w:sz w:val="21"/>
                      <w:szCs w:val="21"/>
                      <w:lang w:val="en-US" w:eastAsia="zh-CN"/>
                    </w:rPr>
                    <w:t>本项目运营期生产废水经沉淀处理后回用；生活污水经地埋式污水处理设施处理后用于项目区周边荒漠生态恢复的灌溉。</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vMerge w:val="continue"/>
                  <w:tcBorders>
                    <w:tl2br w:val="nil"/>
                    <w:tr2bl w:val="nil"/>
                  </w:tcBorders>
                  <w:noWrap w:val="0"/>
                  <w:vAlign w:val="center"/>
                </w:tcPr>
                <w:p>
                  <w:pPr>
                    <w:jc w:val="center"/>
                    <w:rPr>
                      <w:rFonts w:hint="eastAsia"/>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2.2-5】持续推进伊犁河、额尔齐斯河、额敏河、玛纳斯河、乌伦古湖、博斯腾湖等流域生态治理，加强生态修复。推动重点行业重点企业绿色发展，严格落实水污染物排放标准。加强农副食品加工、化工、印染、棉浆粕、粘胶纤维等企业综合治理和清洁化改造。</w:t>
                  </w:r>
                </w:p>
              </w:tc>
              <w:tc>
                <w:tcPr>
                  <w:tcW w:w="1649" w:type="pct"/>
                  <w:tcBorders>
                    <w:tl2br w:val="nil"/>
                    <w:tr2bl w:val="nil"/>
                  </w:tcBorders>
                  <w:noWrap w:val="0"/>
                  <w:vAlign w:val="center"/>
                </w:tcPr>
                <w:p>
                  <w:pPr>
                    <w:jc w:val="center"/>
                    <w:rPr>
                      <w:rFonts w:hint="eastAsia"/>
                      <w:color w:val="auto"/>
                      <w:sz w:val="21"/>
                      <w:szCs w:val="21"/>
                    </w:rPr>
                  </w:pPr>
                  <w:r>
                    <w:rPr>
                      <w:rFonts w:hint="eastAsia"/>
                      <w:color w:val="auto"/>
                      <w:sz w:val="21"/>
                      <w:szCs w:val="21"/>
                    </w:rPr>
                    <w:t>不涉及</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color w:val="auto"/>
                      <w:sz w:val="21"/>
                      <w:szCs w:val="21"/>
                    </w:rPr>
                  </w:pPr>
                </w:p>
              </w:tc>
              <w:tc>
                <w:tcPr>
                  <w:tcW w:w="400" w:type="pct"/>
                  <w:tcBorders>
                    <w:tl2br w:val="nil"/>
                    <w:tr2bl w:val="nil"/>
                  </w:tcBorders>
                  <w:noWrap w:val="0"/>
                  <w:vAlign w:val="center"/>
                </w:tcPr>
                <w:p>
                  <w:pPr>
                    <w:jc w:val="center"/>
                    <w:rPr>
                      <w:color w:val="auto"/>
                      <w:sz w:val="21"/>
                      <w:szCs w:val="21"/>
                    </w:rPr>
                  </w:pPr>
                  <w:r>
                    <w:rPr>
                      <w:rFonts w:hint="eastAsia"/>
                      <w:color w:val="auto"/>
                      <w:sz w:val="21"/>
                      <w:szCs w:val="21"/>
                    </w:rPr>
                    <w:t>A2.2污染控制措施要求</w:t>
                  </w: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2.2-6】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1649" w:type="pct"/>
                  <w:tcBorders>
                    <w:tl2br w:val="nil"/>
                    <w:tr2bl w:val="nil"/>
                  </w:tcBorders>
                  <w:noWrap w:val="0"/>
                  <w:vAlign w:val="center"/>
                </w:tcPr>
                <w:p>
                  <w:pPr>
                    <w:rPr>
                      <w:rFonts w:hint="eastAsia" w:eastAsia="宋体"/>
                      <w:color w:val="auto"/>
                      <w:sz w:val="21"/>
                      <w:szCs w:val="21"/>
                      <w:lang w:eastAsia="zh-CN"/>
                    </w:rPr>
                  </w:pPr>
                  <w:r>
                    <w:rPr>
                      <w:rFonts w:hint="eastAsia"/>
                      <w:color w:val="auto"/>
                      <w:sz w:val="21"/>
                      <w:szCs w:val="21"/>
                      <w:lang w:val="en-US" w:eastAsia="zh-CN"/>
                    </w:rPr>
                    <w:t>本项目运营期生产废水经沉淀处理后回用</w:t>
                  </w:r>
                  <w:r>
                    <w:rPr>
                      <w:rFonts w:hint="eastAsia"/>
                      <w:color w:val="auto"/>
                      <w:sz w:val="21"/>
                      <w:szCs w:val="21"/>
                    </w:rPr>
                    <w:t>，不会超过用水总量控制指标</w:t>
                  </w:r>
                  <w:r>
                    <w:rPr>
                      <w:rFonts w:hint="eastAsia"/>
                      <w:color w:val="auto"/>
                      <w:sz w:val="21"/>
                      <w:szCs w:val="21"/>
                      <w:lang w:eastAsia="zh-CN"/>
                    </w:rPr>
                    <w:t>。</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231" w:type="pct"/>
                  <w:vMerge w:val="restart"/>
                  <w:tcBorders>
                    <w:tl2br w:val="nil"/>
                    <w:tr2bl w:val="nil"/>
                  </w:tcBorders>
                  <w:noWrap w:val="0"/>
                  <w:vAlign w:val="center"/>
                </w:tcPr>
                <w:p>
                  <w:pPr>
                    <w:jc w:val="center"/>
                    <w:rPr>
                      <w:rFonts w:hint="eastAsia"/>
                      <w:color w:val="auto"/>
                      <w:sz w:val="21"/>
                      <w:szCs w:val="21"/>
                    </w:rPr>
                  </w:pPr>
                  <w:r>
                    <w:rPr>
                      <w:rFonts w:hint="eastAsia"/>
                      <w:color w:val="auto"/>
                      <w:sz w:val="21"/>
                      <w:szCs w:val="21"/>
                    </w:rPr>
                    <w:t>新疆维吾尔自治区总体管控要求</w:t>
                  </w:r>
                </w:p>
              </w:tc>
              <w:tc>
                <w:tcPr>
                  <w:tcW w:w="253" w:type="pct"/>
                  <w:tcBorders>
                    <w:tl2br w:val="nil"/>
                    <w:tr2bl w:val="nil"/>
                  </w:tcBorders>
                  <w:noWrap w:val="0"/>
                  <w:vAlign w:val="center"/>
                </w:tcPr>
                <w:p>
                  <w:pPr>
                    <w:jc w:val="center"/>
                    <w:rPr>
                      <w:color w:val="auto"/>
                      <w:sz w:val="21"/>
                      <w:szCs w:val="21"/>
                    </w:rPr>
                  </w:pPr>
                  <w:r>
                    <w:rPr>
                      <w:rFonts w:hint="eastAsia"/>
                      <w:color w:val="auto"/>
                      <w:sz w:val="21"/>
                      <w:szCs w:val="21"/>
                    </w:rPr>
                    <w:t>A2污染物排放管控</w:t>
                  </w:r>
                </w:p>
              </w:tc>
              <w:tc>
                <w:tcPr>
                  <w:tcW w:w="400" w:type="pct"/>
                  <w:tcBorders>
                    <w:tl2br w:val="nil"/>
                    <w:tr2bl w:val="nil"/>
                  </w:tcBorders>
                  <w:noWrap w:val="0"/>
                  <w:vAlign w:val="center"/>
                </w:tcPr>
                <w:p>
                  <w:pPr>
                    <w:jc w:val="center"/>
                    <w:rPr>
                      <w:color w:val="auto"/>
                      <w:sz w:val="21"/>
                      <w:szCs w:val="21"/>
                    </w:rPr>
                  </w:pPr>
                  <w:r>
                    <w:rPr>
                      <w:rFonts w:hint="eastAsia"/>
                      <w:color w:val="auto"/>
                      <w:sz w:val="21"/>
                      <w:szCs w:val="21"/>
                    </w:rPr>
                    <w:t>A2.2污染控制措施要求</w:t>
                  </w: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2.2-9】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1649" w:type="pct"/>
                  <w:tcBorders>
                    <w:tl2br w:val="nil"/>
                    <w:tr2bl w:val="nil"/>
                  </w:tcBorders>
                  <w:noWrap w:val="0"/>
                  <w:vAlign w:val="center"/>
                </w:tcPr>
                <w:p>
                  <w:pPr>
                    <w:jc w:val="center"/>
                    <w:rPr>
                      <w:rFonts w:hint="eastAsia"/>
                      <w:color w:val="auto"/>
                      <w:sz w:val="21"/>
                      <w:szCs w:val="21"/>
                    </w:rPr>
                  </w:pPr>
                  <w:r>
                    <w:rPr>
                      <w:rFonts w:hint="eastAsia"/>
                      <w:color w:val="auto"/>
                      <w:sz w:val="21"/>
                      <w:szCs w:val="21"/>
                    </w:rPr>
                    <w:t>不涉及</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restart"/>
                  <w:tcBorders>
                    <w:tl2br w:val="nil"/>
                    <w:tr2bl w:val="nil"/>
                  </w:tcBorders>
                  <w:noWrap w:val="0"/>
                  <w:vAlign w:val="center"/>
                </w:tcPr>
                <w:p>
                  <w:pPr>
                    <w:jc w:val="center"/>
                    <w:rPr>
                      <w:rFonts w:hint="eastAsia"/>
                      <w:color w:val="auto"/>
                      <w:sz w:val="21"/>
                      <w:szCs w:val="21"/>
                    </w:rPr>
                  </w:pPr>
                  <w:r>
                    <w:rPr>
                      <w:rFonts w:hint="eastAsia"/>
                      <w:color w:val="auto"/>
                      <w:sz w:val="21"/>
                      <w:szCs w:val="21"/>
                    </w:rPr>
                    <w:t>A3环境风险防控</w:t>
                  </w:r>
                </w:p>
              </w:tc>
              <w:tc>
                <w:tcPr>
                  <w:tcW w:w="400" w:type="pct"/>
                  <w:vMerge w:val="restart"/>
                  <w:tcBorders>
                    <w:tl2br w:val="nil"/>
                    <w:tr2bl w:val="nil"/>
                  </w:tcBorders>
                  <w:noWrap w:val="0"/>
                  <w:vAlign w:val="center"/>
                </w:tcPr>
                <w:p>
                  <w:pPr>
                    <w:jc w:val="center"/>
                    <w:rPr>
                      <w:color w:val="auto"/>
                      <w:sz w:val="21"/>
                      <w:szCs w:val="21"/>
                    </w:rPr>
                  </w:pPr>
                  <w:r>
                    <w:rPr>
                      <w:rFonts w:hint="eastAsia"/>
                      <w:color w:val="auto"/>
                      <w:sz w:val="21"/>
                      <w:szCs w:val="21"/>
                    </w:rPr>
                    <w:t>A3.1人居环境要求</w:t>
                  </w: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【A3.1-1】建立和完善重污染天气兵地联合应急预案、预报预警应急机制和会商联动机制。“乌一昌一石”区域内可能影响相邻行政区域大气环境的项目，兵地间、城市间必须相互征求意见。</w:t>
                  </w:r>
                </w:p>
              </w:tc>
              <w:tc>
                <w:tcPr>
                  <w:tcW w:w="1649" w:type="pct"/>
                  <w:tcBorders>
                    <w:tl2br w:val="nil"/>
                    <w:tr2bl w:val="nil"/>
                  </w:tcBorders>
                  <w:noWrap w:val="0"/>
                  <w:vAlign w:val="center"/>
                </w:tcPr>
                <w:p>
                  <w:pPr>
                    <w:jc w:val="center"/>
                    <w:rPr>
                      <w:rFonts w:hint="eastAsia"/>
                      <w:color w:val="auto"/>
                      <w:sz w:val="21"/>
                      <w:szCs w:val="21"/>
                    </w:rPr>
                  </w:pPr>
                  <w:r>
                    <w:rPr>
                      <w:rFonts w:hint="eastAsia"/>
                      <w:color w:val="auto"/>
                      <w:sz w:val="21"/>
                      <w:szCs w:val="21"/>
                    </w:rPr>
                    <w:t>不涉及</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vMerge w:val="continue"/>
                  <w:tcBorders>
                    <w:tl2br w:val="nil"/>
                    <w:tr2bl w:val="nil"/>
                  </w:tcBorders>
                  <w:noWrap w:val="0"/>
                  <w:vAlign w:val="center"/>
                </w:tcPr>
                <w:p>
                  <w:pPr>
                    <w:jc w:val="center"/>
                    <w:rPr>
                      <w:rFonts w:hint="eastAsia"/>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【A3.1-3】强化重污染天气监测预报预警能力，建立和完善重污染天气兵地联合应急预案、预警应急机制和会商联动机制，加强轻、中度污染天气管控。</w:t>
                  </w:r>
                </w:p>
              </w:tc>
              <w:tc>
                <w:tcPr>
                  <w:tcW w:w="1649" w:type="pct"/>
                  <w:tcBorders>
                    <w:tl2br w:val="nil"/>
                    <w:tr2bl w:val="nil"/>
                  </w:tcBorders>
                  <w:noWrap w:val="0"/>
                  <w:vAlign w:val="center"/>
                </w:tcPr>
                <w:p>
                  <w:pPr>
                    <w:jc w:val="center"/>
                    <w:rPr>
                      <w:rFonts w:hint="eastAsia"/>
                      <w:color w:val="auto"/>
                      <w:sz w:val="21"/>
                      <w:szCs w:val="21"/>
                    </w:rPr>
                  </w:pPr>
                  <w:r>
                    <w:rPr>
                      <w:rFonts w:hint="eastAsia"/>
                      <w:color w:val="auto"/>
                      <w:sz w:val="21"/>
                      <w:szCs w:val="21"/>
                    </w:rPr>
                    <w:t>不涉及</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231" w:type="pct"/>
                  <w:vMerge w:val="continue"/>
                  <w:tcBorders>
                    <w:tl2br w:val="nil"/>
                    <w:tr2bl w:val="nil"/>
                  </w:tcBorders>
                  <w:noWrap w:val="0"/>
                  <w:vAlign w:val="center"/>
                </w:tcPr>
                <w:p>
                  <w:pPr>
                    <w:jc w:val="center"/>
                    <w:rPr>
                      <w:color w:val="auto"/>
                      <w:sz w:val="21"/>
                      <w:szCs w:val="21"/>
                    </w:rPr>
                  </w:pPr>
                </w:p>
              </w:tc>
              <w:tc>
                <w:tcPr>
                  <w:tcW w:w="253" w:type="pct"/>
                  <w:vMerge w:val="continue"/>
                  <w:tcBorders>
                    <w:tl2br w:val="nil"/>
                    <w:tr2bl w:val="nil"/>
                  </w:tcBorders>
                  <w:noWrap w:val="0"/>
                  <w:vAlign w:val="center"/>
                </w:tcPr>
                <w:p>
                  <w:pPr>
                    <w:jc w:val="center"/>
                    <w:rPr>
                      <w:color w:val="auto"/>
                      <w:sz w:val="21"/>
                      <w:szCs w:val="21"/>
                    </w:rPr>
                  </w:pPr>
                </w:p>
              </w:tc>
              <w:tc>
                <w:tcPr>
                  <w:tcW w:w="400" w:type="pct"/>
                  <w:vMerge w:val="continue"/>
                  <w:tcBorders>
                    <w:tl2br w:val="nil"/>
                    <w:tr2bl w:val="nil"/>
                  </w:tcBorders>
                  <w:noWrap w:val="0"/>
                  <w:vAlign w:val="center"/>
                </w:tcPr>
                <w:p>
                  <w:pPr>
                    <w:jc w:val="center"/>
                    <w:rPr>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【A3.2-2】依法推行农用地分类管理制度，强化受污染耕地安全利用和风险管控。因地制宜制定实施安全利用方案，鼓励采取种植结构调整等措施，确保受污染耕地全部实现安全利用。</w:t>
                  </w:r>
                </w:p>
              </w:tc>
              <w:tc>
                <w:tcPr>
                  <w:tcW w:w="1649" w:type="pct"/>
                  <w:tcBorders>
                    <w:tl2br w:val="nil"/>
                    <w:tr2bl w:val="nil"/>
                  </w:tcBorders>
                  <w:noWrap w:val="0"/>
                  <w:vAlign w:val="center"/>
                </w:tcPr>
                <w:p>
                  <w:pPr>
                    <w:jc w:val="center"/>
                    <w:rPr>
                      <w:rFonts w:hint="eastAsia"/>
                      <w:color w:val="auto"/>
                      <w:sz w:val="21"/>
                      <w:szCs w:val="21"/>
                    </w:rPr>
                  </w:pPr>
                  <w:r>
                    <w:rPr>
                      <w:rFonts w:hint="eastAsia"/>
                      <w:color w:val="auto"/>
                      <w:sz w:val="21"/>
                      <w:szCs w:val="21"/>
                    </w:rPr>
                    <w:t>不涉及</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vMerge w:val="continue"/>
                  <w:tcBorders>
                    <w:tl2br w:val="nil"/>
                    <w:tr2bl w:val="nil"/>
                  </w:tcBorders>
                  <w:noWrap w:val="0"/>
                  <w:vAlign w:val="center"/>
                </w:tcPr>
                <w:p>
                  <w:pPr>
                    <w:jc w:val="center"/>
                    <w:rPr>
                      <w:rFonts w:hint="eastAsia"/>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3.2-3】加强新污染物多环境介质协同治理。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污)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tc>
              <w:tc>
                <w:tcPr>
                  <w:tcW w:w="1649" w:type="pct"/>
                  <w:tcBorders>
                    <w:tl2br w:val="nil"/>
                    <w:tr2bl w:val="nil"/>
                  </w:tcBorders>
                  <w:noWrap w:val="0"/>
                  <w:vAlign w:val="center"/>
                </w:tcPr>
                <w:p>
                  <w:pPr>
                    <w:jc w:val="center"/>
                    <w:rPr>
                      <w:rFonts w:hint="eastAsia"/>
                      <w:color w:val="auto"/>
                      <w:sz w:val="21"/>
                      <w:szCs w:val="21"/>
                    </w:rPr>
                  </w:pPr>
                  <w:r>
                    <w:rPr>
                      <w:rFonts w:hint="eastAsia"/>
                      <w:color w:val="auto"/>
                      <w:sz w:val="21"/>
                      <w:szCs w:val="21"/>
                    </w:rPr>
                    <w:t>不涉及</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231" w:type="pct"/>
                  <w:vMerge w:val="restart"/>
                  <w:tcBorders>
                    <w:tl2br w:val="nil"/>
                    <w:tr2bl w:val="nil"/>
                  </w:tcBorders>
                  <w:noWrap w:val="0"/>
                  <w:vAlign w:val="center"/>
                </w:tcPr>
                <w:p>
                  <w:pPr>
                    <w:jc w:val="center"/>
                    <w:rPr>
                      <w:rFonts w:hint="eastAsia"/>
                      <w:color w:val="auto"/>
                      <w:sz w:val="21"/>
                      <w:szCs w:val="21"/>
                    </w:rPr>
                  </w:pPr>
                  <w:r>
                    <w:rPr>
                      <w:rFonts w:hint="eastAsia"/>
                      <w:color w:val="auto"/>
                      <w:sz w:val="21"/>
                      <w:szCs w:val="21"/>
                    </w:rPr>
                    <w:t>新疆维吾尔自治区总体管控要求</w:t>
                  </w:r>
                </w:p>
              </w:tc>
              <w:tc>
                <w:tcPr>
                  <w:tcW w:w="253" w:type="pct"/>
                  <w:vMerge w:val="restart"/>
                  <w:tcBorders>
                    <w:tl2br w:val="nil"/>
                    <w:tr2bl w:val="nil"/>
                  </w:tcBorders>
                  <w:noWrap w:val="0"/>
                  <w:vAlign w:val="center"/>
                </w:tcPr>
                <w:p>
                  <w:pPr>
                    <w:jc w:val="center"/>
                    <w:rPr>
                      <w:rFonts w:hint="eastAsia"/>
                      <w:color w:val="auto"/>
                      <w:sz w:val="21"/>
                      <w:szCs w:val="21"/>
                    </w:rPr>
                  </w:pPr>
                  <w:r>
                    <w:rPr>
                      <w:rFonts w:hint="eastAsia"/>
                      <w:color w:val="auto"/>
                      <w:sz w:val="21"/>
                      <w:szCs w:val="21"/>
                    </w:rPr>
                    <w:t>A3环境风险防控</w:t>
                  </w:r>
                </w:p>
              </w:tc>
              <w:tc>
                <w:tcPr>
                  <w:tcW w:w="400" w:type="pct"/>
                  <w:vMerge w:val="restart"/>
                  <w:tcBorders>
                    <w:tl2br w:val="nil"/>
                    <w:tr2bl w:val="nil"/>
                  </w:tcBorders>
                  <w:noWrap w:val="0"/>
                  <w:vAlign w:val="center"/>
                </w:tcPr>
                <w:p>
                  <w:pPr>
                    <w:jc w:val="center"/>
                    <w:rPr>
                      <w:rFonts w:hint="eastAsia"/>
                      <w:color w:val="auto"/>
                      <w:sz w:val="21"/>
                      <w:szCs w:val="21"/>
                    </w:rPr>
                  </w:pPr>
                  <w:r>
                    <w:rPr>
                      <w:rFonts w:hint="eastAsia"/>
                      <w:color w:val="auto"/>
                      <w:sz w:val="21"/>
                      <w:szCs w:val="21"/>
                    </w:rPr>
                    <w:t>A3.2</w:t>
                  </w:r>
                </w:p>
                <w:p>
                  <w:pPr>
                    <w:jc w:val="center"/>
                    <w:rPr>
                      <w:color w:val="auto"/>
                      <w:sz w:val="21"/>
                      <w:szCs w:val="21"/>
                    </w:rPr>
                  </w:pPr>
                  <w:r>
                    <w:rPr>
                      <w:rFonts w:hint="eastAsia"/>
                      <w:color w:val="auto"/>
                      <w:sz w:val="21"/>
                      <w:szCs w:val="21"/>
                    </w:rPr>
                    <w:t>联防联控要求</w:t>
                  </w: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3.2-4】加强环境风险预警防控。加强涉危险物企业、涉重金属企业、化工园区、集中式饮用水水源地及重点流域环境风险调查评估，实施分类分级风险管控，协同推进重点区域、流域生态环境污染综合防治、风险防控与生态修复。</w:t>
                  </w:r>
                </w:p>
              </w:tc>
              <w:tc>
                <w:tcPr>
                  <w:tcW w:w="1649" w:type="pct"/>
                  <w:vMerge w:val="restart"/>
                  <w:tcBorders>
                    <w:tl2br w:val="nil"/>
                    <w:tr2bl w:val="nil"/>
                  </w:tcBorders>
                  <w:noWrap w:val="0"/>
                  <w:vAlign w:val="center"/>
                </w:tcPr>
                <w:p>
                  <w:pPr>
                    <w:rPr>
                      <w:rFonts w:hint="eastAsia"/>
                      <w:color w:val="auto"/>
                      <w:sz w:val="21"/>
                      <w:szCs w:val="21"/>
                    </w:rPr>
                  </w:pPr>
                  <w:r>
                    <w:rPr>
                      <w:rFonts w:hint="eastAsia"/>
                      <w:color w:val="auto"/>
                      <w:sz w:val="21"/>
                      <w:szCs w:val="21"/>
                      <w:lang w:val="en-US" w:eastAsia="zh-CN"/>
                    </w:rPr>
                    <w:t>本项目</w:t>
                  </w:r>
                  <w:r>
                    <w:rPr>
                      <w:rFonts w:hint="eastAsia"/>
                      <w:color w:val="auto"/>
                      <w:sz w:val="21"/>
                      <w:szCs w:val="21"/>
                    </w:rPr>
                    <w:t>已提出一系列环境风险防范措施及应急要求，本次建设内容纳入现有应急预案中，定期按照应急预案内容进行应急演练，逐步提高应急演练范围与级别，出现风险事故时能够及时应对</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vMerge w:val="continue"/>
                  <w:tcBorders>
                    <w:tl2br w:val="nil"/>
                    <w:tr2bl w:val="nil"/>
                  </w:tcBorders>
                  <w:noWrap w:val="0"/>
                  <w:vAlign w:val="center"/>
                </w:tcPr>
                <w:p>
                  <w:pPr>
                    <w:jc w:val="center"/>
                    <w:rPr>
                      <w:rFonts w:hint="eastAsia"/>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649" w:type="pct"/>
                  <w:vMerge w:val="continue"/>
                  <w:tcBorders>
                    <w:tl2br w:val="nil"/>
                    <w:tr2bl w:val="nil"/>
                  </w:tcBorders>
                  <w:noWrap w:val="0"/>
                  <w:vAlign w:val="center"/>
                </w:tcPr>
                <w:p>
                  <w:pPr>
                    <w:rPr>
                      <w:rFonts w:hint="eastAsia"/>
                      <w:color w:val="auto"/>
                      <w:sz w:val="21"/>
                      <w:szCs w:val="21"/>
                    </w:rPr>
                  </w:pP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vMerge w:val="continue"/>
                  <w:tcBorders>
                    <w:tl2br w:val="nil"/>
                    <w:tr2bl w:val="nil"/>
                  </w:tcBorders>
                  <w:noWrap w:val="0"/>
                  <w:vAlign w:val="center"/>
                </w:tcPr>
                <w:p>
                  <w:pPr>
                    <w:jc w:val="center"/>
                    <w:rPr>
                      <w:rFonts w:hint="eastAsia"/>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3.2-6】强化兵地联防联控联治，落实兵地统一规划、统一政策统一标准、统一要求、统一推进的防治管理措施，完善重大项目环境影响评价区域会商、重污染天气兵地联合应急联动机制。建立兵地生态环境联合执法和联合监测长效机制。</w:t>
                  </w:r>
                </w:p>
              </w:tc>
              <w:tc>
                <w:tcPr>
                  <w:tcW w:w="1649" w:type="pct"/>
                  <w:tcBorders>
                    <w:tl2br w:val="nil"/>
                    <w:tr2bl w:val="nil"/>
                  </w:tcBorders>
                  <w:noWrap w:val="0"/>
                  <w:vAlign w:val="center"/>
                </w:tcPr>
                <w:p>
                  <w:pPr>
                    <w:jc w:val="center"/>
                    <w:rPr>
                      <w:rFonts w:hint="eastAsia"/>
                      <w:color w:val="auto"/>
                      <w:sz w:val="21"/>
                      <w:szCs w:val="21"/>
                    </w:rPr>
                  </w:pPr>
                  <w:r>
                    <w:rPr>
                      <w:rFonts w:hint="eastAsia"/>
                      <w:color w:val="auto"/>
                      <w:sz w:val="21"/>
                      <w:szCs w:val="21"/>
                    </w:rPr>
                    <w:t>不涉及</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restart"/>
                  <w:tcBorders>
                    <w:tl2br w:val="nil"/>
                    <w:tr2bl w:val="nil"/>
                  </w:tcBorders>
                  <w:noWrap w:val="0"/>
                  <w:vAlign w:val="center"/>
                </w:tcPr>
                <w:p>
                  <w:pPr>
                    <w:jc w:val="center"/>
                    <w:rPr>
                      <w:rFonts w:hint="default" w:eastAsia="宋体"/>
                      <w:color w:val="auto"/>
                      <w:sz w:val="21"/>
                      <w:szCs w:val="21"/>
                      <w:lang w:val="en-US" w:eastAsia="zh-CN"/>
                    </w:rPr>
                  </w:pPr>
                  <w:r>
                    <w:rPr>
                      <w:rFonts w:hint="eastAsia"/>
                      <w:color w:val="auto"/>
                      <w:sz w:val="21"/>
                      <w:szCs w:val="21"/>
                    </w:rPr>
                    <w:t>A4资源</w:t>
                  </w:r>
                  <w:r>
                    <w:rPr>
                      <w:rFonts w:hint="eastAsia"/>
                      <w:color w:val="auto"/>
                      <w:sz w:val="21"/>
                      <w:szCs w:val="21"/>
                      <w:lang w:val="en-US" w:eastAsia="zh-CN"/>
                    </w:rPr>
                    <w:t>利用要求</w:t>
                  </w:r>
                </w:p>
              </w:tc>
              <w:tc>
                <w:tcPr>
                  <w:tcW w:w="400" w:type="pct"/>
                  <w:vMerge w:val="restart"/>
                  <w:tcBorders>
                    <w:tl2br w:val="nil"/>
                    <w:tr2bl w:val="nil"/>
                  </w:tcBorders>
                  <w:noWrap w:val="0"/>
                  <w:vAlign w:val="center"/>
                </w:tcPr>
                <w:p>
                  <w:pPr>
                    <w:jc w:val="center"/>
                    <w:rPr>
                      <w:rFonts w:hint="eastAsia"/>
                      <w:color w:val="auto"/>
                      <w:sz w:val="21"/>
                      <w:szCs w:val="21"/>
                    </w:rPr>
                  </w:pPr>
                  <w:r>
                    <w:rPr>
                      <w:rFonts w:hint="eastAsia"/>
                      <w:color w:val="auto"/>
                      <w:sz w:val="21"/>
                      <w:szCs w:val="21"/>
                    </w:rPr>
                    <w:t>A4.1</w:t>
                  </w:r>
                </w:p>
                <w:p>
                  <w:pPr>
                    <w:jc w:val="center"/>
                    <w:rPr>
                      <w:color w:val="auto"/>
                      <w:sz w:val="21"/>
                      <w:szCs w:val="21"/>
                    </w:rPr>
                  </w:pPr>
                  <w:r>
                    <w:rPr>
                      <w:rFonts w:hint="eastAsia"/>
                      <w:color w:val="auto"/>
                      <w:sz w:val="21"/>
                      <w:szCs w:val="21"/>
                    </w:rPr>
                    <w:t>水资源</w:t>
                  </w: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【A4.1-1】自治区用水总量2025年、2030年控制在国家下达的指标内。</w:t>
                  </w:r>
                </w:p>
              </w:tc>
              <w:tc>
                <w:tcPr>
                  <w:tcW w:w="1649" w:type="pct"/>
                  <w:tcBorders>
                    <w:tl2br w:val="nil"/>
                    <w:tr2bl w:val="nil"/>
                  </w:tcBorders>
                  <w:noWrap w:val="0"/>
                  <w:vAlign w:val="center"/>
                </w:tcPr>
                <w:p>
                  <w:pPr>
                    <w:rPr>
                      <w:rFonts w:hint="eastAsia" w:eastAsia="宋体"/>
                      <w:color w:val="auto"/>
                      <w:sz w:val="21"/>
                      <w:szCs w:val="21"/>
                      <w:lang w:eastAsia="zh-CN"/>
                    </w:rPr>
                  </w:pPr>
                  <w:r>
                    <w:rPr>
                      <w:rFonts w:hint="eastAsia"/>
                      <w:color w:val="auto"/>
                      <w:sz w:val="21"/>
                      <w:szCs w:val="21"/>
                      <w:lang w:val="en-US" w:eastAsia="zh-CN"/>
                    </w:rPr>
                    <w:t>本项目运营期无生产废水产生</w:t>
                  </w:r>
                  <w:r>
                    <w:rPr>
                      <w:rFonts w:hint="eastAsia"/>
                      <w:color w:val="auto"/>
                      <w:sz w:val="21"/>
                      <w:szCs w:val="21"/>
                    </w:rPr>
                    <w:t>，不会超过用水总量控制指标</w:t>
                  </w:r>
                  <w:r>
                    <w:rPr>
                      <w:rFonts w:hint="eastAsia"/>
                      <w:color w:val="auto"/>
                      <w:sz w:val="21"/>
                      <w:szCs w:val="21"/>
                      <w:lang w:eastAsia="zh-CN"/>
                    </w:rPr>
                    <w:t>。</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231" w:type="pct"/>
                  <w:vMerge w:val="continue"/>
                  <w:tcBorders>
                    <w:tl2br w:val="nil"/>
                    <w:tr2bl w:val="nil"/>
                  </w:tcBorders>
                  <w:noWrap w:val="0"/>
                  <w:vAlign w:val="center"/>
                </w:tcPr>
                <w:p>
                  <w:pPr>
                    <w:jc w:val="center"/>
                    <w:rPr>
                      <w:color w:val="auto"/>
                      <w:sz w:val="21"/>
                      <w:szCs w:val="21"/>
                    </w:rPr>
                  </w:pPr>
                </w:p>
              </w:tc>
              <w:tc>
                <w:tcPr>
                  <w:tcW w:w="253" w:type="pct"/>
                  <w:vMerge w:val="continue"/>
                  <w:tcBorders>
                    <w:tl2br w:val="nil"/>
                    <w:tr2bl w:val="nil"/>
                  </w:tcBorders>
                  <w:noWrap w:val="0"/>
                  <w:vAlign w:val="center"/>
                </w:tcPr>
                <w:p>
                  <w:pPr>
                    <w:jc w:val="center"/>
                    <w:rPr>
                      <w:color w:val="auto"/>
                      <w:sz w:val="21"/>
                      <w:szCs w:val="21"/>
                    </w:rPr>
                  </w:pPr>
                </w:p>
              </w:tc>
              <w:tc>
                <w:tcPr>
                  <w:tcW w:w="400" w:type="pct"/>
                  <w:vMerge w:val="continue"/>
                  <w:tcBorders>
                    <w:tl2br w:val="nil"/>
                    <w:tr2bl w:val="nil"/>
                  </w:tcBorders>
                  <w:noWrap w:val="0"/>
                  <w:vAlign w:val="center"/>
                </w:tcPr>
                <w:p>
                  <w:pPr>
                    <w:jc w:val="center"/>
                    <w:rPr>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【A4.1-2】加大城镇污水再生利用工程建设力度，推进区域再生水循环利用，到2025年，城市生活污水再生利用率力争达到60%。</w:t>
                  </w:r>
                </w:p>
                <w:p>
                  <w:pPr>
                    <w:rPr>
                      <w:rFonts w:hint="eastAsia"/>
                      <w:color w:val="auto"/>
                      <w:sz w:val="21"/>
                      <w:szCs w:val="21"/>
                    </w:rPr>
                  </w:pPr>
                  <w:r>
                    <w:rPr>
                      <w:rFonts w:hint="eastAsia"/>
                      <w:color w:val="auto"/>
                      <w:sz w:val="21"/>
                      <w:szCs w:val="21"/>
                    </w:rPr>
                    <w:t>【A4.1-3】加强农村水利基础设施建设，推进农村供水保障工程，农村自来水普及率、集中供水率分别达到99.3%、99.7%。</w:t>
                  </w:r>
                </w:p>
              </w:tc>
              <w:tc>
                <w:tcPr>
                  <w:tcW w:w="1649" w:type="pct"/>
                  <w:tcBorders>
                    <w:tl2br w:val="nil"/>
                    <w:tr2bl w:val="nil"/>
                  </w:tcBorders>
                  <w:noWrap w:val="0"/>
                  <w:vAlign w:val="center"/>
                </w:tcPr>
                <w:p>
                  <w:pPr>
                    <w:jc w:val="center"/>
                    <w:rPr>
                      <w:color w:val="auto"/>
                      <w:sz w:val="21"/>
                      <w:szCs w:val="21"/>
                    </w:rPr>
                  </w:pPr>
                  <w:r>
                    <w:rPr>
                      <w:rFonts w:hint="eastAsia"/>
                      <w:color w:val="auto"/>
                      <w:sz w:val="21"/>
                      <w:szCs w:val="21"/>
                    </w:rPr>
                    <w:t>不涉及</w:t>
                  </w:r>
                </w:p>
              </w:tc>
              <w:tc>
                <w:tcPr>
                  <w:tcW w:w="304" w:type="pct"/>
                  <w:tcBorders>
                    <w:tl2br w:val="nil"/>
                    <w:tr2bl w:val="nil"/>
                  </w:tcBorders>
                  <w:noWrap w:val="0"/>
                  <w:vAlign w:val="center"/>
                </w:tcPr>
                <w:p>
                  <w:pPr>
                    <w:jc w:val="center"/>
                    <w:rPr>
                      <w:color w:val="auto"/>
                      <w:sz w:val="21"/>
                      <w:szCs w:val="21"/>
                    </w:rPr>
                  </w:pPr>
                  <w:r>
                    <w:rPr>
                      <w:rFonts w:hint="eastAsia"/>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restart"/>
                  <w:tcBorders>
                    <w:tl2br w:val="nil"/>
                    <w:tr2bl w:val="nil"/>
                  </w:tcBorders>
                  <w:noWrap w:val="0"/>
                  <w:vAlign w:val="center"/>
                </w:tcPr>
                <w:p>
                  <w:pPr>
                    <w:jc w:val="center"/>
                    <w:rPr>
                      <w:rFonts w:hint="eastAsia"/>
                      <w:color w:val="auto"/>
                      <w:sz w:val="21"/>
                      <w:szCs w:val="21"/>
                    </w:rPr>
                  </w:pPr>
                  <w:r>
                    <w:rPr>
                      <w:rFonts w:hint="eastAsia"/>
                      <w:color w:val="auto"/>
                      <w:sz w:val="21"/>
                      <w:szCs w:val="21"/>
                    </w:rPr>
                    <w:t>新疆维吾尔自治区总体管控要求</w:t>
                  </w:r>
                </w:p>
              </w:tc>
              <w:tc>
                <w:tcPr>
                  <w:tcW w:w="253" w:type="pct"/>
                  <w:vMerge w:val="continue"/>
                  <w:tcBorders>
                    <w:tl2br w:val="nil"/>
                    <w:tr2bl w:val="nil"/>
                  </w:tcBorders>
                  <w:noWrap w:val="0"/>
                  <w:vAlign w:val="center"/>
                </w:tcPr>
                <w:p>
                  <w:pPr>
                    <w:jc w:val="center"/>
                    <w:rPr>
                      <w:color w:val="auto"/>
                      <w:sz w:val="21"/>
                      <w:szCs w:val="21"/>
                    </w:rPr>
                  </w:pPr>
                </w:p>
              </w:tc>
              <w:tc>
                <w:tcPr>
                  <w:tcW w:w="400" w:type="pct"/>
                  <w:vMerge w:val="continue"/>
                  <w:tcBorders>
                    <w:tl2br w:val="nil"/>
                    <w:tr2bl w:val="nil"/>
                  </w:tcBorders>
                  <w:noWrap w:val="0"/>
                  <w:vAlign w:val="center"/>
                </w:tcPr>
                <w:p>
                  <w:pPr>
                    <w:jc w:val="center"/>
                    <w:rPr>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【A4.1-3】地下水资源利用实行总量控制和水位控制。取用地下水资源，应当按照国家和自治区有关规定申请取水许可。地下水利用应当以浅层地下水为主。</w:t>
                  </w:r>
                </w:p>
              </w:tc>
              <w:tc>
                <w:tcPr>
                  <w:tcW w:w="1649" w:type="pct"/>
                  <w:tcBorders>
                    <w:tl2br w:val="nil"/>
                    <w:tr2bl w:val="nil"/>
                  </w:tcBorders>
                  <w:noWrap w:val="0"/>
                  <w:vAlign w:val="center"/>
                </w:tcPr>
                <w:p>
                  <w:pPr>
                    <w:rPr>
                      <w:rFonts w:hint="eastAsia"/>
                      <w:color w:val="auto"/>
                      <w:sz w:val="21"/>
                      <w:szCs w:val="21"/>
                    </w:rPr>
                  </w:pPr>
                  <w:r>
                    <w:rPr>
                      <w:rFonts w:hint="eastAsia"/>
                      <w:color w:val="auto"/>
                      <w:sz w:val="21"/>
                      <w:szCs w:val="21"/>
                      <w:lang w:val="en-US" w:eastAsia="zh-CN"/>
                    </w:rPr>
                    <w:t>本项目运营期生产废水经沉淀处理后回用</w:t>
                  </w:r>
                  <w:r>
                    <w:rPr>
                      <w:rFonts w:hint="eastAsia"/>
                      <w:color w:val="auto"/>
                      <w:sz w:val="21"/>
                      <w:szCs w:val="21"/>
                    </w:rPr>
                    <w:t>，不会超过用水总量控制指标</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color w:val="auto"/>
                      <w:sz w:val="21"/>
                      <w:szCs w:val="21"/>
                    </w:rPr>
                  </w:pPr>
                </w:p>
              </w:tc>
              <w:tc>
                <w:tcPr>
                  <w:tcW w:w="253" w:type="pct"/>
                  <w:vMerge w:val="continue"/>
                  <w:tcBorders>
                    <w:tl2br w:val="nil"/>
                    <w:tr2bl w:val="nil"/>
                  </w:tcBorders>
                  <w:noWrap w:val="0"/>
                  <w:vAlign w:val="center"/>
                </w:tcPr>
                <w:p>
                  <w:pPr>
                    <w:jc w:val="center"/>
                    <w:rPr>
                      <w:color w:val="auto"/>
                      <w:sz w:val="21"/>
                      <w:szCs w:val="21"/>
                    </w:rPr>
                  </w:pPr>
                </w:p>
              </w:tc>
              <w:tc>
                <w:tcPr>
                  <w:tcW w:w="400" w:type="pct"/>
                  <w:tcBorders>
                    <w:tl2br w:val="nil"/>
                    <w:tr2bl w:val="nil"/>
                  </w:tcBorders>
                  <w:noWrap w:val="0"/>
                  <w:vAlign w:val="center"/>
                </w:tcPr>
                <w:p>
                  <w:pPr>
                    <w:jc w:val="center"/>
                    <w:rPr>
                      <w:rFonts w:hint="eastAsia"/>
                      <w:color w:val="auto"/>
                      <w:sz w:val="21"/>
                      <w:szCs w:val="21"/>
                    </w:rPr>
                  </w:pPr>
                  <w:r>
                    <w:rPr>
                      <w:rFonts w:hint="eastAsia"/>
                      <w:color w:val="auto"/>
                      <w:sz w:val="21"/>
                      <w:szCs w:val="21"/>
                    </w:rPr>
                    <w:t>A4.2土地资源</w:t>
                  </w: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【A4.2-1】土地资源上线指标控制在最终批复的国土空间规划控制指标内。</w:t>
                  </w:r>
                </w:p>
              </w:tc>
              <w:tc>
                <w:tcPr>
                  <w:tcW w:w="1649" w:type="pct"/>
                  <w:tcBorders>
                    <w:tl2br w:val="nil"/>
                    <w:tr2bl w:val="nil"/>
                  </w:tcBorders>
                  <w:noWrap w:val="0"/>
                  <w:vAlign w:val="center"/>
                </w:tcPr>
                <w:p>
                  <w:pPr>
                    <w:rPr>
                      <w:rFonts w:hint="eastAsia"/>
                      <w:color w:val="auto"/>
                      <w:sz w:val="21"/>
                      <w:szCs w:val="21"/>
                    </w:rPr>
                  </w:pPr>
                  <w:r>
                    <w:rPr>
                      <w:rFonts w:hint="eastAsia"/>
                      <w:color w:val="auto"/>
                      <w:sz w:val="21"/>
                      <w:szCs w:val="21"/>
                      <w:lang w:val="en-US" w:eastAsia="zh-CN"/>
                    </w:rPr>
                    <w:t>项目</w:t>
                  </w:r>
                  <w:r>
                    <w:rPr>
                      <w:rFonts w:hint="eastAsia"/>
                      <w:color w:val="auto"/>
                      <w:sz w:val="21"/>
                      <w:szCs w:val="21"/>
                    </w:rPr>
                    <w:t>对土地资源占用较少，土地资源消耗符合要求</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vMerge w:val="restart"/>
                  <w:tcBorders>
                    <w:tl2br w:val="nil"/>
                    <w:tr2bl w:val="nil"/>
                  </w:tcBorders>
                  <w:noWrap w:val="0"/>
                  <w:vAlign w:val="center"/>
                </w:tcPr>
                <w:p>
                  <w:pPr>
                    <w:jc w:val="center"/>
                    <w:rPr>
                      <w:rFonts w:hint="eastAsia"/>
                      <w:color w:val="auto"/>
                      <w:sz w:val="21"/>
                      <w:szCs w:val="21"/>
                    </w:rPr>
                  </w:pPr>
                  <w:r>
                    <w:rPr>
                      <w:rFonts w:hint="eastAsia"/>
                      <w:color w:val="auto"/>
                      <w:sz w:val="21"/>
                      <w:szCs w:val="21"/>
                    </w:rPr>
                    <w:t>A4.3能源利用</w:t>
                  </w: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【A4.3-1】单位地区生产总值二氧化碳排放降低水平完成国家下达指标。</w:t>
                  </w:r>
                </w:p>
                <w:p>
                  <w:pPr>
                    <w:rPr>
                      <w:rFonts w:hint="eastAsia"/>
                      <w:color w:val="auto"/>
                      <w:sz w:val="21"/>
                      <w:szCs w:val="21"/>
                    </w:rPr>
                  </w:pPr>
                  <w:r>
                    <w:rPr>
                      <w:rFonts w:hint="eastAsia"/>
                      <w:color w:val="auto"/>
                      <w:sz w:val="21"/>
                      <w:szCs w:val="21"/>
                    </w:rPr>
                    <w:t>【A4.3-2】到2025年，自治区万元国内生产总值能耗比2020年下降14.5%。</w:t>
                  </w:r>
                </w:p>
                <w:p>
                  <w:pPr>
                    <w:rPr>
                      <w:rFonts w:hint="eastAsia"/>
                      <w:color w:val="auto"/>
                      <w:sz w:val="21"/>
                      <w:szCs w:val="21"/>
                    </w:rPr>
                  </w:pPr>
                  <w:r>
                    <w:rPr>
                      <w:rFonts w:hint="eastAsia"/>
                      <w:color w:val="auto"/>
                      <w:sz w:val="21"/>
                      <w:szCs w:val="21"/>
                    </w:rPr>
                    <w:t>【A4.3-3】到2025年，非化石能源占一次能源消费比重达18%以上</w:t>
                  </w:r>
                </w:p>
              </w:tc>
              <w:tc>
                <w:tcPr>
                  <w:tcW w:w="1649" w:type="pct"/>
                  <w:vMerge w:val="restart"/>
                  <w:tcBorders>
                    <w:tl2br w:val="nil"/>
                    <w:tr2bl w:val="nil"/>
                  </w:tcBorders>
                  <w:noWrap w:val="0"/>
                  <w:vAlign w:val="center"/>
                </w:tcPr>
                <w:p>
                  <w:pPr>
                    <w:rPr>
                      <w:rFonts w:hint="eastAsia" w:eastAsia="宋体"/>
                      <w:color w:val="auto"/>
                      <w:sz w:val="21"/>
                      <w:szCs w:val="21"/>
                      <w:lang w:eastAsia="zh-CN"/>
                    </w:rPr>
                  </w:pPr>
                  <w:r>
                    <w:rPr>
                      <w:rFonts w:hint="eastAsia"/>
                      <w:color w:val="auto"/>
                      <w:sz w:val="21"/>
                      <w:szCs w:val="21"/>
                      <w:lang w:val="en-US" w:eastAsia="zh-CN"/>
                    </w:rPr>
                    <w:t>不涉及</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vMerge w:val="continue"/>
                  <w:tcBorders>
                    <w:tl2br w:val="nil"/>
                    <w:tr2bl w:val="nil"/>
                  </w:tcBorders>
                  <w:noWrap w:val="0"/>
                  <w:vAlign w:val="center"/>
                </w:tcPr>
                <w:p>
                  <w:pPr>
                    <w:jc w:val="center"/>
                    <w:rPr>
                      <w:rFonts w:hint="eastAsia"/>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【A4.3-4】鼓励使用清洁能源或电厂热力、工业余热等替代锅炉炉窑燃料用煤。</w:t>
                  </w:r>
                </w:p>
              </w:tc>
              <w:tc>
                <w:tcPr>
                  <w:tcW w:w="1649" w:type="pct"/>
                  <w:vMerge w:val="continue"/>
                  <w:tcBorders>
                    <w:tl2br w:val="nil"/>
                    <w:tr2bl w:val="nil"/>
                  </w:tcBorders>
                  <w:noWrap w:val="0"/>
                  <w:vAlign w:val="center"/>
                </w:tcPr>
                <w:p>
                  <w:pPr>
                    <w:rPr>
                      <w:rFonts w:hint="eastAsia"/>
                      <w:color w:val="auto"/>
                      <w:sz w:val="21"/>
                      <w:szCs w:val="21"/>
                    </w:rPr>
                  </w:pPr>
                </w:p>
              </w:tc>
              <w:tc>
                <w:tcPr>
                  <w:tcW w:w="304" w:type="pct"/>
                  <w:tcBorders>
                    <w:tl2br w:val="nil"/>
                    <w:tr2bl w:val="nil"/>
                  </w:tcBorders>
                  <w:noWrap w:val="0"/>
                  <w:vAlign w:val="center"/>
                </w:tcPr>
                <w:p>
                  <w:pPr>
                    <w:jc w:val="center"/>
                    <w:rPr>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tcBorders>
                    <w:tl2br w:val="nil"/>
                    <w:tr2bl w:val="nil"/>
                  </w:tcBorders>
                  <w:noWrap w:val="0"/>
                  <w:vAlign w:val="center"/>
                </w:tcPr>
                <w:p>
                  <w:pPr>
                    <w:jc w:val="center"/>
                    <w:rPr>
                      <w:color w:val="auto"/>
                      <w:sz w:val="21"/>
                      <w:szCs w:val="21"/>
                    </w:rPr>
                  </w:pPr>
                  <w:r>
                    <w:rPr>
                      <w:rFonts w:hint="eastAsia"/>
                      <w:color w:val="auto"/>
                      <w:sz w:val="21"/>
                      <w:szCs w:val="21"/>
                    </w:rPr>
                    <w:t>A4.4禁燃区要求</w:t>
                  </w: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【A4.4-1】在禁燃区内，禁止销售、燃用高污染燃料；禁止新建、扩建燃用高污染燃料的设施。已建成的，应当在规定期限内改用清洁能源。</w:t>
                  </w:r>
                </w:p>
              </w:tc>
              <w:tc>
                <w:tcPr>
                  <w:tcW w:w="1649" w:type="pct"/>
                  <w:tcBorders>
                    <w:tl2br w:val="nil"/>
                    <w:tr2bl w:val="nil"/>
                  </w:tcBorders>
                  <w:noWrap w:val="0"/>
                  <w:vAlign w:val="center"/>
                </w:tcPr>
                <w:p>
                  <w:pPr>
                    <w:rPr>
                      <w:rFonts w:hint="eastAsia" w:eastAsia="宋体"/>
                      <w:color w:val="auto"/>
                      <w:sz w:val="21"/>
                      <w:szCs w:val="21"/>
                      <w:lang w:eastAsia="zh-CN"/>
                    </w:rPr>
                  </w:pPr>
                  <w:r>
                    <w:rPr>
                      <w:rFonts w:hint="eastAsia"/>
                      <w:color w:val="auto"/>
                      <w:sz w:val="21"/>
                      <w:szCs w:val="21"/>
                      <w:lang w:val="en-US" w:eastAsia="zh-CN"/>
                    </w:rPr>
                    <w:t>本项目</w:t>
                  </w:r>
                  <w:r>
                    <w:rPr>
                      <w:rFonts w:hint="eastAsia"/>
                      <w:color w:val="auto"/>
                      <w:sz w:val="21"/>
                      <w:szCs w:val="21"/>
                    </w:rPr>
                    <w:t>不涉及煤炭的消耗，不涉及燃用高污染燃料的设施</w:t>
                  </w:r>
                  <w:r>
                    <w:rPr>
                      <w:rFonts w:hint="eastAsia"/>
                      <w:color w:val="auto"/>
                      <w:sz w:val="21"/>
                      <w:szCs w:val="21"/>
                      <w:lang w:eastAsia="zh-CN"/>
                    </w:rPr>
                    <w:t>。</w:t>
                  </w:r>
                </w:p>
              </w:tc>
              <w:tc>
                <w:tcPr>
                  <w:tcW w:w="304" w:type="pct"/>
                  <w:tcBorders>
                    <w:tl2br w:val="nil"/>
                    <w:tr2bl w:val="nil"/>
                  </w:tcBorders>
                  <w:noWrap w:val="0"/>
                  <w:vAlign w:val="center"/>
                </w:tcPr>
                <w:p>
                  <w:pPr>
                    <w:jc w:val="center"/>
                    <w:rPr>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vMerge w:val="restart"/>
                  <w:tcBorders>
                    <w:tl2br w:val="nil"/>
                    <w:tr2bl w:val="nil"/>
                  </w:tcBorders>
                  <w:noWrap w:val="0"/>
                  <w:vAlign w:val="center"/>
                </w:tcPr>
                <w:p>
                  <w:pPr>
                    <w:jc w:val="center"/>
                    <w:rPr>
                      <w:color w:val="auto"/>
                      <w:sz w:val="21"/>
                      <w:szCs w:val="21"/>
                    </w:rPr>
                  </w:pPr>
                  <w:r>
                    <w:rPr>
                      <w:rFonts w:hint="eastAsia"/>
                      <w:color w:val="auto"/>
                      <w:sz w:val="21"/>
                      <w:szCs w:val="21"/>
                    </w:rPr>
                    <w:t>A4.5资源综合利用</w:t>
                  </w: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1649" w:type="pct"/>
                  <w:vMerge w:val="restart"/>
                  <w:tcBorders>
                    <w:tl2br w:val="nil"/>
                    <w:tr2bl w:val="nil"/>
                  </w:tcBorders>
                  <w:noWrap w:val="0"/>
                  <w:vAlign w:val="center"/>
                </w:tcPr>
                <w:p>
                  <w:pPr>
                    <w:rPr>
                      <w:rFonts w:hint="default"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废石</w:t>
                  </w:r>
                  <w:r>
                    <w:rPr>
                      <w:rFonts w:hint="eastAsia"/>
                      <w:color w:val="auto"/>
                      <w:sz w:val="21"/>
                      <w:szCs w:val="21"/>
                      <w:lang w:val="en-US" w:eastAsia="zh-CN"/>
                    </w:rPr>
                    <w:t>堆放在排土场，闭坑后用于回填露天采场凹陷区域。</w:t>
                  </w: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color w:val="auto"/>
                      <w:sz w:val="21"/>
                      <w:szCs w:val="21"/>
                    </w:rPr>
                  </w:pPr>
                </w:p>
              </w:tc>
              <w:tc>
                <w:tcPr>
                  <w:tcW w:w="253" w:type="pct"/>
                  <w:vMerge w:val="continue"/>
                  <w:tcBorders>
                    <w:tl2br w:val="nil"/>
                    <w:tr2bl w:val="nil"/>
                  </w:tcBorders>
                  <w:noWrap w:val="0"/>
                  <w:vAlign w:val="center"/>
                </w:tcPr>
                <w:p>
                  <w:pPr>
                    <w:jc w:val="center"/>
                    <w:rPr>
                      <w:color w:val="auto"/>
                      <w:sz w:val="21"/>
                      <w:szCs w:val="21"/>
                    </w:rPr>
                  </w:pPr>
                </w:p>
              </w:tc>
              <w:tc>
                <w:tcPr>
                  <w:tcW w:w="400" w:type="pct"/>
                  <w:vMerge w:val="continue"/>
                  <w:tcBorders>
                    <w:tl2br w:val="nil"/>
                    <w:tr2bl w:val="nil"/>
                  </w:tcBorders>
                  <w:noWrap w:val="0"/>
                  <w:vAlign w:val="center"/>
                </w:tcPr>
                <w:p>
                  <w:pPr>
                    <w:jc w:val="center"/>
                    <w:rPr>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4.5-2】推动工业固废按元素价值综合开发利用，加快推进尾矿(共伴生矿)、粉煤灰、煤矸石、冶炼渣、工业副产石膏、赤泥、化工废渣等工业固废在有价组分提取、建材生产、市政设施建设、井下充填、生态修复、土壤治理等领域的规模化利用。着力提升工业固废在生产纤维材料、微晶玻璃、超细化填料、低碳水泥、固废基高性能混凝土、预制件、节能型建筑材料等领域的高值化利用水平。</w:t>
                  </w:r>
                </w:p>
              </w:tc>
              <w:tc>
                <w:tcPr>
                  <w:tcW w:w="1649" w:type="pct"/>
                  <w:vMerge w:val="continue"/>
                  <w:tcBorders>
                    <w:tl2br w:val="nil"/>
                    <w:tr2bl w:val="nil"/>
                  </w:tcBorders>
                  <w:noWrap w:val="0"/>
                  <w:vAlign w:val="center"/>
                </w:tcPr>
                <w:p>
                  <w:pPr>
                    <w:rPr>
                      <w:rFonts w:hint="eastAsia"/>
                      <w:color w:val="auto"/>
                      <w:sz w:val="21"/>
                      <w:szCs w:val="21"/>
                    </w:rPr>
                  </w:pP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 w:type="pct"/>
                  <w:vMerge w:val="continue"/>
                  <w:tcBorders>
                    <w:tl2br w:val="nil"/>
                    <w:tr2bl w:val="nil"/>
                  </w:tcBorders>
                  <w:noWrap w:val="0"/>
                  <w:vAlign w:val="center"/>
                </w:tcPr>
                <w:p>
                  <w:pPr>
                    <w:jc w:val="center"/>
                    <w:rPr>
                      <w:rFonts w:hint="eastAsia"/>
                      <w:color w:val="auto"/>
                      <w:sz w:val="21"/>
                      <w:szCs w:val="21"/>
                    </w:rPr>
                  </w:pPr>
                </w:p>
              </w:tc>
              <w:tc>
                <w:tcPr>
                  <w:tcW w:w="253" w:type="pct"/>
                  <w:vMerge w:val="continue"/>
                  <w:tcBorders>
                    <w:tl2br w:val="nil"/>
                    <w:tr2bl w:val="nil"/>
                  </w:tcBorders>
                  <w:noWrap w:val="0"/>
                  <w:vAlign w:val="center"/>
                </w:tcPr>
                <w:p>
                  <w:pPr>
                    <w:jc w:val="center"/>
                    <w:rPr>
                      <w:rFonts w:hint="eastAsia"/>
                      <w:color w:val="auto"/>
                      <w:sz w:val="21"/>
                      <w:szCs w:val="21"/>
                    </w:rPr>
                  </w:pPr>
                </w:p>
              </w:tc>
              <w:tc>
                <w:tcPr>
                  <w:tcW w:w="400" w:type="pct"/>
                  <w:vMerge w:val="continue"/>
                  <w:tcBorders>
                    <w:tl2br w:val="nil"/>
                    <w:tr2bl w:val="nil"/>
                  </w:tcBorders>
                  <w:noWrap w:val="0"/>
                  <w:vAlign w:val="center"/>
                </w:tcPr>
                <w:p>
                  <w:pPr>
                    <w:jc w:val="center"/>
                    <w:rPr>
                      <w:rFonts w:hint="eastAsia"/>
                      <w:color w:val="auto"/>
                      <w:sz w:val="21"/>
                      <w:szCs w:val="21"/>
                    </w:rPr>
                  </w:pPr>
                </w:p>
              </w:tc>
              <w:tc>
                <w:tcPr>
                  <w:tcW w:w="2161" w:type="pct"/>
                  <w:tcBorders>
                    <w:tl2br w:val="nil"/>
                    <w:tr2bl w:val="nil"/>
                  </w:tcBorders>
                  <w:noWrap w:val="0"/>
                  <w:vAlign w:val="center"/>
                </w:tcPr>
                <w:p>
                  <w:pPr>
                    <w:rPr>
                      <w:rFonts w:hint="eastAsia"/>
                      <w:color w:val="auto"/>
                      <w:sz w:val="21"/>
                      <w:szCs w:val="21"/>
                    </w:rPr>
                  </w:pPr>
                  <w:r>
                    <w:rPr>
                      <w:rFonts w:hint="eastAsia"/>
                      <w:color w:val="auto"/>
                      <w:sz w:val="21"/>
                      <w:szCs w:val="21"/>
                    </w:rPr>
                    <w:t>【A4.5-3】结合工业领域减污降碳要求，加快探索钢铁、有色、化工、建材等重点行业工业固体废物减量化路径，全面推行清洁生产全面推进绿色矿山、“无废”矿区建设，推广尾矿等大宗工业固体废物环境友好型井下充填回填，减少尾矿库贮存量。推动大宗工业固体废物在提取有价组分、生产建材、筑路、生态修复、土壤治理等领域的规模化利用。</w:t>
                  </w:r>
                </w:p>
              </w:tc>
              <w:tc>
                <w:tcPr>
                  <w:tcW w:w="1649" w:type="pct"/>
                  <w:vMerge w:val="continue"/>
                  <w:tcBorders>
                    <w:tl2br w:val="nil"/>
                    <w:tr2bl w:val="nil"/>
                  </w:tcBorders>
                  <w:noWrap w:val="0"/>
                  <w:vAlign w:val="center"/>
                </w:tcPr>
                <w:p>
                  <w:pPr>
                    <w:rPr>
                      <w:rFonts w:hint="eastAsia"/>
                      <w:color w:val="auto"/>
                      <w:sz w:val="21"/>
                      <w:szCs w:val="21"/>
                    </w:rPr>
                  </w:pPr>
                </w:p>
              </w:tc>
              <w:tc>
                <w:tcPr>
                  <w:tcW w:w="304" w:type="pct"/>
                  <w:tcBorders>
                    <w:tl2br w:val="nil"/>
                    <w:tr2bl w:val="nil"/>
                  </w:tcBorders>
                  <w:noWrap w:val="0"/>
                  <w:vAlign w:val="center"/>
                </w:tcPr>
                <w:p>
                  <w:pPr>
                    <w:jc w:val="center"/>
                    <w:rPr>
                      <w:rFonts w:hint="eastAsia"/>
                      <w:color w:val="auto"/>
                      <w:sz w:val="21"/>
                      <w:szCs w:val="21"/>
                    </w:rPr>
                  </w:pPr>
                  <w:r>
                    <w:rPr>
                      <w:rFonts w:hint="eastAsia"/>
                      <w:color w:val="auto"/>
                      <w:sz w:val="21"/>
                      <w:szCs w:val="21"/>
                    </w:rPr>
                    <w:t>符合</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6、</w:t>
            </w:r>
            <w:r>
              <w:rPr>
                <w:rFonts w:hint="eastAsia" w:ascii="Times New Roman" w:hAnsi="Times New Roman" w:eastAsia="宋体" w:cs="Times New Roman"/>
                <w:b w:val="0"/>
                <w:bCs w:val="0"/>
                <w:color w:val="auto"/>
                <w:sz w:val="24"/>
                <w:szCs w:val="24"/>
                <w:lang w:val="en-US" w:eastAsia="zh-CN"/>
              </w:rPr>
              <w:t>与《矿山生态环境保护与污染防治技术政策》符合性分析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根据《矿山生态环境保护与污染防治技术政策》，本项目符合性分析详见下表。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w:t>
            </w:r>
            <w:r>
              <w:rPr>
                <w:rFonts w:hint="default" w:ascii="Times New Roman" w:hAnsi="Times New Roman" w:eastAsia="宋体" w:cs="Times New Roman"/>
                <w:b/>
                <w:bCs/>
                <w:color w:val="auto"/>
                <w:sz w:val="22"/>
                <w:szCs w:val="22"/>
                <w:lang w:val="en-US" w:eastAsia="zh-CN"/>
              </w:rPr>
              <w:t>1</w:t>
            </w:r>
            <w:r>
              <w:rPr>
                <w:rFonts w:hint="eastAsia" w:cs="Times New Roman"/>
                <w:b/>
                <w:bCs/>
                <w:color w:val="auto"/>
                <w:sz w:val="22"/>
                <w:szCs w:val="22"/>
                <w:lang w:val="en-US" w:eastAsia="zh-CN"/>
              </w:rPr>
              <w:t>-4</w:t>
            </w:r>
            <w:r>
              <w:rPr>
                <w:rFonts w:hint="eastAsia" w:ascii="Times New Roman" w:hAnsi="Times New Roman" w:eastAsia="宋体" w:cs="Times New Roman"/>
                <w:b/>
                <w:bCs/>
                <w:color w:val="auto"/>
                <w:sz w:val="22"/>
                <w:szCs w:val="22"/>
                <w:lang w:val="en-US" w:eastAsia="zh-CN"/>
              </w:rPr>
              <w:t xml:space="preserve">  《矿山生态环境保护与污染防治技术政策》主要指标与工程对比表</w:t>
            </w:r>
          </w:p>
          <w:tbl>
            <w:tblPr>
              <w:tblStyle w:val="23"/>
              <w:tblW w:w="494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56"/>
              <w:gridCol w:w="4621"/>
              <w:gridCol w:w="2579"/>
              <w:gridCol w:w="7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328" w:type="pct"/>
                  <w:tcBorders>
                    <w:tl2br w:val="nil"/>
                    <w:tr2bl w:val="nil"/>
                  </w:tcBorders>
                  <w:shd w:val="clear" w:color="auto" w:fill="auto"/>
                  <w:vAlign w:val="center"/>
                </w:tcPr>
                <w:p>
                  <w:pPr>
                    <w:pStyle w:val="60"/>
                    <w:keepNext w:val="0"/>
                    <w:keepLines w:val="0"/>
                    <w:widowControl/>
                    <w:suppressLineNumbers w:val="0"/>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rPr>
                    <w:t>序号</w:t>
                  </w:r>
                </w:p>
              </w:tc>
              <w:tc>
                <w:tcPr>
                  <w:tcW w:w="2725" w:type="pct"/>
                  <w:tcBorders>
                    <w:tl2br w:val="nil"/>
                    <w:tr2bl w:val="nil"/>
                  </w:tcBorders>
                  <w:shd w:val="clear" w:color="auto" w:fill="auto"/>
                  <w:vAlign w:val="center"/>
                </w:tcPr>
                <w:p>
                  <w:pPr>
                    <w:pStyle w:val="60"/>
                    <w:keepNext w:val="0"/>
                    <w:keepLines w:val="0"/>
                    <w:widowControl/>
                    <w:suppressLineNumbers w:val="0"/>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rPr>
                    <w:t>矿山生态环境保护与污染防治技术政策相关要求指标</w:t>
                  </w:r>
                </w:p>
              </w:tc>
              <w:tc>
                <w:tcPr>
                  <w:tcW w:w="1521" w:type="pct"/>
                  <w:tcBorders>
                    <w:tl2br w:val="nil"/>
                    <w:tr2bl w:val="nil"/>
                  </w:tcBorders>
                  <w:shd w:val="clear" w:color="auto" w:fill="auto"/>
                  <w:vAlign w:val="center"/>
                </w:tcPr>
                <w:p>
                  <w:pPr>
                    <w:pStyle w:val="60"/>
                    <w:keepNext w:val="0"/>
                    <w:keepLines w:val="0"/>
                    <w:widowControl/>
                    <w:suppressLineNumbers w:val="0"/>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rPr>
                    <w:t>本工程</w:t>
                  </w:r>
                </w:p>
              </w:tc>
              <w:tc>
                <w:tcPr>
                  <w:tcW w:w="424" w:type="pct"/>
                  <w:tcBorders>
                    <w:tl2br w:val="nil"/>
                    <w:tr2bl w:val="nil"/>
                  </w:tcBorders>
                  <w:shd w:val="clear" w:color="auto" w:fill="auto"/>
                  <w:vAlign w:val="center"/>
                </w:tcPr>
                <w:p>
                  <w:pPr>
                    <w:pStyle w:val="60"/>
                    <w:keepNext w:val="0"/>
                    <w:keepLines w:val="0"/>
                    <w:widowControl/>
                    <w:suppressLineNumbers w:val="0"/>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rPr>
                    <w:t>结论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37" w:hRule="atLeast"/>
                <w:jc w:val="center"/>
              </w:trPr>
              <w:tc>
                <w:tcPr>
                  <w:tcW w:w="328" w:type="pct"/>
                  <w:tcBorders>
                    <w:tl2br w:val="nil"/>
                    <w:tr2bl w:val="nil"/>
                  </w:tcBorders>
                  <w:shd w:val="clear" w:color="auto" w:fill="auto"/>
                  <w:vAlign w:val="center"/>
                </w:tcPr>
                <w:p>
                  <w:pPr>
                    <w:pStyle w:val="60"/>
                    <w:keepNext w:val="0"/>
                    <w:keepLines w:val="0"/>
                    <w:widowControl/>
                    <w:suppressLineNumbers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2725" w:type="pct"/>
                  <w:tcBorders>
                    <w:tl2br w:val="nil"/>
                    <w:tr2bl w:val="nil"/>
                  </w:tcBorders>
                  <w:shd w:val="clear" w:color="auto" w:fill="auto"/>
                  <w:vAlign w:val="center"/>
                </w:tcPr>
                <w:p>
                  <w:pPr>
                    <w:pStyle w:val="60"/>
                    <w:keepNext w:val="0"/>
                    <w:keepLines w:val="0"/>
                    <w:widowControl/>
                    <w:suppressLineNumbers w:val="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rPr>
                    <w:t>（一）禁止的矿产资源开发活动：（</w:t>
                  </w:r>
                  <w:r>
                    <w:rPr>
                      <w:rFonts w:hint="default" w:ascii="Times New Roman" w:hAnsi="Times New Roman" w:eastAsia="宋体" w:cs="Times New Roman"/>
                      <w:color w:val="auto"/>
                      <w:kern w:val="0"/>
                      <w:sz w:val="21"/>
                      <w:szCs w:val="21"/>
                    </w:rPr>
                    <w:t>1</w:t>
                  </w:r>
                  <w:r>
                    <w:rPr>
                      <w:rFonts w:hint="eastAsia" w:ascii="宋体" w:hAnsi="宋体" w:eastAsia="宋体" w:cs="宋体"/>
                      <w:color w:val="auto"/>
                      <w:kern w:val="0"/>
                      <w:sz w:val="21"/>
                      <w:szCs w:val="21"/>
                    </w:rPr>
                    <w:t>）禁止在依法划定的自然保护区（核心区、缓冲区）、风景名胜区、森林公园、饮用水水源保护区、重要湖泊周边、文物古迹所在地、地质遗迹保护区、基本农田保护区等区域内采矿。（</w:t>
                  </w:r>
                  <w:r>
                    <w:rPr>
                      <w:rFonts w:hint="eastAsia" w:cs="Times New Roman"/>
                      <w:color w:val="auto"/>
                      <w:kern w:val="0"/>
                      <w:sz w:val="21"/>
                      <w:szCs w:val="21"/>
                      <w:lang w:val="en-US" w:eastAsia="zh-CN"/>
                    </w:rPr>
                    <w:t>2</w:t>
                  </w:r>
                  <w:r>
                    <w:rPr>
                      <w:rFonts w:hint="eastAsia" w:ascii="宋体" w:hAnsi="宋体" w:eastAsia="宋体" w:cs="宋体"/>
                      <w:color w:val="auto"/>
                      <w:kern w:val="0"/>
                      <w:sz w:val="21"/>
                      <w:szCs w:val="21"/>
                    </w:rPr>
                    <w:t>）禁止在地质灾害危险区开采矿产资源。（</w:t>
                  </w:r>
                  <w:r>
                    <w:rPr>
                      <w:rFonts w:hint="eastAsia" w:cs="Times New Roman"/>
                      <w:color w:val="auto"/>
                      <w:kern w:val="0"/>
                      <w:sz w:val="21"/>
                      <w:szCs w:val="21"/>
                      <w:lang w:val="en-US" w:eastAsia="zh-CN"/>
                    </w:rPr>
                    <w:t>3</w:t>
                  </w:r>
                  <w:r>
                    <w:rPr>
                      <w:rFonts w:hint="eastAsia" w:ascii="宋体" w:hAnsi="宋体" w:eastAsia="宋体" w:cs="宋体"/>
                      <w:color w:val="auto"/>
                      <w:kern w:val="0"/>
                      <w:sz w:val="21"/>
                      <w:szCs w:val="21"/>
                    </w:rPr>
                    <w:t>）禁止新建对生态环境产生不可恢复利用的、产生破坏性影响的矿产资源开发项目。</w:t>
                  </w:r>
                </w:p>
                <w:p>
                  <w:pPr>
                    <w:pStyle w:val="60"/>
                    <w:keepNext w:val="0"/>
                    <w:keepLines w:val="0"/>
                    <w:widowControl/>
                    <w:suppressLineNumbers w:val="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rPr>
                    <w:t>（二）限制的矿产资源开发活动：（</w:t>
                  </w:r>
                  <w:r>
                    <w:rPr>
                      <w:rFonts w:hint="default" w:ascii="Times New Roman" w:hAnsi="Times New Roman" w:eastAsia="宋体" w:cs="Times New Roman"/>
                      <w:color w:val="auto"/>
                      <w:kern w:val="0"/>
                      <w:sz w:val="21"/>
                      <w:szCs w:val="21"/>
                    </w:rPr>
                    <w:t>1</w:t>
                  </w:r>
                  <w:r>
                    <w:rPr>
                      <w:rFonts w:hint="eastAsia" w:ascii="宋体" w:hAnsi="宋体" w:eastAsia="宋体" w:cs="宋体"/>
                      <w:color w:val="auto"/>
                      <w:kern w:val="0"/>
                      <w:sz w:val="21"/>
                      <w:szCs w:val="21"/>
                    </w:rPr>
                    <w:t>）限制在生态功能保护区和自然保护区（过渡区）内开采矿产资源。生态功能保护区内的开采活动必须符合当地的环境功能区规划，并按规定进行控制性开采，开采活动不得影响本功能区内的主导生态功能。（</w:t>
                  </w:r>
                  <w:r>
                    <w:rPr>
                      <w:rFonts w:hint="default" w:ascii="Times New Roman" w:hAnsi="Times New Roman" w:eastAsia="宋体" w:cs="Times New Roman"/>
                      <w:color w:val="auto"/>
                      <w:kern w:val="0"/>
                      <w:sz w:val="21"/>
                      <w:szCs w:val="21"/>
                    </w:rPr>
                    <w:t>2</w:t>
                  </w:r>
                  <w:r>
                    <w:rPr>
                      <w:rFonts w:hint="eastAsia" w:ascii="宋体" w:hAnsi="宋体" w:eastAsia="宋体" w:cs="宋体"/>
                      <w:color w:val="auto"/>
                      <w:kern w:val="0"/>
                      <w:sz w:val="21"/>
                      <w:szCs w:val="21"/>
                    </w:rPr>
                    <w:t>）限制在地质灾害易发区、水土流失严重区域等生态脆弱区内开采矿产资源。</w:t>
                  </w:r>
                </w:p>
              </w:tc>
              <w:tc>
                <w:tcPr>
                  <w:tcW w:w="1521" w:type="pct"/>
                  <w:tcBorders>
                    <w:tl2br w:val="nil"/>
                    <w:tr2bl w:val="nil"/>
                  </w:tcBorders>
                  <w:shd w:val="clear" w:color="auto" w:fill="auto"/>
                  <w:vAlign w:val="center"/>
                </w:tcPr>
                <w:p>
                  <w:pPr>
                    <w:pStyle w:val="60"/>
                    <w:keepNext w:val="0"/>
                    <w:keepLines w:val="0"/>
                    <w:widowControl/>
                    <w:suppressLineNumbers w:val="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rPr>
                    <w:t>本项目不涉及自然保护区、风景名胜区、森林公园、饮用水水源保护区、重要湖泊周边、文物古迹所在地、地质遗迹保护区、基本农田保护区等区域；本工程不涉及地质灾害危险区；本工程在开采的同时将实施水土保持及土地复垦等生态恢复措施，不会对生态环境产生不可恢复的破坏性影响。项目按规定进行控制性开采，开采活动不影响本功能区内主导生态功能。</w:t>
                  </w:r>
                </w:p>
              </w:tc>
              <w:tc>
                <w:tcPr>
                  <w:tcW w:w="424" w:type="pct"/>
                  <w:tcBorders>
                    <w:tl2br w:val="nil"/>
                    <w:tr2bl w:val="nil"/>
                  </w:tcBorders>
                  <w:shd w:val="clear" w:color="auto" w:fill="auto"/>
                  <w:vAlign w:val="center"/>
                </w:tcPr>
                <w:p>
                  <w:pPr>
                    <w:pStyle w:val="60"/>
                    <w:keepNext w:val="0"/>
                    <w:keepLines w:val="0"/>
                    <w:widowControl/>
                    <w:suppressLineNumbers w:val="0"/>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2" w:hRule="atLeast"/>
                <w:jc w:val="center"/>
              </w:trPr>
              <w:tc>
                <w:tcPr>
                  <w:tcW w:w="328" w:type="pct"/>
                  <w:tcBorders>
                    <w:tl2br w:val="nil"/>
                    <w:tr2bl w:val="nil"/>
                  </w:tcBorders>
                  <w:shd w:val="clear" w:color="auto" w:fill="auto"/>
                  <w:vAlign w:val="center"/>
                </w:tcPr>
                <w:p>
                  <w:pPr>
                    <w:pStyle w:val="60"/>
                    <w:keepNext w:val="0"/>
                    <w:keepLines w:val="0"/>
                    <w:widowControl/>
                    <w:suppressLineNumbers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2725" w:type="pct"/>
                  <w:tcBorders>
                    <w:tl2br w:val="nil"/>
                    <w:tr2bl w:val="nil"/>
                  </w:tcBorders>
                  <w:shd w:val="clear" w:color="auto" w:fill="auto"/>
                  <w:vAlign w:val="center"/>
                </w:tcPr>
                <w:p>
                  <w:pPr>
                    <w:pStyle w:val="60"/>
                    <w:keepNext w:val="0"/>
                    <w:keepLines w:val="0"/>
                    <w:widowControl/>
                    <w:suppressLineNumbers w:val="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rPr>
                    <w:t>对于露天开采的矿山，宜推广剥离</w:t>
                  </w:r>
                  <w:r>
                    <w:rPr>
                      <w:rFonts w:hint="default" w:ascii="Times New Roman" w:hAnsi="Times New Roman" w:eastAsia="宋体" w:cs="Times New Roman"/>
                      <w:color w:val="auto"/>
                      <w:kern w:val="0"/>
                      <w:sz w:val="21"/>
                      <w:szCs w:val="21"/>
                    </w:rPr>
                    <w:t>—</w:t>
                  </w:r>
                  <w:r>
                    <w:rPr>
                      <w:rFonts w:hint="eastAsia" w:ascii="宋体" w:hAnsi="宋体" w:eastAsia="宋体" w:cs="宋体"/>
                      <w:color w:val="auto"/>
                      <w:kern w:val="0"/>
                      <w:sz w:val="21"/>
                      <w:szCs w:val="21"/>
                    </w:rPr>
                    <w:t>排土</w:t>
                  </w:r>
                  <w:r>
                    <w:rPr>
                      <w:rFonts w:hint="default" w:ascii="Times New Roman" w:hAnsi="Times New Roman" w:eastAsia="宋体" w:cs="Times New Roman"/>
                      <w:color w:val="auto"/>
                      <w:kern w:val="0"/>
                      <w:sz w:val="21"/>
                      <w:szCs w:val="21"/>
                    </w:rPr>
                    <w:t>—</w:t>
                  </w:r>
                  <w:r>
                    <w:rPr>
                      <w:rFonts w:hint="eastAsia" w:ascii="宋体" w:hAnsi="宋体" w:eastAsia="宋体" w:cs="宋体"/>
                      <w:color w:val="auto"/>
                      <w:kern w:val="0"/>
                      <w:sz w:val="21"/>
                      <w:szCs w:val="21"/>
                    </w:rPr>
                    <w:t>造地</w:t>
                  </w:r>
                  <w:r>
                    <w:rPr>
                      <w:rFonts w:hint="default" w:ascii="Times New Roman" w:hAnsi="Times New Roman" w:eastAsia="宋体" w:cs="Times New Roman"/>
                      <w:color w:val="auto"/>
                      <w:kern w:val="0"/>
                      <w:sz w:val="21"/>
                      <w:szCs w:val="21"/>
                    </w:rPr>
                    <w:t>—</w:t>
                  </w:r>
                  <w:r>
                    <w:rPr>
                      <w:rFonts w:hint="eastAsia" w:ascii="宋体" w:hAnsi="宋体" w:eastAsia="宋体" w:cs="宋体"/>
                      <w:color w:val="auto"/>
                      <w:kern w:val="0"/>
                      <w:sz w:val="21"/>
                      <w:szCs w:val="21"/>
                    </w:rPr>
                    <w:t>复垦一体化技术。</w:t>
                  </w:r>
                </w:p>
              </w:tc>
              <w:tc>
                <w:tcPr>
                  <w:tcW w:w="1521" w:type="pct"/>
                  <w:tcBorders>
                    <w:tl2br w:val="nil"/>
                    <w:tr2bl w:val="nil"/>
                  </w:tcBorders>
                  <w:shd w:val="clear" w:color="auto" w:fill="auto"/>
                  <w:vAlign w:val="center"/>
                </w:tcPr>
                <w:p>
                  <w:pPr>
                    <w:pStyle w:val="60"/>
                    <w:keepNext w:val="0"/>
                    <w:keepLines w:val="0"/>
                    <w:widowControl/>
                    <w:suppressLineNumbers w:val="0"/>
                    <w:jc w:val="both"/>
                    <w:rPr>
                      <w:rFonts w:hint="eastAsia" w:ascii="Times New Roman" w:hAnsi="Times New Roman" w:eastAsia="宋体" w:cs="Times New Roman"/>
                      <w:color w:val="auto"/>
                      <w:kern w:val="0"/>
                      <w:sz w:val="21"/>
                      <w:szCs w:val="21"/>
                      <w:lang w:eastAsia="zh-CN"/>
                    </w:rPr>
                  </w:pPr>
                  <w:r>
                    <w:rPr>
                      <w:rFonts w:hint="eastAsia" w:ascii="宋体" w:hAnsi="宋体" w:cs="宋体"/>
                      <w:color w:val="auto"/>
                      <w:kern w:val="0"/>
                      <w:sz w:val="21"/>
                      <w:szCs w:val="21"/>
                      <w:lang w:val="en-US" w:eastAsia="zh-CN"/>
                    </w:rPr>
                    <w:t>本项目</w:t>
                  </w:r>
                  <w:r>
                    <w:rPr>
                      <w:rFonts w:hint="eastAsia" w:ascii="宋体" w:hAnsi="宋体" w:eastAsia="宋体" w:cs="宋体"/>
                      <w:color w:val="auto"/>
                      <w:kern w:val="0"/>
                      <w:sz w:val="21"/>
                      <w:szCs w:val="21"/>
                    </w:rPr>
                    <w:t>设计采用山坡</w:t>
                  </w:r>
                  <w:r>
                    <w:rPr>
                      <w:rFonts w:hint="eastAsia" w:ascii="宋体" w:hAnsi="宋体" w:cs="宋体"/>
                      <w:color w:val="auto"/>
                      <w:kern w:val="0"/>
                      <w:sz w:val="21"/>
                      <w:szCs w:val="21"/>
                      <w:lang w:val="en-US" w:eastAsia="zh-CN"/>
                    </w:rPr>
                    <w:t>-</w:t>
                  </w:r>
                  <w:r>
                    <w:rPr>
                      <w:rFonts w:hint="eastAsia" w:ascii="宋体" w:hAnsi="宋体" w:eastAsia="宋体" w:cs="宋体"/>
                      <w:color w:val="auto"/>
                      <w:kern w:val="0"/>
                      <w:sz w:val="21"/>
                      <w:szCs w:val="21"/>
                    </w:rPr>
                    <w:t>凹陷式露天开采方式</w:t>
                  </w:r>
                  <w:r>
                    <w:rPr>
                      <w:rFonts w:hint="eastAsia" w:ascii="宋体" w:hAnsi="宋体" w:cs="宋体"/>
                      <w:color w:val="auto"/>
                      <w:kern w:val="0"/>
                      <w:sz w:val="21"/>
                      <w:szCs w:val="21"/>
                      <w:lang w:eastAsia="zh-CN"/>
                    </w:rPr>
                    <w:t>，设计采用自上而下水平分层、台阶式采矿方法，矿山在开采过程中对露天采场的表土进行剥离，剥离后的表土集中堆放在</w:t>
                  </w:r>
                  <w:r>
                    <w:rPr>
                      <w:rFonts w:hint="eastAsia" w:ascii="宋体" w:hAnsi="宋体" w:cs="宋体"/>
                      <w:color w:val="auto"/>
                      <w:kern w:val="0"/>
                      <w:sz w:val="21"/>
                      <w:szCs w:val="21"/>
                      <w:lang w:val="en-US" w:eastAsia="zh-CN"/>
                    </w:rPr>
                    <w:t>排土场</w:t>
                  </w:r>
                  <w:r>
                    <w:rPr>
                      <w:rFonts w:hint="eastAsia" w:ascii="宋体" w:hAnsi="宋体" w:cs="宋体"/>
                      <w:color w:val="auto"/>
                      <w:kern w:val="0"/>
                      <w:sz w:val="21"/>
                      <w:szCs w:val="21"/>
                      <w:lang w:eastAsia="zh-CN"/>
                    </w:rPr>
                    <w:t>，</w:t>
                  </w:r>
                  <w:r>
                    <w:rPr>
                      <w:rFonts w:hint="eastAsia" w:ascii="宋体" w:hAnsi="宋体" w:cs="宋体"/>
                      <w:color w:val="auto"/>
                      <w:kern w:val="0"/>
                      <w:sz w:val="21"/>
                      <w:szCs w:val="21"/>
                      <w:lang w:val="en-US" w:eastAsia="zh-CN"/>
                    </w:rPr>
                    <w:t>用于</w:t>
                  </w:r>
                  <w:r>
                    <w:rPr>
                      <w:rFonts w:hint="eastAsia" w:ascii="宋体" w:hAnsi="宋体" w:cs="宋体"/>
                      <w:color w:val="auto"/>
                      <w:kern w:val="0"/>
                      <w:sz w:val="21"/>
                      <w:szCs w:val="21"/>
                      <w:lang w:eastAsia="zh-CN"/>
                    </w:rPr>
                    <w:t>闭矿后</w:t>
                  </w:r>
                  <w:r>
                    <w:rPr>
                      <w:rFonts w:hint="eastAsia" w:ascii="宋体" w:hAnsi="宋体" w:cs="宋体"/>
                      <w:color w:val="auto"/>
                      <w:kern w:val="0"/>
                      <w:sz w:val="21"/>
                      <w:szCs w:val="21"/>
                      <w:lang w:val="en-US" w:eastAsia="zh-CN"/>
                    </w:rPr>
                    <w:t>在</w:t>
                  </w:r>
                  <w:r>
                    <w:rPr>
                      <w:rFonts w:hint="eastAsia" w:ascii="宋体" w:hAnsi="宋体" w:cs="宋体"/>
                      <w:color w:val="auto"/>
                      <w:kern w:val="0"/>
                      <w:sz w:val="21"/>
                      <w:szCs w:val="21"/>
                      <w:lang w:eastAsia="zh-CN"/>
                    </w:rPr>
                    <w:t>开采范围</w:t>
                  </w:r>
                  <w:r>
                    <w:rPr>
                      <w:rFonts w:hint="eastAsia" w:ascii="宋体" w:hAnsi="宋体" w:cs="宋体"/>
                      <w:color w:val="auto"/>
                      <w:kern w:val="0"/>
                      <w:sz w:val="21"/>
                      <w:szCs w:val="21"/>
                      <w:lang w:val="en-US" w:eastAsia="zh-CN"/>
                    </w:rPr>
                    <w:t>内进行造地复垦</w:t>
                  </w:r>
                  <w:r>
                    <w:rPr>
                      <w:rFonts w:hint="eastAsia" w:ascii="宋体" w:hAnsi="宋体" w:cs="宋体"/>
                      <w:color w:val="auto"/>
                      <w:kern w:val="0"/>
                      <w:sz w:val="21"/>
                      <w:szCs w:val="21"/>
                      <w:lang w:eastAsia="zh-CN"/>
                    </w:rPr>
                    <w:t>。</w:t>
                  </w:r>
                </w:p>
              </w:tc>
              <w:tc>
                <w:tcPr>
                  <w:tcW w:w="424" w:type="pct"/>
                  <w:tcBorders>
                    <w:tl2br w:val="nil"/>
                    <w:tr2bl w:val="nil"/>
                  </w:tcBorders>
                  <w:shd w:val="clear" w:color="auto" w:fill="auto"/>
                  <w:vAlign w:val="center"/>
                </w:tcPr>
                <w:p>
                  <w:pPr>
                    <w:pStyle w:val="60"/>
                    <w:keepNext w:val="0"/>
                    <w:keepLines w:val="0"/>
                    <w:widowControl/>
                    <w:suppressLineNumbers w:val="0"/>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28" w:type="pct"/>
                  <w:tcBorders>
                    <w:tl2br w:val="nil"/>
                    <w:tr2bl w:val="nil"/>
                  </w:tcBorders>
                  <w:shd w:val="clear" w:color="auto" w:fill="auto"/>
                  <w:vAlign w:val="center"/>
                </w:tcPr>
                <w:p>
                  <w:pPr>
                    <w:pStyle w:val="60"/>
                    <w:keepNext w:val="0"/>
                    <w:keepLines w:val="0"/>
                    <w:widowControl/>
                    <w:suppressLineNumbers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2725" w:type="pct"/>
                  <w:tcBorders>
                    <w:tl2br w:val="nil"/>
                    <w:tr2bl w:val="nil"/>
                  </w:tcBorders>
                  <w:shd w:val="clear" w:color="auto" w:fill="auto"/>
                  <w:vAlign w:val="center"/>
                </w:tcPr>
                <w:p>
                  <w:pPr>
                    <w:pStyle w:val="60"/>
                    <w:keepNext w:val="0"/>
                    <w:keepLines w:val="0"/>
                    <w:widowControl/>
                    <w:suppressLineNumbers w:val="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rPr>
                    <w:t>矿产资源开发应符合国家产业政策要求。</w:t>
                  </w:r>
                </w:p>
              </w:tc>
              <w:tc>
                <w:tcPr>
                  <w:tcW w:w="1521" w:type="pct"/>
                  <w:tcBorders>
                    <w:tl2br w:val="nil"/>
                    <w:tr2bl w:val="nil"/>
                  </w:tcBorders>
                  <w:shd w:val="clear" w:color="auto" w:fill="auto"/>
                  <w:vAlign w:val="center"/>
                </w:tcPr>
                <w:p>
                  <w:pPr>
                    <w:pStyle w:val="60"/>
                    <w:keepNext w:val="0"/>
                    <w:keepLines w:val="0"/>
                    <w:widowControl/>
                    <w:suppressLineNumbers w:val="0"/>
                    <w:jc w:val="both"/>
                    <w:rPr>
                      <w:rFonts w:hint="eastAsia" w:ascii="Times New Roman" w:hAnsi="Times New Roman" w:eastAsia="宋体" w:cs="Times New Roman"/>
                      <w:color w:val="auto"/>
                      <w:kern w:val="0"/>
                      <w:sz w:val="21"/>
                      <w:szCs w:val="21"/>
                      <w:lang w:eastAsia="zh-CN"/>
                    </w:rPr>
                  </w:pPr>
                  <w:r>
                    <w:rPr>
                      <w:rFonts w:hint="eastAsia" w:ascii="宋体" w:hAnsi="宋体" w:eastAsia="宋体" w:cs="宋体"/>
                      <w:color w:val="auto"/>
                      <w:kern w:val="0"/>
                      <w:sz w:val="21"/>
                      <w:szCs w:val="21"/>
                    </w:rPr>
                    <w:t>属于国家产业政策中的允许类</w:t>
                  </w:r>
                  <w:r>
                    <w:rPr>
                      <w:rFonts w:hint="eastAsia" w:ascii="宋体" w:hAnsi="宋体" w:cs="宋体"/>
                      <w:color w:val="auto"/>
                      <w:kern w:val="0"/>
                      <w:sz w:val="21"/>
                      <w:szCs w:val="21"/>
                      <w:lang w:eastAsia="zh-CN"/>
                    </w:rPr>
                    <w:t>。</w:t>
                  </w:r>
                </w:p>
              </w:tc>
              <w:tc>
                <w:tcPr>
                  <w:tcW w:w="424" w:type="pct"/>
                  <w:tcBorders>
                    <w:tl2br w:val="nil"/>
                    <w:tr2bl w:val="nil"/>
                  </w:tcBorders>
                  <w:shd w:val="clear" w:color="auto" w:fill="auto"/>
                  <w:vAlign w:val="center"/>
                </w:tcPr>
                <w:p>
                  <w:pPr>
                    <w:pStyle w:val="60"/>
                    <w:keepNext w:val="0"/>
                    <w:keepLines w:val="0"/>
                    <w:widowControl/>
                    <w:suppressLineNumbers w:val="0"/>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rPr>
                    <w:t>符合</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通过上表可以看出，本工程符合《矿山生态环境保护与污染防治技术政策》（环发〔</w:t>
            </w:r>
            <w:r>
              <w:rPr>
                <w:rFonts w:hint="default" w:ascii="Times New Roman" w:hAnsi="Times New Roman" w:eastAsia="宋体" w:cs="Times New Roman"/>
                <w:color w:val="auto"/>
                <w:sz w:val="24"/>
                <w:szCs w:val="24"/>
                <w:lang w:val="en-US" w:eastAsia="zh-CN"/>
              </w:rPr>
              <w:t>2005</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109</w:t>
            </w:r>
            <w:r>
              <w:rPr>
                <w:rFonts w:hint="eastAsia" w:ascii="Times New Roman" w:hAnsi="Times New Roman" w:eastAsia="宋体" w:cs="Times New Roman"/>
                <w:color w:val="auto"/>
                <w:sz w:val="24"/>
                <w:szCs w:val="24"/>
                <w:lang w:val="en-US" w:eastAsia="zh-CN"/>
              </w:rPr>
              <w:t>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7、</w:t>
            </w:r>
            <w:r>
              <w:rPr>
                <w:rFonts w:hint="eastAsia" w:ascii="Times New Roman" w:hAnsi="Times New Roman" w:eastAsia="宋体" w:cs="Times New Roman"/>
                <w:b w:val="0"/>
                <w:bCs w:val="0"/>
                <w:color w:val="auto"/>
                <w:sz w:val="24"/>
                <w:szCs w:val="24"/>
                <w:lang w:val="en-US" w:eastAsia="zh-CN"/>
              </w:rPr>
              <w:t>与《矿山生态环境保护与恢复治理技术规范（试行）》（</w:t>
            </w:r>
            <w:r>
              <w:rPr>
                <w:rFonts w:hint="default" w:ascii="Times New Roman" w:hAnsi="Times New Roman" w:eastAsia="宋体" w:cs="Times New Roman"/>
                <w:b w:val="0"/>
                <w:bCs w:val="0"/>
                <w:color w:val="auto"/>
                <w:sz w:val="24"/>
                <w:szCs w:val="24"/>
                <w:lang w:val="en-US" w:eastAsia="zh-CN"/>
              </w:rPr>
              <w:t>HJ 651-2013</w:t>
            </w:r>
            <w:r>
              <w:rPr>
                <w:rFonts w:hint="eastAsia" w:ascii="Times New Roman" w:hAnsi="Times New Roman" w:eastAsia="宋体" w:cs="Times New Roman"/>
                <w:b w:val="0"/>
                <w:bCs w:val="0"/>
                <w:color w:val="auto"/>
                <w:sz w:val="24"/>
                <w:szCs w:val="24"/>
                <w:lang w:val="en-US" w:eastAsia="zh-CN"/>
              </w:rPr>
              <w:t>）符合性分析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本项目与《矿山生态环境保护与恢复治理技术规范（试行）》（</w:t>
            </w:r>
            <w:r>
              <w:rPr>
                <w:rFonts w:hint="default" w:ascii="Times New Roman" w:hAnsi="Times New Roman" w:eastAsia="宋体" w:cs="Times New Roman"/>
                <w:color w:val="auto"/>
                <w:sz w:val="24"/>
                <w:szCs w:val="24"/>
                <w:lang w:val="en-US" w:eastAsia="zh-CN"/>
              </w:rPr>
              <w:t>HJ 651-2013</w:t>
            </w:r>
            <w:r>
              <w:rPr>
                <w:rFonts w:hint="eastAsia" w:ascii="Times New Roman" w:hAnsi="Times New Roman" w:eastAsia="宋体" w:cs="Times New Roman"/>
                <w:color w:val="auto"/>
                <w:sz w:val="24"/>
                <w:szCs w:val="24"/>
                <w:lang w:val="en-US" w:eastAsia="zh-CN"/>
              </w:rPr>
              <w:t>）相关内容对比见下表。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w:t>
            </w:r>
            <w:r>
              <w:rPr>
                <w:rFonts w:hint="default" w:ascii="Times New Roman" w:hAnsi="Times New Roman" w:eastAsia="宋体" w:cs="Times New Roman"/>
                <w:b/>
                <w:bCs/>
                <w:color w:val="auto"/>
                <w:sz w:val="22"/>
                <w:szCs w:val="22"/>
                <w:lang w:val="en-US" w:eastAsia="zh-CN"/>
              </w:rPr>
              <w:t>1-</w:t>
            </w:r>
            <w:r>
              <w:rPr>
                <w:rFonts w:hint="eastAsia" w:cs="Times New Roman"/>
                <w:b/>
                <w:bCs/>
                <w:color w:val="auto"/>
                <w:sz w:val="22"/>
                <w:szCs w:val="22"/>
                <w:lang w:val="en-US" w:eastAsia="zh-CN"/>
              </w:rPr>
              <w:t>5</w:t>
            </w:r>
            <w:r>
              <w:rPr>
                <w:rFonts w:hint="eastAsia" w:ascii="Times New Roman" w:hAnsi="Times New Roman" w:eastAsia="宋体" w:cs="Times New Roman"/>
                <w:b/>
                <w:bCs/>
                <w:color w:val="auto"/>
                <w:sz w:val="22"/>
                <w:szCs w:val="22"/>
                <w:lang w:val="en-US" w:eastAsia="zh-CN"/>
              </w:rPr>
              <w:t xml:space="preserve">  《矿山生态环境保护与恢复治理技术规范（试行）》主要内容与工程对比表</w:t>
            </w:r>
          </w:p>
          <w:tbl>
            <w:tblPr>
              <w:tblStyle w:val="23"/>
              <w:tblW w:w="492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42"/>
              <w:gridCol w:w="4288"/>
              <w:gridCol w:w="2800"/>
              <w:gridCol w:w="8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21"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序号</w:t>
                  </w:r>
                </w:p>
              </w:tc>
              <w:tc>
                <w:tcPr>
                  <w:tcW w:w="2539"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相关要求</w:t>
                  </w:r>
                </w:p>
              </w:tc>
              <w:tc>
                <w:tcPr>
                  <w:tcW w:w="1658"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本工程</w:t>
                  </w:r>
                </w:p>
              </w:tc>
              <w:tc>
                <w:tcPr>
                  <w:tcW w:w="481"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结论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21"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1</w:t>
                  </w:r>
                </w:p>
              </w:tc>
              <w:tc>
                <w:tcPr>
                  <w:tcW w:w="2539"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敏感目标可视范围内进行对景观破坏</w:t>
                  </w:r>
                  <w:r>
                    <w:rPr>
                      <w:rFonts w:hint="eastAsia" w:cs="宋体"/>
                      <w:color w:val="auto"/>
                      <w:kern w:val="0"/>
                      <w:sz w:val="21"/>
                      <w:szCs w:val="21"/>
                      <w:lang w:val="en-US" w:eastAsia="zh-CN" w:bidi="ar"/>
                    </w:rPr>
                    <w:t>明显的露天</w:t>
                  </w:r>
                  <w:r>
                    <w:rPr>
                      <w:rFonts w:hint="eastAsia" w:ascii="宋体" w:hAnsi="宋体" w:eastAsia="宋体" w:cs="宋体"/>
                      <w:color w:val="auto"/>
                      <w:kern w:val="0"/>
                      <w:sz w:val="21"/>
                      <w:szCs w:val="21"/>
                      <w:lang w:val="en-US" w:eastAsia="zh-CN" w:bidi="ar"/>
                    </w:rPr>
                    <w:t>开采。</w:t>
                  </w:r>
                </w:p>
              </w:tc>
              <w:tc>
                <w:tcPr>
                  <w:tcW w:w="1658" w:type="pct"/>
                  <w:tcBorders>
                    <w:tl2br w:val="nil"/>
                    <w:tr2bl w:val="nil"/>
                  </w:tcBorders>
                  <w:shd w:val="clear" w:color="auto" w:fill="auto"/>
                  <w:vAlign w:val="center"/>
                </w:tcPr>
                <w:p>
                  <w:pPr>
                    <w:pStyle w:val="21"/>
                    <w:keepNext w:val="0"/>
                    <w:keepLines w:val="0"/>
                    <w:widowControl/>
                    <w:suppressLineNumbers w:val="0"/>
                    <w:tabs>
                      <w:tab w:val="left" w:pos="1470"/>
                    </w:tabs>
                    <w:spacing w:before="0" w:beforeAutospacing="0" w:after="0" w:afterAutospacing="0"/>
                    <w:ind w:left="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本项目位于和硕县城东南方向，直线距离约</w:t>
                  </w:r>
                  <w:r>
                    <w:rPr>
                      <w:rFonts w:hint="eastAsia" w:ascii="Times New Roman" w:hAnsi="Times New Roman" w:cs="Times New Roman"/>
                      <w:color w:val="auto"/>
                      <w:kern w:val="0"/>
                      <w:sz w:val="21"/>
                      <w:szCs w:val="21"/>
                      <w:lang w:val="en-US" w:eastAsia="zh-CN" w:bidi="ar"/>
                    </w:rPr>
                    <w:t>58</w:t>
                  </w:r>
                  <w:r>
                    <w:rPr>
                      <w:rFonts w:hint="default" w:ascii="Times New Roman" w:hAnsi="Times New Roman" w:eastAsia="宋体" w:cs="Times New Roman"/>
                      <w:color w:val="auto"/>
                      <w:kern w:val="0"/>
                      <w:sz w:val="21"/>
                      <w:szCs w:val="21"/>
                      <w:lang w:val="en-US" w:eastAsia="zh-CN" w:bidi="ar"/>
                    </w:rPr>
                    <w:t>km，项目选址不在</w:t>
                  </w:r>
                  <w:r>
                    <w:rPr>
                      <w:rFonts w:hint="eastAsia" w:ascii="宋体" w:hAnsi="宋体" w:eastAsia="宋体" w:cs="宋体"/>
                      <w:color w:val="auto"/>
                      <w:kern w:val="0"/>
                      <w:sz w:val="21"/>
                      <w:szCs w:val="21"/>
                      <w:lang w:val="en-US" w:eastAsia="zh-CN" w:bidi="ar"/>
                    </w:rPr>
                    <w:t>水源涵养区、地下水源、饮用水源、各类自然保护区、自然生态良好区域、风景名胜区和人群密集区等生态敏感区域。</w:t>
                  </w:r>
                </w:p>
              </w:tc>
              <w:tc>
                <w:tcPr>
                  <w:tcW w:w="481"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21"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2</w:t>
                  </w:r>
                </w:p>
              </w:tc>
              <w:tc>
                <w:tcPr>
                  <w:tcW w:w="2539"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矿产资源开发活动应符合国家和区域主体功能区规划、生态功能</w:t>
                  </w:r>
                  <w:r>
                    <w:rPr>
                      <w:rFonts w:hint="eastAsia" w:cs="宋体"/>
                      <w:color w:val="auto"/>
                      <w:kern w:val="0"/>
                      <w:sz w:val="21"/>
                      <w:szCs w:val="21"/>
                      <w:lang w:val="en-US" w:eastAsia="zh-CN" w:bidi="ar"/>
                    </w:rPr>
                    <w:t>区规</w:t>
                  </w:r>
                  <w:r>
                    <w:rPr>
                      <w:rFonts w:hint="eastAsia" w:ascii="宋体" w:hAnsi="宋体" w:eastAsia="宋体" w:cs="宋体"/>
                      <w:color w:val="auto"/>
                      <w:kern w:val="0"/>
                      <w:sz w:val="21"/>
                      <w:szCs w:val="21"/>
                      <w:lang w:val="en-US" w:eastAsia="zh-CN" w:bidi="ar"/>
                    </w:rPr>
                    <w:t>划、生态环境保护规划的要求，采取有效预防和保护措施，避免或减轻矿产资源开发活动造成的生态破坏和环境污染。</w:t>
                  </w:r>
                </w:p>
              </w:tc>
              <w:tc>
                <w:tcPr>
                  <w:tcW w:w="1658"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本项目不属于主体功能区中禁止开发区域，属于限制开发区域</w:t>
                  </w:r>
                  <w:r>
                    <w:rPr>
                      <w:rFonts w:hint="eastAsia"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重点生态功能区</w:t>
                  </w:r>
                  <w:r>
                    <w:rPr>
                      <w:rFonts w:hint="eastAsia"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w:t>
                  </w:r>
                </w:p>
              </w:tc>
              <w:tc>
                <w:tcPr>
                  <w:tcW w:w="481"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21"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3</w:t>
                  </w:r>
                </w:p>
              </w:tc>
              <w:tc>
                <w:tcPr>
                  <w:tcW w:w="2539"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1658"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本项目制定详细的矿山生态环境治理恢复方案，并严格落实，从矿山生产收益中抽取一定比例作为矿山生态环境治理资金。</w:t>
                  </w:r>
                </w:p>
              </w:tc>
              <w:tc>
                <w:tcPr>
                  <w:tcW w:w="481"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21"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4</w:t>
                  </w:r>
                </w:p>
              </w:tc>
              <w:tc>
                <w:tcPr>
                  <w:tcW w:w="2539"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在国家和地方各级人民政府确定的重点（重要）生态功能区内建设矿产资源基地，应进行生态环境影响和经济损益评估，按评估结果及相关规定进行控制性开采，减少对生态空间的占用，不影响区域主导生态功能。在水资源短缺、环境容量小、生态系统脆弱、地震和地质灾害易发地区，要严格控制矿产资源开发。</w:t>
                  </w:r>
                </w:p>
              </w:tc>
              <w:tc>
                <w:tcPr>
                  <w:tcW w:w="1658"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本项目</w:t>
                  </w:r>
                  <w:r>
                    <w:rPr>
                      <w:rFonts w:hint="eastAsia" w:cs="宋体"/>
                      <w:color w:val="auto"/>
                      <w:kern w:val="0"/>
                      <w:sz w:val="21"/>
                      <w:szCs w:val="21"/>
                      <w:lang w:val="en-US" w:eastAsia="zh-CN" w:bidi="ar"/>
                    </w:rPr>
                    <w:t>已编制了</w:t>
                  </w:r>
                  <w:r>
                    <w:rPr>
                      <w:rFonts w:hint="eastAsia" w:ascii="宋体" w:hAnsi="宋体" w:eastAsia="宋体" w:cs="宋体"/>
                      <w:color w:val="auto"/>
                      <w:kern w:val="0"/>
                      <w:sz w:val="21"/>
                      <w:szCs w:val="21"/>
                      <w:lang w:val="en-US" w:eastAsia="zh-CN" w:bidi="ar"/>
                    </w:rPr>
                    <w:t>矿产资源开发利用与生态保护修复方案。</w:t>
                  </w:r>
                </w:p>
              </w:tc>
              <w:tc>
                <w:tcPr>
                  <w:tcW w:w="481"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21"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5</w:t>
                  </w:r>
                </w:p>
              </w:tc>
              <w:tc>
                <w:tcPr>
                  <w:tcW w:w="2539"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荒漠和风沙区矿产资源开发应避开易发生风蚀和生态退化地带，减少开采、排土和运输等活动对土壤结皮、</w:t>
                  </w:r>
                  <w:r>
                    <w:rPr>
                      <w:rFonts w:hint="eastAsia" w:cs="宋体"/>
                      <w:color w:val="auto"/>
                      <w:kern w:val="0"/>
                      <w:sz w:val="21"/>
                      <w:szCs w:val="21"/>
                      <w:lang w:val="en-US" w:eastAsia="zh-CN" w:bidi="ar"/>
                    </w:rPr>
                    <w:t>砂砾</w:t>
                  </w:r>
                  <w:r>
                    <w:rPr>
                      <w:rFonts w:hint="eastAsia" w:ascii="宋体" w:hAnsi="宋体" w:eastAsia="宋体" w:cs="宋体"/>
                      <w:color w:val="auto"/>
                      <w:kern w:val="0"/>
                      <w:sz w:val="21"/>
                      <w:szCs w:val="21"/>
                      <w:lang w:val="en-US" w:eastAsia="zh-CN" w:bidi="ar"/>
                    </w:rPr>
                    <w:t>及沙区植被的破坏和扰动；排土场、料场及尾矿库等场地应采取围挡和覆盖等防风蚀措施。</w:t>
                  </w:r>
                </w:p>
              </w:tc>
              <w:tc>
                <w:tcPr>
                  <w:tcW w:w="1658"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本项目在矿区内道路必要路段设立挡石墙，在路基边坡播撒草籽等植被恢复的措施来恢复其环境。</w:t>
                  </w:r>
                </w:p>
              </w:tc>
              <w:tc>
                <w:tcPr>
                  <w:tcW w:w="481"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6</w:t>
                  </w:r>
                </w:p>
              </w:tc>
              <w:tc>
                <w:tcPr>
                  <w:tcW w:w="2539"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采矿产生的固体废物，应在专用场所堆放，并采取措施防止二次污染；禁止向河流、湖泊、水库等水体及行洪渠道排放岩土、含油垃圾、泥浆、煤渣、煤矸石和其他固体废物。</w:t>
                  </w:r>
                </w:p>
              </w:tc>
              <w:tc>
                <w:tcPr>
                  <w:tcW w:w="1658"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本项目生产过程产生的废石集中堆放在排土场，闭坑后用于回填露天采场凹陷区域；生活垃圾集中收集后定期清运至硕县垃圾填埋场。</w:t>
                  </w:r>
                </w:p>
              </w:tc>
              <w:tc>
                <w:tcPr>
                  <w:tcW w:w="481"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符合</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根据上表分析可知，本项目符合《矿山生态环境保护与恢复治理技术规范（试行）》（</w:t>
            </w:r>
            <w:r>
              <w:rPr>
                <w:rFonts w:hint="default" w:ascii="Times New Roman" w:hAnsi="Times New Roman" w:eastAsia="宋体" w:cs="Times New Roman"/>
                <w:color w:val="auto"/>
                <w:sz w:val="24"/>
                <w:szCs w:val="24"/>
                <w:lang w:val="en-US" w:eastAsia="zh-CN"/>
              </w:rPr>
              <w:t>HJ651-2013</w:t>
            </w:r>
            <w:r>
              <w:rPr>
                <w:rFonts w:hint="eastAsia" w:ascii="Times New Roman" w:hAnsi="Times New Roman" w:eastAsia="宋体" w:cs="Times New Roman"/>
                <w:color w:val="auto"/>
                <w:sz w:val="24"/>
                <w:szCs w:val="24"/>
                <w:lang w:val="en-US" w:eastAsia="zh-CN"/>
              </w:rPr>
              <w:t>）相关要求。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8、</w:t>
            </w:r>
            <w:r>
              <w:rPr>
                <w:rFonts w:hint="eastAsia" w:ascii="Times New Roman" w:hAnsi="Times New Roman" w:eastAsia="宋体" w:cs="Times New Roman"/>
                <w:b w:val="0"/>
                <w:bCs w:val="0"/>
                <w:color w:val="auto"/>
                <w:sz w:val="24"/>
                <w:szCs w:val="24"/>
                <w:lang w:val="en-US" w:eastAsia="zh-CN"/>
              </w:rPr>
              <w:t>与《绿色矿山建设实施方案》的符合性分析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《绿色矿山建设实施方案》中明确提出：各矿山企业的资源开发与矿区治理工作必须做到“三同时”，即同时设计，同时施工，同步治理。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严格按照矿山生态恢复治理方案的要求，实行边开采边复绿边治理，做到矿山治理工作不留“老账”。对废石回填区及其余露天采场平整覆土后人工撒播草籽。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落实专人负责，确保矿区道路整洁，运输车辆清洁。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实现矿区道路、矿山与主干线连接道路和加工区域场地全部硬化，并进行动态养护和保洁。鼓励企业采用先进生产工艺，落实各项环保措施。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针对不同的占地、开采影响区域采取不同的土地复垦和生态恢复措施。生活污水经地埋式污水处理设施处理后用于项目区周边荒漠生态恢复的灌溉。开采粉尘采用雾炮洒水车对作业面洒水降尘，增加原料含水率；装卸车粉尘采取降低装卸高度治理；运输扬尘采取洒水车路面洒水抑尘、控制车速治理；成品料和废石料堆存均采用篷布遮盖，可以有效地降低堆场扬尘对环境空气的影响。矿区内道路为</w:t>
            </w:r>
            <w:r>
              <w:rPr>
                <w:rFonts w:hint="eastAsia" w:cs="Times New Roman"/>
                <w:color w:val="auto"/>
                <w:sz w:val="24"/>
                <w:szCs w:val="24"/>
                <w:lang w:val="en-US" w:eastAsia="zh-CN"/>
              </w:rPr>
              <w:t>简易</w:t>
            </w:r>
            <w:r>
              <w:rPr>
                <w:rFonts w:hint="eastAsia" w:ascii="Times New Roman" w:hAnsi="Times New Roman" w:eastAsia="宋体" w:cs="Times New Roman"/>
                <w:color w:val="auto"/>
                <w:sz w:val="24"/>
                <w:szCs w:val="24"/>
                <w:lang w:val="en-US" w:eastAsia="zh-CN"/>
              </w:rPr>
              <w:t>（碎石路面）。本项目建设符合《绿色矿山建设实施方案》相关要求。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9、</w:t>
            </w:r>
            <w:r>
              <w:rPr>
                <w:rFonts w:hint="eastAsia" w:ascii="Times New Roman" w:hAnsi="Times New Roman" w:eastAsia="宋体" w:cs="Times New Roman"/>
                <w:b w:val="0"/>
                <w:bCs w:val="0"/>
                <w:color w:val="auto"/>
                <w:sz w:val="24"/>
                <w:szCs w:val="24"/>
                <w:lang w:val="en-US" w:eastAsia="zh-CN"/>
              </w:rPr>
              <w:t>项目与《工业料堆场扬尘整治规范》（</w:t>
            </w:r>
            <w:r>
              <w:rPr>
                <w:rFonts w:hint="default" w:ascii="Times New Roman" w:hAnsi="Times New Roman" w:eastAsia="宋体" w:cs="Times New Roman"/>
                <w:b w:val="0"/>
                <w:bCs w:val="0"/>
                <w:color w:val="auto"/>
                <w:sz w:val="24"/>
                <w:szCs w:val="24"/>
                <w:lang w:val="en-US" w:eastAsia="zh-CN"/>
              </w:rPr>
              <w:t>DB65/T4061-2017</w:t>
            </w:r>
            <w:r>
              <w:rPr>
                <w:rFonts w:hint="eastAsia" w:ascii="Times New Roman" w:hAnsi="Times New Roman" w:eastAsia="宋体" w:cs="Times New Roman"/>
                <w:b w:val="0"/>
                <w:bCs w:val="0"/>
                <w:color w:val="auto"/>
                <w:sz w:val="24"/>
                <w:szCs w:val="24"/>
                <w:lang w:val="en-US" w:eastAsia="zh-CN"/>
              </w:rPr>
              <w:t>）符合性分析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本项目与《工业料堆场扬尘整治规范》（</w:t>
            </w:r>
            <w:r>
              <w:rPr>
                <w:rFonts w:hint="default" w:ascii="Times New Roman" w:hAnsi="Times New Roman" w:eastAsia="宋体" w:cs="Times New Roman"/>
                <w:color w:val="auto"/>
                <w:sz w:val="24"/>
                <w:szCs w:val="24"/>
                <w:lang w:val="en-US" w:eastAsia="zh-CN"/>
              </w:rPr>
              <w:t>DB65/T4061-2017</w:t>
            </w:r>
            <w:r>
              <w:rPr>
                <w:rFonts w:hint="eastAsia" w:ascii="Times New Roman" w:hAnsi="Times New Roman" w:eastAsia="宋体" w:cs="Times New Roman"/>
                <w:color w:val="auto"/>
                <w:sz w:val="24"/>
                <w:szCs w:val="24"/>
                <w:lang w:val="en-US" w:eastAsia="zh-CN"/>
              </w:rPr>
              <w:t>），符合性分析详见下表。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w:t>
            </w:r>
            <w:r>
              <w:rPr>
                <w:rFonts w:hint="default" w:ascii="Times New Roman" w:hAnsi="Times New Roman" w:eastAsia="宋体" w:cs="Times New Roman"/>
                <w:b/>
                <w:bCs/>
                <w:color w:val="auto"/>
                <w:sz w:val="22"/>
                <w:szCs w:val="22"/>
                <w:lang w:val="en-US" w:eastAsia="zh-CN"/>
              </w:rPr>
              <w:t>1-</w:t>
            </w:r>
            <w:r>
              <w:rPr>
                <w:rFonts w:hint="eastAsia" w:cs="Times New Roman"/>
                <w:b/>
                <w:bCs/>
                <w:color w:val="auto"/>
                <w:sz w:val="22"/>
                <w:szCs w:val="22"/>
                <w:lang w:val="en-US" w:eastAsia="zh-CN"/>
              </w:rPr>
              <w:t xml:space="preserve">6 </w:t>
            </w:r>
            <w:r>
              <w:rPr>
                <w:rFonts w:hint="eastAsia" w:ascii="Times New Roman" w:hAnsi="Times New Roman" w:eastAsia="宋体" w:cs="Times New Roman"/>
                <w:b/>
                <w:bCs/>
                <w:color w:val="auto"/>
                <w:sz w:val="22"/>
                <w:szCs w:val="22"/>
                <w:lang w:val="en-US" w:eastAsia="zh-CN"/>
              </w:rPr>
              <w:t xml:space="preserve"> 项目与《工业料堆场扬尘整治规范》（</w:t>
            </w:r>
            <w:r>
              <w:rPr>
                <w:rFonts w:hint="default" w:ascii="Times New Roman" w:hAnsi="Times New Roman" w:eastAsia="宋体" w:cs="Times New Roman"/>
                <w:b/>
                <w:bCs/>
                <w:color w:val="auto"/>
                <w:sz w:val="22"/>
                <w:szCs w:val="22"/>
                <w:lang w:val="en-US" w:eastAsia="zh-CN"/>
              </w:rPr>
              <w:t>DB65/T4061-2017</w:t>
            </w:r>
            <w:r>
              <w:rPr>
                <w:rFonts w:hint="eastAsia" w:ascii="Times New Roman" w:hAnsi="Times New Roman" w:eastAsia="宋体" w:cs="Times New Roman"/>
                <w:b/>
                <w:bCs/>
                <w:color w:val="auto"/>
                <w:sz w:val="22"/>
                <w:szCs w:val="22"/>
                <w:lang w:val="en-US" w:eastAsia="zh-CN"/>
              </w:rPr>
              <w:t>）符合性</w:t>
            </w:r>
          </w:p>
          <w:tbl>
            <w:tblPr>
              <w:tblStyle w:val="24"/>
              <w:tblW w:w="493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413"/>
              <w:gridCol w:w="3827"/>
              <w:gridCol w:w="12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017" w:type="pct"/>
                  <w:tcBorders>
                    <w:tl2br w:val="nil"/>
                    <w:tr2bl w:val="nil"/>
                  </w:tcBorders>
                  <w:shd w:val="clear" w:color="auto" w:fill="auto"/>
                  <w:vAlign w:val="center"/>
                </w:tcPr>
                <w:p>
                  <w:pPr>
                    <w:pStyle w:val="6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要求</w:t>
                  </w:r>
                </w:p>
              </w:tc>
              <w:tc>
                <w:tcPr>
                  <w:tcW w:w="2262" w:type="pct"/>
                  <w:tcBorders>
                    <w:tl2br w:val="nil"/>
                    <w:tr2bl w:val="nil"/>
                  </w:tcBorders>
                  <w:shd w:val="clear" w:color="auto" w:fill="auto"/>
                  <w:vAlign w:val="center"/>
                </w:tcPr>
                <w:p>
                  <w:pPr>
                    <w:pStyle w:val="6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符合性分析</w:t>
                  </w:r>
                </w:p>
              </w:tc>
              <w:tc>
                <w:tcPr>
                  <w:tcW w:w="719" w:type="pct"/>
                  <w:tcBorders>
                    <w:tl2br w:val="nil"/>
                    <w:tr2bl w:val="nil"/>
                  </w:tcBorders>
                  <w:shd w:val="clear" w:color="auto" w:fill="auto"/>
                  <w:vAlign w:val="center"/>
                </w:tcPr>
                <w:p>
                  <w:pPr>
                    <w:pStyle w:val="6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017" w:type="pct"/>
                  <w:tcBorders>
                    <w:tl2br w:val="nil"/>
                    <w:tr2bl w:val="nil"/>
                  </w:tcBorders>
                  <w:shd w:val="clear" w:color="auto" w:fill="auto"/>
                  <w:vAlign w:val="center"/>
                </w:tcPr>
                <w:p>
                  <w:pPr>
                    <w:pStyle w:val="21"/>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堆场分类</w:t>
                  </w:r>
                </w:p>
                <w:p>
                  <w:pPr>
                    <w:pStyle w:val="21"/>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bidi="ar"/>
                    </w:rPr>
                    <w:t>根据</w:t>
                  </w:r>
                  <w:r>
                    <w:rPr>
                      <w:rFonts w:hint="default" w:ascii="Times New Roman" w:hAnsi="Times New Roman" w:eastAsia="宋体" w:cs="Times New Roman"/>
                      <w:b w:val="0"/>
                      <w:bCs w:val="0"/>
                      <w:color w:val="auto"/>
                      <w:kern w:val="0"/>
                      <w:sz w:val="21"/>
                      <w:szCs w:val="21"/>
                      <w:lang w:val="en-US" w:eastAsia="zh-CN" w:bidi="ar"/>
                    </w:rPr>
                    <w:t>JB/T9014.1</w:t>
                  </w:r>
                  <w:r>
                    <w:rPr>
                      <w:rFonts w:hint="eastAsia" w:ascii="宋体" w:hAnsi="宋体" w:eastAsia="宋体" w:cs="宋体"/>
                      <w:b w:val="0"/>
                      <w:bCs w:val="0"/>
                      <w:color w:val="auto"/>
                      <w:kern w:val="0"/>
                      <w:sz w:val="21"/>
                      <w:szCs w:val="21"/>
                      <w:lang w:val="en-US" w:eastAsia="zh-CN" w:bidi="ar"/>
                    </w:rPr>
                    <w:t>规定的工业料堆场所在地环境敏感程度、堆场规模、当地年平均风速、物料粒度，将工业料堆场划分为</w:t>
                  </w:r>
                  <w:r>
                    <w:rPr>
                      <w:rFonts w:hint="default" w:ascii="Times New Roman" w:hAnsi="Times New Roman" w:eastAsia="宋体" w:cs="Times New Roman"/>
                      <w:b w:val="0"/>
                      <w:bCs w:val="0"/>
                      <w:color w:val="auto"/>
                      <w:kern w:val="0"/>
                      <w:sz w:val="21"/>
                      <w:szCs w:val="21"/>
                      <w:lang w:val="en-US" w:eastAsia="zh-CN" w:bidi="ar"/>
                    </w:rPr>
                    <w:t>Ⅰ</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Ⅱ</w:t>
                  </w:r>
                  <w:r>
                    <w:rPr>
                      <w:rFonts w:hint="eastAsia" w:ascii="宋体" w:hAnsi="宋体" w:eastAsia="宋体" w:cs="宋体"/>
                      <w:b w:val="0"/>
                      <w:bCs w:val="0"/>
                      <w:color w:val="auto"/>
                      <w:kern w:val="0"/>
                      <w:sz w:val="21"/>
                      <w:szCs w:val="21"/>
                      <w:lang w:val="en-US" w:eastAsia="zh-CN" w:bidi="ar"/>
                    </w:rPr>
                    <w:t>和</w:t>
                  </w:r>
                  <w:r>
                    <w:rPr>
                      <w:rFonts w:hint="default" w:ascii="Times New Roman" w:hAnsi="Times New Roman" w:eastAsia="宋体" w:cs="Times New Roman"/>
                      <w:b w:val="0"/>
                      <w:bCs w:val="0"/>
                      <w:color w:val="auto"/>
                      <w:kern w:val="0"/>
                      <w:sz w:val="21"/>
                      <w:szCs w:val="21"/>
                      <w:lang w:val="en-US" w:eastAsia="zh-CN" w:bidi="ar"/>
                    </w:rPr>
                    <w:t>Ⅲ</w:t>
                  </w:r>
                  <w:r>
                    <w:rPr>
                      <w:rFonts w:hint="eastAsia" w:ascii="宋体" w:hAnsi="宋体" w:eastAsia="宋体" w:cs="宋体"/>
                      <w:b w:val="0"/>
                      <w:bCs w:val="0"/>
                      <w:color w:val="auto"/>
                      <w:kern w:val="0"/>
                      <w:sz w:val="21"/>
                      <w:szCs w:val="21"/>
                      <w:lang w:val="en-US" w:eastAsia="zh-CN" w:bidi="ar"/>
                    </w:rPr>
                    <w:t>三</w:t>
                  </w:r>
                  <w:r>
                    <w:rPr>
                      <w:rFonts w:hint="eastAsia" w:cs="宋体"/>
                      <w:b w:val="0"/>
                      <w:bCs w:val="0"/>
                      <w:color w:val="auto"/>
                      <w:kern w:val="0"/>
                      <w:sz w:val="21"/>
                      <w:szCs w:val="21"/>
                      <w:lang w:val="en-US" w:eastAsia="zh-CN" w:bidi="ar"/>
                    </w:rPr>
                    <w:t>种</w:t>
                  </w:r>
                  <w:r>
                    <w:rPr>
                      <w:rFonts w:hint="eastAsia" w:ascii="宋体" w:hAnsi="宋体" w:eastAsia="宋体" w:cs="宋体"/>
                      <w:b w:val="0"/>
                      <w:bCs w:val="0"/>
                      <w:color w:val="auto"/>
                      <w:kern w:val="0"/>
                      <w:sz w:val="21"/>
                      <w:szCs w:val="21"/>
                      <w:lang w:val="en-US" w:eastAsia="zh-CN" w:bidi="ar"/>
                    </w:rPr>
                    <w:t>类型。</w:t>
                  </w:r>
                </w:p>
              </w:tc>
              <w:tc>
                <w:tcPr>
                  <w:tcW w:w="2262" w:type="pct"/>
                  <w:tcBorders>
                    <w:tl2br w:val="nil"/>
                    <w:tr2bl w:val="nil"/>
                  </w:tcBorders>
                  <w:shd w:val="clear" w:color="auto" w:fill="auto"/>
                  <w:vAlign w:val="center"/>
                </w:tcPr>
                <w:p>
                  <w:pPr>
                    <w:pStyle w:val="21"/>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val="0"/>
                      <w:bCs w:val="0"/>
                      <w:color w:val="auto"/>
                      <w:kern w:val="0"/>
                      <w:sz w:val="21"/>
                      <w:szCs w:val="21"/>
                      <w:lang w:val="en-US" w:eastAsia="zh-CN"/>
                    </w:rPr>
                  </w:pPr>
                  <w:r>
                    <w:rPr>
                      <w:rFonts w:hint="eastAsia" w:ascii="宋体" w:hAnsi="宋体" w:eastAsia="宋体" w:cs="宋体"/>
                      <w:color w:val="auto"/>
                      <w:kern w:val="0"/>
                      <w:sz w:val="21"/>
                      <w:szCs w:val="21"/>
                      <w:lang w:val="en-US" w:eastAsia="zh-CN" w:bidi="ar"/>
                    </w:rPr>
                    <w:t>本项</w:t>
                  </w:r>
                  <w:r>
                    <w:rPr>
                      <w:rFonts w:hint="default" w:ascii="Times New Roman" w:hAnsi="Times New Roman" w:eastAsia="宋体" w:cs="Times New Roman"/>
                      <w:color w:val="auto"/>
                      <w:kern w:val="0"/>
                      <w:sz w:val="21"/>
                      <w:szCs w:val="21"/>
                      <w:lang w:val="en-US" w:eastAsia="zh-CN" w:bidi="ar"/>
                    </w:rPr>
                    <w:t>目</w:t>
                  </w:r>
                  <w:r>
                    <w:rPr>
                      <w:rFonts w:hint="default" w:ascii="Times New Roman" w:hAnsi="Times New Roman" w:cs="Times New Roman"/>
                      <w:color w:val="auto"/>
                      <w:kern w:val="0"/>
                      <w:sz w:val="21"/>
                      <w:szCs w:val="21"/>
                      <w:lang w:val="en-US" w:eastAsia="zh-CN" w:bidi="ar"/>
                    </w:rPr>
                    <w:t>位于和硕县城</w:t>
                  </w:r>
                  <w:r>
                    <w:rPr>
                      <w:rFonts w:hint="eastAsia" w:ascii="Times New Roman" w:hAnsi="Times New Roman" w:cs="Times New Roman"/>
                      <w:color w:val="auto"/>
                      <w:kern w:val="0"/>
                      <w:sz w:val="21"/>
                      <w:szCs w:val="21"/>
                      <w:lang w:val="en-US" w:eastAsia="zh-CN" w:bidi="ar"/>
                    </w:rPr>
                    <w:t>东南</w:t>
                  </w:r>
                  <w:r>
                    <w:rPr>
                      <w:rFonts w:hint="default" w:ascii="Times New Roman" w:hAnsi="Times New Roman" w:cs="Times New Roman"/>
                      <w:color w:val="auto"/>
                      <w:kern w:val="0"/>
                      <w:sz w:val="21"/>
                      <w:szCs w:val="21"/>
                      <w:lang w:val="en-US" w:eastAsia="zh-CN" w:bidi="ar"/>
                    </w:rPr>
                    <w:t>方向，直线距离约</w:t>
                  </w:r>
                  <w:r>
                    <w:rPr>
                      <w:rFonts w:hint="eastAsia" w:ascii="Times New Roman" w:hAnsi="Times New Roman" w:cs="Times New Roman"/>
                      <w:color w:val="auto"/>
                      <w:kern w:val="0"/>
                      <w:sz w:val="21"/>
                      <w:szCs w:val="21"/>
                      <w:lang w:val="en-US" w:eastAsia="zh-CN" w:bidi="ar"/>
                    </w:rPr>
                    <w:t>58</w:t>
                  </w:r>
                  <w:r>
                    <w:rPr>
                      <w:rFonts w:hint="default" w:ascii="Times New Roman" w:hAnsi="Times New Roman" w:cs="Times New Roman"/>
                      <w:color w:val="auto"/>
                      <w:kern w:val="0"/>
                      <w:sz w:val="21"/>
                      <w:szCs w:val="21"/>
                      <w:lang w:val="en-US" w:eastAsia="zh-CN" w:bidi="ar"/>
                    </w:rPr>
                    <w:t>km</w:t>
                  </w:r>
                  <w:r>
                    <w:rPr>
                      <w:rFonts w:hint="eastAsia" w:ascii="宋体" w:hAnsi="宋体" w:eastAsia="宋体" w:cs="宋体"/>
                      <w:color w:val="auto"/>
                      <w:kern w:val="0"/>
                      <w:sz w:val="21"/>
                      <w:szCs w:val="21"/>
                      <w:lang w:val="en-US" w:eastAsia="zh-CN" w:bidi="ar"/>
                    </w:rPr>
                    <w:t>。荒料堆放场面积</w:t>
                  </w:r>
                  <w:r>
                    <w:rPr>
                      <w:rFonts w:hint="eastAsia" w:ascii="宋体" w:hAnsi="宋体" w:eastAsia="宋体" w:cs="宋体"/>
                      <w:b w:val="0"/>
                      <w:bCs w:val="0"/>
                      <w:color w:val="auto"/>
                      <w:kern w:val="0"/>
                      <w:sz w:val="21"/>
                      <w:szCs w:val="21"/>
                      <w:lang w:val="en-US" w:eastAsia="zh-CN" w:bidi="ar"/>
                    </w:rPr>
                    <w:t>为</w:t>
                  </w:r>
                  <w:r>
                    <w:rPr>
                      <w:rFonts w:hint="default" w:ascii="Times New Roman" w:hAnsi="Times New Roman" w:cs="Times New Roman"/>
                      <w:b w:val="0"/>
                      <w:bCs w:val="0"/>
                      <w:color w:val="auto"/>
                      <w:kern w:val="0"/>
                      <w:sz w:val="21"/>
                      <w:szCs w:val="21"/>
                      <w:lang w:val="en-US" w:eastAsia="zh-CN" w:bidi="ar"/>
                    </w:rPr>
                    <w:t>110000</w:t>
                  </w:r>
                  <w:r>
                    <w:rPr>
                      <w:rFonts w:hint="default" w:ascii="Times New Roman" w:hAnsi="Times New Roman" w:eastAsia="宋体" w:cs="Times New Roman"/>
                      <w:bCs/>
                      <w:color w:val="auto"/>
                      <w:kern w:val="0"/>
                      <w:sz w:val="21"/>
                      <w:szCs w:val="21"/>
                      <w:lang w:val="en-US" w:eastAsia="zh-CN" w:bidi="ar"/>
                    </w:rPr>
                    <w:t>m</w:t>
                  </w:r>
                  <w:r>
                    <w:rPr>
                      <w:rFonts w:hint="eastAsia" w:ascii="Times New Roman" w:hAnsi="Times New Roman" w:cs="Times New Roman"/>
                      <w:bCs/>
                      <w:color w:val="auto"/>
                      <w:kern w:val="0"/>
                      <w:sz w:val="21"/>
                      <w:szCs w:val="21"/>
                      <w:vertAlign w:val="superscript"/>
                      <w:lang w:val="en-US" w:eastAsia="zh-CN" w:bidi="ar"/>
                    </w:rPr>
                    <w:t>2</w:t>
                  </w:r>
                  <w:r>
                    <w:rPr>
                      <w:rFonts w:hint="eastAsia" w:ascii="宋体" w:hAnsi="宋体" w:eastAsia="宋体" w:cs="宋体"/>
                      <w:bCs/>
                      <w:color w:val="auto"/>
                      <w:kern w:val="0"/>
                      <w:sz w:val="21"/>
                      <w:szCs w:val="21"/>
                      <w:lang w:val="en-US" w:eastAsia="zh-CN" w:bidi="ar"/>
                    </w:rPr>
                    <w:t>，为一般控制区域。</w:t>
                  </w:r>
                  <w:r>
                    <w:rPr>
                      <w:rFonts w:hint="eastAsia" w:ascii="宋体" w:hAnsi="宋体" w:eastAsia="宋体" w:cs="宋体"/>
                      <w:color w:val="auto"/>
                      <w:kern w:val="0"/>
                      <w:sz w:val="21"/>
                      <w:szCs w:val="21"/>
                      <w:lang w:val="en-US" w:eastAsia="zh-CN" w:bidi="ar"/>
                    </w:rPr>
                    <w:t>项目区年平均风速为</w:t>
                  </w:r>
                  <w:r>
                    <w:rPr>
                      <w:rFonts w:hint="default" w:ascii="Times New Roman" w:hAnsi="Times New Roman" w:eastAsia="宋体" w:cs="Times New Roman"/>
                      <w:color w:val="auto"/>
                      <w:kern w:val="0"/>
                      <w:sz w:val="21"/>
                      <w:szCs w:val="21"/>
                      <w:lang w:val="en-US" w:eastAsia="zh-CN" w:bidi="ar"/>
                    </w:rPr>
                    <w:t>2.0m/s</w:t>
                  </w:r>
                  <w:r>
                    <w:rPr>
                      <w:rFonts w:hint="eastAsia" w:ascii="宋体" w:hAnsi="宋体" w:eastAsia="宋体" w:cs="宋体"/>
                      <w:b w:val="0"/>
                      <w:bCs/>
                      <w:color w:val="auto"/>
                      <w:kern w:val="0"/>
                      <w:sz w:val="21"/>
                      <w:szCs w:val="21"/>
                      <w:lang w:val="en-US" w:eastAsia="zh-CN" w:bidi="ar"/>
                    </w:rPr>
                    <w:t>，综合考虑本项目为类型</w:t>
                  </w:r>
                  <w:r>
                    <w:rPr>
                      <w:rFonts w:hint="default" w:ascii="Times New Roman" w:hAnsi="Times New Roman" w:eastAsia="宋体" w:cs="Times New Roman"/>
                      <w:b w:val="0"/>
                      <w:bCs w:val="0"/>
                      <w:color w:val="auto"/>
                      <w:kern w:val="0"/>
                      <w:sz w:val="21"/>
                      <w:szCs w:val="21"/>
                      <w:lang w:val="en-US" w:eastAsia="zh-CN" w:bidi="ar"/>
                    </w:rPr>
                    <w:t>Ⅲ</w:t>
                  </w:r>
                  <w:r>
                    <w:rPr>
                      <w:rFonts w:hint="eastAsia" w:ascii="宋体" w:hAnsi="宋体" w:eastAsia="宋体" w:cs="宋体"/>
                      <w:b w:val="0"/>
                      <w:bCs w:val="0"/>
                      <w:color w:val="auto"/>
                      <w:kern w:val="0"/>
                      <w:sz w:val="21"/>
                      <w:szCs w:val="21"/>
                      <w:lang w:val="en-US" w:eastAsia="zh-CN" w:bidi="ar"/>
                    </w:rPr>
                    <w:t>类。</w:t>
                  </w:r>
                </w:p>
              </w:tc>
              <w:tc>
                <w:tcPr>
                  <w:tcW w:w="719" w:type="pct"/>
                  <w:tcBorders>
                    <w:tl2br w:val="nil"/>
                    <w:tr2bl w:val="nil"/>
                  </w:tcBorders>
                  <w:shd w:val="clear" w:color="auto" w:fill="auto"/>
                  <w:vAlign w:val="center"/>
                </w:tcPr>
                <w:p>
                  <w:pPr>
                    <w:pStyle w:val="63"/>
                    <w:keepNext w:val="0"/>
                    <w:keepLines w:val="0"/>
                    <w:pageBreakBefore w:val="0"/>
                    <w:widowControl w:val="0"/>
                    <w:suppressLineNumbers w:val="0"/>
                    <w:kinsoku/>
                    <w:wordWrap/>
                    <w:overflowPunct/>
                    <w:topLinePunct w:val="0"/>
                    <w:autoSpaceDN/>
                    <w:bidi w:val="0"/>
                    <w:adjustRightInd w:val="0"/>
                    <w:snapToGrid w:val="0"/>
                    <w:spacing w:before="0" w:beforeAutospacing="0"/>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017" w:type="pct"/>
                  <w:tcBorders>
                    <w:tl2br w:val="nil"/>
                    <w:tr2bl w:val="nil"/>
                  </w:tcBorders>
                  <w:shd w:val="clear" w:color="auto" w:fill="auto"/>
                  <w:vAlign w:val="center"/>
                </w:tcPr>
                <w:p>
                  <w:pPr>
                    <w:pStyle w:val="21"/>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val="0"/>
                      <w:color w:val="auto"/>
                      <w:kern w:val="2"/>
                      <w:sz w:val="21"/>
                      <w:szCs w:val="21"/>
                      <w:lang w:val="en-US" w:eastAsia="zh-CN"/>
                    </w:rPr>
                  </w:pPr>
                  <w:r>
                    <w:rPr>
                      <w:rFonts w:hint="eastAsia" w:ascii="宋体" w:hAnsi="宋体" w:eastAsia="宋体" w:cs="宋体"/>
                      <w:b w:val="0"/>
                      <w:bCs w:val="0"/>
                      <w:color w:val="auto"/>
                      <w:kern w:val="2"/>
                      <w:sz w:val="21"/>
                      <w:szCs w:val="21"/>
                      <w:lang w:val="en-US" w:eastAsia="zh-CN" w:bidi="ar"/>
                    </w:rPr>
                    <w:t>整治方案</w:t>
                  </w:r>
                </w:p>
                <w:p>
                  <w:pPr>
                    <w:pStyle w:val="21"/>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val="0"/>
                      <w:bCs w:val="0"/>
                      <w:color w:val="auto"/>
                      <w:kern w:val="0"/>
                      <w:sz w:val="21"/>
                      <w:szCs w:val="21"/>
                      <w:lang w:val="en-US" w:eastAsia="zh-CN"/>
                    </w:rPr>
                  </w:pPr>
                  <w:r>
                    <w:rPr>
                      <w:rFonts w:hint="eastAsia" w:ascii="宋体" w:hAnsi="宋体" w:eastAsia="宋体" w:cs="宋体"/>
                      <w:color w:val="auto"/>
                      <w:kern w:val="2"/>
                      <w:sz w:val="21"/>
                      <w:szCs w:val="21"/>
                      <w:lang w:val="en-US" w:eastAsia="zh-CN" w:bidi="ar"/>
                    </w:rPr>
                    <w:t>对于</w:t>
                  </w:r>
                  <w:r>
                    <w:rPr>
                      <w:rFonts w:hint="default" w:ascii="Times New Roman" w:hAnsi="Times New Roman" w:eastAsia="宋体" w:cs="Times New Roman"/>
                      <w:b w:val="0"/>
                      <w:bCs w:val="0"/>
                      <w:color w:val="auto"/>
                      <w:kern w:val="0"/>
                      <w:sz w:val="21"/>
                      <w:szCs w:val="21"/>
                      <w:lang w:val="en-US" w:eastAsia="zh-CN" w:bidi="ar"/>
                    </w:rPr>
                    <w:t>Ⅱ</w:t>
                  </w:r>
                  <w:r>
                    <w:rPr>
                      <w:rFonts w:hint="eastAsia" w:ascii="宋体" w:hAnsi="宋体" w:eastAsia="宋体" w:cs="宋体"/>
                      <w:color w:val="auto"/>
                      <w:kern w:val="2"/>
                      <w:sz w:val="21"/>
                      <w:szCs w:val="21"/>
                      <w:lang w:val="en-US" w:eastAsia="zh-CN" w:bidi="ar"/>
                    </w:rPr>
                    <w:t>类料堆场，除了选取半封闭仓库和防风抑尘网（墙）两种措施之一外，根据物料特性还应至少选取洒水、覆盖、干雾抑尘、喷洒抑尘剂四种抑尘措施之一。</w:t>
                  </w:r>
                </w:p>
              </w:tc>
              <w:tc>
                <w:tcPr>
                  <w:tcW w:w="2262" w:type="pct"/>
                  <w:tcBorders>
                    <w:tl2br w:val="nil"/>
                    <w:tr2bl w:val="nil"/>
                  </w:tcBorders>
                  <w:shd w:val="clear" w:color="auto" w:fill="auto"/>
                  <w:vAlign w:val="center"/>
                </w:tcPr>
                <w:p>
                  <w:pPr>
                    <w:pStyle w:val="63"/>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微软雅黑" w:cs="Times New Roman"/>
                      <w:color w:val="auto"/>
                      <w:kern w:val="0"/>
                      <w:sz w:val="21"/>
                      <w:szCs w:val="21"/>
                      <w:lang w:val="en-US" w:eastAsia="zh-CN"/>
                    </w:rPr>
                  </w:pPr>
                  <w:r>
                    <w:rPr>
                      <w:rFonts w:hint="eastAsia" w:ascii="宋体" w:hAnsi="宋体" w:eastAsia="宋体" w:cs="宋体"/>
                      <w:color w:val="auto"/>
                      <w:kern w:val="0"/>
                      <w:sz w:val="21"/>
                      <w:szCs w:val="21"/>
                      <w:lang w:val="en-US" w:eastAsia="zh-CN"/>
                    </w:rPr>
                    <w:t>本项目荒料堆篷布遮盖同时配套建设相应的洒水喷雾装置。</w:t>
                  </w:r>
                </w:p>
              </w:tc>
              <w:tc>
                <w:tcPr>
                  <w:tcW w:w="719" w:type="pct"/>
                  <w:tcBorders>
                    <w:tl2br w:val="nil"/>
                    <w:tr2bl w:val="nil"/>
                  </w:tcBorders>
                  <w:shd w:val="clear" w:color="auto" w:fill="auto"/>
                  <w:vAlign w:val="center"/>
                </w:tcPr>
                <w:p>
                  <w:pPr>
                    <w:pStyle w:val="63"/>
                    <w:keepNext w:val="0"/>
                    <w:keepLines w:val="0"/>
                    <w:pageBreakBefore w:val="0"/>
                    <w:widowControl w:val="0"/>
                    <w:suppressLineNumbers w:val="0"/>
                    <w:kinsoku/>
                    <w:wordWrap/>
                    <w:overflowPunct/>
                    <w:topLinePunct w:val="0"/>
                    <w:autoSpaceDN/>
                    <w:bidi w:val="0"/>
                    <w:adjustRightInd w:val="0"/>
                    <w:snapToGrid w:val="0"/>
                    <w:spacing w:before="0" w:beforeAutospacing="0"/>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ascii="宋体" w:hAnsi="宋体" w:eastAsia="宋体" w:cs="宋体"/>
                      <w:b w:val="0"/>
                      <w:bCs w:val="0"/>
                      <w:color w:val="auto"/>
                      <w:kern w:val="0"/>
                      <w:sz w:val="21"/>
                      <w:szCs w:val="21"/>
                      <w:lang w:val="en-US"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cs="Times New Roman"/>
                <w:b w:val="0"/>
                <w:bCs w:val="0"/>
                <w:color w:val="auto"/>
                <w:sz w:val="24"/>
                <w:szCs w:val="24"/>
                <w:lang w:val="en-US" w:eastAsia="zh-CN"/>
              </w:rPr>
              <w:t>10、</w:t>
            </w:r>
            <w:r>
              <w:rPr>
                <w:rFonts w:hint="eastAsia" w:ascii="Times New Roman" w:hAnsi="Times New Roman" w:eastAsia="宋体" w:cs="Times New Roman"/>
                <w:b w:val="0"/>
                <w:bCs w:val="0"/>
                <w:color w:val="auto"/>
                <w:sz w:val="24"/>
                <w:szCs w:val="24"/>
                <w:lang w:val="en-US" w:eastAsia="zh-CN"/>
              </w:rPr>
              <w:t>与《关于加快推进露天矿山综合整治工作实施意见的函》相符性分析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本项目与《关于加快推进露天矿山综合整治工作实施意见的函》相关内容对比见下表。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w:t>
            </w:r>
            <w:r>
              <w:rPr>
                <w:rFonts w:hint="default" w:ascii="Times New Roman" w:hAnsi="Times New Roman" w:eastAsia="宋体" w:cs="Times New Roman"/>
                <w:b/>
                <w:bCs/>
                <w:color w:val="auto"/>
                <w:sz w:val="22"/>
                <w:szCs w:val="22"/>
                <w:lang w:val="en-US" w:eastAsia="zh-CN"/>
              </w:rPr>
              <w:t>1-</w:t>
            </w:r>
            <w:r>
              <w:rPr>
                <w:rFonts w:hint="eastAsia" w:cs="Times New Roman"/>
                <w:b/>
                <w:bCs/>
                <w:color w:val="auto"/>
                <w:sz w:val="22"/>
                <w:szCs w:val="22"/>
                <w:lang w:val="en-US" w:eastAsia="zh-CN"/>
              </w:rPr>
              <w:t>7</w:t>
            </w:r>
            <w:r>
              <w:rPr>
                <w:rFonts w:hint="eastAsia" w:ascii="Times New Roman" w:hAnsi="Times New Roman" w:eastAsia="宋体" w:cs="Times New Roman"/>
                <w:b/>
                <w:bCs/>
                <w:color w:val="auto"/>
                <w:sz w:val="22"/>
                <w:szCs w:val="22"/>
                <w:lang w:val="en-US" w:eastAsia="zh-CN"/>
              </w:rPr>
              <w:t xml:space="preserve">  《关于加快推进露天矿山综合整治工作实施意见的函》主要内容与工程对比表</w:t>
            </w:r>
          </w:p>
          <w:tbl>
            <w:tblPr>
              <w:tblStyle w:val="23"/>
              <w:tblW w:w="495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01"/>
              <w:gridCol w:w="4456"/>
              <w:gridCol w:w="2632"/>
              <w:gridCol w:w="8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3" w:hRule="atLeast"/>
                <w:jc w:val="center"/>
              </w:trPr>
              <w:tc>
                <w:tcPr>
                  <w:tcW w:w="353"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序号</w:t>
                  </w:r>
                </w:p>
              </w:tc>
              <w:tc>
                <w:tcPr>
                  <w:tcW w:w="2619"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相关要求</w:t>
                  </w:r>
                </w:p>
              </w:tc>
              <w:tc>
                <w:tcPr>
                  <w:tcW w:w="1547"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本工程</w:t>
                  </w:r>
                </w:p>
              </w:tc>
              <w:tc>
                <w:tcPr>
                  <w:tcW w:w="478"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结论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18" w:hRule="atLeast"/>
                <w:jc w:val="center"/>
              </w:trPr>
              <w:tc>
                <w:tcPr>
                  <w:tcW w:w="353"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1</w:t>
                  </w:r>
                </w:p>
              </w:tc>
              <w:tc>
                <w:tcPr>
                  <w:tcW w:w="2619"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加强露天矿山生态修复。按照“谁开采、谁治理，边开采、边治理”原则，引导矿山按照绿色矿山建设行业标准，以环境影响报告书及批复、矿山地质环境保护与土地复垦方案等要求，开展生态修复。</w:t>
                  </w:r>
                </w:p>
              </w:tc>
              <w:tc>
                <w:tcPr>
                  <w:tcW w:w="1547"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本项目正在依法编制环评手续，为避免生态环境恶化，建设单位必须在开采完成后及时进行生态恢复。</w:t>
                  </w:r>
                </w:p>
              </w:tc>
              <w:tc>
                <w:tcPr>
                  <w:tcW w:w="478"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353"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2</w:t>
                  </w:r>
                </w:p>
              </w:tc>
              <w:tc>
                <w:tcPr>
                  <w:tcW w:w="2619"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严格控制新建露天矿山建设项目。严格贯彻国发〔</w:t>
                  </w:r>
                  <w:r>
                    <w:rPr>
                      <w:rFonts w:hint="default" w:ascii="Times New Roman" w:hAnsi="Times New Roman" w:eastAsia="宋体" w:cs="Times New Roman"/>
                      <w:color w:val="auto"/>
                      <w:kern w:val="0"/>
                      <w:sz w:val="21"/>
                      <w:szCs w:val="21"/>
                      <w:lang w:val="en-US" w:eastAsia="zh-CN" w:bidi="ar"/>
                    </w:rPr>
                    <w:t>2018</w:t>
                  </w: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22</w:t>
                  </w:r>
                  <w:r>
                    <w:rPr>
                      <w:rFonts w:hint="eastAsia" w:ascii="宋体" w:hAnsi="宋体" w:eastAsia="宋体" w:cs="宋体"/>
                      <w:color w:val="auto"/>
                      <w:kern w:val="0"/>
                      <w:sz w:val="21"/>
                      <w:szCs w:val="21"/>
                      <w:lang w:val="en-US" w:eastAsia="zh-CN" w:bidi="ar"/>
                    </w:rPr>
                    <w:t>号文件有关要求，重点区域原则上禁止新建露天矿山建设项目，国发〔</w:t>
                  </w:r>
                  <w:r>
                    <w:rPr>
                      <w:rFonts w:hint="default" w:ascii="Times New Roman" w:hAnsi="Times New Roman" w:eastAsia="宋体" w:cs="Times New Roman"/>
                      <w:color w:val="auto"/>
                      <w:kern w:val="0"/>
                      <w:sz w:val="21"/>
                      <w:szCs w:val="21"/>
                      <w:lang w:val="en-US" w:eastAsia="zh-CN" w:bidi="ar"/>
                    </w:rPr>
                    <w:t>2018</w:t>
                  </w: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22</w:t>
                  </w:r>
                  <w:r>
                    <w:rPr>
                      <w:rFonts w:hint="eastAsia" w:ascii="宋体" w:hAnsi="宋体" w:eastAsia="宋体" w:cs="宋体"/>
                      <w:color w:val="auto"/>
                      <w:kern w:val="0"/>
                      <w:sz w:val="21"/>
                      <w:szCs w:val="21"/>
                      <w:lang w:val="en-US" w:eastAsia="zh-CN" w:bidi="ar"/>
                    </w:rPr>
                    <w:t>号文件下发前环境影响评价文件已经批复的重点区域露天矿山，确需建设的，在严格落实生态环境保护、矿产资源规划和绿色矿山建设行业标准等要求前提下可继续批准建设。其他区域新建露天矿山建设项目，也应严格执行生态环境保护、矿产资源规划和绿色矿山建设行业标准等要求。</w:t>
                  </w:r>
                </w:p>
              </w:tc>
              <w:tc>
                <w:tcPr>
                  <w:tcW w:w="1547"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本</w:t>
                  </w:r>
                  <w:r>
                    <w:rPr>
                      <w:rFonts w:hint="default" w:ascii="Times New Roman" w:hAnsi="Times New Roman" w:eastAsia="宋体" w:cs="Times New Roman"/>
                      <w:color w:val="auto"/>
                      <w:kern w:val="0"/>
                      <w:sz w:val="21"/>
                      <w:szCs w:val="21"/>
                      <w:lang w:val="en-US" w:eastAsia="zh-CN" w:bidi="ar"/>
                    </w:rPr>
                    <w:t>项目位于和硕县城</w:t>
                  </w:r>
                  <w:r>
                    <w:rPr>
                      <w:rFonts w:hint="eastAsia" w:ascii="Times New Roman" w:hAnsi="Times New Roman" w:cs="Times New Roman"/>
                      <w:color w:val="auto"/>
                      <w:kern w:val="0"/>
                      <w:sz w:val="21"/>
                      <w:szCs w:val="21"/>
                      <w:lang w:val="en-US" w:eastAsia="zh-CN" w:bidi="ar"/>
                    </w:rPr>
                    <w:t>东南</w:t>
                  </w:r>
                  <w:r>
                    <w:rPr>
                      <w:rFonts w:hint="default" w:ascii="Times New Roman" w:hAnsi="Times New Roman" w:eastAsia="宋体" w:cs="Times New Roman"/>
                      <w:color w:val="auto"/>
                      <w:kern w:val="0"/>
                      <w:sz w:val="21"/>
                      <w:szCs w:val="21"/>
                      <w:lang w:val="en-US" w:eastAsia="zh-CN" w:bidi="ar"/>
                    </w:rPr>
                    <w:t>方向，直线距离约</w:t>
                  </w:r>
                  <w:r>
                    <w:rPr>
                      <w:rFonts w:hint="eastAsia" w:ascii="Times New Roman" w:hAnsi="Times New Roman" w:cs="Times New Roman"/>
                      <w:color w:val="auto"/>
                      <w:kern w:val="0"/>
                      <w:sz w:val="21"/>
                      <w:szCs w:val="21"/>
                      <w:lang w:val="en-US" w:eastAsia="zh-CN" w:bidi="ar"/>
                    </w:rPr>
                    <w:t>58</w:t>
                  </w:r>
                  <w:r>
                    <w:rPr>
                      <w:rFonts w:hint="default" w:ascii="Times New Roman" w:hAnsi="Times New Roman" w:eastAsia="宋体" w:cs="Times New Roman"/>
                      <w:color w:val="auto"/>
                      <w:kern w:val="0"/>
                      <w:sz w:val="21"/>
                      <w:szCs w:val="21"/>
                      <w:lang w:val="en-US" w:eastAsia="zh-CN" w:bidi="ar"/>
                    </w:rPr>
                    <w:t>km，</w:t>
                  </w:r>
                  <w:r>
                    <w:rPr>
                      <w:rFonts w:hint="eastAsia" w:ascii="宋体" w:hAnsi="宋体" w:eastAsia="宋体" w:cs="宋体"/>
                      <w:color w:val="auto"/>
                      <w:kern w:val="0"/>
                      <w:sz w:val="21"/>
                      <w:szCs w:val="21"/>
                      <w:lang w:val="en-US" w:eastAsia="zh-CN" w:bidi="ar"/>
                    </w:rPr>
                    <w:t>不位于重点地区，本项目已取得</w:t>
                  </w:r>
                  <w:r>
                    <w:rPr>
                      <w:rFonts w:hint="eastAsia" w:cs="宋体"/>
                      <w:color w:val="auto"/>
                      <w:kern w:val="0"/>
                      <w:sz w:val="21"/>
                      <w:szCs w:val="21"/>
                      <w:lang w:val="en-US" w:eastAsia="zh-CN" w:bidi="ar"/>
                    </w:rPr>
                    <w:t>和硕县</w:t>
                  </w:r>
                  <w:r>
                    <w:rPr>
                      <w:rFonts w:hint="eastAsia" w:ascii="宋体" w:hAnsi="宋体" w:eastAsia="宋体" w:cs="宋体"/>
                      <w:color w:val="auto"/>
                      <w:kern w:val="0"/>
                      <w:sz w:val="21"/>
                      <w:szCs w:val="21"/>
                      <w:lang w:val="en-US" w:eastAsia="zh-CN" w:bidi="ar"/>
                    </w:rPr>
                    <w:t>自然资源局出具的权属证明，用地无争议。</w:t>
                  </w:r>
                </w:p>
              </w:tc>
              <w:tc>
                <w:tcPr>
                  <w:tcW w:w="478" w:type="pct"/>
                  <w:tcBorders>
                    <w:tl2br w:val="nil"/>
                    <w:tr2bl w:val="nil"/>
                  </w:tcBorders>
                  <w:shd w:val="clear" w:color="auto" w:fill="auto"/>
                  <w:vAlign w:val="center"/>
                </w:tcPr>
                <w:p>
                  <w:pPr>
                    <w:pStyle w:val="21"/>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符合</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根据上表分析可知，本项目符合《关于加快推进露天矿山综合整治工作实施意见的函》相关要求。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11、</w:t>
            </w:r>
            <w:r>
              <w:rPr>
                <w:rFonts w:hint="eastAsia" w:ascii="Times New Roman" w:hAnsi="Times New Roman" w:eastAsia="宋体" w:cs="Times New Roman"/>
                <w:b w:val="0"/>
                <w:bCs w:val="0"/>
                <w:color w:val="auto"/>
                <w:sz w:val="24"/>
                <w:szCs w:val="24"/>
                <w:lang w:val="en-US" w:eastAsia="zh-CN"/>
              </w:rPr>
              <w:t>与《新疆维吾尔自治区大气污染防治条例》符合性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根据《新疆维吾尔自治区大气污染防治条例》，项目符合性分析见表</w:t>
            </w: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w:t>
            </w:r>
            <w:r>
              <w:rPr>
                <w:rFonts w:hint="default" w:ascii="Times New Roman" w:hAnsi="Times New Roman" w:eastAsia="宋体" w:cs="Times New Roman"/>
                <w:b/>
                <w:bCs/>
                <w:color w:val="auto"/>
                <w:sz w:val="22"/>
                <w:szCs w:val="22"/>
                <w:lang w:val="en-US" w:eastAsia="zh-CN"/>
              </w:rPr>
              <w:t>1-</w:t>
            </w:r>
            <w:r>
              <w:rPr>
                <w:rFonts w:hint="eastAsia" w:cs="Times New Roman"/>
                <w:b/>
                <w:bCs/>
                <w:color w:val="auto"/>
                <w:sz w:val="22"/>
                <w:szCs w:val="22"/>
                <w:lang w:val="en-US" w:eastAsia="zh-CN"/>
              </w:rPr>
              <w:t>8</w:t>
            </w:r>
            <w:r>
              <w:rPr>
                <w:rFonts w:hint="default" w:ascii="Times New Roman" w:hAnsi="Times New Roman" w:eastAsia="宋体" w:cs="Times New Roman"/>
                <w:b/>
                <w:bCs/>
                <w:color w:val="auto"/>
                <w:sz w:val="22"/>
                <w:szCs w:val="22"/>
                <w:lang w:val="en-US" w:eastAsia="zh-CN"/>
              </w:rPr>
              <w:t xml:space="preserve">  </w:t>
            </w:r>
            <w:r>
              <w:rPr>
                <w:rFonts w:hint="eastAsia" w:ascii="Times New Roman" w:hAnsi="Times New Roman" w:eastAsia="宋体" w:cs="Times New Roman"/>
                <w:b/>
                <w:bCs/>
                <w:color w:val="auto"/>
                <w:sz w:val="22"/>
                <w:szCs w:val="22"/>
                <w:lang w:val="en-US" w:eastAsia="zh-CN"/>
              </w:rPr>
              <w:t>项目与《新疆维吾尔自治区大气污染防治条例》符合性分析一览表</w:t>
            </w:r>
          </w:p>
          <w:tbl>
            <w:tblPr>
              <w:tblStyle w:val="23"/>
              <w:tblW w:w="494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34"/>
              <w:gridCol w:w="4904"/>
              <w:gridCol w:w="2167"/>
              <w:gridCol w:w="7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373" w:type="pct"/>
                  <w:tcBorders>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bidi="ar"/>
                    </w:rPr>
                    <w:t>序号</w:t>
                  </w:r>
                </w:p>
              </w:tc>
              <w:tc>
                <w:tcPr>
                  <w:tcW w:w="2887" w:type="pct"/>
                  <w:tcBorders>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jc w:val="center"/>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相关要求</w:t>
                  </w:r>
                </w:p>
              </w:tc>
              <w:tc>
                <w:tcPr>
                  <w:tcW w:w="1276" w:type="pct"/>
                  <w:tcBorders>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bidi="ar"/>
                    </w:rPr>
                    <w:t>项目情况</w:t>
                  </w:r>
                </w:p>
              </w:tc>
              <w:tc>
                <w:tcPr>
                  <w:tcW w:w="462" w:type="pct"/>
                  <w:tcBorders>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bidi="ar"/>
                    </w:rPr>
                    <w:t>结论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79" w:hRule="atLeast"/>
                <w:jc w:val="center"/>
              </w:trPr>
              <w:tc>
                <w:tcPr>
                  <w:tcW w:w="373" w:type="pct"/>
                  <w:tcBorders>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jc w:val="center"/>
                    <w:rPr>
                      <w:rFonts w:hint="eastAsia" w:ascii="宋体" w:hAnsi="宋体" w:eastAsia="宋体" w:cs="宋体"/>
                      <w:color w:val="auto"/>
                      <w:sz w:val="21"/>
                      <w:szCs w:val="21"/>
                    </w:rPr>
                  </w:pPr>
                  <w:r>
                    <w:rPr>
                      <w:rFonts w:hint="default" w:ascii="Times New Roman" w:hAnsi="Times New Roman" w:eastAsia="宋体" w:cs="Times New Roman"/>
                      <w:color w:val="auto"/>
                      <w:sz w:val="21"/>
                      <w:szCs w:val="21"/>
                    </w:rPr>
                    <w:t>1</w:t>
                  </w:r>
                </w:p>
              </w:tc>
              <w:tc>
                <w:tcPr>
                  <w:tcW w:w="2887" w:type="pct"/>
                  <w:tcBorders>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各级人民政府应当实行煤炭消费总量控制制度，采取有利于煤炭消费总量削减的经济、技术政策和措施，鼓励和支持清洁能源的开发利用，引导企业开展清洁能源替代，减少煤炭生产、使用、转化过程中的大气污染物排放。</w:t>
                  </w:r>
                </w:p>
              </w:tc>
              <w:tc>
                <w:tcPr>
                  <w:tcW w:w="1276" w:type="pct"/>
                  <w:tcBorders>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lang w:bidi="ar"/>
                    </w:rPr>
                    <w:t>本项目为</w:t>
                  </w:r>
                  <w:r>
                    <w:rPr>
                      <w:rFonts w:hint="eastAsia" w:ascii="宋体" w:hAnsi="宋体" w:cs="宋体"/>
                      <w:color w:val="auto"/>
                      <w:sz w:val="21"/>
                      <w:szCs w:val="21"/>
                      <w:lang w:eastAsia="zh-CN" w:bidi="ar"/>
                    </w:rPr>
                    <w:t>花岗岩矿</w:t>
                  </w:r>
                  <w:r>
                    <w:rPr>
                      <w:rFonts w:hint="eastAsia" w:ascii="宋体" w:hAnsi="宋体" w:eastAsia="宋体" w:cs="宋体"/>
                      <w:color w:val="auto"/>
                      <w:sz w:val="21"/>
                      <w:szCs w:val="21"/>
                      <w:lang w:bidi="ar"/>
                    </w:rPr>
                    <w:t>项目，生产不用热，矿山冬季不进行施工作业，无工作人员。</w:t>
                  </w:r>
                </w:p>
              </w:tc>
              <w:tc>
                <w:tcPr>
                  <w:tcW w:w="462" w:type="pct"/>
                  <w:tcBorders>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3" w:type="pct"/>
                  <w:tcBorders>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p>
              </w:tc>
              <w:tc>
                <w:tcPr>
                  <w:tcW w:w="2887" w:type="pct"/>
                  <w:tcBorders>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推进城市建成区、工业园区实行集中供热，使用清洁燃料。在集中供热管网覆盖区域内，禁止新建、改建、扩建燃煤供热锅炉，集中供热管网覆盖前，已建成使用的燃煤供热锅炉应当限期停止使用。</w:t>
                  </w:r>
                </w:p>
              </w:tc>
              <w:tc>
                <w:tcPr>
                  <w:tcW w:w="1276" w:type="pct"/>
                  <w:tcBorders>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bidi="ar"/>
                    </w:rPr>
                    <w:t>矿山冬季不进行施工作业，无工作人员。</w:t>
                  </w:r>
                </w:p>
              </w:tc>
              <w:tc>
                <w:tcPr>
                  <w:tcW w:w="462" w:type="pct"/>
                  <w:tcBorders>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30" w:hRule="atLeast"/>
                <w:jc w:val="center"/>
              </w:trPr>
              <w:tc>
                <w:tcPr>
                  <w:tcW w:w="373" w:type="pct"/>
                  <w:tcBorders>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w:t>
                  </w:r>
                </w:p>
              </w:tc>
              <w:tc>
                <w:tcPr>
                  <w:tcW w:w="2887" w:type="pct"/>
                  <w:tcBorders>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在集中供热未覆盖的区域，鼓励使用清洁能源替代，推广使用高效节能环保型锅炉。</w:t>
                  </w:r>
                </w:p>
              </w:tc>
              <w:tc>
                <w:tcPr>
                  <w:tcW w:w="1276" w:type="pct"/>
                  <w:tcBorders>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rPr>
                      <w:rFonts w:hint="default" w:ascii="Times New Roman" w:hAnsi="Times New Roman" w:eastAsia="宋体" w:cs="Times New Roman"/>
                      <w:color w:val="auto"/>
                      <w:kern w:val="0"/>
                      <w:sz w:val="21"/>
                      <w:szCs w:val="21"/>
                    </w:rPr>
                  </w:pPr>
                  <w:r>
                    <w:rPr>
                      <w:rFonts w:hint="eastAsia" w:ascii="宋体" w:hAnsi="宋体" w:eastAsia="宋体" w:cs="宋体"/>
                      <w:color w:val="auto"/>
                      <w:sz w:val="21"/>
                      <w:szCs w:val="21"/>
                      <w:lang w:bidi="ar"/>
                    </w:rPr>
                    <w:t>矿山冬季不进行施工作业，无工作人员。</w:t>
                  </w:r>
                </w:p>
              </w:tc>
              <w:tc>
                <w:tcPr>
                  <w:tcW w:w="462" w:type="pct"/>
                  <w:tcBorders>
                    <w:tl2br w:val="nil"/>
                    <w:tr2bl w:val="nil"/>
                  </w:tcBorders>
                  <w:noWrap w:val="0"/>
                  <w:vAlign w:val="center"/>
                </w:tcPr>
                <w:p>
                  <w:pPr>
                    <w:keepNext w:val="0"/>
                    <w:keepLines w:val="0"/>
                    <w:suppressLineNumbers w:val="0"/>
                    <w:overflowPunct w:val="0"/>
                    <w:autoSpaceDE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bidi="ar"/>
                    </w:rPr>
                    <w:t>符合</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w:t>
            </w:r>
            <w:r>
              <w:rPr>
                <w:rFonts w:hint="eastAsia" w:cs="Times New Roman"/>
                <w:b w:val="0"/>
                <w:bCs w:val="0"/>
                <w:color w:val="auto"/>
                <w:sz w:val="24"/>
                <w:szCs w:val="24"/>
                <w:lang w:val="en-US" w:eastAsia="zh-CN"/>
              </w:rPr>
              <w:t>2、</w:t>
            </w:r>
            <w:r>
              <w:rPr>
                <w:rFonts w:hint="eastAsia" w:ascii="Times New Roman" w:hAnsi="Times New Roman" w:eastAsia="宋体" w:cs="Times New Roman"/>
                <w:b w:val="0"/>
                <w:bCs w:val="0"/>
                <w:color w:val="auto"/>
                <w:sz w:val="24"/>
                <w:szCs w:val="24"/>
                <w:lang w:val="en-US" w:eastAsia="zh-CN"/>
              </w:rPr>
              <w:t>与《非金属矿行业绿色矿山建设规范》（</w:t>
            </w:r>
            <w:r>
              <w:rPr>
                <w:rFonts w:hint="default" w:ascii="Times New Roman" w:hAnsi="Times New Roman" w:eastAsia="宋体" w:cs="Times New Roman"/>
                <w:b w:val="0"/>
                <w:bCs w:val="0"/>
                <w:color w:val="auto"/>
                <w:sz w:val="24"/>
                <w:szCs w:val="24"/>
                <w:lang w:val="en-US" w:eastAsia="zh-CN"/>
              </w:rPr>
              <w:t>DZ/T 0312-2018</w:t>
            </w:r>
            <w:r>
              <w:rPr>
                <w:rFonts w:hint="eastAsia" w:ascii="Times New Roman" w:hAnsi="Times New Roman" w:eastAsia="宋体" w:cs="Times New Roman"/>
                <w:b w:val="0"/>
                <w:bCs w:val="0"/>
                <w:color w:val="auto"/>
                <w:sz w:val="24"/>
                <w:szCs w:val="24"/>
                <w:lang w:val="en-US" w:eastAsia="zh-CN"/>
              </w:rPr>
              <w:t>）符合性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根据《非金属矿行业绿色矿山建设规范》（</w:t>
            </w:r>
            <w:r>
              <w:rPr>
                <w:rFonts w:hint="default" w:ascii="Times New Roman" w:hAnsi="Times New Roman" w:eastAsia="宋体" w:cs="Times New Roman"/>
                <w:color w:val="auto"/>
                <w:sz w:val="24"/>
                <w:szCs w:val="24"/>
                <w:lang w:val="en-US" w:eastAsia="zh-CN"/>
              </w:rPr>
              <w:t>DZ/T 0312-2018</w:t>
            </w:r>
            <w:r>
              <w:rPr>
                <w:rFonts w:hint="eastAsia" w:ascii="Times New Roman" w:hAnsi="Times New Roman" w:eastAsia="宋体" w:cs="Times New Roman"/>
                <w:color w:val="auto"/>
                <w:sz w:val="24"/>
                <w:szCs w:val="24"/>
                <w:lang w:val="en-US" w:eastAsia="zh-CN"/>
              </w:rPr>
              <w:t>），项目符合性分析见表</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9。</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w:t>
            </w:r>
            <w:r>
              <w:rPr>
                <w:rFonts w:hint="default" w:ascii="Times New Roman" w:hAnsi="Times New Roman" w:eastAsia="宋体" w:cs="Times New Roman"/>
                <w:b/>
                <w:bCs/>
                <w:color w:val="auto"/>
                <w:sz w:val="22"/>
                <w:szCs w:val="22"/>
                <w:lang w:val="en-US" w:eastAsia="zh-CN"/>
              </w:rPr>
              <w:t>1-</w:t>
            </w:r>
            <w:r>
              <w:rPr>
                <w:rFonts w:hint="eastAsia" w:ascii="Times New Roman" w:hAnsi="Times New Roman" w:eastAsia="宋体" w:cs="Times New Roman"/>
                <w:b/>
                <w:bCs/>
                <w:color w:val="auto"/>
                <w:sz w:val="22"/>
                <w:szCs w:val="22"/>
                <w:lang w:val="en-US" w:eastAsia="zh-CN"/>
              </w:rPr>
              <w:t>9</w:t>
            </w:r>
            <w:r>
              <w:rPr>
                <w:rFonts w:hint="default" w:ascii="Times New Roman" w:hAnsi="Times New Roman" w:eastAsia="宋体" w:cs="Times New Roman"/>
                <w:b/>
                <w:bCs/>
                <w:color w:val="auto"/>
                <w:sz w:val="22"/>
                <w:szCs w:val="22"/>
                <w:lang w:val="en-US" w:eastAsia="zh-CN"/>
              </w:rPr>
              <w:t xml:space="preserve">  </w:t>
            </w:r>
            <w:r>
              <w:rPr>
                <w:rFonts w:hint="eastAsia" w:ascii="Times New Roman" w:hAnsi="Times New Roman" w:eastAsia="宋体" w:cs="Times New Roman"/>
                <w:b/>
                <w:bCs/>
                <w:color w:val="auto"/>
                <w:sz w:val="22"/>
                <w:szCs w:val="22"/>
                <w:lang w:val="en-US" w:eastAsia="zh-CN"/>
              </w:rPr>
              <w:t>项目与《非金属矿行业绿色矿山建设规范》（</w:t>
            </w:r>
            <w:r>
              <w:rPr>
                <w:rFonts w:hint="default" w:ascii="Times New Roman" w:hAnsi="Times New Roman" w:eastAsia="宋体" w:cs="Times New Roman"/>
                <w:b/>
                <w:bCs/>
                <w:color w:val="auto"/>
                <w:sz w:val="22"/>
                <w:szCs w:val="22"/>
                <w:lang w:val="en-US" w:eastAsia="zh-CN"/>
              </w:rPr>
              <w:t>DZ/T 0312-2018</w:t>
            </w:r>
            <w:r>
              <w:rPr>
                <w:rFonts w:hint="eastAsia" w:ascii="Times New Roman" w:hAnsi="Times New Roman" w:eastAsia="宋体" w:cs="Times New Roman"/>
                <w:b/>
                <w:bCs/>
                <w:color w:val="auto"/>
                <w:sz w:val="22"/>
                <w:szCs w:val="22"/>
                <w:lang w:val="en-US" w:eastAsia="zh-CN"/>
              </w:rPr>
              <w:t>）符合性分析一览表</w:t>
            </w:r>
          </w:p>
          <w:tbl>
            <w:tblPr>
              <w:tblStyle w:val="23"/>
              <w:tblW w:w="495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737"/>
              <w:gridCol w:w="3320"/>
              <w:gridCol w:w="3576"/>
              <w:gridCol w:w="8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433"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序号</w:t>
                  </w:r>
                </w:p>
              </w:tc>
              <w:tc>
                <w:tcPr>
                  <w:tcW w:w="1952"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相关要求</w:t>
                  </w:r>
                </w:p>
              </w:tc>
              <w:tc>
                <w:tcPr>
                  <w:tcW w:w="2102"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项目情况</w:t>
                  </w:r>
                </w:p>
              </w:tc>
              <w:tc>
                <w:tcPr>
                  <w:tcW w:w="511"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结论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932" w:hRule="atLeast"/>
                <w:jc w:val="center"/>
              </w:trPr>
              <w:tc>
                <w:tcPr>
                  <w:tcW w:w="433"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eastAsia" w:ascii="宋体" w:hAnsi="宋体" w:eastAsia="宋体" w:cs="宋体"/>
                      <w:color w:val="auto"/>
                      <w:kern w:val="2"/>
                      <w:sz w:val="21"/>
                      <w:szCs w:val="21"/>
                    </w:rPr>
                  </w:pPr>
                  <w:r>
                    <w:rPr>
                      <w:rFonts w:hint="default" w:ascii="Times New Roman" w:hAnsi="Times New Roman" w:eastAsia="宋体" w:cs="Times New Roman"/>
                      <w:color w:val="auto"/>
                      <w:kern w:val="2"/>
                      <w:sz w:val="21"/>
                      <w:szCs w:val="21"/>
                      <w:lang w:val="en-US" w:eastAsia="zh-CN" w:bidi="ar"/>
                    </w:rPr>
                    <w:t>1</w:t>
                  </w:r>
                </w:p>
              </w:tc>
              <w:tc>
                <w:tcPr>
                  <w:tcW w:w="1952" w:type="pct"/>
                  <w:tcBorders>
                    <w:tl2br w:val="nil"/>
                    <w:tr2bl w:val="nil"/>
                  </w:tcBorders>
                  <w:shd w:val="clear" w:color="auto" w:fill="auto"/>
                  <w:vAlign w:val="center"/>
                </w:tcPr>
                <w:p>
                  <w:pPr>
                    <w:pStyle w:val="21"/>
                    <w:keepNext w:val="0"/>
                    <w:keepLines w:val="0"/>
                    <w:widowControl/>
                    <w:suppressLineNumbers w:val="0"/>
                    <w:overflowPunct w:val="0"/>
                    <w:snapToGrid w:val="0"/>
                    <w:spacing w:before="0" w:beforeLines="0" w:beforeAutospacing="0" w:after="0" w:afterLines="0" w:afterAutospacing="0" w:line="240" w:lineRule="atLeast"/>
                    <w:ind w:left="0" w:leftChars="0" w:right="0" w:rightChars="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矿山应采用喷雾、洒水、湿式凿岩、加设除尘装置等措施处置采选、运输等过程中产生的粉尘。</w:t>
                  </w:r>
                </w:p>
              </w:tc>
              <w:tc>
                <w:tcPr>
                  <w:tcW w:w="2102" w:type="pct"/>
                  <w:tcBorders>
                    <w:tl2br w:val="nil"/>
                    <w:tr2bl w:val="nil"/>
                  </w:tcBorders>
                  <w:shd w:val="clear" w:color="auto" w:fill="auto"/>
                  <w:vAlign w:val="center"/>
                </w:tcPr>
                <w:p>
                  <w:pPr>
                    <w:pStyle w:val="21"/>
                    <w:keepNext w:val="0"/>
                    <w:keepLines w:val="0"/>
                    <w:widowControl/>
                    <w:suppressLineNumbers w:val="0"/>
                    <w:overflowPunct w:val="0"/>
                    <w:snapToGrid w:val="0"/>
                    <w:spacing w:before="0" w:beforeLines="0" w:beforeAutospacing="0" w:after="0" w:afterLines="0" w:afterAutospacing="0" w:line="240" w:lineRule="atLeast"/>
                    <w:ind w:left="0" w:leftChars="0" w:right="0" w:rightChars="0"/>
                    <w:jc w:val="both"/>
                    <w:rPr>
                      <w:rFonts w:hint="default" w:ascii="Times New Roman" w:hAnsi="Times New Roman" w:eastAsia="黑体" w:cs="Times New Roman"/>
                      <w:color w:val="auto"/>
                      <w:kern w:val="0"/>
                      <w:sz w:val="21"/>
                      <w:szCs w:val="21"/>
                      <w:lang w:val="en-US" w:eastAsia="zh-CN"/>
                    </w:rPr>
                  </w:pPr>
                  <w:r>
                    <w:rPr>
                      <w:rFonts w:hint="eastAsia" w:ascii="宋体" w:hAnsi="宋体" w:eastAsia="宋体" w:cs="宋体"/>
                      <w:color w:val="auto"/>
                      <w:kern w:val="0"/>
                      <w:sz w:val="21"/>
                      <w:szCs w:val="21"/>
                      <w:lang w:val="en-US" w:eastAsia="zh-CN" w:bidi="ar"/>
                    </w:rPr>
                    <w:t>本项目开采采用湿式凿岩，运输扬尘采取洒水车路面洒水抑尘、控制车速；堆场扬尘采取洒水抑尘，篷布遮盖治理；运输车辆低速行驶并加盖篷布减少粉尘</w:t>
                  </w:r>
                  <w:r>
                    <w:rPr>
                      <w:rFonts w:hint="eastAsia" w:ascii="Times New Roman" w:hAnsi="Times New Roman" w:eastAsia="黑体" w:cs="Times New Roman"/>
                      <w:color w:val="auto"/>
                      <w:kern w:val="0"/>
                      <w:sz w:val="21"/>
                      <w:szCs w:val="21"/>
                      <w:lang w:val="en-US" w:eastAsia="zh-CN"/>
                    </w:rPr>
                    <w:t>。</w:t>
                  </w:r>
                </w:p>
              </w:tc>
              <w:tc>
                <w:tcPr>
                  <w:tcW w:w="511"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433"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w:t>
                  </w:r>
                </w:p>
              </w:tc>
              <w:tc>
                <w:tcPr>
                  <w:tcW w:w="1952" w:type="pct"/>
                  <w:tcBorders>
                    <w:tl2br w:val="nil"/>
                    <w:tr2bl w:val="nil"/>
                  </w:tcBorders>
                  <w:shd w:val="clear" w:color="auto" w:fill="auto"/>
                  <w:vAlign w:val="center"/>
                </w:tcPr>
                <w:p>
                  <w:pPr>
                    <w:pStyle w:val="21"/>
                    <w:keepNext w:val="0"/>
                    <w:keepLines w:val="0"/>
                    <w:widowControl/>
                    <w:suppressLineNumbers w:val="0"/>
                    <w:overflowPunct w:val="0"/>
                    <w:snapToGrid w:val="0"/>
                    <w:spacing w:before="0" w:beforeLines="0" w:beforeAutospacing="0" w:after="0" w:afterLines="0" w:afterAutospacing="0" w:line="240" w:lineRule="atLeast"/>
                    <w:ind w:left="0" w:leftChars="0" w:right="0" w:rightChars="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矿山尾矿、废石等固体废弃物应有专用贮存、处置场所。</w:t>
                  </w:r>
                </w:p>
              </w:tc>
              <w:tc>
                <w:tcPr>
                  <w:tcW w:w="2102" w:type="pct"/>
                  <w:tcBorders>
                    <w:tl2br w:val="nil"/>
                    <w:tr2bl w:val="nil"/>
                  </w:tcBorders>
                  <w:shd w:val="clear" w:color="auto" w:fill="auto"/>
                  <w:vAlign w:val="center"/>
                </w:tcPr>
                <w:p>
                  <w:pPr>
                    <w:pStyle w:val="21"/>
                    <w:keepNext w:val="0"/>
                    <w:keepLines w:val="0"/>
                    <w:widowControl/>
                    <w:suppressLineNumbers w:val="0"/>
                    <w:overflowPunct w:val="0"/>
                    <w:snapToGrid w:val="0"/>
                    <w:spacing w:before="0" w:beforeLines="0" w:beforeAutospacing="0" w:after="0" w:afterLines="0" w:afterAutospacing="0" w:line="240" w:lineRule="atLeast"/>
                    <w:ind w:left="0" w:leftChars="0" w:right="0" w:rightChars="0"/>
                    <w:jc w:val="left"/>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本项目</w:t>
                  </w:r>
                  <w:r>
                    <w:rPr>
                      <w:rFonts w:hint="default" w:ascii="Times New Roman" w:hAnsi="Times New Roman" w:eastAsia="宋体" w:cs="Times New Roman"/>
                      <w:color w:val="auto"/>
                      <w:kern w:val="0"/>
                      <w:sz w:val="21"/>
                      <w:szCs w:val="21"/>
                    </w:rPr>
                    <w:t>废石暂时堆放在废石场，全部用作回填采坑</w:t>
                  </w:r>
                  <w:r>
                    <w:rPr>
                      <w:rFonts w:hint="eastAsia" w:ascii="Times New Roman" w:hAnsi="Times New Roman" w:eastAsia="宋体" w:cs="Times New Roman"/>
                      <w:color w:val="auto"/>
                      <w:kern w:val="0"/>
                      <w:sz w:val="21"/>
                      <w:szCs w:val="21"/>
                      <w:lang w:eastAsia="zh-CN"/>
                    </w:rPr>
                    <w:t>。</w:t>
                  </w:r>
                </w:p>
              </w:tc>
              <w:tc>
                <w:tcPr>
                  <w:tcW w:w="511"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433"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w:t>
                  </w:r>
                </w:p>
              </w:tc>
              <w:tc>
                <w:tcPr>
                  <w:tcW w:w="1952"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both"/>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应贯彻“边开采、边治理、边恢复”的原则，及时治理恢复矿山地质环境，复垦矿山压占和损毁土地。</w:t>
                  </w:r>
                </w:p>
              </w:tc>
              <w:tc>
                <w:tcPr>
                  <w:tcW w:w="2102"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按照</w:t>
                  </w:r>
                  <w:r>
                    <w:rPr>
                      <w:rFonts w:hint="eastAsia" w:ascii="宋体" w:hAnsi="宋体" w:eastAsia="宋体" w:cs="宋体"/>
                      <w:color w:val="auto"/>
                      <w:kern w:val="0"/>
                      <w:sz w:val="21"/>
                      <w:szCs w:val="21"/>
                    </w:rPr>
                    <w:t>“边开采，边治理、边恢复”的方</w:t>
                  </w:r>
                  <w:r>
                    <w:rPr>
                      <w:rFonts w:hint="default" w:ascii="Times New Roman" w:hAnsi="Times New Roman" w:eastAsia="宋体" w:cs="Times New Roman"/>
                      <w:color w:val="auto"/>
                      <w:kern w:val="0"/>
                      <w:sz w:val="21"/>
                      <w:szCs w:val="21"/>
                    </w:rPr>
                    <w:t>针，制定详细的矿山生态环境治理恢复方案，并严格落实，从矿山生产收益中抽取一定比例作为矿山生态环境治理资金</w:t>
                  </w:r>
                </w:p>
              </w:tc>
              <w:tc>
                <w:tcPr>
                  <w:tcW w:w="511"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30" w:hRule="atLeast"/>
                <w:jc w:val="center"/>
              </w:trPr>
              <w:tc>
                <w:tcPr>
                  <w:tcW w:w="433"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4</w:t>
                  </w:r>
                </w:p>
              </w:tc>
              <w:tc>
                <w:tcPr>
                  <w:tcW w:w="1952"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both"/>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露天开采宜采用剥离</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排土</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开采</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造地</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复垦技术。</w:t>
                  </w:r>
                </w:p>
              </w:tc>
              <w:tc>
                <w:tcPr>
                  <w:tcW w:w="2102"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both"/>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本项目露天开采采用剥离</w:t>
                  </w: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排土</w:t>
                  </w: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开采</w:t>
                  </w: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造地</w:t>
                  </w: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复垦技术。</w:t>
                  </w:r>
                </w:p>
              </w:tc>
              <w:tc>
                <w:tcPr>
                  <w:tcW w:w="511"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符合</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w:t>
            </w:r>
            <w:r>
              <w:rPr>
                <w:rFonts w:hint="eastAsia" w:cs="Times New Roman"/>
                <w:b w:val="0"/>
                <w:bCs w:val="0"/>
                <w:color w:val="auto"/>
                <w:sz w:val="24"/>
                <w:szCs w:val="24"/>
                <w:lang w:val="en-US" w:eastAsia="zh-CN"/>
              </w:rPr>
              <w:t>3、</w:t>
            </w:r>
            <w:r>
              <w:rPr>
                <w:rFonts w:hint="eastAsia" w:ascii="Times New Roman" w:hAnsi="Times New Roman" w:eastAsia="宋体" w:cs="Times New Roman"/>
                <w:b w:val="0"/>
                <w:bCs w:val="0"/>
                <w:color w:val="auto"/>
                <w:sz w:val="24"/>
                <w:szCs w:val="24"/>
                <w:lang w:val="en-US" w:eastAsia="zh-CN"/>
              </w:rPr>
              <w:t>与《新疆生态环境保护“十四五”规划》符合性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根据《新疆生态环境保护“十四五”规划》，项目符合性分析见表</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10。</w:t>
            </w:r>
          </w:p>
          <w:p>
            <w:pPr>
              <w:pStyle w:val="2"/>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w:t>
            </w:r>
            <w:r>
              <w:rPr>
                <w:rFonts w:hint="default" w:ascii="Times New Roman" w:hAnsi="Times New Roman" w:eastAsia="宋体" w:cs="Times New Roman"/>
                <w:b/>
                <w:bCs/>
                <w:color w:val="auto"/>
                <w:sz w:val="22"/>
                <w:szCs w:val="22"/>
                <w:lang w:val="en-US" w:eastAsia="zh-CN"/>
              </w:rPr>
              <w:t>1-</w:t>
            </w:r>
            <w:r>
              <w:rPr>
                <w:rFonts w:hint="eastAsia" w:ascii="Times New Roman" w:hAnsi="Times New Roman" w:eastAsia="宋体" w:cs="Times New Roman"/>
                <w:b/>
                <w:bCs/>
                <w:color w:val="auto"/>
                <w:sz w:val="22"/>
                <w:szCs w:val="22"/>
                <w:lang w:val="en-US" w:eastAsia="zh-CN"/>
              </w:rPr>
              <w:t>10</w:t>
            </w:r>
            <w:r>
              <w:rPr>
                <w:rFonts w:hint="default" w:ascii="Times New Roman" w:hAnsi="Times New Roman" w:eastAsia="宋体" w:cs="Times New Roman"/>
                <w:b/>
                <w:bCs/>
                <w:color w:val="auto"/>
                <w:sz w:val="22"/>
                <w:szCs w:val="22"/>
                <w:lang w:val="en-US" w:eastAsia="zh-CN"/>
              </w:rPr>
              <w:t xml:space="preserve">  </w:t>
            </w:r>
            <w:r>
              <w:rPr>
                <w:rFonts w:hint="eastAsia" w:ascii="Times New Roman" w:hAnsi="Times New Roman" w:eastAsia="宋体" w:cs="Times New Roman"/>
                <w:b/>
                <w:bCs/>
                <w:color w:val="auto"/>
                <w:sz w:val="22"/>
                <w:szCs w:val="22"/>
                <w:lang w:val="en-US" w:eastAsia="zh-CN"/>
              </w:rPr>
              <w:t>项目与《新疆生态环境保护“十四五”规划》符合性分析一览表</w:t>
            </w:r>
          </w:p>
          <w:tbl>
            <w:tblPr>
              <w:tblStyle w:val="23"/>
              <w:tblW w:w="494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714"/>
              <w:gridCol w:w="4493"/>
              <w:gridCol w:w="2404"/>
              <w:gridCol w:w="8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60" w:hRule="atLeast"/>
                <w:jc w:val="center"/>
              </w:trPr>
              <w:tc>
                <w:tcPr>
                  <w:tcW w:w="421"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序号</w:t>
                  </w:r>
                </w:p>
              </w:tc>
              <w:tc>
                <w:tcPr>
                  <w:tcW w:w="2649"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lang w:val="en-US" w:eastAsia="zh-CN" w:bidi="ar"/>
                    </w:rPr>
                    <w:t>相关要求</w:t>
                  </w:r>
                </w:p>
              </w:tc>
              <w:tc>
                <w:tcPr>
                  <w:tcW w:w="1417"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项目情况</w:t>
                  </w:r>
                </w:p>
              </w:tc>
              <w:tc>
                <w:tcPr>
                  <w:tcW w:w="511"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结论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1379" w:hRule="atLeast"/>
                <w:jc w:val="center"/>
              </w:trPr>
              <w:tc>
                <w:tcPr>
                  <w:tcW w:w="421"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eastAsia" w:ascii="宋体" w:hAnsi="宋体" w:eastAsia="宋体" w:cs="宋体"/>
                      <w:color w:val="auto"/>
                      <w:kern w:val="2"/>
                      <w:sz w:val="21"/>
                      <w:szCs w:val="21"/>
                    </w:rPr>
                  </w:pPr>
                  <w:r>
                    <w:rPr>
                      <w:rFonts w:hint="default" w:ascii="Times New Roman" w:hAnsi="Times New Roman" w:eastAsia="宋体" w:cs="Times New Roman"/>
                      <w:color w:val="auto"/>
                      <w:kern w:val="2"/>
                      <w:sz w:val="21"/>
                      <w:szCs w:val="21"/>
                      <w:lang w:val="en-US" w:eastAsia="zh-CN" w:bidi="ar"/>
                    </w:rPr>
                    <w:t>1</w:t>
                  </w:r>
                </w:p>
              </w:tc>
              <w:tc>
                <w:tcPr>
                  <w:tcW w:w="2649" w:type="pct"/>
                  <w:tcBorders>
                    <w:tl2br w:val="nil"/>
                    <w:tr2bl w:val="nil"/>
                  </w:tcBorders>
                  <w:shd w:val="clear" w:color="auto" w:fill="auto"/>
                  <w:vAlign w:val="center"/>
                </w:tcPr>
                <w:p>
                  <w:pPr>
                    <w:pStyle w:val="21"/>
                    <w:keepNext w:val="0"/>
                    <w:keepLines w:val="0"/>
                    <w:widowControl/>
                    <w:suppressLineNumbers w:val="0"/>
                    <w:overflowPunct w:val="0"/>
                    <w:snapToGrid w:val="0"/>
                    <w:spacing w:before="0" w:beforeLines="0" w:beforeAutospacing="0" w:after="0" w:afterLines="0" w:afterAutospacing="0" w:line="240" w:lineRule="atLeast"/>
                    <w:ind w:left="0" w:leftChars="0" w:right="0" w:rightChars="0"/>
                    <w:jc w:val="left"/>
                    <w:rPr>
                      <w:rFonts w:hint="eastAsia" w:ascii="Times New Roman" w:hAnsi="Times New Roman" w:eastAsia="黑体" w:cs="Times New Roman"/>
                      <w:color w:val="auto"/>
                      <w:kern w:val="0"/>
                      <w:sz w:val="21"/>
                      <w:szCs w:val="21"/>
                      <w:lang w:val="en-US" w:eastAsia="zh-CN" w:bidi="ar-SA"/>
                    </w:rPr>
                  </w:pPr>
                  <w:r>
                    <w:rPr>
                      <w:rFonts w:hint="eastAsia" w:ascii="宋体" w:hAnsi="宋体" w:eastAsia="宋体" w:cs="宋体"/>
                      <w:color w:val="auto"/>
                      <w:kern w:val="0"/>
                      <w:sz w:val="21"/>
                      <w:szCs w:val="21"/>
                      <w:lang w:val="en-US" w:eastAsia="zh-CN" w:bidi="ar"/>
                    </w:rPr>
                    <w:t>健全国土空间开发保护制度。完善国土空间规划体系，划定并严格落实“三区三线”，明晰生态、农业、城镇三类空间及生态保护红线、永久基本农田、城镇开发边界三条控制线，持续优化城市化地区、农产品产区、生态功能区布局。合理确定新增建设用地规模，严格控制建设项目土地使用标准，提高资源利用效率。</w:t>
                  </w:r>
                </w:p>
              </w:tc>
              <w:tc>
                <w:tcPr>
                  <w:tcW w:w="1417" w:type="pct"/>
                  <w:tcBorders>
                    <w:tl2br w:val="nil"/>
                    <w:tr2bl w:val="nil"/>
                  </w:tcBorders>
                  <w:shd w:val="clear" w:color="auto" w:fill="auto"/>
                  <w:vAlign w:val="center"/>
                </w:tcPr>
                <w:p>
                  <w:pPr>
                    <w:pStyle w:val="21"/>
                    <w:keepNext w:val="0"/>
                    <w:keepLines w:val="0"/>
                    <w:widowControl/>
                    <w:suppressLineNumbers w:val="0"/>
                    <w:overflowPunct w:val="0"/>
                    <w:snapToGrid w:val="0"/>
                    <w:spacing w:before="0" w:beforeLines="0" w:beforeAutospacing="0" w:after="0" w:afterLines="0" w:afterAutospacing="0" w:line="240" w:lineRule="atLeast"/>
                    <w:ind w:left="0" w:leftChars="0" w:right="0" w:rightChars="0"/>
                    <w:jc w:val="both"/>
                    <w:rPr>
                      <w:rFonts w:hint="eastAsia" w:ascii="Times New Roman" w:hAnsi="Times New Roman" w:eastAsia="黑体" w:cs="Times New Roman"/>
                      <w:color w:val="auto"/>
                      <w:kern w:val="0"/>
                      <w:sz w:val="21"/>
                      <w:szCs w:val="21"/>
                      <w:lang w:val="en-US" w:eastAsia="zh-CN" w:bidi="ar-SA"/>
                    </w:rPr>
                  </w:pPr>
                  <w:r>
                    <w:rPr>
                      <w:rFonts w:hint="eastAsia" w:ascii="宋体" w:hAnsi="宋体" w:eastAsia="宋体" w:cs="宋体"/>
                      <w:color w:val="auto"/>
                      <w:kern w:val="0"/>
                      <w:sz w:val="21"/>
                      <w:szCs w:val="21"/>
                      <w:lang w:val="en-US" w:eastAsia="zh-CN" w:bidi="ar"/>
                    </w:rPr>
                    <w:t>本</w:t>
                  </w:r>
                  <w:r>
                    <w:rPr>
                      <w:rFonts w:hint="default" w:ascii="Times New Roman" w:hAnsi="Times New Roman" w:eastAsia="宋体" w:cs="Times New Roman"/>
                      <w:color w:val="auto"/>
                      <w:kern w:val="0"/>
                      <w:sz w:val="21"/>
                      <w:szCs w:val="21"/>
                      <w:lang w:val="en-US" w:eastAsia="zh-CN" w:bidi="ar"/>
                    </w:rPr>
                    <w:t>项目位于</w:t>
                  </w:r>
                  <w:r>
                    <w:rPr>
                      <w:rFonts w:hint="eastAsia" w:ascii="Times New Roman" w:hAnsi="Times New Roman" w:cs="Times New Roman"/>
                      <w:color w:val="auto"/>
                      <w:kern w:val="0"/>
                      <w:sz w:val="21"/>
                      <w:szCs w:val="21"/>
                      <w:lang w:val="en-US" w:eastAsia="zh-CN" w:bidi="ar"/>
                    </w:rPr>
                    <w:t>和硕县</w:t>
                  </w:r>
                  <w:r>
                    <w:rPr>
                      <w:rFonts w:hint="default" w:ascii="Times New Roman" w:hAnsi="Times New Roman" w:eastAsia="宋体" w:cs="Times New Roman"/>
                      <w:color w:val="auto"/>
                      <w:kern w:val="0"/>
                      <w:sz w:val="21"/>
                      <w:szCs w:val="21"/>
                      <w:lang w:val="en-US" w:eastAsia="zh-CN" w:bidi="ar"/>
                    </w:rPr>
                    <w:t>东南方向，直距约58千米</w:t>
                  </w:r>
                  <w:r>
                    <w:rPr>
                      <w:rFonts w:hint="eastAsia" w:ascii="Times New Roman" w:hAnsi="Times New Roman" w:cs="Times New Roman"/>
                      <w:color w:val="auto"/>
                      <w:kern w:val="0"/>
                      <w:sz w:val="21"/>
                      <w:szCs w:val="21"/>
                      <w:lang w:val="en-US" w:eastAsia="zh-CN" w:bidi="ar"/>
                    </w:rPr>
                    <w:t>处</w:t>
                  </w:r>
                  <w:r>
                    <w:rPr>
                      <w:rFonts w:hint="eastAsia" w:ascii="宋体" w:hAnsi="宋体" w:eastAsia="宋体" w:cs="宋体"/>
                      <w:color w:val="auto"/>
                      <w:kern w:val="0"/>
                      <w:sz w:val="21"/>
                      <w:szCs w:val="21"/>
                      <w:lang w:val="en-US" w:eastAsia="zh-CN" w:bidi="ar"/>
                    </w:rPr>
                    <w:t>，已取得巴州自然资源局出具的采矿许可证，项目建设符合当地国土空间规划。</w:t>
                  </w:r>
                </w:p>
              </w:tc>
              <w:tc>
                <w:tcPr>
                  <w:tcW w:w="511"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21"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w:t>
                  </w:r>
                </w:p>
              </w:tc>
              <w:tc>
                <w:tcPr>
                  <w:tcW w:w="2649" w:type="pct"/>
                  <w:tcBorders>
                    <w:tl2br w:val="nil"/>
                    <w:tr2bl w:val="nil"/>
                  </w:tcBorders>
                  <w:shd w:val="clear" w:color="auto" w:fill="auto"/>
                  <w:vAlign w:val="center"/>
                </w:tcPr>
                <w:p>
                  <w:pPr>
                    <w:pStyle w:val="21"/>
                    <w:keepNext w:val="0"/>
                    <w:keepLines w:val="0"/>
                    <w:widowControl/>
                    <w:suppressLineNumbers w:val="0"/>
                    <w:overflowPunct w:val="0"/>
                    <w:snapToGrid w:val="0"/>
                    <w:spacing w:before="0" w:beforeLines="0" w:beforeAutospacing="0" w:after="0" w:afterLines="0" w:afterAutospacing="0" w:line="240" w:lineRule="atLeast"/>
                    <w:ind w:left="0" w:leftChars="0" w:right="0" w:rightChars="0"/>
                    <w:jc w:val="left"/>
                    <w:rPr>
                      <w:rFonts w:hint="eastAsia" w:ascii="Times New Roman" w:hAnsi="Times New Roman" w:eastAsia="黑体" w:cs="Times New Roman"/>
                      <w:color w:val="auto"/>
                      <w:kern w:val="0"/>
                      <w:sz w:val="21"/>
                      <w:szCs w:val="21"/>
                      <w:lang w:val="en-US" w:eastAsia="zh-CN" w:bidi="ar-SA"/>
                    </w:rPr>
                  </w:pPr>
                  <w:r>
                    <w:rPr>
                      <w:rFonts w:hint="eastAsia" w:ascii="宋体" w:hAnsi="宋体" w:eastAsia="宋体" w:cs="宋体"/>
                      <w:color w:val="auto"/>
                      <w:kern w:val="0"/>
                      <w:sz w:val="21"/>
                      <w:szCs w:val="21"/>
                      <w:lang w:val="en-US" w:eastAsia="zh-CN" w:bidi="ar"/>
                    </w:rPr>
                    <w:t>严格控制煤炭消费。加强能耗双控管理，合理控制能源消费增量</w:t>
                  </w:r>
                  <w:r>
                    <w:rPr>
                      <w:rFonts w:hint="eastAsia"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优化能源消费结构，对“乌-昌-石”“奎-独-乌”等重点区域实施新建用煤项目等量或减量替代。合理控制煤电装机规模，有序淘汰煤电落后产能，推进燃煤电厂灵活性和供热改造。按照宜电则电、宜气则气的原则，继续推进“电气化新疆”建设，实施清洁能源行动计划，加快城乡接合部、农村民用和农业生产散烧煤的清洁能源替代</w:t>
                  </w:r>
                  <w:r>
                    <w:rPr>
                      <w:rFonts w:hint="eastAsia"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加大可再生能源消纳力度。</w:t>
                  </w:r>
                </w:p>
              </w:tc>
              <w:tc>
                <w:tcPr>
                  <w:tcW w:w="1417" w:type="pct"/>
                  <w:tcBorders>
                    <w:tl2br w:val="nil"/>
                    <w:tr2bl w:val="nil"/>
                  </w:tcBorders>
                  <w:shd w:val="clear" w:color="auto" w:fill="auto"/>
                  <w:vAlign w:val="center"/>
                </w:tcPr>
                <w:p>
                  <w:pPr>
                    <w:pStyle w:val="21"/>
                    <w:keepNext w:val="0"/>
                    <w:keepLines w:val="0"/>
                    <w:widowControl/>
                    <w:suppressLineNumbers w:val="0"/>
                    <w:overflowPunct w:val="0"/>
                    <w:snapToGrid w:val="0"/>
                    <w:spacing w:before="0" w:beforeLines="0" w:beforeAutospacing="0" w:after="0" w:afterLines="0" w:afterAutospacing="0" w:line="240" w:lineRule="atLeast"/>
                    <w:ind w:left="0" w:leftChars="0" w:right="0" w:rightChars="0"/>
                    <w:jc w:val="both"/>
                    <w:rPr>
                      <w:rFonts w:hint="default" w:ascii="Times New Roman" w:hAnsi="Times New Roman" w:eastAsia="宋体" w:cs="Times New Roman"/>
                      <w:color w:val="auto"/>
                      <w:kern w:val="0"/>
                      <w:sz w:val="21"/>
                      <w:szCs w:val="21"/>
                      <w:lang w:val="en-US" w:eastAsia="zh-CN" w:bidi="ar-SA"/>
                    </w:rPr>
                  </w:pPr>
                  <w:r>
                    <w:rPr>
                      <w:rFonts w:hint="eastAsia" w:ascii="宋体" w:hAnsi="宋体" w:eastAsia="宋体" w:cs="宋体"/>
                      <w:color w:val="auto"/>
                      <w:kern w:val="0"/>
                      <w:sz w:val="21"/>
                      <w:szCs w:val="21"/>
                      <w:lang w:val="en-US" w:eastAsia="zh-CN" w:bidi="ar"/>
                    </w:rPr>
                    <w:t>本项目为</w:t>
                  </w:r>
                  <w:r>
                    <w:rPr>
                      <w:rFonts w:hint="eastAsia" w:cs="宋体"/>
                      <w:color w:val="auto"/>
                      <w:kern w:val="0"/>
                      <w:sz w:val="21"/>
                      <w:szCs w:val="21"/>
                      <w:lang w:val="en-US" w:eastAsia="zh-CN" w:bidi="ar"/>
                    </w:rPr>
                    <w:t>花岗岩矿</w:t>
                  </w:r>
                  <w:r>
                    <w:rPr>
                      <w:rFonts w:hint="eastAsia" w:ascii="宋体" w:hAnsi="宋体" w:eastAsia="宋体" w:cs="宋体"/>
                      <w:color w:val="auto"/>
                      <w:kern w:val="0"/>
                      <w:sz w:val="21"/>
                      <w:szCs w:val="21"/>
                      <w:lang w:val="en-US" w:eastAsia="zh-CN" w:bidi="ar"/>
                    </w:rPr>
                    <w:t>项目，生产不用热，</w:t>
                  </w:r>
                  <w:r>
                    <w:rPr>
                      <w:rFonts w:hint="eastAsia" w:cs="宋体"/>
                      <w:color w:val="auto"/>
                      <w:kern w:val="0"/>
                      <w:sz w:val="21"/>
                      <w:szCs w:val="21"/>
                      <w:lang w:val="en-US" w:eastAsia="zh-CN" w:bidi="ar"/>
                    </w:rPr>
                    <w:t>冬季不</w:t>
                  </w:r>
                  <w:r>
                    <w:rPr>
                      <w:rFonts w:hint="eastAsia" w:ascii="宋体" w:hAnsi="宋体" w:eastAsia="宋体" w:cs="宋体"/>
                      <w:color w:val="auto"/>
                      <w:kern w:val="0"/>
                      <w:sz w:val="21"/>
                      <w:szCs w:val="21"/>
                      <w:lang w:val="en-US" w:eastAsia="zh-CN" w:bidi="ar"/>
                    </w:rPr>
                    <w:t>进行施工作业</w:t>
                  </w:r>
                  <w:r>
                    <w:rPr>
                      <w:rFonts w:hint="eastAsia" w:cs="宋体"/>
                      <w:color w:val="auto"/>
                      <w:kern w:val="0"/>
                      <w:sz w:val="21"/>
                      <w:szCs w:val="21"/>
                      <w:lang w:val="en-US" w:eastAsia="zh-CN" w:bidi="ar"/>
                    </w:rPr>
                    <w:t>。</w:t>
                  </w:r>
                </w:p>
              </w:tc>
              <w:tc>
                <w:tcPr>
                  <w:tcW w:w="511" w:type="pct"/>
                  <w:tcBorders>
                    <w:tl2br w:val="nil"/>
                    <w:tr2bl w:val="nil"/>
                  </w:tcBorders>
                  <w:shd w:val="clear" w:color="auto" w:fill="auto"/>
                  <w:vAlign w:val="center"/>
                </w:tcPr>
                <w:p>
                  <w:pPr>
                    <w:keepNext w:val="0"/>
                    <w:keepLines w:val="0"/>
                    <w:widowControl w:val="0"/>
                    <w:suppressLineNumbers w:val="0"/>
                    <w:overflowPunct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符合</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14、</w:t>
            </w:r>
            <w:r>
              <w:rPr>
                <w:rFonts w:hint="default" w:ascii="Times New Roman" w:hAnsi="Times New Roman" w:eastAsia="宋体" w:cs="Times New Roman"/>
                <w:b w:val="0"/>
                <w:bCs w:val="0"/>
                <w:color w:val="auto"/>
                <w:sz w:val="24"/>
                <w:szCs w:val="24"/>
                <w:lang w:val="en-US" w:eastAsia="zh-CN"/>
              </w:rPr>
              <w:t>与《新疆维吾尔自治区重点行业生态环境准入条件（2024年）》（新环环评发〔2024〕93号）符合性分析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w:t>
            </w:r>
            <w:r>
              <w:rPr>
                <w:rFonts w:hint="default" w:ascii="Times New Roman" w:hAnsi="Times New Roman" w:eastAsia="宋体" w:cs="Times New Roman"/>
                <w:b/>
                <w:bCs/>
                <w:color w:val="auto"/>
                <w:sz w:val="22"/>
                <w:szCs w:val="22"/>
                <w:lang w:val="en-US" w:eastAsia="zh-CN"/>
              </w:rPr>
              <w:t>1-</w:t>
            </w:r>
            <w:r>
              <w:rPr>
                <w:rFonts w:hint="eastAsia" w:ascii="Times New Roman" w:hAnsi="Times New Roman" w:eastAsia="宋体" w:cs="Times New Roman"/>
                <w:b/>
                <w:bCs/>
                <w:color w:val="auto"/>
                <w:sz w:val="22"/>
                <w:szCs w:val="22"/>
                <w:lang w:val="en-US" w:eastAsia="zh-CN"/>
              </w:rPr>
              <w:t>11  《新疆维吾尔自治区重点行业生态环境准入条件（2024年）》相符性分析</w:t>
            </w:r>
          </w:p>
          <w:tbl>
            <w:tblPr>
              <w:tblStyle w:val="2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781"/>
              <w:gridCol w:w="3038"/>
              <w:gridCol w:w="7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78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eastAsia" w:ascii="宋体" w:hAnsi="宋体" w:cs="宋体"/>
                      <w:b w:val="0"/>
                      <w:bCs w:val="0"/>
                      <w:color w:val="auto"/>
                      <w:kern w:val="2"/>
                      <w:sz w:val="21"/>
                      <w:szCs w:val="21"/>
                      <w:lang w:val="en-US" w:eastAsia="zh-CN" w:bidi="ar"/>
                    </w:rPr>
                    <w:t>新疆维吾尔自治区重点行业生态环境准入条件</w:t>
                  </w:r>
                </w:p>
              </w:tc>
              <w:tc>
                <w:tcPr>
                  <w:tcW w:w="303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本项目实际情况</w:t>
                  </w:r>
                </w:p>
              </w:tc>
              <w:tc>
                <w:tcPr>
                  <w:tcW w:w="75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是否符合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矿石开采须采用湿式凿岩作业方式。矿石转运、破碎、筛分等粉尘产生工序，须配备抑尘、除尘设施，除尘效率不低于99%。矿石、废石堆场须采用</w:t>
                  </w:r>
                  <w:r>
                    <w:rPr>
                      <w:rFonts w:hint="eastAsia" w:ascii="宋体" w:hAnsi="宋体" w:cs="宋体"/>
                      <w:color w:val="auto"/>
                      <w:kern w:val="2"/>
                      <w:sz w:val="21"/>
                      <w:szCs w:val="21"/>
                      <w:lang w:val="en-US" w:eastAsia="zh-CN" w:bidi="ar"/>
                    </w:rPr>
                    <w:t>洒水</w:t>
                  </w:r>
                  <w:r>
                    <w:rPr>
                      <w:rFonts w:hint="eastAsia" w:ascii="宋体" w:hAnsi="宋体" w:eastAsia="宋体" w:cs="宋体"/>
                      <w:color w:val="auto"/>
                      <w:kern w:val="2"/>
                      <w:sz w:val="21"/>
                      <w:szCs w:val="21"/>
                      <w:lang w:val="en-US" w:eastAsia="zh-CN" w:bidi="ar"/>
                    </w:rPr>
                    <w:t>抑尘、设置围挡等无组织粉尘防治措施。大气污染物排放须满足《大气污染物综合排放标准》(GB16297)要求，有行业排放标准的执行行业标准。</w:t>
                  </w:r>
                </w:p>
              </w:tc>
              <w:tc>
                <w:tcPr>
                  <w:tcW w:w="303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0"/>
                      <w:sz w:val="21"/>
                      <w:szCs w:val="21"/>
                      <w:lang w:val="en-US" w:eastAsia="zh-CN" w:bidi="ar"/>
                    </w:rPr>
                    <w:t>本项目开采采用湿式凿岩，运输扬尘采取洒水车路面洒水抑尘、控制车速治理；堆场扬尘采取洒水抑尘，篷布遮盖治理；运输车辆低速行驶并加盖篷布减少粉尘</w:t>
                  </w:r>
                  <w:r>
                    <w:rPr>
                      <w:rFonts w:hint="eastAsia" w:eastAsia="黑体" w:cs="Times New Roman"/>
                      <w:color w:val="auto"/>
                      <w:kern w:val="0"/>
                      <w:sz w:val="21"/>
                      <w:szCs w:val="21"/>
                      <w:lang w:val="en-US" w:eastAsia="zh-CN"/>
                    </w:rPr>
                    <w:t>。</w:t>
                  </w:r>
                </w:p>
              </w:tc>
              <w:tc>
                <w:tcPr>
                  <w:tcW w:w="75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kern w:val="2"/>
                      <w:sz w:val="21"/>
                      <w:szCs w:val="21"/>
                    </w:rPr>
                  </w:pPr>
                  <w:r>
                    <w:rPr>
                      <w:rFonts w:hint="eastAsia" w:ascii="宋体" w:hAnsi="宋体" w:eastAsia="宋体" w:cs="宋体"/>
                      <w:color w:val="auto"/>
                      <w:kern w:val="2"/>
                      <w:sz w:val="21"/>
                      <w:szCs w:val="21"/>
                      <w:lang w:val="en-US" w:eastAsia="zh-CN"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8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严禁未经处理的采矿废水直接排放，禁止利用渗井渗坑、裂隙和溶洞等排放废水。鼓励将矿坑水优先作为生产用水和辅助水源利用。在</w:t>
                  </w:r>
                  <w:r>
                    <w:rPr>
                      <w:rFonts w:hint="eastAsia" w:ascii="宋体" w:hAnsi="宋体" w:cs="宋体"/>
                      <w:color w:val="auto"/>
                      <w:kern w:val="2"/>
                      <w:sz w:val="21"/>
                      <w:szCs w:val="21"/>
                      <w:lang w:val="en-US" w:eastAsia="zh-CN" w:bidi="ar"/>
                    </w:rPr>
                    <w:t>干旱</w:t>
                  </w:r>
                  <w:r>
                    <w:rPr>
                      <w:rFonts w:hint="eastAsia" w:ascii="宋体" w:hAnsi="宋体" w:eastAsia="宋体" w:cs="宋体"/>
                      <w:color w:val="auto"/>
                      <w:kern w:val="2"/>
                      <w:sz w:val="21"/>
                      <w:szCs w:val="21"/>
                      <w:lang w:val="en-US" w:eastAsia="zh-CN" w:bidi="ar"/>
                    </w:rPr>
                    <w:t>缺水地区，鼓励将外排矿坑水处理达标后用于农林灌溉，生活污水处理达标后尽量综合利用，边远矿区的生活污水排放和综合利用可参照《农村生活污水处理排放标准》(DB65/4275)要求管控。</w:t>
                  </w:r>
                </w:p>
              </w:tc>
              <w:tc>
                <w:tcPr>
                  <w:tcW w:w="303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运营期</w:t>
                  </w:r>
                  <w:r>
                    <w:rPr>
                      <w:rFonts w:hint="eastAsia"/>
                      <w:color w:val="auto"/>
                      <w:sz w:val="21"/>
                      <w:szCs w:val="21"/>
                      <w:lang w:val="en-US" w:eastAsia="zh-CN"/>
                    </w:rPr>
                    <w:t>生产废水经沉淀处理后回用</w:t>
                  </w:r>
                  <w:r>
                    <w:rPr>
                      <w:rFonts w:hint="default" w:ascii="Times New Roman" w:hAnsi="Times New Roman" w:eastAsia="宋体" w:cs="Times New Roman"/>
                      <w:color w:val="auto"/>
                      <w:kern w:val="2"/>
                      <w:sz w:val="21"/>
                      <w:szCs w:val="21"/>
                      <w:lang w:val="en-US" w:eastAsia="zh-CN"/>
                    </w:rPr>
                    <w:t>；</w:t>
                  </w:r>
                  <w:r>
                    <w:rPr>
                      <w:rFonts w:hint="default" w:ascii="Times New Roman" w:hAnsi="Times New Roman" w:eastAsia="宋体" w:cs="Times New Roman"/>
                      <w:color w:val="auto"/>
                      <w:kern w:val="2"/>
                      <w:sz w:val="21"/>
                      <w:szCs w:val="21"/>
                    </w:rPr>
                    <w:t>生活污水</w:t>
                  </w:r>
                  <w:r>
                    <w:rPr>
                      <w:rFonts w:hint="eastAsia" w:cs="Times New Roman"/>
                      <w:color w:val="auto"/>
                      <w:kern w:val="2"/>
                      <w:sz w:val="21"/>
                      <w:szCs w:val="21"/>
                      <w:lang w:val="en-US" w:eastAsia="zh-CN"/>
                    </w:rPr>
                    <w:t>经</w:t>
                  </w:r>
                  <w:r>
                    <w:rPr>
                      <w:rFonts w:hint="default" w:ascii="Times New Roman" w:hAnsi="Times New Roman" w:eastAsia="宋体" w:cs="Times New Roman"/>
                      <w:color w:val="auto"/>
                      <w:kern w:val="2"/>
                      <w:sz w:val="21"/>
                      <w:szCs w:val="21"/>
                    </w:rPr>
                    <w:t>地埋式污水处理设施处理后用于项目区周边荒漠生态恢复的灌溉</w:t>
                  </w:r>
                  <w:r>
                    <w:rPr>
                      <w:rFonts w:hint="eastAsia" w:cs="Times New Roman"/>
                      <w:color w:val="auto"/>
                      <w:kern w:val="2"/>
                      <w:sz w:val="21"/>
                      <w:szCs w:val="21"/>
                      <w:lang w:val="en-US" w:eastAsia="zh-CN"/>
                    </w:rPr>
                    <w:t>。</w:t>
                  </w:r>
                </w:p>
              </w:tc>
              <w:tc>
                <w:tcPr>
                  <w:tcW w:w="75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78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禁止在重要工业区、大型水利工程设施、城镇市政工程设施所在区域，军事管理区、机场、国防工程设施圈定的区域，高速公路、国道、省道等重要交通干线两侧用地外缘200米范围内（确有必要可根据实际情况论证），铁路线路两侧路堤坡脚、路堑坡顶、铁路桥梁外侧起各1000米范围内及在铁路隧道上方中心线两侧各1000米范围内建设非金属矿采矿项目。居民聚集区1千米以内禁止石灰石开采</w:t>
                  </w:r>
                  <w:r>
                    <w:rPr>
                      <w:rFonts w:hint="eastAsia" w:ascii="宋体" w:hAnsi="宋体" w:cs="宋体"/>
                      <w:color w:val="auto"/>
                      <w:kern w:val="2"/>
                      <w:sz w:val="21"/>
                      <w:szCs w:val="21"/>
                      <w:lang w:val="en-US" w:eastAsia="zh-CN" w:bidi="ar"/>
                    </w:rPr>
                    <w:t>。</w:t>
                  </w:r>
                </w:p>
              </w:tc>
              <w:tc>
                <w:tcPr>
                  <w:tcW w:w="303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宋体" w:hAnsi="宋体" w:eastAsia="宋体" w:cs="宋体"/>
                      <w:color w:val="auto"/>
                      <w:kern w:val="0"/>
                      <w:sz w:val="21"/>
                      <w:szCs w:val="21"/>
                      <w:lang w:val="en-US" w:eastAsia="zh-CN" w:bidi="ar"/>
                    </w:rPr>
                    <w:t>本</w:t>
                  </w:r>
                  <w:r>
                    <w:rPr>
                      <w:rFonts w:hint="default" w:ascii="Times New Roman" w:hAnsi="Times New Roman" w:eastAsia="宋体" w:cs="Times New Roman"/>
                      <w:color w:val="auto"/>
                      <w:kern w:val="0"/>
                      <w:sz w:val="21"/>
                      <w:szCs w:val="21"/>
                      <w:lang w:val="en-US" w:eastAsia="zh-CN" w:bidi="ar"/>
                    </w:rPr>
                    <w:t>项目位于</w:t>
                  </w:r>
                  <w:r>
                    <w:rPr>
                      <w:rFonts w:hint="eastAsia" w:ascii="Times New Roman" w:hAnsi="Times New Roman" w:cs="Times New Roman"/>
                      <w:color w:val="auto"/>
                      <w:kern w:val="0"/>
                      <w:sz w:val="21"/>
                      <w:szCs w:val="21"/>
                      <w:lang w:val="en-US" w:eastAsia="zh-CN" w:bidi="ar"/>
                    </w:rPr>
                    <w:t>和硕县</w:t>
                  </w:r>
                  <w:r>
                    <w:rPr>
                      <w:rFonts w:hint="default" w:ascii="Times New Roman" w:hAnsi="Times New Roman" w:eastAsia="宋体" w:cs="Times New Roman"/>
                      <w:color w:val="auto"/>
                      <w:kern w:val="0"/>
                      <w:sz w:val="21"/>
                      <w:szCs w:val="21"/>
                      <w:lang w:val="en-US" w:eastAsia="zh-CN" w:bidi="ar"/>
                    </w:rPr>
                    <w:t>东南方向，直距约58千米</w:t>
                  </w:r>
                  <w:r>
                    <w:rPr>
                      <w:rFonts w:hint="eastAsia" w:ascii="Times New Roman" w:hAnsi="Times New Roman" w:cs="Times New Roman"/>
                      <w:color w:val="auto"/>
                      <w:kern w:val="0"/>
                      <w:sz w:val="21"/>
                      <w:szCs w:val="21"/>
                      <w:lang w:val="en-US" w:eastAsia="zh-CN" w:bidi="ar"/>
                    </w:rPr>
                    <w:t>处</w:t>
                  </w:r>
                  <w:r>
                    <w:rPr>
                      <w:rFonts w:hint="eastAsia" w:ascii="宋体" w:hAnsi="宋体" w:eastAsia="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不属于</w:t>
                  </w:r>
                  <w:r>
                    <w:rPr>
                      <w:rFonts w:hint="eastAsia" w:ascii="宋体" w:hAnsi="宋体" w:eastAsia="宋体" w:cs="宋体"/>
                      <w:color w:val="auto"/>
                      <w:kern w:val="2"/>
                      <w:sz w:val="21"/>
                      <w:szCs w:val="21"/>
                      <w:lang w:val="en-US" w:eastAsia="zh-CN" w:bidi="ar"/>
                    </w:rPr>
                    <w:t>重要工业区、大型水利工程设施、城镇市政工程设施所在区域，军事管理区、机场、国防工程设施圈定的区域，高速公路、国道、省道等</w:t>
                  </w:r>
                  <w:r>
                    <w:rPr>
                      <w:rFonts w:hint="eastAsia" w:ascii="宋体" w:hAnsi="宋体" w:cs="宋体"/>
                      <w:color w:val="auto"/>
                      <w:kern w:val="2"/>
                      <w:sz w:val="21"/>
                      <w:szCs w:val="21"/>
                      <w:lang w:val="en-US" w:eastAsia="zh-CN" w:bidi="ar"/>
                    </w:rPr>
                    <w:t>区域</w:t>
                  </w:r>
                </w:p>
              </w:tc>
              <w:tc>
                <w:tcPr>
                  <w:tcW w:w="75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78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应对采矿废石等固体废物采取回填、筑路、制作建筑材料等方式资源综合利用，提高综合利用率。无法利用的必须使用专用场所堆放，并采取有效措施防止二次环境污染及诱发次生地质灾害，固体废物处置率100%。废石堆场按《一般工业固体废物贮存和填埋污染控制标准》(GB18599)要求建设。生活垃圾实现100%无害化处置</w:t>
                  </w:r>
                  <w:r>
                    <w:rPr>
                      <w:rFonts w:hint="eastAsia" w:ascii="宋体" w:hAnsi="宋体" w:cs="宋体"/>
                      <w:color w:val="auto"/>
                      <w:kern w:val="2"/>
                      <w:sz w:val="21"/>
                      <w:szCs w:val="21"/>
                      <w:lang w:val="en-US" w:eastAsia="zh-CN" w:bidi="ar"/>
                    </w:rPr>
                    <w:t>。</w:t>
                  </w:r>
                </w:p>
              </w:tc>
              <w:tc>
                <w:tcPr>
                  <w:tcW w:w="303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废石</w:t>
                  </w:r>
                  <w:r>
                    <w:rPr>
                      <w:rFonts w:hint="eastAsia" w:ascii="宋体" w:hAnsi="宋体" w:cs="宋体"/>
                      <w:color w:val="auto"/>
                      <w:kern w:val="0"/>
                      <w:sz w:val="21"/>
                      <w:szCs w:val="21"/>
                      <w:lang w:val="en-US" w:eastAsia="zh-CN" w:bidi="ar"/>
                    </w:rPr>
                    <w:t>、除尘灰等</w:t>
                  </w:r>
                  <w:r>
                    <w:rPr>
                      <w:rFonts w:hint="eastAsia" w:ascii="宋体" w:hAnsi="宋体" w:eastAsia="宋体" w:cs="宋体"/>
                      <w:color w:val="auto"/>
                      <w:kern w:val="0"/>
                      <w:sz w:val="21"/>
                      <w:szCs w:val="21"/>
                      <w:lang w:val="en-US" w:eastAsia="zh-CN" w:bidi="ar"/>
                    </w:rPr>
                    <w:t>综合利用，不能综合利用的废料规范堆置于排土场，根据开采进度回填采坑</w:t>
                  </w:r>
                  <w:r>
                    <w:rPr>
                      <w:rFonts w:hint="eastAsia" w:ascii="宋体" w:hAnsi="宋体" w:cs="宋体"/>
                      <w:color w:val="auto"/>
                      <w:kern w:val="0"/>
                      <w:sz w:val="21"/>
                      <w:szCs w:val="21"/>
                      <w:lang w:val="en-US" w:eastAsia="zh-CN" w:bidi="ar"/>
                    </w:rPr>
                    <w:t>。生活垃圾集中收集后拉运至和硕县垃圾填埋场处理。</w:t>
                  </w:r>
                </w:p>
              </w:tc>
              <w:tc>
                <w:tcPr>
                  <w:tcW w:w="75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78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新建、改（扩）建矿山应在矿山开采前完成《矿山生态环境保护与恢复治理方案》编制工作。位于荒漠和风沙区的矿产资源开发应尽可能避开易发生风蚀和生态退化地带；排土场、料场等场地应采取围挡和覆盖等防风蚀措施。水蚀敏感区矿产资源开发应科学设置露天采场、排土场及料场，并采取边坡防护、工程拦挡等水土保持措施。矿山生产过程中应采取复垦措施，对露天坑、废石场等永久性坡面进行稳定化处理，防止水土流失和滑坡。历史遗留矿山开采破坏土地复垦率达到45%以上，新建矿山应做到边开采、边复垦，破坏土地复垦率达到85%以上</w:t>
                  </w:r>
                  <w:r>
                    <w:rPr>
                      <w:rFonts w:hint="eastAsia" w:ascii="宋体" w:hAnsi="宋体" w:cs="宋体"/>
                      <w:color w:val="auto"/>
                      <w:kern w:val="2"/>
                      <w:sz w:val="21"/>
                      <w:szCs w:val="21"/>
                      <w:lang w:val="en-US" w:eastAsia="zh-CN" w:bidi="ar"/>
                    </w:rPr>
                    <w:t>。</w:t>
                  </w:r>
                </w:p>
              </w:tc>
              <w:tc>
                <w:tcPr>
                  <w:tcW w:w="303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本项目已编制完成《和硕恒达石业有限公司新疆和硕县爱盖尔其西饰面石材花岗岩矿矿产资源开发利用与生态保护修复方案》，矿山闭坑后，被采场、排土场、生活区、运输道路破坏的地形地貌景观及土地资源得到治理修复和复垦，土地复垦率及生态环境修复治理率达到100%。</w:t>
                  </w:r>
                </w:p>
              </w:tc>
              <w:tc>
                <w:tcPr>
                  <w:tcW w:w="75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lang w:val="en-US" w:eastAsia="zh-CN" w:bidi="ar"/>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15</w:t>
            </w:r>
            <w:r>
              <w:rPr>
                <w:rFonts w:hint="eastAsia" w:ascii="Times New Roman" w:hAnsi="Times New Roman" w:eastAsia="宋体" w:cs="Times New Roman"/>
                <w:b w:val="0"/>
                <w:bCs w:val="0"/>
                <w:color w:val="auto"/>
                <w:sz w:val="24"/>
                <w:szCs w:val="24"/>
                <w:lang w:val="en-US" w:eastAsia="zh-CN"/>
              </w:rPr>
              <w:t>、与《空气质量持续改善行动计划》（国发〔2023〕24号）的相符性分析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表1-</w:t>
            </w:r>
            <w:r>
              <w:rPr>
                <w:rFonts w:hint="eastAsia" w:cs="Times New Roman"/>
                <w:b/>
                <w:bCs/>
                <w:color w:val="auto"/>
                <w:sz w:val="22"/>
                <w:szCs w:val="22"/>
                <w:lang w:val="en-US" w:eastAsia="zh-CN"/>
              </w:rPr>
              <w:t>12</w:t>
            </w:r>
            <w:r>
              <w:rPr>
                <w:rFonts w:hint="eastAsia" w:ascii="Times New Roman" w:hAnsi="Times New Roman" w:eastAsia="宋体" w:cs="Times New Roman"/>
                <w:b/>
                <w:bCs/>
                <w:color w:val="auto"/>
                <w:sz w:val="22"/>
                <w:szCs w:val="22"/>
                <w:lang w:val="en-US" w:eastAsia="zh-CN"/>
              </w:rPr>
              <w:t xml:space="preserve">    《空气质量持续改善行动计划》（国发〔2023〕24号）的相符性分析</w:t>
            </w:r>
          </w:p>
          <w:tbl>
            <w:tblPr>
              <w:tblStyle w:val="23"/>
              <w:tblW w:w="4923" w:type="pct"/>
              <w:tblInd w:w="123"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4632"/>
              <w:gridCol w:w="1853"/>
              <w:gridCol w:w="8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9" w:type="dxa"/>
                  <w:tcBorders>
                    <w:tl2br w:val="nil"/>
                    <w:tr2bl w:val="nil"/>
                  </w:tcBorders>
                  <w:noWrap w:val="0"/>
                  <w:vAlign w:val="center"/>
                </w:tcPr>
                <w:p>
                  <w:pPr>
                    <w:jc w:val="center"/>
                    <w:rPr>
                      <w:rFonts w:hint="eastAsia" w:ascii="Times New Roman" w:hAnsi="Times New Roman" w:eastAsia="宋体"/>
                      <w:b w:val="0"/>
                      <w:bCs/>
                      <w:color w:val="auto"/>
                      <w:sz w:val="21"/>
                      <w:szCs w:val="21"/>
                      <w:vertAlign w:val="baseline"/>
                      <w:lang w:val="en-US" w:eastAsia="zh-CN"/>
                    </w:rPr>
                  </w:pPr>
                  <w:r>
                    <w:rPr>
                      <w:rFonts w:hint="eastAsia"/>
                      <w:color w:val="auto"/>
                      <w:sz w:val="21"/>
                      <w:szCs w:val="21"/>
                    </w:rPr>
                    <w:t>名称</w:t>
                  </w:r>
                </w:p>
              </w:tc>
              <w:tc>
                <w:tcPr>
                  <w:tcW w:w="4632" w:type="dxa"/>
                  <w:tcBorders>
                    <w:tl2br w:val="nil"/>
                    <w:tr2bl w:val="nil"/>
                  </w:tcBorders>
                  <w:noWrap w:val="0"/>
                  <w:vAlign w:val="center"/>
                </w:tcPr>
                <w:p>
                  <w:pPr>
                    <w:jc w:val="center"/>
                    <w:rPr>
                      <w:rFonts w:hint="eastAsia" w:ascii="Times New Roman" w:hAnsi="Times New Roman" w:eastAsia="宋体"/>
                      <w:b w:val="0"/>
                      <w:bCs/>
                      <w:color w:val="auto"/>
                      <w:sz w:val="21"/>
                      <w:szCs w:val="21"/>
                      <w:vertAlign w:val="baseline"/>
                      <w:lang w:val="en-US" w:eastAsia="zh-CN"/>
                    </w:rPr>
                  </w:pPr>
                  <w:r>
                    <w:rPr>
                      <w:rFonts w:hint="default" w:ascii="Times New Roman" w:hAnsi="Times New Roman" w:eastAsia="宋体" w:cs="Times New Roman"/>
                      <w:color w:val="auto"/>
                      <w:lang w:eastAsia="zh-CN"/>
                    </w:rPr>
                    <w:t>政策有关要求</w:t>
                  </w:r>
                </w:p>
              </w:tc>
              <w:tc>
                <w:tcPr>
                  <w:tcW w:w="1853" w:type="dxa"/>
                  <w:tcBorders>
                    <w:tl2br w:val="nil"/>
                    <w:tr2bl w:val="nil"/>
                  </w:tcBorders>
                  <w:noWrap w:val="0"/>
                  <w:vAlign w:val="center"/>
                </w:tcPr>
                <w:p>
                  <w:pPr>
                    <w:jc w:val="center"/>
                    <w:rPr>
                      <w:rFonts w:hint="eastAsia" w:ascii="Times New Roman" w:hAnsi="Times New Roman" w:eastAsia="宋体"/>
                      <w:b w:val="0"/>
                      <w:bCs/>
                      <w:color w:val="auto"/>
                      <w:sz w:val="21"/>
                      <w:szCs w:val="21"/>
                      <w:vertAlign w:val="baseline"/>
                      <w:lang w:val="en-US" w:eastAsia="zh-CN"/>
                    </w:rPr>
                  </w:pPr>
                  <w:r>
                    <w:rPr>
                      <w:rFonts w:hint="default" w:ascii="Times New Roman" w:hAnsi="Times New Roman" w:eastAsia="宋体" w:cs="Times New Roman"/>
                      <w:color w:val="auto"/>
                      <w:lang w:eastAsia="zh-CN"/>
                    </w:rPr>
                    <w:t>本项目情况</w:t>
                  </w:r>
                </w:p>
              </w:tc>
              <w:tc>
                <w:tcPr>
                  <w:tcW w:w="871" w:type="dxa"/>
                  <w:tcBorders>
                    <w:tl2br w:val="nil"/>
                    <w:tr2bl w:val="nil"/>
                  </w:tcBorders>
                  <w:noWrap w:val="0"/>
                  <w:vAlign w:val="center"/>
                </w:tcPr>
                <w:p>
                  <w:pPr>
                    <w:jc w:val="center"/>
                    <w:rPr>
                      <w:rFonts w:hint="eastAsia" w:ascii="Times New Roman" w:hAnsi="Times New Roman" w:eastAsia="宋体"/>
                      <w:b w:val="0"/>
                      <w:bCs/>
                      <w:color w:val="auto"/>
                      <w:sz w:val="21"/>
                      <w:szCs w:val="21"/>
                      <w:vertAlign w:val="baseline"/>
                      <w:lang w:val="en-US" w:eastAsia="zh-CN"/>
                    </w:rPr>
                  </w:pPr>
                  <w:r>
                    <w:rPr>
                      <w:rFonts w:hint="eastAsia"/>
                      <w:color w:val="auto"/>
                      <w:sz w:val="21"/>
                      <w:szCs w:val="21"/>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9"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b w:val="0"/>
                      <w:bCs/>
                      <w:color w:val="auto"/>
                      <w:sz w:val="21"/>
                      <w:szCs w:val="21"/>
                      <w:vertAlign w:val="baseline"/>
                      <w:lang w:val="en-US" w:eastAsia="zh-CN"/>
                    </w:rPr>
                    <w:t>《空气质量持续改善行动计划》（国发〔2023〕24号）</w:t>
                  </w:r>
                </w:p>
              </w:tc>
              <w:tc>
                <w:tcPr>
                  <w:tcW w:w="4632" w:type="dxa"/>
                  <w:tcBorders>
                    <w:tl2br w:val="nil"/>
                    <w:tr2bl w:val="nil"/>
                  </w:tcBorders>
                  <w:noWrap w:val="0"/>
                  <w:vAlign w:val="center"/>
                </w:tcPr>
                <w:p>
                  <w:pPr>
                    <w:pStyle w:val="6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Times New Roman" w:hAnsi="Times New Roman" w:eastAsia="宋体"/>
                      <w:b w:val="0"/>
                      <w:bCs/>
                      <w:color w:val="auto"/>
                      <w:sz w:val="21"/>
                      <w:szCs w:val="21"/>
                      <w:vertAlign w:val="baseline"/>
                      <w:lang w:eastAsia="zh-CN"/>
                    </w:rPr>
                  </w:pPr>
                  <w:r>
                    <w:rPr>
                      <w:rFonts w:hint="eastAsia" w:ascii="Times New Roman" w:hAnsi="Times New Roman" w:eastAsia="宋体"/>
                      <w:b w:val="0"/>
                      <w:bCs/>
                      <w:color w:val="auto"/>
                      <w:sz w:val="21"/>
                      <w:szCs w:val="21"/>
                      <w:vertAlign w:val="baseline"/>
                      <w:lang w:eastAsia="zh-CN"/>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pPr>
                    <w:pStyle w:val="6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0" w:firstLineChars="0"/>
                    <w:jc w:val="left"/>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b w:val="0"/>
                      <w:bCs/>
                      <w:color w:val="auto"/>
                      <w:sz w:val="21"/>
                      <w:szCs w:val="21"/>
                      <w:vertAlign w:val="baseline"/>
                      <w:lang w:val="en-US" w:eastAsia="zh-CN"/>
                    </w:rPr>
                    <w:t>深化扬尘污染综合治理。鼓励经济发达地区5000平方米及以上建筑工地安装视频监控并接入当地监管平台；重点区域道路、水务等长距离线性工程实行分段施工。将防治扬尘污染费用纳入工程造价。到2025年，装配式建筑占新建建筑面积比例达30%；地级及以上城市建成区道路机械化清扫率达80%左右，县城达70%左右。对城市公共裸地进行排查建档并采取防尘措施。城市大型煤炭、矿石等干散货码头物料堆场基本完成抑尘设施建设和物料输送系统封闭改造。</w:t>
                  </w:r>
                </w:p>
              </w:tc>
              <w:tc>
                <w:tcPr>
                  <w:tcW w:w="1853"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b w:val="0"/>
                      <w:bCs/>
                      <w:color w:val="auto"/>
                      <w:sz w:val="21"/>
                      <w:szCs w:val="21"/>
                      <w:vertAlign w:val="baseline"/>
                      <w:lang w:val="en-US" w:eastAsia="zh-CN"/>
                    </w:rPr>
                    <w:t>本项目不属于</w:t>
                  </w:r>
                  <w:r>
                    <w:rPr>
                      <w:rFonts w:hint="eastAsia" w:ascii="Times New Roman" w:hAnsi="Times New Roman" w:eastAsia="宋体"/>
                      <w:b w:val="0"/>
                      <w:bCs/>
                      <w:color w:val="auto"/>
                      <w:sz w:val="21"/>
                      <w:szCs w:val="21"/>
                      <w:vertAlign w:val="baseline"/>
                      <w:lang w:eastAsia="zh-CN"/>
                    </w:rPr>
                    <w:t>高耗能、高排放、低水平项目；</w:t>
                  </w:r>
                  <w:r>
                    <w:rPr>
                      <w:rFonts w:hint="eastAsia" w:ascii="Times New Roman" w:hAnsi="Times New Roman" w:eastAsia="宋体"/>
                      <w:b w:val="0"/>
                      <w:bCs/>
                      <w:color w:val="auto"/>
                      <w:sz w:val="21"/>
                      <w:szCs w:val="21"/>
                      <w:vertAlign w:val="baseline"/>
                      <w:lang w:val="en-US" w:eastAsia="zh-CN"/>
                    </w:rPr>
                    <w:t>项目符合</w:t>
                  </w:r>
                  <w:r>
                    <w:rPr>
                      <w:rFonts w:hint="eastAsia" w:ascii="Times New Roman" w:hAnsi="Times New Roman" w:eastAsia="宋体"/>
                      <w:b w:val="0"/>
                      <w:bCs/>
                      <w:color w:val="auto"/>
                      <w:sz w:val="21"/>
                      <w:szCs w:val="21"/>
                      <w:vertAlign w:val="baseline"/>
                      <w:lang w:eastAsia="zh-CN"/>
                    </w:rPr>
                    <w:t>国家产业规划、产业政策、生态环境分区管控方案、规划环评、项目环评</w:t>
                  </w:r>
                  <w:r>
                    <w:rPr>
                      <w:rFonts w:hint="eastAsia" w:ascii="Times New Roman" w:hAnsi="Times New Roman" w:eastAsia="宋体"/>
                      <w:b w:val="0"/>
                      <w:bCs/>
                      <w:color w:val="auto"/>
                      <w:sz w:val="21"/>
                      <w:szCs w:val="21"/>
                      <w:vertAlign w:val="baseline"/>
                      <w:lang w:val="en-US" w:eastAsia="zh-CN"/>
                    </w:rPr>
                    <w:t>等相关要求；不涉及产能配置。</w:t>
                  </w:r>
                </w:p>
              </w:tc>
              <w:tc>
                <w:tcPr>
                  <w:tcW w:w="871"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b w:val="0"/>
                      <w:bCs/>
                      <w:color w:val="auto"/>
                      <w:sz w:val="21"/>
                      <w:szCs w:val="21"/>
                      <w:vertAlign w:val="baseline"/>
                      <w:lang w:val="en-US" w:eastAsia="zh-CN"/>
                    </w:rPr>
                    <w:t>符合</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cs="Times New Roman"/>
                <w:b w:val="0"/>
                <w:bCs w:val="0"/>
                <w:color w:val="auto"/>
                <w:sz w:val="24"/>
                <w:szCs w:val="24"/>
                <w:lang w:val="en-US" w:eastAsia="zh-CN"/>
              </w:rPr>
              <w:t>16、</w:t>
            </w:r>
            <w:r>
              <w:rPr>
                <w:rFonts w:hint="eastAsia" w:ascii="Times New Roman" w:hAnsi="Times New Roman" w:eastAsia="宋体" w:cs="Times New Roman"/>
                <w:color w:val="auto"/>
                <w:kern w:val="0"/>
                <w:sz w:val="24"/>
                <w:szCs w:val="24"/>
                <w:lang w:val="en-US" w:eastAsia="zh-CN"/>
              </w:rPr>
              <w:t>与《新疆维吾尔自治区2025年空气质量持续改善行动实施方案》（新政办发〔2024〕58号）符合性分析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根据《新疆维吾尔自治区2025年空气质量持续改善行动实施方案》（新政办发〔2024〕58号），结合项目实际情况可知，具体分析见下表：</w:t>
            </w:r>
          </w:p>
          <w:p>
            <w:pPr>
              <w:pStyle w:val="3"/>
              <w:ind w:left="0" w:leftChars="0" w:firstLine="0" w:firstLineChars="0"/>
              <w:rPr>
                <w:rFonts w:hint="eastAsia"/>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表1-</w:t>
            </w:r>
            <w:r>
              <w:rPr>
                <w:rFonts w:hint="eastAsia" w:ascii="Times New Roman" w:hAnsi="Times New Roman" w:eastAsia="宋体" w:cs="Times New Roman"/>
                <w:b/>
                <w:bCs/>
                <w:color w:val="auto"/>
                <w:kern w:val="2"/>
                <w:sz w:val="21"/>
                <w:szCs w:val="21"/>
                <w:lang w:val="en-US" w:eastAsia="zh-CN" w:bidi="ar-SA"/>
              </w:rPr>
              <w:t>1</w:t>
            </w:r>
            <w:r>
              <w:rPr>
                <w:rFonts w:hint="eastAsia" w:eastAsia="宋体" w:cs="Times New Roman"/>
                <w:b/>
                <w:bCs/>
                <w:color w:val="auto"/>
                <w:kern w:val="2"/>
                <w:sz w:val="21"/>
                <w:szCs w:val="21"/>
                <w:lang w:val="en-US" w:eastAsia="zh-CN" w:bidi="ar-SA"/>
              </w:rPr>
              <w:t>3</w:t>
            </w:r>
            <w:r>
              <w:rPr>
                <w:rFonts w:hint="default" w:ascii="Times New Roman" w:hAnsi="Times New Roman" w:eastAsia="宋体" w:cs="Times New Roman"/>
                <w:b/>
                <w:bCs/>
                <w:color w:val="auto"/>
                <w:kern w:val="2"/>
                <w:sz w:val="21"/>
                <w:szCs w:val="21"/>
                <w:lang w:val="en-US" w:eastAsia="zh-CN" w:bidi="ar-SA"/>
              </w:rPr>
              <w:t xml:space="preserve">  《新疆维吾尔自治区2025年空气质量持续改善行动实施方案》符合性分析</w:t>
            </w:r>
          </w:p>
          <w:tbl>
            <w:tblPr>
              <w:tblStyle w:val="24"/>
              <w:tblW w:w="491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61"/>
              <w:gridCol w:w="1954"/>
              <w:gridCol w:w="92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95" w:type="pct"/>
                  <w:tcBorders>
                    <w:tl2br w:val="nil"/>
                    <w:tr2bl w:val="nil"/>
                  </w:tcBorders>
                  <w:noWrap w:val="0"/>
                  <w:vAlign w:val="center"/>
                </w:tcPr>
                <w:p>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政策相关要求</w:t>
                  </w:r>
                </w:p>
              </w:tc>
              <w:tc>
                <w:tcPr>
                  <w:tcW w:w="1158" w:type="pct"/>
                  <w:tcBorders>
                    <w:tl2br w:val="nil"/>
                    <w:tr2bl w:val="nil"/>
                  </w:tcBorders>
                  <w:noWrap w:val="0"/>
                  <w:vAlign w:val="center"/>
                </w:tcPr>
                <w:p>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本项目情况</w:t>
                  </w:r>
                </w:p>
              </w:tc>
              <w:tc>
                <w:tcPr>
                  <w:tcW w:w="545" w:type="pct"/>
                  <w:tcBorders>
                    <w:tl2br w:val="nil"/>
                    <w:tr2bl w:val="nil"/>
                  </w:tcBorders>
                  <w:noWrap w:val="0"/>
                  <w:vAlign w:val="center"/>
                </w:tcPr>
                <w:p>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95" w:type="pct"/>
                  <w:tcBorders>
                    <w:tl2br w:val="nil"/>
                    <w:tr2bl w:val="nil"/>
                  </w:tcBorders>
                  <w:noWrap w:val="0"/>
                  <w:vAlign w:val="center"/>
                </w:tcPr>
                <w:p>
                  <w:pPr>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A级水平。涉及产能置换的项目，被置换产能及设备关停后，新建项目方可投产。</w:t>
                  </w:r>
                </w:p>
                <w:p>
                  <w:pPr>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严格落实钢铁产能置换，联防联控区严禁新增钢铁产能。推行钢铁、焦化、烧结一体化布局，大幅减少独立焦化、烧结、球团和热轧企业及工序。到2025年，短流程炼钢产量占比力争提升至15%。</w:t>
                  </w:r>
                </w:p>
              </w:tc>
              <w:tc>
                <w:tcPr>
                  <w:tcW w:w="115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本项目为建筑用</w:t>
                  </w:r>
                  <w:r>
                    <w:rPr>
                      <w:rFonts w:hint="eastAsia" w:eastAsia="宋体" w:cs="Times New Roman"/>
                      <w:color w:val="auto"/>
                      <w:kern w:val="2"/>
                      <w:sz w:val="21"/>
                      <w:szCs w:val="24"/>
                      <w:lang w:val="en-US" w:eastAsia="zh-CN" w:bidi="ar-SA"/>
                    </w:rPr>
                    <w:t>采矿项目</w:t>
                  </w:r>
                  <w:r>
                    <w:rPr>
                      <w:rFonts w:hint="eastAsia" w:ascii="Times New Roman" w:hAnsi="Times New Roman" w:eastAsia="宋体" w:cs="Times New Roman"/>
                      <w:color w:val="auto"/>
                      <w:kern w:val="2"/>
                      <w:sz w:val="21"/>
                      <w:szCs w:val="24"/>
                      <w:lang w:val="en-US" w:eastAsia="zh-CN" w:bidi="ar-SA"/>
                    </w:rPr>
                    <w:t>，不属于</w:t>
                  </w:r>
                  <w:r>
                    <w:rPr>
                      <w:rFonts w:hint="eastAsia" w:ascii="Times New Roman" w:hAnsi="Times New Roman" w:eastAsia="宋体" w:cs="Times New Roman"/>
                      <w:color w:val="auto"/>
                      <w:lang w:eastAsia="zh-CN"/>
                    </w:rPr>
                    <w:t>高耗能、高排放</w:t>
                  </w:r>
                  <w:r>
                    <w:rPr>
                      <w:rFonts w:hint="eastAsia" w:ascii="Times New Roman" w:hAnsi="Times New Roman" w:eastAsia="宋体" w:cs="Times New Roman"/>
                      <w:color w:val="auto"/>
                      <w:lang w:val="en-US" w:eastAsia="zh-CN"/>
                    </w:rPr>
                    <w:t>项目。</w:t>
                  </w:r>
                </w:p>
              </w:tc>
              <w:tc>
                <w:tcPr>
                  <w:tcW w:w="545" w:type="pct"/>
                  <w:tcBorders>
                    <w:tl2br w:val="nil"/>
                    <w:tr2bl w:val="nil"/>
                  </w:tcBorders>
                  <w:noWrap w:val="0"/>
                  <w:vAlign w:val="center"/>
                </w:tcPr>
                <w:p>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95" w:type="pct"/>
                  <w:tcBorders>
                    <w:tl2br w:val="nil"/>
                    <w:tr2bl w:val="nil"/>
                  </w:tcBorders>
                  <w:noWrap w:val="0"/>
                  <w:vAlign w:val="center"/>
                </w:tcPr>
                <w:p>
                  <w:pPr>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大力发展新能源和清洁能源。推进风电光伏等清洁能源基地建设，构建新型电力系统。推进新能源与优势产业联动发展，加大高载能行业和自备电厂清洁能源替代力度。非化石能源消费比重和电能占终端能源消费比重达到相关规划要求。持续增加天然气生产供应，优先保障居民生活和清洁取暖、农业散煤治理等需求。</w:t>
                  </w:r>
                </w:p>
                <w:p>
                  <w:pPr>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严格合理控制煤炭消费总量。在保障能源安全供应前提下，联防联控区合理控制新改扩建用煤项目；不得将使用石油焦、焦炭、兰炭等高污染燃料作为煤炭减量替代措施。完善联防联控区煤炭消费减量替代管理，煤矸石、原料用煤不纳入煤炭消费总量。高质量建设国家大型煤电煤化工基地，原则上不再新增自备燃煤机组，推进现有自备燃煤机组清洁能源替代。合理保障支撑电力稳定供应、电网安全运行、清洁能源大规模并网消纳的煤电项目及其用煤量。完善联防联控区骨干电网建设，保障冬季生产</w:t>
                  </w:r>
                  <w:r>
                    <w:rPr>
                      <w:rFonts w:hint="eastAsia" w:cs="Times New Roman"/>
                      <w:color w:val="auto"/>
                      <w:lang w:eastAsia="zh-CN"/>
                    </w:rPr>
                    <w:t>电网</w:t>
                  </w:r>
                  <w:r>
                    <w:rPr>
                      <w:rFonts w:hint="default" w:ascii="Times New Roman" w:hAnsi="Times New Roman" w:eastAsia="宋体" w:cs="Times New Roman"/>
                      <w:color w:val="auto"/>
                      <w:lang w:eastAsia="zh-CN"/>
                    </w:rPr>
                    <w:t>需求。</w:t>
                  </w:r>
                </w:p>
              </w:tc>
              <w:tc>
                <w:tcPr>
                  <w:tcW w:w="1158" w:type="pct"/>
                  <w:tcBorders>
                    <w:tl2br w:val="nil"/>
                    <w:tr2bl w:val="nil"/>
                  </w:tcBorders>
                  <w:noWrap w:val="0"/>
                  <w:vAlign w:val="center"/>
                </w:tcPr>
                <w:p>
                  <w:pPr>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矿区附近有</w:t>
                  </w:r>
                  <w:r>
                    <w:rPr>
                      <w:rFonts w:hint="eastAsia" w:eastAsia="宋体" w:cs="Times New Roman"/>
                      <w:color w:val="auto"/>
                      <w:lang w:val="en-US" w:eastAsia="zh-CN"/>
                    </w:rPr>
                    <w:t>市政电网</w:t>
                  </w:r>
                  <w:r>
                    <w:rPr>
                      <w:rFonts w:hint="eastAsia" w:ascii="Times New Roman" w:hAnsi="Times New Roman" w:eastAsia="宋体" w:cs="Times New Roman"/>
                      <w:color w:val="auto"/>
                      <w:lang w:val="en-US" w:eastAsia="zh-CN"/>
                    </w:rPr>
                    <w:t>，是可靠的矿山供电电源；项目不涉及煤炭等高污染物。</w:t>
                  </w:r>
                </w:p>
              </w:tc>
              <w:tc>
                <w:tcPr>
                  <w:tcW w:w="545" w:type="pct"/>
                  <w:tcBorders>
                    <w:tl2br w:val="nil"/>
                    <w:tr2bl w:val="nil"/>
                  </w:tcBorders>
                  <w:noWrap w:val="0"/>
                  <w:vAlign w:val="center"/>
                </w:tcPr>
                <w:p>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95" w:type="pct"/>
                  <w:tcBorders>
                    <w:tl2br w:val="nil"/>
                    <w:tr2bl w:val="nil"/>
                  </w:tcBorders>
                  <w:noWrap w:val="0"/>
                  <w:vAlign w:val="center"/>
                </w:tcPr>
                <w:p>
                  <w:pPr>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强化非道路移动源综合治理。建立非道路移动机械排放清单。加快推进铁路货场、物流园区、机场、工矿企业内部作业车辆和机械新能源更新改造。推动老旧铁路机车淘汰，联防联控区铁路站场及煤炭、钢铁、冶金等行业推广新能源铁路装备。到2025年，基本消除非道路移动机械及联防联控区铁路机车“冒黑烟”现象，基本淘汰第一阶段及以下排放标准的非道路移动机械；年旅客吞吐量500万人次以上机场，桥电使用率达到95%以上。</w:t>
                  </w:r>
                </w:p>
              </w:tc>
              <w:tc>
                <w:tcPr>
                  <w:tcW w:w="1158"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不涉及</w:t>
                  </w:r>
                </w:p>
              </w:tc>
              <w:tc>
                <w:tcPr>
                  <w:tcW w:w="545" w:type="pct"/>
                  <w:tcBorders>
                    <w:tl2br w:val="nil"/>
                    <w:tr2bl w:val="nil"/>
                  </w:tcBorders>
                  <w:noWrap w:val="0"/>
                  <w:vAlign w:val="center"/>
                </w:tcPr>
                <w:p>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95" w:type="pct"/>
                  <w:tcBorders>
                    <w:tl2br w:val="nil"/>
                    <w:tr2bl w:val="nil"/>
                  </w:tcBorders>
                  <w:noWrap w:val="0"/>
                  <w:vAlign w:val="center"/>
                </w:tcPr>
                <w:p>
                  <w:pPr>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全面加强面源污染治理</w:t>
                  </w:r>
                  <w:r>
                    <w:rPr>
                      <w:rFonts w:hint="eastAsia" w:ascii="Times New Roman" w:hAnsi="Times New Roman" w:eastAsia="宋体" w:cs="Times New Roman"/>
                      <w:color w:val="auto"/>
                      <w:lang w:eastAsia="zh-CN"/>
                    </w:rPr>
                    <w:t>：根据安全生产、水土保持、生态环境等要求，新建矿山按照绿色矿山标准规划、设计、建设和运行管理，鼓励同步建设铁路专用线或采用其他清洁运输方式；推进生产矿山绿色矿山建设，依法关闭限期整改仍不达标矿山。沙化土地范围内矿产资源开发建设项目加强防沙治沙工作。</w:t>
                  </w:r>
                </w:p>
              </w:tc>
              <w:tc>
                <w:tcPr>
                  <w:tcW w:w="1158"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矿区距吐</w:t>
                  </w:r>
                  <w:r>
                    <w:rPr>
                      <w:rFonts w:hint="eastAsia" w:eastAsia="宋体" w:cs="Times New Roman"/>
                      <w:color w:val="auto"/>
                      <w:lang w:val="en-US" w:eastAsia="zh-CN"/>
                    </w:rPr>
                    <w:t>和高山和G3012国道约3.5</w:t>
                  </w:r>
                  <w:r>
                    <w:rPr>
                      <w:rFonts w:hint="eastAsia" w:ascii="Times New Roman" w:hAnsi="Times New Roman" w:eastAsia="宋体" w:cs="Times New Roman"/>
                      <w:color w:val="auto"/>
                      <w:lang w:val="en-US" w:eastAsia="zh-CN"/>
                    </w:rPr>
                    <w:t>km，不需要同步建设铁路专线。</w:t>
                  </w:r>
                </w:p>
              </w:tc>
              <w:tc>
                <w:tcPr>
                  <w:tcW w:w="545" w:type="pct"/>
                  <w:tcBorders>
                    <w:tl2br w:val="nil"/>
                    <w:tr2bl w:val="nil"/>
                  </w:tcBorders>
                  <w:noWrap w:val="0"/>
                  <w:vAlign w:val="center"/>
                </w:tcPr>
                <w:p>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95" w:type="pct"/>
                  <w:tcBorders>
                    <w:tl2br w:val="nil"/>
                    <w:tr2bl w:val="nil"/>
                  </w:tcBorders>
                  <w:noWrap w:val="0"/>
                  <w:vAlign w:val="center"/>
                </w:tcPr>
                <w:p>
                  <w:pPr>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持续开展重点行业污染深度治理。高质量推进钢铁、水泥、焦化等行业超低排放改造，到2025年底，全区钢铁行业80%的产能完成超低排放改造，联防联控区水泥、焦化行业基本完成超低排放改造。开展失效低效污染治理设施排查整治。扎实推进环保绩效“创A晋B”，各地结合实际制定“一企一策”污染治理方案，提升企业环保绩效水平。强化治污设施运行维护，减少非正常工况排放，逐步取消烟气和含VOCs废气旁路，因安全生产需要无法取消的，安装在线监控系统及备用处置设施。</w:t>
                  </w:r>
                </w:p>
              </w:tc>
              <w:tc>
                <w:tcPr>
                  <w:tcW w:w="1158" w:type="pct"/>
                  <w:tcBorders>
                    <w:tl2br w:val="nil"/>
                    <w:tr2bl w:val="nil"/>
                  </w:tcBorders>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不涉及</w:t>
                  </w:r>
                </w:p>
              </w:tc>
              <w:tc>
                <w:tcPr>
                  <w:tcW w:w="545" w:type="pct"/>
                  <w:tcBorders>
                    <w:tl2br w:val="nil"/>
                    <w:tr2bl w:val="nil"/>
                  </w:tcBorders>
                  <w:noWrap w:val="0"/>
                  <w:vAlign w:val="center"/>
                </w:tcPr>
                <w:p>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bl>
          <w:p>
            <w:pPr>
              <w:pStyle w:val="27"/>
              <w:jc w:val="both"/>
              <w:rPr>
                <w:rFonts w:hint="eastAsia"/>
                <w:color w:val="auto"/>
                <w:lang w:val="en-US" w:eastAsia="zh-CN"/>
              </w:rPr>
            </w:pPr>
          </w:p>
        </w:tc>
      </w:tr>
      <w:bookmarkEnd w:id="2"/>
    </w:tbl>
    <w:p>
      <w:pPr>
        <w:spacing w:line="360" w:lineRule="auto"/>
        <w:outlineLvl w:val="0"/>
        <w:rPr>
          <w:rFonts w:eastAsia="黑体"/>
          <w:sz w:val="30"/>
        </w:rPr>
        <w:sectPr>
          <w:footerReference r:id="rId4" w:type="default"/>
          <w:pgSz w:w="11906" w:h="16838"/>
          <w:pgMar w:top="1304" w:right="1304" w:bottom="1304" w:left="136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pPr>
        <w:pStyle w:val="21"/>
        <w:jc w:val="center"/>
        <w:outlineLvl w:val="0"/>
        <w:rPr>
          <w:rFonts w:ascii="黑体" w:hAnsi="黑体" w:eastAsia="黑体"/>
          <w:snapToGrid w:val="0"/>
          <w:sz w:val="30"/>
          <w:szCs w:val="30"/>
        </w:rPr>
      </w:pPr>
      <w:r>
        <w:rPr>
          <w:rFonts w:hint="eastAsia" w:ascii="黑体" w:hAnsi="黑体" w:eastAsia="黑体"/>
          <w:snapToGrid w:val="0"/>
          <w:sz w:val="30"/>
          <w:szCs w:val="30"/>
        </w:rPr>
        <w:t>二、建设内容</w:t>
      </w:r>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7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noWrap w:val="0"/>
            <w:vAlign w:val="center"/>
          </w:tcPr>
          <w:p>
            <w:pPr>
              <w:keepLines w:val="0"/>
              <w:pageBreakBefore w:val="0"/>
              <w:kinsoku/>
              <w:overflowPunct/>
              <w:topLinePunct w:val="0"/>
              <w:bidi w:val="0"/>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地理位置</w:t>
            </w:r>
          </w:p>
        </w:tc>
        <w:tc>
          <w:tcPr>
            <w:tcW w:w="4601" w:type="pct"/>
            <w:noWrap w:val="0"/>
            <w:vAlign w:val="top"/>
          </w:tcPr>
          <w:p>
            <w:pPr>
              <w:autoSpaceDE w:val="0"/>
              <w:autoSpaceDN w:val="0"/>
              <w:adjustRightInd w:val="0"/>
              <w:snapToGrid w:val="0"/>
              <w:spacing w:line="360" w:lineRule="auto"/>
              <w:ind w:firstLine="480" w:firstLineChars="200"/>
              <w:rPr>
                <w:color w:val="auto"/>
              </w:rPr>
            </w:pPr>
            <w:r>
              <w:rPr>
                <w:rFonts w:hint="default" w:ascii="Times New Roman" w:hAnsi="Times New Roman" w:cs="Times New Roman"/>
                <w:color w:val="auto"/>
                <w:sz w:val="24"/>
                <w:lang w:val="zh-CN"/>
              </w:rPr>
              <w:t>和硕恒达石业有限公司新疆和硕县爱盖尔其西饰面石材花岗岩矿建设项目</w:t>
            </w:r>
            <w:r>
              <w:rPr>
                <w:rFonts w:hint="eastAsia" w:cs="Times New Roman"/>
                <w:color w:val="auto"/>
                <w:sz w:val="24"/>
                <w:lang w:val="en-US" w:eastAsia="zh-CN"/>
              </w:rPr>
              <w:t>属于</w:t>
            </w:r>
            <w:r>
              <w:rPr>
                <w:rFonts w:hint="default" w:ascii="Times New Roman" w:hAnsi="Times New Roman" w:cs="Times New Roman"/>
                <w:color w:val="auto"/>
                <w:sz w:val="24"/>
                <w:lang w:val="zh-CN"/>
              </w:rPr>
              <w:t>和硕县管辖，矿区位于和硕县</w:t>
            </w:r>
            <w:r>
              <w:rPr>
                <w:rFonts w:hint="eastAsia" w:cs="Times New Roman"/>
                <w:color w:val="auto"/>
                <w:sz w:val="24"/>
                <w:lang w:val="en-US" w:eastAsia="zh-CN"/>
              </w:rPr>
              <w:t>东南</w:t>
            </w:r>
            <w:r>
              <w:rPr>
                <w:rFonts w:hint="default" w:ascii="Times New Roman" w:hAnsi="Times New Roman" w:cs="Times New Roman"/>
                <w:color w:val="auto"/>
                <w:sz w:val="24"/>
                <w:lang w:val="zh-CN"/>
              </w:rPr>
              <w:t>方位，直线距离约</w:t>
            </w:r>
            <w:r>
              <w:rPr>
                <w:rFonts w:hint="eastAsia" w:cs="Times New Roman"/>
                <w:color w:val="auto"/>
                <w:sz w:val="24"/>
                <w:lang w:val="en-US" w:eastAsia="zh-CN"/>
              </w:rPr>
              <w:t>58</w:t>
            </w:r>
            <w:r>
              <w:rPr>
                <w:rFonts w:hint="default" w:ascii="Times New Roman" w:hAnsi="Times New Roman" w:cs="Times New Roman"/>
                <w:color w:val="auto"/>
                <w:sz w:val="24"/>
                <w:lang w:val="zh-CN"/>
              </w:rPr>
              <w:t>千米处。矿区中心地理坐标：东经87°35′10.523″，北纬42°11′25.125″，面积</w:t>
            </w:r>
            <w:r>
              <w:rPr>
                <w:rFonts w:hint="eastAsia" w:cs="Times New Roman"/>
                <w:color w:val="auto"/>
                <w:sz w:val="24"/>
                <w:lang w:val="en-US" w:eastAsia="zh-CN"/>
              </w:rPr>
              <w:t>0.9817</w:t>
            </w:r>
            <w:r>
              <w:rPr>
                <w:rFonts w:hint="default" w:ascii="Times New Roman" w:hAnsi="Times New Roman" w:cs="Times New Roman"/>
                <w:color w:val="auto"/>
                <w:sz w:val="24"/>
                <w:lang w:val="zh-CN"/>
              </w:rPr>
              <w:t>平方</w:t>
            </w:r>
            <w:r>
              <w:rPr>
                <w:rFonts w:hint="eastAsia" w:cs="Times New Roman"/>
                <w:color w:val="auto"/>
                <w:sz w:val="24"/>
                <w:lang w:val="en-US" w:eastAsia="zh-CN"/>
              </w:rPr>
              <w:t>公里</w:t>
            </w:r>
            <w:r>
              <w:rPr>
                <w:rFonts w:hint="default" w:ascii="Times New Roman" w:hAnsi="Times New Roman" w:cs="Times New Roman"/>
                <w:color w:val="auto"/>
                <w:sz w:val="24"/>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398" w:type="pct"/>
            <w:noWrap w:val="0"/>
            <w:vAlign w:val="center"/>
          </w:tcPr>
          <w:p>
            <w:pPr>
              <w:keepLines w:val="0"/>
              <w:pageBreakBefore w:val="0"/>
              <w:kinsoku/>
              <w:overflowPunct/>
              <w:topLinePunct w:val="0"/>
              <w:bidi w:val="0"/>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项目组成及规模</w:t>
            </w:r>
          </w:p>
        </w:tc>
        <w:tc>
          <w:tcPr>
            <w:tcW w:w="4601" w:type="pct"/>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1、</w:t>
            </w:r>
            <w:r>
              <w:rPr>
                <w:rFonts w:hint="eastAsia"/>
                <w:color w:val="auto"/>
                <w:sz w:val="24"/>
                <w:szCs w:val="24"/>
                <w:lang w:val="en-US" w:eastAsia="zh-CN"/>
              </w:rPr>
              <w:t>项目背景</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为了合理开发新疆和硕县爱盖尔琪一带饰面石材重点开采区饰面石材花岗岩矿矿产资源，和硕恒达石业有限公司拟建设新疆和硕县爱盖尔其西饰面石材花岗岩矿。</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本项目</w:t>
            </w:r>
            <w:r>
              <w:rPr>
                <w:rFonts w:hint="eastAsia"/>
                <w:color w:val="auto"/>
                <w:sz w:val="24"/>
                <w:szCs w:val="24"/>
                <w:lang w:val="en-US" w:eastAsia="zh-CN"/>
              </w:rPr>
              <w:t>由</w:t>
            </w:r>
            <w:r>
              <w:rPr>
                <w:rFonts w:hint="default"/>
                <w:color w:val="auto"/>
                <w:sz w:val="24"/>
                <w:szCs w:val="24"/>
                <w:lang w:val="en-US" w:eastAsia="zh-CN"/>
              </w:rPr>
              <w:t>新疆典之源矿业有限公司2023年12月完成《新疆和硕县爱盖尔其西饰面石材花岗岩矿详查报告》，并取得矿产资源储量评审意见书《新疆和硕县爱盖尔其西饰面石材花岗岩矿详查报告〉评审意见书》（巴矿协资储评〔2024〕33号）</w:t>
            </w:r>
            <w:r>
              <w:rPr>
                <w:rFonts w:hint="eastAsia"/>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2025年4月25日巴音郭楞蒙古自治州自然资源局为和硕恒达石业有限公司颁发采矿许可证（证号为C6528002025047210158310），矿山名称为“和硕恒达石业有限公司新疆和硕县爱盖尔其西饰面石材花岗岩矿”，生产规模为1.8万立方米/年，矿区范围由4个拐点圈定，矿区面积约：0.9817km</w:t>
            </w:r>
            <w:r>
              <w:rPr>
                <w:rFonts w:hint="eastAsia"/>
                <w:color w:val="auto"/>
                <w:sz w:val="24"/>
                <w:szCs w:val="24"/>
                <w:vertAlign w:val="superscript"/>
                <w:lang w:val="en-US" w:eastAsia="zh-CN"/>
              </w:rPr>
              <w:t>2</w:t>
            </w:r>
            <w:r>
              <w:rPr>
                <w:rFonts w:hint="eastAsia"/>
                <w:color w:val="auto"/>
                <w:sz w:val="24"/>
                <w:szCs w:val="24"/>
                <w:lang w:val="en-US" w:eastAsia="zh-CN"/>
              </w:rPr>
              <w:t>。开采标高范围1272～1225m。</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根据《中华人民共和国环境保护法》</w:t>
            </w:r>
            <w:r>
              <w:rPr>
                <w:rFonts w:hint="eastAsia"/>
                <w:color w:val="auto"/>
                <w:sz w:val="24"/>
                <w:szCs w:val="24"/>
                <w:lang w:val="en-US" w:eastAsia="zh-CN"/>
              </w:rPr>
              <w:t>、</w:t>
            </w:r>
            <w:r>
              <w:rPr>
                <w:rFonts w:hint="default"/>
                <w:color w:val="auto"/>
                <w:sz w:val="24"/>
                <w:szCs w:val="24"/>
                <w:lang w:val="en-US" w:eastAsia="zh-CN"/>
              </w:rPr>
              <w:t>《中华人民共和国环境影响评价法》和《建设项目环境保护管理条例》的有关规定，本项目应进行环境影响评价。根据《建设项目环境影响评价分类管理名录》（2021年版），项目属于</w:t>
            </w:r>
            <w:r>
              <w:rPr>
                <w:rFonts w:hint="eastAsia"/>
                <w:color w:val="auto"/>
                <w:sz w:val="24"/>
                <w:szCs w:val="24"/>
                <w:lang w:val="en-US" w:eastAsia="zh-CN"/>
              </w:rPr>
              <w:t>“</w:t>
            </w:r>
            <w:r>
              <w:rPr>
                <w:rFonts w:hint="default"/>
                <w:color w:val="auto"/>
                <w:sz w:val="24"/>
                <w:szCs w:val="24"/>
                <w:lang w:val="en-US" w:eastAsia="zh-CN"/>
              </w:rPr>
              <w:t>八、非金属矿采选业10-11土砂石开采101（不含河道采砂项目）-其他</w:t>
            </w:r>
            <w:r>
              <w:rPr>
                <w:rFonts w:hint="eastAsia"/>
                <w:color w:val="auto"/>
                <w:sz w:val="24"/>
                <w:szCs w:val="24"/>
                <w:lang w:val="en-US" w:eastAsia="zh-CN"/>
              </w:rPr>
              <w:t>”</w:t>
            </w:r>
            <w:r>
              <w:rPr>
                <w:rFonts w:hint="default"/>
                <w:color w:val="auto"/>
                <w:sz w:val="24"/>
                <w:szCs w:val="24"/>
                <w:lang w:val="en-US" w:eastAsia="zh-CN"/>
              </w:rPr>
              <w:t>，故本项目应编制环境影响报告表。</w:t>
            </w:r>
            <w:r>
              <w:rPr>
                <w:rFonts w:hint="eastAsia"/>
                <w:color w:val="auto"/>
                <w:sz w:val="24"/>
                <w:szCs w:val="24"/>
                <w:lang w:val="en-US" w:eastAsia="zh-CN"/>
              </w:rPr>
              <w:t>为此</w:t>
            </w:r>
            <w:r>
              <w:rPr>
                <w:rFonts w:hint="default"/>
                <w:color w:val="auto"/>
                <w:sz w:val="24"/>
                <w:szCs w:val="24"/>
                <w:lang w:val="en-US" w:eastAsia="zh-CN"/>
              </w:rPr>
              <w:t>和硕恒达石业有限公司委托新疆</w:t>
            </w:r>
            <w:r>
              <w:rPr>
                <w:rFonts w:hint="eastAsia"/>
                <w:color w:val="auto"/>
                <w:sz w:val="24"/>
                <w:szCs w:val="24"/>
                <w:lang w:val="en-US" w:eastAsia="zh-CN"/>
              </w:rPr>
              <w:t>泰驰</w:t>
            </w:r>
            <w:r>
              <w:rPr>
                <w:rFonts w:hint="default"/>
                <w:color w:val="auto"/>
                <w:sz w:val="24"/>
                <w:szCs w:val="24"/>
                <w:lang w:val="en-US" w:eastAsia="zh-CN"/>
              </w:rPr>
              <w:t>环保科技有限公司承担了本项目的环境影响评价工作。接受委托后，环评单位在现场踏勘和资料收集的基础上，编制完成了《和硕恒达石业有限公司新疆和硕县爱盖尔其西饰面石材花岗岩矿建设项目环境影响报告表》，建设单</w:t>
            </w:r>
            <w:r>
              <w:rPr>
                <w:rFonts w:hint="eastAsia"/>
                <w:color w:val="auto"/>
                <w:sz w:val="24"/>
                <w:szCs w:val="24"/>
                <w:lang w:val="en-US" w:eastAsia="zh-CN"/>
              </w:rPr>
              <w:t>位将</w:t>
            </w:r>
            <w:r>
              <w:rPr>
                <w:rFonts w:hint="default"/>
                <w:color w:val="auto"/>
                <w:sz w:val="24"/>
                <w:szCs w:val="24"/>
                <w:lang w:val="en-US" w:eastAsia="zh-CN"/>
              </w:rPr>
              <w:t>递交环境影响报告表呈报生态环境行政主管部门，审批后作为环保部门和该企业进行环境管理的依据。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2、</w:t>
            </w:r>
            <w:r>
              <w:rPr>
                <w:rFonts w:hint="eastAsia"/>
                <w:color w:val="auto"/>
                <w:sz w:val="24"/>
                <w:szCs w:val="24"/>
                <w:lang w:val="en-US" w:eastAsia="zh-CN"/>
              </w:rPr>
              <w:t>项目概况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项目名称：</w:t>
            </w:r>
            <w:r>
              <w:rPr>
                <w:rFonts w:hint="default"/>
                <w:color w:val="auto"/>
                <w:sz w:val="24"/>
                <w:szCs w:val="24"/>
                <w:lang w:val="en-US" w:eastAsia="zh-CN"/>
              </w:rPr>
              <w:t>和硕恒达石业有限公司新疆和硕县爱盖尔其西饰面石材花岗岩矿建设项目</w:t>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建设单位：</w:t>
            </w:r>
            <w:r>
              <w:rPr>
                <w:rFonts w:hint="default"/>
                <w:color w:val="auto"/>
                <w:sz w:val="24"/>
                <w:szCs w:val="24"/>
                <w:lang w:val="en-US" w:eastAsia="zh-CN"/>
              </w:rPr>
              <w:t>和硕恒达石业有限公司</w:t>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建设性质：</w:t>
            </w:r>
            <w:r>
              <w:rPr>
                <w:rFonts w:hint="eastAsia" w:cs="Times New Roman"/>
                <w:color w:val="auto"/>
                <w:kern w:val="2"/>
                <w:sz w:val="24"/>
                <w:szCs w:val="24"/>
                <w:lang w:val="en-US" w:eastAsia="zh-CN" w:bidi="ar-SA"/>
              </w:rPr>
              <w:t>新建</w:t>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建设规模：矿山年开采</w:t>
            </w:r>
            <w:r>
              <w:rPr>
                <w:rFonts w:hint="default" w:ascii="Times New Roman" w:hAnsi="Times New Roman" w:cs="Times New Roman"/>
                <w:color w:val="auto"/>
                <w:sz w:val="24"/>
                <w:lang w:val="zh-CN"/>
              </w:rPr>
              <w:t>花岗岩矿</w:t>
            </w:r>
            <w:r>
              <w:rPr>
                <w:rFonts w:hint="eastAsia" w:cs="Times New Roman"/>
                <w:color w:val="auto"/>
                <w:sz w:val="24"/>
                <w:lang w:val="en-US" w:eastAsia="zh-CN"/>
              </w:rPr>
              <w:t>1.8</w:t>
            </w:r>
            <w:r>
              <w:rPr>
                <w:rFonts w:hint="default" w:ascii="Times New Roman" w:hAnsi="Times New Roman" w:eastAsia="宋体" w:cs="Times New Roman"/>
                <w:color w:val="auto"/>
                <w:kern w:val="2"/>
                <w:sz w:val="24"/>
                <w:szCs w:val="24"/>
                <w:lang w:val="en-US" w:eastAsia="zh-CN" w:bidi="ar-SA"/>
              </w:rPr>
              <w:t>万</w:t>
            </w:r>
            <w:r>
              <w:rPr>
                <w:rFonts w:hint="eastAsia" w:cs="Times New Roman"/>
                <w:color w:val="auto"/>
                <w:kern w:val="2"/>
                <w:sz w:val="24"/>
                <w:szCs w:val="24"/>
                <w:lang w:val="en-US" w:eastAsia="zh-CN" w:bidi="ar-SA"/>
              </w:rPr>
              <w:t>立方米（荒料）；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矿山服务年限：矿山服务年限为</w:t>
            </w:r>
            <w:r>
              <w:rPr>
                <w:rFonts w:hint="eastAsia" w:cs="Times New Roman"/>
                <w:color w:val="auto"/>
                <w:kern w:val="2"/>
                <w:sz w:val="24"/>
                <w:szCs w:val="24"/>
                <w:lang w:val="en-US" w:eastAsia="zh-CN" w:bidi="ar-SA"/>
              </w:rPr>
              <w:t>14.57</w:t>
            </w:r>
            <w:r>
              <w:rPr>
                <w:rFonts w:hint="default" w:ascii="Times New Roman" w:hAnsi="Times New Roman" w:eastAsia="宋体" w:cs="Times New Roman"/>
                <w:color w:val="auto"/>
                <w:kern w:val="2"/>
                <w:sz w:val="24"/>
                <w:szCs w:val="24"/>
                <w:lang w:val="en-US" w:eastAsia="zh-CN" w:bidi="ar-SA"/>
              </w:rPr>
              <w:t>年</w:t>
            </w:r>
            <w:r>
              <w:rPr>
                <w:rFonts w:hint="eastAsia" w:cs="Times New Roman"/>
                <w:color w:val="auto"/>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工程投资：总投资</w:t>
            </w:r>
            <w:r>
              <w:rPr>
                <w:rFonts w:hint="eastAsia" w:cs="Times New Roman"/>
                <w:color w:val="auto"/>
                <w:kern w:val="2"/>
                <w:sz w:val="24"/>
                <w:szCs w:val="24"/>
                <w:lang w:val="en-US" w:eastAsia="zh-CN" w:bidi="ar-SA"/>
              </w:rPr>
              <w:t>750</w:t>
            </w:r>
            <w:r>
              <w:rPr>
                <w:rFonts w:hint="default" w:ascii="Times New Roman" w:hAnsi="Times New Roman" w:eastAsia="宋体" w:cs="Times New Roman"/>
                <w:color w:val="auto"/>
                <w:kern w:val="2"/>
                <w:sz w:val="24"/>
                <w:szCs w:val="24"/>
                <w:lang w:val="en-US" w:eastAsia="zh-CN" w:bidi="ar-SA"/>
              </w:rPr>
              <w:t>万元，其中环保投资</w:t>
            </w:r>
            <w:r>
              <w:rPr>
                <w:rFonts w:hint="eastAsia" w:cs="Times New Roman"/>
                <w:color w:val="auto"/>
                <w:kern w:val="2"/>
                <w:sz w:val="24"/>
                <w:szCs w:val="24"/>
                <w:lang w:val="en-US" w:eastAsia="zh-CN" w:bidi="ar-SA"/>
              </w:rPr>
              <w:t>59.6</w:t>
            </w:r>
            <w:r>
              <w:rPr>
                <w:rFonts w:hint="default" w:ascii="Times New Roman" w:hAnsi="Times New Roman" w:eastAsia="宋体" w:cs="Times New Roman"/>
                <w:color w:val="auto"/>
                <w:kern w:val="2"/>
                <w:sz w:val="24"/>
                <w:szCs w:val="24"/>
                <w:lang w:val="en-US" w:eastAsia="zh-CN" w:bidi="ar-SA"/>
              </w:rPr>
              <w:t>万元，占总投资的</w:t>
            </w:r>
            <w:r>
              <w:rPr>
                <w:rFonts w:hint="eastAsia" w:cs="Times New Roman"/>
                <w:color w:val="auto"/>
                <w:kern w:val="2"/>
                <w:sz w:val="24"/>
                <w:szCs w:val="24"/>
                <w:lang w:val="en-US" w:eastAsia="zh-CN" w:bidi="ar-SA"/>
              </w:rPr>
              <w:t>7.95</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情况说明：和硕恒达石业有限公司于2024年7月30日通过招拍挂方式成功取得了新疆和硕县爱盖尔其西花岗岩矿的探矿权，用于石材花岗岩矿开采。经实地调查和深入了解，发现该矿区此前已被开采，开采时间、开采单位不明，最低开采标高已达1225米，目前尚未进行土地复垦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3、</w:t>
            </w:r>
            <w:r>
              <w:rPr>
                <w:rFonts w:hint="eastAsia"/>
                <w:color w:val="auto"/>
                <w:sz w:val="24"/>
                <w:szCs w:val="24"/>
                <w:lang w:val="en-US" w:eastAsia="zh-CN"/>
              </w:rPr>
              <w:t>主要建设内容</w:t>
            </w:r>
          </w:p>
          <w:p>
            <w:pPr>
              <w:adjustRightInd w:val="0"/>
              <w:snapToGrid w:val="0"/>
              <w:spacing w:line="360" w:lineRule="auto"/>
              <w:ind w:firstLine="480" w:firstLineChars="200"/>
              <w:rPr>
                <w:rFonts w:hint="default" w:ascii="Times New Roman" w:hAnsi="Times New Roman" w:cs="Times New Roman"/>
                <w:color w:val="auto"/>
                <w:sz w:val="24"/>
              </w:rPr>
            </w:pPr>
            <w:r>
              <w:rPr>
                <w:rFonts w:hint="eastAsia"/>
                <w:color w:val="auto"/>
                <w:sz w:val="24"/>
                <w:szCs w:val="24"/>
                <w:lang w:val="en-US" w:eastAsia="zh-CN"/>
              </w:rPr>
              <w:t>本项目为饰面花岗岩矿开采工程，矿山生产规模为年开采花岗岩矿1.8万立方米，项目矿区总面积为0.9817km</w:t>
            </w:r>
            <w:r>
              <w:rPr>
                <w:rFonts w:hint="eastAsia"/>
                <w:color w:val="auto"/>
                <w:sz w:val="24"/>
                <w:szCs w:val="24"/>
                <w:vertAlign w:val="superscript"/>
                <w:lang w:val="en-US" w:eastAsia="zh-CN"/>
              </w:rPr>
              <w:t>2</w:t>
            </w:r>
            <w:r>
              <w:rPr>
                <w:rFonts w:hint="eastAsia"/>
                <w:color w:val="auto"/>
                <w:sz w:val="24"/>
                <w:szCs w:val="24"/>
                <w:lang w:val="en-US" w:eastAsia="zh-CN"/>
              </w:rPr>
              <w:t>，最低开采标高为矿体资源量估算最低标高1225米，最高开采标高为矿体地表出露最高标高1272米。拟设采矿证标高为1225～1272米。项目矿区范围由4个拐点连接组成。设计露天生产规模为1.8万m</w:t>
            </w:r>
            <w:r>
              <w:rPr>
                <w:rFonts w:hint="eastAsia"/>
                <w:color w:val="auto"/>
                <w:sz w:val="24"/>
                <w:szCs w:val="24"/>
                <w:vertAlign w:val="superscript"/>
                <w:lang w:val="en-US" w:eastAsia="zh-CN"/>
              </w:rPr>
              <w:t>3</w:t>
            </w:r>
            <w:r>
              <w:rPr>
                <w:rFonts w:hint="eastAsia"/>
                <w:color w:val="auto"/>
                <w:sz w:val="24"/>
                <w:szCs w:val="24"/>
                <w:lang w:val="en-US" w:eastAsia="zh-CN"/>
              </w:rPr>
              <w:t>/年，</w:t>
            </w:r>
            <w:r>
              <w:rPr>
                <w:rFonts w:hint="eastAsia" w:ascii="宋体" w:hAnsi="宋体"/>
                <w:color w:val="auto"/>
                <w:sz w:val="24"/>
                <w:szCs w:val="28"/>
              </w:rPr>
              <w:t>设计</w:t>
            </w:r>
            <w:r>
              <w:rPr>
                <w:rFonts w:hint="default" w:ascii="Times New Roman" w:hAnsi="Times New Roman" w:cs="Times New Roman"/>
                <w:color w:val="auto"/>
                <w:sz w:val="24"/>
                <w:szCs w:val="28"/>
              </w:rPr>
              <w:t>矿山采矿回采率</w:t>
            </w:r>
            <w:r>
              <w:rPr>
                <w:rFonts w:hint="eastAsia" w:cs="Times New Roman"/>
                <w:color w:val="auto"/>
                <w:sz w:val="24"/>
                <w:szCs w:val="28"/>
                <w:lang w:val="en-US" w:eastAsia="zh-CN"/>
              </w:rPr>
              <w:t>97</w:t>
            </w:r>
            <w:r>
              <w:rPr>
                <w:rFonts w:hint="default" w:ascii="Times New Roman" w:hAnsi="Times New Roman" w:cs="Times New Roman"/>
                <w:color w:val="auto"/>
                <w:sz w:val="24"/>
                <w:szCs w:val="28"/>
              </w:rPr>
              <w:t>%，贫化率0</w:t>
            </w:r>
            <w:r>
              <w:rPr>
                <w:rFonts w:hint="eastAsia" w:ascii="宋体" w:hAnsi="宋体"/>
                <w:color w:val="auto"/>
                <w:sz w:val="24"/>
                <w:szCs w:val="28"/>
              </w:rPr>
              <w:t>，则</w:t>
            </w:r>
            <w:r>
              <w:rPr>
                <w:rFonts w:hint="eastAsia" w:ascii="宋体" w:hAnsi="宋体" w:cs="Arial"/>
                <w:color w:val="auto"/>
                <w:sz w:val="24"/>
              </w:rPr>
              <w:t>设计</w:t>
            </w:r>
            <w:r>
              <w:rPr>
                <w:rFonts w:hint="default" w:ascii="Times New Roman" w:hAnsi="Times New Roman" w:cs="Times New Roman"/>
                <w:color w:val="auto"/>
                <w:sz w:val="24"/>
              </w:rPr>
              <w:t>采出矿量</w:t>
            </w:r>
            <w:r>
              <w:rPr>
                <w:rFonts w:hint="eastAsia" w:cs="Times New Roman"/>
                <w:color w:val="auto"/>
                <w:sz w:val="24"/>
                <w:lang w:val="en-US" w:eastAsia="zh-CN"/>
              </w:rPr>
              <w:t>129.54</w:t>
            </w:r>
            <w:r>
              <w:rPr>
                <w:rFonts w:hint="default" w:ascii="Times New Roman" w:hAnsi="Times New Roman" w:cs="Times New Roman"/>
                <w:color w:val="auto"/>
                <w:sz w:val="24"/>
              </w:rPr>
              <w:t>万立方米，荒料量</w:t>
            </w:r>
            <w:r>
              <w:rPr>
                <w:rFonts w:hint="eastAsia" w:cs="Times New Roman"/>
                <w:color w:val="auto"/>
                <w:sz w:val="24"/>
                <w:lang w:val="en-US" w:eastAsia="zh-CN"/>
              </w:rPr>
              <w:t>26.23</w:t>
            </w:r>
            <w:r>
              <w:rPr>
                <w:rFonts w:hint="default" w:ascii="Times New Roman" w:hAnsi="Times New Roman" w:cs="Times New Roman"/>
                <w:color w:val="auto"/>
                <w:sz w:val="24"/>
              </w:rPr>
              <w:t>万立方米</w:t>
            </w:r>
            <w:r>
              <w:rPr>
                <w:rFonts w:hint="default" w:ascii="Times New Roman" w:hAnsi="Times New Roman" w:cs="Times New Roman"/>
                <w:color w:val="auto"/>
                <w:sz w:val="24"/>
                <w:szCs w:val="28"/>
              </w:rPr>
              <w:t>。设计范围内矿山服务年限约为</w:t>
            </w:r>
            <w:r>
              <w:rPr>
                <w:rFonts w:hint="eastAsia" w:cs="Times New Roman"/>
                <w:color w:val="auto"/>
                <w:sz w:val="24"/>
                <w:szCs w:val="28"/>
                <w:lang w:val="en-US" w:eastAsia="zh-CN"/>
              </w:rPr>
              <w:t>14.57</w:t>
            </w:r>
            <w:r>
              <w:rPr>
                <w:rFonts w:hint="default" w:ascii="Times New Roman" w:hAnsi="Times New Roman" w:cs="Times New Roman"/>
                <w:color w:val="auto"/>
                <w:sz w:val="24"/>
                <w:szCs w:val="28"/>
              </w:rPr>
              <w:t>年</w:t>
            </w:r>
            <w:r>
              <w:rPr>
                <w:rFonts w:hint="default" w:ascii="Times New Roman" w:hAnsi="Times New Roman" w:cs="Times New Roman"/>
                <w:color w:val="auto"/>
                <w:sz w:val="24"/>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项目主要建设内容有办公生活区、矿山道路，露天采场、荒料堆放场、排土场</w:t>
            </w:r>
            <w:r>
              <w:rPr>
                <w:rFonts w:hint="eastAsia"/>
                <w:color w:val="auto"/>
                <w:sz w:val="24"/>
                <w:szCs w:val="24"/>
                <w:lang w:val="en-US" w:eastAsia="zh-CN"/>
              </w:rPr>
              <w:t>和生产车间。</w:t>
            </w:r>
            <w:r>
              <w:rPr>
                <w:rFonts w:hint="default"/>
                <w:color w:val="auto"/>
                <w:sz w:val="24"/>
                <w:szCs w:val="24"/>
                <w:lang w:val="en-US" w:eastAsia="zh-CN"/>
              </w:rPr>
              <w:t>项目组成具体详见</w:t>
            </w:r>
            <w:r>
              <w:rPr>
                <w:rFonts w:hint="eastAsia"/>
                <w:color w:val="auto"/>
                <w:sz w:val="24"/>
                <w:szCs w:val="24"/>
                <w:lang w:val="en-US" w:eastAsia="zh-CN"/>
              </w:rPr>
              <w:t>下</w:t>
            </w:r>
            <w:r>
              <w:rPr>
                <w:rFonts w:hint="default"/>
                <w:color w:val="auto"/>
                <w:sz w:val="24"/>
                <w:szCs w:val="24"/>
                <w:lang w:val="en-US" w:eastAsia="zh-CN"/>
              </w:rPr>
              <w:t>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表2-1   项目组成一览表</w:t>
            </w:r>
          </w:p>
          <w:tbl>
            <w:tblPr>
              <w:tblStyle w:val="24"/>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609"/>
              <w:gridCol w:w="981"/>
              <w:gridCol w:w="1308"/>
              <w:gridCol w:w="512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工程类别</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组成</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主要建设内容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630"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主体工程</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露天采矿场</w:t>
                  </w:r>
                </w:p>
              </w:tc>
              <w:tc>
                <w:tcPr>
                  <w:tcW w:w="3790" w:type="pct"/>
                  <w:gridSpan w:val="2"/>
                  <w:tcBorders>
                    <w:tl2br w:val="nil"/>
                    <w:tr2bl w:val="nil"/>
                  </w:tcBorders>
                  <w:noWrap w:val="0"/>
                  <w:vAlign w:val="center"/>
                </w:tcPr>
                <w:p>
                  <w:pPr>
                    <w:jc w:val="left"/>
                    <w:rPr>
                      <w:rFonts w:hint="eastAsia"/>
                      <w:color w:val="auto"/>
                      <w:lang w:val="en-US" w:eastAsia="zh-CN"/>
                    </w:rPr>
                  </w:pPr>
                  <w:bookmarkStart w:id="3" w:name="_Hlk179326755"/>
                  <w:r>
                    <w:rPr>
                      <w:rFonts w:hint="eastAsia"/>
                      <w:color w:val="auto"/>
                      <w:lang w:val="en-US" w:eastAsia="zh-CN"/>
                    </w:rPr>
                    <w:t>矿山规划共有1处露天采场，位于矿区内矿体处，占地面积6.3hm</w:t>
                  </w:r>
                  <w:r>
                    <w:rPr>
                      <w:rFonts w:hint="eastAsia"/>
                      <w:color w:val="auto"/>
                      <w:vertAlign w:val="superscript"/>
                      <w:lang w:val="en-US" w:eastAsia="zh-CN"/>
                    </w:rPr>
                    <w:t>2</w:t>
                  </w:r>
                  <w:r>
                    <w:rPr>
                      <w:rFonts w:hint="eastAsia"/>
                      <w:color w:val="auto"/>
                      <w:lang w:val="en-US" w:eastAsia="zh-CN"/>
                    </w:rPr>
                    <w:t>，地表境界长153米，宽106米。</w:t>
                  </w:r>
                  <w:bookmarkEnd w:id="3"/>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3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vertAlign w:val="baseline"/>
                      <w:lang w:val="en-US" w:eastAsia="zh-CN"/>
                    </w:rPr>
                  </w:pPr>
                  <w:r>
                    <w:rPr>
                      <w:rFonts w:hint="eastAsia"/>
                      <w:color w:val="auto"/>
                      <w:lang w:val="en-US" w:eastAsia="zh-CN"/>
                    </w:rPr>
                    <w:t>1#车间</w:t>
                  </w:r>
                </w:p>
              </w:tc>
              <w:tc>
                <w:tcPr>
                  <w:tcW w:w="3790" w:type="pct"/>
                  <w:gridSpan w:val="2"/>
                  <w:tcBorders>
                    <w:tl2br w:val="nil"/>
                    <w:tr2bl w:val="nil"/>
                  </w:tcBorders>
                  <w:noWrap w:val="0"/>
                  <w:vAlign w:val="center"/>
                </w:tcPr>
                <w:p>
                  <w:pPr>
                    <w:jc w:val="left"/>
                    <w:rPr>
                      <w:rFonts w:hint="default"/>
                      <w:color w:val="auto"/>
                      <w:lang w:val="en-US" w:eastAsia="zh-CN"/>
                    </w:rPr>
                  </w:pPr>
                  <w:r>
                    <w:rPr>
                      <w:rFonts w:hint="eastAsia"/>
                      <w:color w:val="auto"/>
                      <w:lang w:val="en-US" w:eastAsia="zh-CN"/>
                    </w:rPr>
                    <w:t>包含2条切割生产线，占地面积1000</w:t>
                  </w:r>
                  <w:r>
                    <w:rPr>
                      <w:rFonts w:hint="default" w:ascii="Times New Roman" w:hAnsi="Times New Roman" w:cs="Times New Roman"/>
                      <w:color w:val="auto"/>
                      <w:kern w:val="0"/>
                      <w:sz w:val="22"/>
                      <w:szCs w:val="22"/>
                      <w:lang w:val="en-US" w:eastAsia="zh-CN"/>
                    </w:rPr>
                    <w:t>m</w:t>
                  </w:r>
                  <w:r>
                    <w:rPr>
                      <w:rFonts w:hint="default" w:ascii="Times New Roman" w:hAnsi="Times New Roman" w:cs="Times New Roman"/>
                      <w:color w:val="auto"/>
                      <w:kern w:val="0"/>
                      <w:sz w:val="22"/>
                      <w:szCs w:val="22"/>
                      <w:vertAlign w:val="superscript"/>
                      <w:lang w:val="en-US" w:eastAsia="zh-CN"/>
                    </w:rPr>
                    <w:t>2</w:t>
                  </w:r>
                  <w:r>
                    <w:rPr>
                      <w:rFonts w:hint="eastAsia" w:cs="Times New Roman"/>
                      <w:color w:val="auto"/>
                      <w:kern w:val="0"/>
                      <w:sz w:val="22"/>
                      <w:szCs w:val="22"/>
                      <w:vertAlign w:val="baseline"/>
                      <w:lang w:val="en-US" w:eastAsia="zh-CN"/>
                    </w:rPr>
                    <w:t>，</w:t>
                  </w:r>
                  <w:r>
                    <w:rPr>
                      <w:rFonts w:hint="eastAsia" w:eastAsia="宋体"/>
                      <w:color w:val="auto"/>
                      <w:lang w:val="en-US" w:eastAsia="zh-CN"/>
                    </w:rPr>
                    <w:t>车间高8米</w:t>
                  </w:r>
                  <w:r>
                    <w:rPr>
                      <w:rFonts w:hint="eastAsia"/>
                      <w:color w:va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3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vertAlign w:val="baseline"/>
                      <w:lang w:val="en-US" w:eastAsia="zh-CN"/>
                    </w:rPr>
                  </w:pPr>
                  <w:r>
                    <w:rPr>
                      <w:rFonts w:hint="eastAsia"/>
                      <w:color w:val="auto"/>
                      <w:lang w:val="en-US" w:eastAsia="zh-CN"/>
                    </w:rPr>
                    <w:t>2#车间</w:t>
                  </w:r>
                </w:p>
              </w:tc>
              <w:tc>
                <w:tcPr>
                  <w:tcW w:w="3790" w:type="pct"/>
                  <w:gridSpan w:val="2"/>
                  <w:tcBorders>
                    <w:tl2br w:val="nil"/>
                    <w:tr2bl w:val="nil"/>
                  </w:tcBorders>
                  <w:noWrap w:val="0"/>
                  <w:vAlign w:val="center"/>
                </w:tcPr>
                <w:p>
                  <w:pPr>
                    <w:jc w:val="left"/>
                    <w:rPr>
                      <w:rFonts w:hint="eastAsia"/>
                      <w:color w:val="auto"/>
                      <w:lang w:val="en-US" w:eastAsia="zh-CN"/>
                    </w:rPr>
                  </w:pPr>
                  <w:r>
                    <w:rPr>
                      <w:rFonts w:hint="eastAsia"/>
                      <w:color w:val="auto"/>
                      <w:lang w:val="en-US" w:eastAsia="zh-CN"/>
                    </w:rPr>
                    <w:t>含一条喷砂生产线、一条抛光生产线占地面积1000</w:t>
                  </w:r>
                  <w:r>
                    <w:rPr>
                      <w:rFonts w:hint="default" w:ascii="Times New Roman" w:hAnsi="Times New Roman" w:cs="Times New Roman"/>
                      <w:color w:val="auto"/>
                      <w:kern w:val="0"/>
                      <w:sz w:val="22"/>
                      <w:szCs w:val="22"/>
                      <w:lang w:val="en-US" w:eastAsia="zh-CN"/>
                    </w:rPr>
                    <w:t>m</w:t>
                  </w:r>
                  <w:r>
                    <w:rPr>
                      <w:rFonts w:hint="default" w:ascii="Times New Roman" w:hAnsi="Times New Roman" w:cs="Times New Roman"/>
                      <w:color w:val="auto"/>
                      <w:kern w:val="0"/>
                      <w:sz w:val="22"/>
                      <w:szCs w:val="22"/>
                      <w:vertAlign w:val="superscript"/>
                      <w:lang w:val="en-US" w:eastAsia="zh-CN"/>
                    </w:rPr>
                    <w:t>2</w:t>
                  </w:r>
                  <w:r>
                    <w:rPr>
                      <w:rFonts w:hint="eastAsia" w:cs="Times New Roman"/>
                      <w:color w:val="auto"/>
                      <w:kern w:val="0"/>
                      <w:sz w:val="22"/>
                      <w:szCs w:val="22"/>
                      <w:vertAlign w:val="baseline"/>
                      <w:lang w:val="en-US" w:eastAsia="zh-CN"/>
                    </w:rPr>
                    <w:t>，</w:t>
                  </w:r>
                  <w:r>
                    <w:rPr>
                      <w:rFonts w:hint="eastAsia" w:eastAsia="宋体"/>
                      <w:color w:val="auto"/>
                      <w:lang w:val="en-US" w:eastAsia="zh-CN"/>
                    </w:rPr>
                    <w:t>车间高8米</w:t>
                  </w:r>
                  <w:r>
                    <w:rPr>
                      <w:rFonts w:hint="eastAsia"/>
                      <w:color w:va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63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辅助工程</w:t>
                  </w:r>
                </w:p>
              </w:tc>
              <w:tc>
                <w:tcPr>
                  <w:tcW w:w="578" w:type="pct"/>
                  <w:tcBorders>
                    <w:tl2br w:val="nil"/>
                    <w:tr2bl w:val="nil"/>
                  </w:tcBorders>
                  <w:noWrap w:val="0"/>
                  <w:vAlign w:val="center"/>
                </w:tcPr>
                <w:p>
                  <w:pPr>
                    <w:jc w:val="center"/>
                    <w:rPr>
                      <w:rFonts w:hint="eastAsia" w:eastAsia="宋体"/>
                      <w:color w:val="auto"/>
                      <w:lang w:val="en-US" w:eastAsia="zh-CN"/>
                    </w:rPr>
                  </w:pPr>
                  <w:r>
                    <w:rPr>
                      <w:rFonts w:hint="default" w:ascii="Times New Roman" w:hAnsi="Times New Roman" w:eastAsia="宋体" w:cs="Times New Roman"/>
                      <w:color w:val="auto"/>
                      <w:sz w:val="21"/>
                      <w:szCs w:val="21"/>
                      <w:vertAlign w:val="baseline"/>
                      <w:lang w:val="en-US" w:eastAsia="zh-CN"/>
                    </w:rPr>
                    <w:t>办公生活</w:t>
                  </w:r>
                </w:p>
              </w:tc>
              <w:tc>
                <w:tcPr>
                  <w:tcW w:w="3790" w:type="pct"/>
                  <w:gridSpan w:val="2"/>
                  <w:tcBorders>
                    <w:tl2br w:val="nil"/>
                    <w:tr2bl w:val="nil"/>
                  </w:tcBorders>
                  <w:noWrap w:val="0"/>
                  <w:vAlign w:val="center"/>
                </w:tcPr>
                <w:p>
                  <w:pPr>
                    <w:jc w:val="center"/>
                    <w:rPr>
                      <w:rFonts w:hint="default"/>
                      <w:color w:val="auto"/>
                      <w:lang w:val="en-US" w:eastAsia="zh-CN"/>
                    </w:rPr>
                  </w:pPr>
                  <w:r>
                    <w:rPr>
                      <w:rFonts w:hint="eastAsia"/>
                      <w:color w:val="auto"/>
                      <w:lang w:val="en-US" w:eastAsia="zh-CN"/>
                    </w:rPr>
                    <w:t>办公生活区位于矿区内东北部，地形坡度1-5°，包括办公室、职工宿舍、食堂、浴室、材料库房、机修间（简单机械维修机械）等建筑物，采用彩钢结构，总</w:t>
                  </w:r>
                  <w:r>
                    <w:rPr>
                      <w:rFonts w:hint="eastAsia" w:ascii="Times New Roman" w:hAnsi="Times New Roman" w:eastAsia="宋体" w:cs="Times New Roman"/>
                      <w:color w:val="auto"/>
                      <w:kern w:val="2"/>
                      <w:sz w:val="21"/>
                      <w:szCs w:val="24"/>
                      <w:lang w:val="en-US" w:eastAsia="zh-CN" w:bidi="ar-SA"/>
                    </w:rPr>
                    <w:t>占地面积</w:t>
                  </w:r>
                  <w:r>
                    <w:rPr>
                      <w:rFonts w:hint="eastAsia" w:cs="Times New Roman"/>
                      <w:color w:val="auto"/>
                      <w:kern w:val="2"/>
                      <w:sz w:val="21"/>
                      <w:szCs w:val="24"/>
                      <w:lang w:val="en-US" w:eastAsia="zh-CN" w:bidi="ar-SA"/>
                    </w:rPr>
                    <w:t>0.5</w:t>
                  </w:r>
                  <w:r>
                    <w:rPr>
                      <w:rFonts w:hint="eastAsia"/>
                      <w:color w:val="auto"/>
                      <w:lang w:val="en-US" w:eastAsia="zh-CN"/>
                    </w:rPr>
                    <w:t>hm</w:t>
                  </w:r>
                  <w:r>
                    <w:rPr>
                      <w:rFonts w:hint="eastAsia"/>
                      <w:color w:val="auto"/>
                      <w:vertAlign w:val="superscript"/>
                      <w:lang w:val="en-US" w:eastAsia="zh-CN"/>
                    </w:rPr>
                    <w:t>2</w:t>
                  </w:r>
                  <w:r>
                    <w:rPr>
                      <w:rFonts w:hint="eastAsia"/>
                      <w:color w:val="auto"/>
                      <w:lang w:val="en-US" w:eastAsia="zh-CN"/>
                    </w:rPr>
                    <w:t>，</w:t>
                  </w:r>
                  <w:r>
                    <w:rPr>
                      <w:rFonts w:hint="eastAsia" w:ascii="Times New Roman" w:hAnsi="Times New Roman" w:eastAsia="宋体" w:cs="Times New Roman"/>
                      <w:color w:val="auto"/>
                      <w:kern w:val="2"/>
                      <w:sz w:val="21"/>
                      <w:szCs w:val="24"/>
                      <w:lang w:val="en-US" w:eastAsia="zh-CN" w:bidi="ar-SA"/>
                    </w:rPr>
                    <w:t>建筑面积</w:t>
                  </w:r>
                  <w:r>
                    <w:rPr>
                      <w:rFonts w:hint="eastAsia" w:cs="Times New Roman"/>
                      <w:color w:val="auto"/>
                      <w:kern w:val="2"/>
                      <w:sz w:val="21"/>
                      <w:szCs w:val="24"/>
                      <w:lang w:val="en-US" w:eastAsia="zh-CN" w:bidi="ar-SA"/>
                    </w:rPr>
                    <w:t>20</w:t>
                  </w:r>
                  <w:r>
                    <w:rPr>
                      <w:rFonts w:hint="eastAsia" w:ascii="Times New Roman" w:hAnsi="Times New Roman" w:eastAsia="宋体" w:cs="Times New Roman"/>
                      <w:color w:val="auto"/>
                      <w:kern w:val="2"/>
                      <w:sz w:val="21"/>
                      <w:szCs w:val="24"/>
                      <w:lang w:val="en-US" w:eastAsia="zh-CN" w:bidi="ar-SA"/>
                    </w:rPr>
                    <w:t>00平方米。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储运工程</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荒料堆放场</w:t>
                  </w:r>
                </w:p>
              </w:tc>
              <w:tc>
                <w:tcPr>
                  <w:tcW w:w="3790" w:type="pct"/>
                  <w:gridSpan w:val="2"/>
                  <w:tcBorders>
                    <w:tl2br w:val="nil"/>
                    <w:tr2bl w:val="nil"/>
                  </w:tcBorders>
                  <w:noWrap w:val="0"/>
                  <w:vAlign w:val="center"/>
                </w:tcPr>
                <w:p>
                  <w:pPr>
                    <w:jc w:val="center"/>
                    <w:rPr>
                      <w:rFonts w:hint="eastAsia" w:ascii="Times New Roman" w:hAnsi="Times New Roman" w:eastAsia="宋体" w:cs="Times New Roman"/>
                      <w:color w:val="auto"/>
                      <w:spacing w:val="6"/>
                      <w:sz w:val="21"/>
                      <w:szCs w:val="21"/>
                      <w:lang w:val="en-US" w:eastAsia="zh-CN"/>
                    </w:rPr>
                  </w:pPr>
                  <w:r>
                    <w:rPr>
                      <w:rFonts w:hint="eastAsia"/>
                      <w:color w:val="auto"/>
                      <w:lang w:val="en-US" w:eastAsia="zh-CN"/>
                    </w:rPr>
                    <w:t>矿山日生产荒料量75立方米，折合面积约112.5平方米，按照60天考虑销售进度及运输情况，拟设置规划荒料堆放场占地面积约11hm</w:t>
                  </w:r>
                  <w:r>
                    <w:rPr>
                      <w:rFonts w:hint="eastAsia"/>
                      <w:color w:val="auto"/>
                      <w:vertAlign w:val="superscript"/>
                      <w:lang w:val="en-US" w:eastAsia="zh-CN"/>
                    </w:rPr>
                    <w:t>2</w:t>
                  </w:r>
                  <w:r>
                    <w:rPr>
                      <w:rFonts w:hint="eastAsia"/>
                      <w:color w:val="auto"/>
                      <w:lang w:val="en-US" w:eastAsia="zh-CN"/>
                    </w:rPr>
                    <w:t>。荒料堆放场布置在露天采场东200米处。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排土场</w:t>
                  </w:r>
                </w:p>
              </w:tc>
              <w:tc>
                <w:tcPr>
                  <w:tcW w:w="3790" w:type="pct"/>
                  <w:gridSpan w:val="2"/>
                  <w:tcBorders>
                    <w:tl2br w:val="nil"/>
                    <w:tr2bl w:val="nil"/>
                  </w:tcBorders>
                  <w:noWrap w:val="0"/>
                  <w:vAlign w:val="center"/>
                </w:tcPr>
                <w:p>
                  <w:pPr>
                    <w:jc w:val="center"/>
                    <w:rPr>
                      <w:rFonts w:hint="eastAsia" w:ascii="Times New Roman" w:hAnsi="Times New Roman" w:eastAsia="宋体" w:cs="Times New Roman"/>
                      <w:color w:val="auto"/>
                      <w:spacing w:val="6"/>
                      <w:sz w:val="21"/>
                      <w:szCs w:val="21"/>
                      <w:lang w:val="en-US" w:eastAsia="zh-CN"/>
                    </w:rPr>
                  </w:pPr>
                  <w:r>
                    <w:rPr>
                      <w:rFonts w:hint="eastAsia"/>
                      <w:color w:val="auto"/>
                      <w:lang w:val="en-US" w:eastAsia="zh-CN"/>
                    </w:rPr>
                    <w:t>排土场位于矿区内东部，占地面积18hm</w:t>
                  </w:r>
                  <w:r>
                    <w:rPr>
                      <w:rFonts w:hint="eastAsia"/>
                      <w:color w:val="auto"/>
                      <w:vertAlign w:val="superscript"/>
                      <w:lang w:val="en-US" w:eastAsia="zh-CN"/>
                    </w:rPr>
                    <w:t>2</w:t>
                  </w:r>
                  <w:r>
                    <w:rPr>
                      <w:rFonts w:hint="eastAsia"/>
                      <w:color w:val="auto"/>
                      <w:lang w:val="en-US" w:eastAsia="zh-CN"/>
                    </w:rPr>
                    <w:t>，设计排土场场内废石压实堆放，双台阶堆存，台阶高度10米，废石堆安息角小于35°，最大堆放高度20米，排土场总容积为236万立方米，可满足矿区废石堆放需求。矿山在开采过程中产生的废料主要是：矿体边坡剥离的废石和矿体在开采时择取荒料后遗留的小于规格的块石以及在分离、切割各工艺中产生的废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630" w:type="pct"/>
                  <w:gridSpan w:val="2"/>
                  <w:vMerge w:val="continue"/>
                  <w:tcBorders>
                    <w:tl2br w:val="nil"/>
                    <w:tr2bl w:val="nil"/>
                  </w:tcBorders>
                  <w:noWrap w:val="0"/>
                  <w:vAlign w:val="center"/>
                </w:tcPr>
                <w:p>
                  <w:pPr>
                    <w:jc w:val="center"/>
                    <w:rPr>
                      <w:color w:val="auto"/>
                    </w:rPr>
                  </w:pPr>
                </w:p>
              </w:tc>
              <w:tc>
                <w:tcPr>
                  <w:tcW w:w="5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1"/>
                      <w:vertAlign w:val="baseline"/>
                      <w:lang w:val="en-US" w:eastAsia="zh-CN"/>
                    </w:rPr>
                    <w:t>危废暂存间</w:t>
                  </w:r>
                </w:p>
              </w:tc>
              <w:tc>
                <w:tcPr>
                  <w:tcW w:w="3790" w:type="pct"/>
                  <w:gridSpan w:val="2"/>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6"/>
                      <w:kern w:val="2"/>
                      <w:sz w:val="21"/>
                      <w:szCs w:val="21"/>
                      <w:lang w:val="en-US" w:eastAsia="zh-CN" w:bidi="ar-SA"/>
                    </w:rPr>
                  </w:pPr>
                  <w:r>
                    <w:rPr>
                      <w:rFonts w:hint="eastAsia" w:ascii="Times New Roman" w:hAnsi="Times New Roman" w:eastAsia="宋体" w:cs="Times New Roman"/>
                      <w:color w:val="auto"/>
                      <w:sz w:val="21"/>
                      <w:szCs w:val="21"/>
                      <w:vertAlign w:val="baseline"/>
                      <w:lang w:val="en-US" w:eastAsia="zh-CN"/>
                    </w:rPr>
                    <w:t>在</w:t>
                  </w:r>
                  <w:r>
                    <w:rPr>
                      <w:rFonts w:hint="eastAsia" w:cs="Times New Roman"/>
                      <w:color w:val="auto"/>
                      <w:sz w:val="21"/>
                      <w:szCs w:val="21"/>
                      <w:vertAlign w:val="baseline"/>
                      <w:lang w:val="en-US" w:eastAsia="zh-CN"/>
                    </w:rPr>
                    <w:t>机修间</w:t>
                  </w:r>
                  <w:r>
                    <w:rPr>
                      <w:rFonts w:hint="eastAsia" w:ascii="Times New Roman" w:hAnsi="Times New Roman" w:eastAsia="宋体" w:cs="Times New Roman"/>
                      <w:color w:val="auto"/>
                      <w:sz w:val="21"/>
                      <w:szCs w:val="21"/>
                      <w:vertAlign w:val="baseline"/>
                      <w:lang w:val="en-US" w:eastAsia="zh-CN"/>
                    </w:rPr>
                    <w:t>内设置10m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的</w:t>
                  </w:r>
                  <w:r>
                    <w:rPr>
                      <w:rFonts w:hint="eastAsia" w:cs="Times New Roman"/>
                      <w:color w:val="auto"/>
                      <w:sz w:val="21"/>
                      <w:szCs w:val="21"/>
                      <w:vertAlign w:val="baseline"/>
                      <w:lang w:val="en-US" w:eastAsia="zh-CN"/>
                    </w:rPr>
                    <w:t>危废暂存间</w:t>
                  </w:r>
                  <w:r>
                    <w:rPr>
                      <w:rFonts w:hint="eastAsia" w:ascii="Times New Roman" w:hAnsi="Times New Roman" w:eastAsia="宋体" w:cs="Times New Roman"/>
                      <w:color w:val="auto"/>
                      <w:sz w:val="21"/>
                      <w:szCs w:val="21"/>
                      <w:vertAlign w:val="baseline"/>
                      <w:lang w:val="en-US" w:eastAsia="zh-CN"/>
                    </w:rPr>
                    <w:t>，用于储存项目运行过程产生的危险废物</w:t>
                  </w:r>
                  <w:r>
                    <w:rPr>
                      <w:rFonts w:hint="eastAsia" w:cs="Times New Roman"/>
                      <w:color w:val="auto"/>
                      <w:sz w:val="21"/>
                      <w:szCs w:val="21"/>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沉淀池</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lang w:val="en-US" w:eastAsia="zh-CN"/>
                    </w:rPr>
                    <w:t>在生产车间西侧建设2个沉淀池容积分别为500m</w:t>
                  </w:r>
                  <w:r>
                    <w:rPr>
                      <w:rFonts w:hint="eastAsia"/>
                      <w:color w:val="auto"/>
                      <w:vertAlign w:val="superscript"/>
                      <w:lang w:val="en-US" w:eastAsia="zh-CN"/>
                    </w:rPr>
                    <w:t>3</w:t>
                  </w:r>
                  <w:r>
                    <w:rPr>
                      <w:rFonts w:hint="eastAsia"/>
                      <w:color w:val="auto"/>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tcBorders>
                    <w:tl2br w:val="nil"/>
                    <w:tr2bl w:val="nil"/>
                  </w:tcBorders>
                  <w:noWrap w:val="0"/>
                  <w:vAlign w:val="center"/>
                </w:tcPr>
                <w:p>
                  <w:pPr>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4"/>
                      <w:lang w:val="en-US" w:eastAsia="zh-CN" w:bidi="ar-SA"/>
                    </w:rPr>
                    <w:t>矿山道路</w:t>
                  </w:r>
                </w:p>
              </w:tc>
              <w:tc>
                <w:tcPr>
                  <w:tcW w:w="3790" w:type="pct"/>
                  <w:gridSpan w:val="2"/>
                  <w:tcBorders>
                    <w:tl2br w:val="nil"/>
                    <w:tr2bl w:val="nil"/>
                  </w:tcBorders>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pacing w:val="6"/>
                      <w:kern w:val="2"/>
                      <w:sz w:val="21"/>
                      <w:szCs w:val="21"/>
                      <w:lang w:val="en-US" w:eastAsia="zh-CN" w:bidi="ar-SA"/>
                    </w:rPr>
                    <w:t>规划</w:t>
                  </w:r>
                  <w:r>
                    <w:rPr>
                      <w:rFonts w:hint="eastAsia" w:cs="Times New Roman"/>
                      <w:color w:val="auto"/>
                      <w:spacing w:val="6"/>
                      <w:kern w:val="2"/>
                      <w:sz w:val="21"/>
                      <w:szCs w:val="21"/>
                      <w:lang w:val="en-US" w:eastAsia="zh-CN" w:bidi="ar-SA"/>
                    </w:rPr>
                    <w:t>新建</w:t>
                  </w:r>
                  <w:r>
                    <w:rPr>
                      <w:rFonts w:hint="eastAsia" w:ascii="Times New Roman" w:hAnsi="Times New Roman" w:eastAsia="宋体" w:cs="Times New Roman"/>
                      <w:color w:val="auto"/>
                      <w:spacing w:val="6"/>
                      <w:kern w:val="2"/>
                      <w:sz w:val="21"/>
                      <w:szCs w:val="21"/>
                      <w:lang w:val="en-US" w:eastAsia="zh-CN" w:bidi="ar-SA"/>
                    </w:rPr>
                    <w:t>矿山道路全长750m，</w:t>
                  </w:r>
                  <w:r>
                    <w:rPr>
                      <w:rFonts w:hint="eastAsia" w:cs="Times New Roman"/>
                      <w:color w:val="auto"/>
                      <w:spacing w:val="6"/>
                      <w:kern w:val="2"/>
                      <w:sz w:val="21"/>
                      <w:szCs w:val="21"/>
                      <w:lang w:val="en-US" w:eastAsia="zh-CN" w:bidi="ar-SA"/>
                    </w:rPr>
                    <w:t>道路起点位于矿区东北侧，连接原有的简易便道，终点连接排土场。矿山道路为</w:t>
                  </w:r>
                  <w:r>
                    <w:rPr>
                      <w:rFonts w:hint="eastAsia"/>
                      <w:color w:val="auto"/>
                      <w:lang w:val="en-US" w:eastAsia="zh-CN"/>
                    </w:rPr>
                    <w:t>砂石路面，路面宽6m，路基宽8m，最小圆曲线半径15m，最大纵坡9%，车辆最大运输速度为20km/h，</w:t>
                  </w:r>
                  <w:r>
                    <w:rPr>
                      <w:rFonts w:hint="eastAsia" w:ascii="Times New Roman" w:hAnsi="Times New Roman" w:eastAsia="宋体" w:cs="Times New Roman"/>
                      <w:color w:val="auto"/>
                      <w:spacing w:val="6"/>
                      <w:kern w:val="2"/>
                      <w:sz w:val="21"/>
                      <w:szCs w:val="21"/>
                      <w:lang w:val="en-US" w:eastAsia="zh-CN" w:bidi="ar-SA"/>
                    </w:rPr>
                    <w:t>占地面积</w:t>
                  </w:r>
                  <w:r>
                    <w:rPr>
                      <w:rFonts w:hint="eastAsia" w:cs="Times New Roman"/>
                      <w:color w:val="auto"/>
                      <w:spacing w:val="6"/>
                      <w:kern w:val="2"/>
                      <w:sz w:val="21"/>
                      <w:szCs w:val="21"/>
                      <w:lang w:val="en-US" w:eastAsia="zh-CN" w:bidi="ar-SA"/>
                    </w:rPr>
                    <w:t>0.45</w:t>
                  </w:r>
                  <w:r>
                    <w:rPr>
                      <w:rFonts w:hint="eastAsia"/>
                      <w:color w:val="auto"/>
                      <w:lang w:val="en-US" w:eastAsia="zh-CN"/>
                    </w:rPr>
                    <w:t>hm</w:t>
                  </w:r>
                  <w:r>
                    <w:rPr>
                      <w:rFonts w:hint="eastAsia"/>
                      <w:color w:val="auto"/>
                      <w:vertAlign w:val="superscript"/>
                      <w:lang w:val="en-US" w:eastAsia="zh-CN"/>
                    </w:rPr>
                    <w:t>2</w:t>
                  </w:r>
                  <w:r>
                    <w:rPr>
                      <w:rFonts w:hint="eastAsia" w:cs="Times New Roman"/>
                      <w:color w:val="auto"/>
                      <w:spacing w:val="6"/>
                      <w:kern w:val="2"/>
                      <w:sz w:val="21"/>
                      <w:szCs w:val="21"/>
                      <w:lang w:val="en-US" w:eastAsia="zh-CN" w:bidi="ar-S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tcBorders>
                    <w:tl2br w:val="nil"/>
                    <w:tr2bl w:val="nil"/>
                  </w:tcBorders>
                  <w:noWrap w:val="0"/>
                  <w:vAlign w:val="center"/>
                </w:tcPr>
                <w:p>
                  <w:pPr>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蓄水池</w:t>
                  </w:r>
                </w:p>
              </w:tc>
              <w:tc>
                <w:tcPr>
                  <w:tcW w:w="3790" w:type="pct"/>
                  <w:gridSpan w:val="2"/>
                  <w:tcBorders>
                    <w:tl2br w:val="nil"/>
                    <w:tr2bl w:val="nil"/>
                  </w:tcBorders>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eastAsia"/>
                      <w:color w:val="auto"/>
                      <w:lang w:val="en-US" w:eastAsia="zh-CN"/>
                    </w:rPr>
                    <w:t>在采场北部的最终开采境界外高处设2个100m</w:t>
                  </w:r>
                  <w:r>
                    <w:rPr>
                      <w:rFonts w:hint="eastAsia"/>
                      <w:color w:val="auto"/>
                      <w:vertAlign w:val="superscript"/>
                      <w:lang w:val="en-US" w:eastAsia="zh-CN"/>
                    </w:rPr>
                    <w:t>3</w:t>
                  </w:r>
                  <w:r>
                    <w:rPr>
                      <w:rFonts w:hint="eastAsia" w:cs="Times New Roman"/>
                      <w:color w:val="auto"/>
                      <w:sz w:val="21"/>
                      <w:szCs w:val="21"/>
                      <w:vertAlign w:val="baseline"/>
                      <w:lang w:val="en-US" w:eastAsia="zh-CN"/>
                    </w:rPr>
                    <w:t>蓄水池，存储采矿用湿法作业用水</w:t>
                  </w: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公用工程</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供水</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从县城拉运。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排水</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生活污水集中收集到地埋式污水处理</w:t>
                  </w:r>
                  <w:r>
                    <w:rPr>
                      <w:rFonts w:hint="eastAsia" w:cs="Times New Roman"/>
                      <w:color w:val="auto"/>
                      <w:kern w:val="0"/>
                      <w:sz w:val="21"/>
                      <w:szCs w:val="21"/>
                      <w:highlight w:val="none"/>
                      <w:lang w:val="en-US" w:eastAsia="zh-CN"/>
                    </w:rPr>
                    <w:t>设施</w:t>
                  </w:r>
                  <w:r>
                    <w:rPr>
                      <w:rFonts w:hint="eastAsia" w:cs="Times New Roman"/>
                      <w:color w:val="auto"/>
                      <w:kern w:val="0"/>
                      <w:sz w:val="21"/>
                      <w:szCs w:val="21"/>
                      <w:lang w:eastAsia="zh-CN"/>
                    </w:rPr>
                    <w:t>；</w:t>
                  </w:r>
                  <w:r>
                    <w:rPr>
                      <w:rFonts w:hint="eastAsia" w:cs="Times New Roman"/>
                      <w:color w:val="auto"/>
                      <w:kern w:val="0"/>
                      <w:sz w:val="21"/>
                      <w:szCs w:val="21"/>
                      <w:lang w:val="en-US" w:eastAsia="zh-CN"/>
                    </w:rPr>
                    <w:t>采</w:t>
                  </w:r>
                  <w:r>
                    <w:rPr>
                      <w:rFonts w:hint="eastAsia" w:ascii="Times New Roman" w:hAnsi="Times New Roman" w:eastAsia="宋体" w:cs="Times New Roman"/>
                      <w:color w:val="auto"/>
                      <w:szCs w:val="21"/>
                      <w:highlight w:val="none"/>
                      <w:lang w:val="en-US" w:eastAsia="zh-CN"/>
                    </w:rPr>
                    <w:t>矿降尘废水和湿法作业用水自然蒸发</w:t>
                  </w:r>
                  <w:r>
                    <w:rPr>
                      <w:rFonts w:hint="eastAsia" w:cs="Times New Roman"/>
                      <w:color w:val="auto"/>
                      <w:szCs w:val="21"/>
                      <w:highlight w:val="none"/>
                      <w:lang w:val="en-US" w:eastAsia="zh-CN"/>
                    </w:rPr>
                    <w:t>；加工厂废水经沉淀池沉淀后回用于生产</w:t>
                  </w:r>
                  <w:r>
                    <w:rPr>
                      <w:rFonts w:hint="eastAsia" w:cs="Times New Roman"/>
                      <w:color w:val="auto"/>
                      <w:kern w:val="0"/>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供电</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rPr>
                    <w:t>从附近电网接入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供热</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矿区冬季不生产不设置供暖设施，日常用热水采用电热水器供给。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消防</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在</w:t>
                  </w:r>
                  <w:r>
                    <w:rPr>
                      <w:rFonts w:hint="default" w:ascii="Times New Roman" w:hAnsi="Times New Roman" w:eastAsia="宋体" w:cs="Times New Roman"/>
                      <w:color w:val="auto"/>
                      <w:kern w:val="0"/>
                      <w:sz w:val="21"/>
                      <w:szCs w:val="21"/>
                    </w:rPr>
                    <w:t>火灾隐患较大的地方，均配备灭火器、消防砂等消防用具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环保工程</w:t>
                  </w:r>
                </w:p>
              </w:tc>
              <w:tc>
                <w:tcPr>
                  <w:tcW w:w="35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施工期</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废水</w:t>
                  </w:r>
                  <w:r>
                    <w:rPr>
                      <w:rFonts w:hint="default" w:ascii="Times New Roman" w:hAnsi="Times New Roman" w:eastAsia="宋体" w:cs="Times New Roman"/>
                      <w:color w:val="auto"/>
                      <w:sz w:val="21"/>
                      <w:szCs w:val="21"/>
                      <w:highlight w:val="none"/>
                      <w:vertAlign w:val="baseline"/>
                      <w:lang w:val="en-US" w:eastAsia="zh-CN"/>
                    </w:rPr>
                    <w:t>处理</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在施工区域内就近空地设置相应简易的沉淀池，将施工废水集中在沉淀池内进行处理后用于工具清洗、养护和施工现场洒水降尘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vertAlign w:val="baseline"/>
                      <w:lang w:val="en-US" w:eastAsia="zh-CN"/>
                    </w:rPr>
                  </w:pP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废气治理</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土石方及散装物料装卸尽可能降低落差、轻装慢卸</w:t>
                  </w:r>
                  <w:r>
                    <w:rPr>
                      <w:rFonts w:hint="eastAsia" w:cs="Times New Roman"/>
                      <w:color w:val="auto"/>
                      <w:szCs w:val="21"/>
                      <w:highlight w:val="none"/>
                      <w:lang w:val="en-US" w:eastAsia="zh-CN"/>
                    </w:rPr>
                    <w:t>，车辆应覆盖篷布；施工场地、施工道路的每天洒水4～5次，并及时清扫道路，碾压或覆盖裸露地表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vertAlign w:val="baseline"/>
                      <w:lang w:val="en-US" w:eastAsia="zh-CN"/>
                    </w:rPr>
                  </w:pP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固废治理</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施工过程中产生的土石方，待项目完毕后，项目区的土坑回填。残留的废建筑材料如混凝土块、弃渣等均为无机物，拉运至和硕县垃圾填埋场填埋处理</w:t>
                  </w:r>
                  <w:r>
                    <w:rPr>
                      <w:rFonts w:hint="eastAsia" w:cs="Times New Roman"/>
                      <w:color w:val="auto"/>
                      <w:szCs w:val="21"/>
                      <w:highlight w:val="none"/>
                      <w:lang w:val="en-US" w:eastAsia="zh-CN"/>
                    </w:rPr>
                    <w:t>；生活垃圾，应集中收集到指定垃圾箱内，施工期结束后清运至生活垃圾收集点统一处置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s="Times New Roman"/>
                      <w:color w:val="auto"/>
                      <w:sz w:val="21"/>
                      <w:szCs w:val="21"/>
                      <w:vertAlign w:val="baseline"/>
                      <w:lang w:val="en-US" w:eastAsia="zh-CN"/>
                    </w:rPr>
                  </w:pP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lang w:val="en-US" w:eastAsia="zh-CN"/>
                    </w:rPr>
                    <w:t>噪声治理</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设备选型上尽量采用低噪声设备，对动力机械要定期维护</w:t>
                  </w:r>
                  <w:r>
                    <w:rPr>
                      <w:rFonts w:hint="eastAsia" w:cs="Times New Roman"/>
                      <w:color w:val="auto"/>
                      <w:szCs w:val="21"/>
                      <w:highlight w:val="none"/>
                      <w:lang w:val="en-US" w:eastAsia="zh-CN"/>
                    </w:rPr>
                    <w:t>，合理安排各类施工机械的工作时间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运营期</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废水处理</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采矿降尘废水</w:t>
                  </w:r>
                  <w:r>
                    <w:rPr>
                      <w:rFonts w:hint="eastAsia" w:cs="Times New Roman"/>
                      <w:color w:val="auto"/>
                      <w:szCs w:val="21"/>
                      <w:highlight w:val="none"/>
                      <w:lang w:val="en-US" w:eastAsia="zh-CN"/>
                    </w:rPr>
                    <w:t>和湿法作业用水</w:t>
                  </w:r>
                  <w:r>
                    <w:rPr>
                      <w:rFonts w:hint="eastAsia" w:ascii="Times New Roman" w:hAnsi="Times New Roman" w:eastAsia="宋体" w:cs="Times New Roman"/>
                      <w:color w:val="auto"/>
                      <w:szCs w:val="21"/>
                      <w:highlight w:val="none"/>
                      <w:lang w:val="en-US" w:eastAsia="zh-CN"/>
                    </w:rPr>
                    <w:t>自然蒸发，</w:t>
                  </w:r>
                  <w:r>
                    <w:rPr>
                      <w:rFonts w:hint="eastAsia" w:cs="Times New Roman"/>
                      <w:color w:val="auto"/>
                      <w:szCs w:val="21"/>
                      <w:highlight w:val="none"/>
                      <w:lang w:val="en-US" w:eastAsia="zh-CN"/>
                    </w:rPr>
                    <w:t>加工厂废水经沉淀池沉淀后回用于生产，无生产废水产生；</w:t>
                  </w:r>
                  <w:r>
                    <w:rPr>
                      <w:rFonts w:hint="default" w:ascii="Times New Roman" w:hAnsi="Times New Roman" w:eastAsia="宋体" w:cs="Times New Roman"/>
                      <w:color w:val="auto"/>
                      <w:kern w:val="0"/>
                      <w:sz w:val="21"/>
                      <w:szCs w:val="21"/>
                      <w:highlight w:val="none"/>
                    </w:rPr>
                    <w:t>生活污水</w:t>
                  </w:r>
                  <w:r>
                    <w:rPr>
                      <w:rFonts w:hint="eastAsia" w:ascii="Times New Roman" w:hAnsi="Times New Roman" w:eastAsia="宋体" w:cs="Times New Roman"/>
                      <w:color w:val="auto"/>
                      <w:kern w:val="0"/>
                      <w:sz w:val="21"/>
                      <w:szCs w:val="21"/>
                      <w:highlight w:val="none"/>
                      <w:lang w:val="en-US" w:eastAsia="zh-CN"/>
                    </w:rPr>
                    <w:t>经地埋式污水处理</w:t>
                  </w:r>
                  <w:r>
                    <w:rPr>
                      <w:rFonts w:hint="eastAsia" w:cs="Times New Roman"/>
                      <w:color w:val="auto"/>
                      <w:kern w:val="0"/>
                      <w:sz w:val="21"/>
                      <w:szCs w:val="21"/>
                      <w:lang w:eastAsia="zh-CN"/>
                    </w:rPr>
                    <w:t>（</w:t>
                  </w:r>
                  <w:r>
                    <w:rPr>
                      <w:rFonts w:hint="eastAsia" w:cs="Times New Roman"/>
                      <w:color w:val="auto"/>
                      <w:kern w:val="0"/>
                      <w:sz w:val="21"/>
                      <w:szCs w:val="21"/>
                      <w:lang w:val="en-US" w:eastAsia="zh-CN"/>
                    </w:rPr>
                    <w:t>处理规模为</w:t>
                  </w:r>
                  <w:r>
                    <w:rPr>
                      <w:rFonts w:hint="eastAsia" w:cs="Times New Roman"/>
                      <w:color w:val="auto"/>
                      <w:kern w:val="0"/>
                      <w:sz w:val="21"/>
                      <w:szCs w:val="21"/>
                      <w:lang w:eastAsia="zh-CN"/>
                    </w:rPr>
                    <w:t>0.5立方米每小时）</w:t>
                  </w:r>
                  <w:r>
                    <w:rPr>
                      <w:rFonts w:hint="eastAsia" w:ascii="Times New Roman" w:hAnsi="Times New Roman" w:eastAsia="宋体" w:cs="Times New Roman"/>
                      <w:color w:val="auto"/>
                      <w:kern w:val="0"/>
                      <w:sz w:val="21"/>
                      <w:szCs w:val="21"/>
                      <w:highlight w:val="none"/>
                      <w:lang w:val="en-US" w:eastAsia="zh-CN"/>
                    </w:rPr>
                    <w:t>设施处理后</w:t>
                  </w:r>
                  <w:r>
                    <w:rPr>
                      <w:rFonts w:hint="default" w:ascii="Times New Roman" w:hAnsi="Times New Roman" w:eastAsia="宋体" w:cs="Times New Roman"/>
                      <w:color w:val="auto"/>
                      <w:kern w:val="0"/>
                      <w:sz w:val="21"/>
                      <w:szCs w:val="21"/>
                      <w:highlight w:val="none"/>
                      <w:lang w:eastAsia="zh-CN"/>
                    </w:rPr>
                    <w:t>用于项目区周边荒漠生态恢复的灌溉</w:t>
                  </w:r>
                  <w:r>
                    <w:rPr>
                      <w:rFonts w:hint="eastAsia" w:cs="Times New Roman"/>
                      <w:color w:val="auto"/>
                      <w:kern w:val="0"/>
                      <w:sz w:val="21"/>
                      <w:szCs w:val="21"/>
                      <w:highlight w:val="non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废气治理</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开采粉</w:t>
                  </w:r>
                  <w:r>
                    <w:rPr>
                      <w:rFonts w:hint="default" w:ascii="Times New Roman" w:hAnsi="Times New Roman" w:eastAsia="宋体" w:cs="Times New Roman"/>
                      <w:color w:val="auto"/>
                      <w:spacing w:val="-1"/>
                      <w:sz w:val="21"/>
                      <w:szCs w:val="21"/>
                    </w:rPr>
                    <w:t>尘</w:t>
                  </w:r>
                </w:p>
              </w:tc>
              <w:tc>
                <w:tcPr>
                  <w:tcW w:w="30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color w:val="auto"/>
                      <w:lang w:val="en-US" w:eastAsia="zh-CN"/>
                    </w:rPr>
                  </w:pPr>
                  <w:r>
                    <w:rPr>
                      <w:rFonts w:hint="default" w:ascii="Times New Roman" w:hAnsi="Times New Roman" w:eastAsia="宋体" w:cs="Times New Roman"/>
                      <w:b w:val="0"/>
                      <w:bCs/>
                      <w:color w:val="auto"/>
                      <w:spacing w:val="0"/>
                      <w:kern w:val="2"/>
                      <w:sz w:val="21"/>
                      <w:szCs w:val="21"/>
                      <w:lang w:val="en-US" w:eastAsia="zh-CN" w:bidi="ar-SA"/>
                    </w:rPr>
                    <w:t>荒料开采采用湿式凿岩</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利用</w:t>
                  </w:r>
                  <w:r>
                    <w:rPr>
                      <w:rFonts w:hint="eastAsia" w:ascii="Times New Roman" w:hAnsi="Times New Roman" w:eastAsia="宋体" w:cs="Times New Roman"/>
                      <w:color w:val="auto"/>
                      <w:spacing w:val="0"/>
                      <w:sz w:val="21"/>
                      <w:szCs w:val="21"/>
                      <w:lang w:val="en-US" w:eastAsia="zh-CN"/>
                    </w:rPr>
                    <w:t>专门的洒水设备</w:t>
                  </w:r>
                  <w:r>
                    <w:rPr>
                      <w:rFonts w:hint="default" w:ascii="Times New Roman" w:hAnsi="Times New Roman" w:eastAsia="宋体" w:cs="Times New Roman"/>
                      <w:color w:val="auto"/>
                      <w:spacing w:val="0"/>
                      <w:sz w:val="21"/>
                      <w:szCs w:val="21"/>
                    </w:rPr>
                    <w:t>设施进行降尘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物料装</w:t>
                  </w:r>
                  <w:r>
                    <w:rPr>
                      <w:rFonts w:hint="default" w:ascii="Times New Roman" w:hAnsi="Times New Roman" w:eastAsia="宋体" w:cs="Times New Roman"/>
                      <w:color w:val="auto"/>
                      <w:spacing w:val="-1"/>
                      <w:sz w:val="21"/>
                      <w:szCs w:val="21"/>
                    </w:rPr>
                    <w:t>卸</w:t>
                  </w:r>
                  <w:r>
                    <w:rPr>
                      <w:rFonts w:hint="default" w:ascii="Times New Roman" w:hAnsi="Times New Roman" w:eastAsia="宋体" w:cs="Times New Roman"/>
                      <w:color w:val="auto"/>
                      <w:spacing w:val="-2"/>
                      <w:sz w:val="21"/>
                      <w:szCs w:val="21"/>
                    </w:rPr>
                    <w:t>和道路</w:t>
                  </w:r>
                  <w:r>
                    <w:rPr>
                      <w:rFonts w:hint="default" w:ascii="Times New Roman" w:hAnsi="Times New Roman" w:eastAsia="宋体" w:cs="Times New Roman"/>
                      <w:color w:val="auto"/>
                      <w:spacing w:val="-1"/>
                      <w:sz w:val="21"/>
                      <w:szCs w:val="21"/>
                    </w:rPr>
                    <w:t>运</w:t>
                  </w:r>
                  <w:r>
                    <w:rPr>
                      <w:rFonts w:hint="default" w:ascii="Times New Roman" w:hAnsi="Times New Roman" w:eastAsia="宋体" w:cs="Times New Roman"/>
                      <w:color w:val="auto"/>
                      <w:spacing w:val="-2"/>
                      <w:sz w:val="21"/>
                      <w:szCs w:val="21"/>
                    </w:rPr>
                    <w:t>输过</w:t>
                  </w:r>
                  <w:r>
                    <w:rPr>
                      <w:rFonts w:hint="default" w:ascii="Times New Roman" w:hAnsi="Times New Roman" w:eastAsia="宋体" w:cs="Times New Roman"/>
                      <w:color w:val="auto"/>
                      <w:spacing w:val="-1"/>
                      <w:sz w:val="21"/>
                      <w:szCs w:val="21"/>
                    </w:rPr>
                    <w:t>程粉</w:t>
                  </w:r>
                  <w:r>
                    <w:rPr>
                      <w:rFonts w:hint="default" w:ascii="Times New Roman" w:hAnsi="Times New Roman" w:eastAsia="宋体" w:cs="Times New Roman"/>
                      <w:color w:val="auto"/>
                      <w:sz w:val="21"/>
                      <w:szCs w:val="21"/>
                    </w:rPr>
                    <w:t>尘</w:t>
                  </w:r>
                </w:p>
              </w:tc>
              <w:tc>
                <w:tcPr>
                  <w:tcW w:w="30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矿区内运输道路路面应尽量硬化，并安排专人每天对运输过程中洒落的粉尘进行清扫和收集，</w:t>
                  </w:r>
                  <w:r>
                    <w:rPr>
                      <w:rFonts w:hint="eastAsia" w:ascii="Times New Roman" w:hAnsi="Times New Roman" w:eastAsia="宋体" w:cs="Times New Roman"/>
                      <w:color w:val="auto"/>
                      <w:spacing w:val="0"/>
                      <w:sz w:val="21"/>
                      <w:szCs w:val="21"/>
                      <w:lang w:val="en-US" w:eastAsia="zh-CN"/>
                    </w:rPr>
                    <w:t>石料</w:t>
                  </w:r>
                  <w:r>
                    <w:rPr>
                      <w:rFonts w:hint="default" w:ascii="Times New Roman" w:hAnsi="Times New Roman" w:eastAsia="宋体" w:cs="Times New Roman"/>
                      <w:color w:val="auto"/>
                      <w:spacing w:val="0"/>
                      <w:sz w:val="21"/>
                      <w:szCs w:val="21"/>
                    </w:rPr>
                    <w:t>外运控制装卸量</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采用洒水加湿后加盖篷布运输</w:t>
                  </w:r>
                  <w:r>
                    <w:rPr>
                      <w:rFonts w:hint="eastAsia" w:ascii="Times New Roman" w:hAnsi="Times New Roman" w:eastAsia="宋体" w:cs="Times New Roman"/>
                      <w:color w:val="auto"/>
                      <w:spacing w:val="0"/>
                      <w:sz w:val="21"/>
                      <w:szCs w:val="21"/>
                      <w:lang w:eastAsia="zh-CN"/>
                    </w:rPr>
                    <w:t>，</w:t>
                  </w:r>
                  <w:r>
                    <w:rPr>
                      <w:rFonts w:hint="eastAsia" w:ascii="Times New Roman" w:hAnsi="Times New Roman" w:eastAsia="宋体" w:cs="Times New Roman"/>
                      <w:color w:val="auto"/>
                      <w:spacing w:val="0"/>
                      <w:sz w:val="21"/>
                      <w:szCs w:val="21"/>
                      <w:lang w:val="en-US" w:eastAsia="zh-CN"/>
                    </w:rPr>
                    <w:t>控制车速</w:t>
                  </w:r>
                  <w:r>
                    <w:rPr>
                      <w:rFonts w:hint="default" w:ascii="Times New Roman" w:hAnsi="Times New Roman" w:eastAsia="宋体" w:cs="Times New Roman"/>
                      <w:color w:val="auto"/>
                      <w:spacing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b w:val="0"/>
                      <w:bCs w:val="0"/>
                      <w:color w:val="auto"/>
                      <w:kern w:val="2"/>
                      <w:sz w:val="21"/>
                      <w:szCs w:val="21"/>
                      <w:lang w:val="en-US" w:eastAsia="zh-CN"/>
                    </w:rPr>
                    <w:t>喷砂机粉尘</w:t>
                  </w:r>
                </w:p>
              </w:tc>
              <w:tc>
                <w:tcPr>
                  <w:tcW w:w="30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color w:val="auto"/>
                      <w:spacing w:val="-2"/>
                      <w:sz w:val="21"/>
                      <w:szCs w:val="21"/>
                      <w:lang w:val="en-US" w:eastAsia="zh-CN"/>
                    </w:rPr>
                    <w:t>喷砂过程在密闭空间内进行，经布袋除尘器处理后，通过15m高排气筒（DA001）排放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0"/>
                      <w:sz w:val="21"/>
                      <w:szCs w:val="21"/>
                    </w:rPr>
                    <w:t>成品及</w:t>
                  </w:r>
                  <w:r>
                    <w:rPr>
                      <w:rFonts w:hint="eastAsia" w:ascii="Times New Roman" w:hAnsi="Times New Roman" w:eastAsia="宋体" w:cs="Times New Roman"/>
                      <w:color w:val="auto"/>
                      <w:spacing w:val="0"/>
                      <w:sz w:val="21"/>
                      <w:szCs w:val="21"/>
                      <w:lang w:eastAsia="zh-CN"/>
                    </w:rPr>
                    <w:t>废石料堆场</w:t>
                  </w:r>
                  <w:r>
                    <w:rPr>
                      <w:rFonts w:hint="default" w:ascii="Times New Roman" w:hAnsi="Times New Roman" w:eastAsia="宋体" w:cs="Times New Roman"/>
                      <w:color w:val="auto"/>
                      <w:spacing w:val="0"/>
                      <w:sz w:val="21"/>
                      <w:szCs w:val="21"/>
                    </w:rPr>
                    <w:t>粉尘</w:t>
                  </w:r>
                </w:p>
              </w:tc>
              <w:tc>
                <w:tcPr>
                  <w:tcW w:w="30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成品堆场、</w:t>
                  </w:r>
                  <w:r>
                    <w:rPr>
                      <w:rFonts w:hint="eastAsia" w:ascii="Times New Roman" w:hAnsi="Times New Roman" w:eastAsia="宋体" w:cs="Times New Roman"/>
                      <w:color w:val="auto"/>
                      <w:spacing w:val="0"/>
                      <w:sz w:val="21"/>
                      <w:szCs w:val="21"/>
                      <w:lang w:eastAsia="zh-CN"/>
                    </w:rPr>
                    <w:t>废石料堆场</w:t>
                  </w:r>
                  <w:r>
                    <w:rPr>
                      <w:rFonts w:hint="default" w:ascii="Times New Roman" w:hAnsi="Times New Roman" w:eastAsia="宋体" w:cs="Times New Roman"/>
                      <w:color w:val="auto"/>
                      <w:spacing w:val="0"/>
                      <w:sz w:val="21"/>
                      <w:szCs w:val="21"/>
                    </w:rPr>
                    <w:t>采取</w:t>
                  </w:r>
                  <w:r>
                    <w:rPr>
                      <w:rFonts w:hint="default" w:ascii="Times New Roman" w:hAnsi="Times New Roman" w:eastAsia="宋体" w:cs="Times New Roman"/>
                      <w:color w:val="auto"/>
                      <w:spacing w:val="-2"/>
                      <w:sz w:val="21"/>
                      <w:szCs w:val="21"/>
                    </w:rPr>
                    <w:t>覆盖防</w:t>
                  </w:r>
                  <w:r>
                    <w:rPr>
                      <w:rFonts w:hint="eastAsia" w:ascii="Times New Roman" w:hAnsi="Times New Roman" w:eastAsia="宋体" w:cs="Times New Roman"/>
                      <w:color w:val="auto"/>
                      <w:spacing w:val="-2"/>
                      <w:sz w:val="21"/>
                      <w:szCs w:val="21"/>
                      <w:lang w:val="en-US" w:eastAsia="zh-CN"/>
                    </w:rPr>
                    <w:t>风</w:t>
                  </w:r>
                  <w:r>
                    <w:rPr>
                      <w:rFonts w:hint="default" w:ascii="Times New Roman" w:hAnsi="Times New Roman" w:eastAsia="宋体" w:cs="Times New Roman"/>
                      <w:color w:val="auto"/>
                      <w:spacing w:val="-2"/>
                      <w:sz w:val="21"/>
                      <w:szCs w:val="21"/>
                    </w:rPr>
                    <w:t>抑尘网</w:t>
                  </w:r>
                  <w:r>
                    <w:rPr>
                      <w:rFonts w:hint="default" w:ascii="Times New Roman" w:hAnsi="Times New Roman" w:eastAsia="宋体" w:cs="Times New Roman"/>
                      <w:color w:val="auto"/>
                      <w:spacing w:val="0"/>
                      <w:sz w:val="21"/>
                      <w:szCs w:val="21"/>
                    </w:rPr>
                    <w:t>，定期洒水降尘；</w:t>
                  </w:r>
                  <w:r>
                    <w:rPr>
                      <w:rFonts w:hint="eastAsia" w:ascii="Times New Roman" w:hAnsi="Times New Roman" w:eastAsia="宋体" w:cs="Times New Roman"/>
                      <w:color w:val="auto"/>
                      <w:spacing w:val="0"/>
                      <w:sz w:val="21"/>
                      <w:szCs w:val="21"/>
                      <w:lang w:eastAsia="zh-CN"/>
                    </w:rPr>
                    <w:t>废石料堆场</w:t>
                  </w:r>
                  <w:r>
                    <w:rPr>
                      <w:rFonts w:hint="default" w:ascii="Times New Roman" w:hAnsi="Times New Roman" w:eastAsia="宋体" w:cs="Times New Roman"/>
                      <w:color w:val="auto"/>
                      <w:spacing w:val="0"/>
                      <w:sz w:val="21"/>
                      <w:szCs w:val="21"/>
                    </w:rPr>
                    <w:t>同时采取定期喷洒水、紧密压实、大粒径废石覆压等措施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食堂油</w:t>
                  </w:r>
                  <w:r>
                    <w:rPr>
                      <w:rFonts w:hint="default" w:ascii="Times New Roman" w:hAnsi="Times New Roman" w:eastAsia="宋体" w:cs="Times New Roman"/>
                      <w:color w:val="auto"/>
                      <w:spacing w:val="-1"/>
                      <w:sz w:val="21"/>
                      <w:szCs w:val="21"/>
                    </w:rPr>
                    <w:t>烟</w:t>
                  </w:r>
                </w:p>
              </w:tc>
              <w:tc>
                <w:tcPr>
                  <w:tcW w:w="30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油烟净化器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固废治理</w:t>
                  </w: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废石</w:t>
                  </w:r>
                </w:p>
              </w:tc>
              <w:tc>
                <w:tcPr>
                  <w:tcW w:w="30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暂时堆放在排土场，边开采边回填，矿山开采结束后全部回填于采坑，平整场地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highlight w:val="none"/>
                      <w:lang w:val="en-US" w:eastAsia="zh-CN"/>
                    </w:rPr>
                    <w:t>废边角料及不合格品</w:t>
                  </w:r>
                </w:p>
              </w:tc>
              <w:tc>
                <w:tcPr>
                  <w:tcW w:w="30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highlight w:val="none"/>
                      <w:lang w:val="en-US" w:eastAsia="zh-CN"/>
                    </w:rPr>
                    <w:t>沉淀池泥渣</w:t>
                  </w:r>
                </w:p>
              </w:tc>
              <w:tc>
                <w:tcPr>
                  <w:tcW w:w="30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highlight w:val="none"/>
                      <w:lang w:val="en-US" w:eastAsia="zh-CN"/>
                    </w:rPr>
                    <w:t>厂房内沉降粉尘及除尘灰</w:t>
                  </w:r>
                </w:p>
              </w:tc>
              <w:tc>
                <w:tcPr>
                  <w:tcW w:w="30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废机油</w:t>
                  </w:r>
                </w:p>
              </w:tc>
              <w:tc>
                <w:tcPr>
                  <w:tcW w:w="30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暂存于</w:t>
                  </w:r>
                  <w:r>
                    <w:rPr>
                      <w:rFonts w:hint="eastAsia" w:cs="Times New Roman"/>
                      <w:color w:val="auto"/>
                      <w:spacing w:val="0"/>
                      <w:sz w:val="21"/>
                      <w:szCs w:val="21"/>
                      <w:lang w:val="en-US" w:eastAsia="zh-CN"/>
                    </w:rPr>
                    <w:t>危废暂存间（10m</w:t>
                  </w:r>
                  <w:r>
                    <w:rPr>
                      <w:rFonts w:hint="eastAsia" w:cs="Times New Roman"/>
                      <w:color w:val="auto"/>
                      <w:spacing w:val="0"/>
                      <w:sz w:val="21"/>
                      <w:szCs w:val="21"/>
                      <w:vertAlign w:val="superscript"/>
                      <w:lang w:val="en-US" w:eastAsia="zh-CN"/>
                    </w:rPr>
                    <w:t>2</w:t>
                  </w:r>
                  <w:r>
                    <w:rPr>
                      <w:rFonts w:hint="eastAsia" w:cs="Times New Roman"/>
                      <w:color w:val="auto"/>
                      <w:spacing w:val="0"/>
                      <w:sz w:val="21"/>
                      <w:szCs w:val="21"/>
                      <w:lang w:val="en-US" w:eastAsia="zh-CN"/>
                    </w:rPr>
                    <w:t>）</w:t>
                  </w:r>
                  <w:r>
                    <w:rPr>
                      <w:rFonts w:hint="eastAsia" w:ascii="Times New Roman" w:hAnsi="Times New Roman" w:eastAsia="宋体" w:cs="Times New Roman"/>
                      <w:color w:val="auto"/>
                      <w:spacing w:val="0"/>
                      <w:sz w:val="21"/>
                      <w:szCs w:val="21"/>
                      <w:lang w:val="en-US" w:eastAsia="zh-CN"/>
                    </w:rPr>
                    <w:t>，定期交有资质单位处理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废抹布、废手套</w:t>
                  </w:r>
                </w:p>
              </w:tc>
              <w:tc>
                <w:tcPr>
                  <w:tcW w:w="30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1"/>
                      <w:szCs w:val="21"/>
                      <w:lang w:val="en-US" w:eastAsia="zh-CN"/>
                    </w:rPr>
                  </w:pPr>
                  <w:r>
                    <w:rPr>
                      <w:rFonts w:hint="eastAsia" w:cs="Times New Roman"/>
                      <w:color w:val="auto"/>
                      <w:spacing w:val="0"/>
                      <w:sz w:val="21"/>
                      <w:szCs w:val="21"/>
                      <w:lang w:val="en-US" w:eastAsia="zh-CN"/>
                    </w:rPr>
                    <w:t>袋装混入</w:t>
                  </w:r>
                  <w:r>
                    <w:rPr>
                      <w:rFonts w:hint="default" w:ascii="Times New Roman" w:hAnsi="Times New Roman"/>
                      <w:color w:val="auto"/>
                      <w:sz w:val="21"/>
                      <w:szCs w:val="21"/>
                      <w:vertAlign w:val="baseline"/>
                      <w:lang w:val="en-US" w:eastAsia="zh-CN"/>
                    </w:rPr>
                    <w:t>生活垃圾中拉运至和硕县垃圾填埋场处理</w:t>
                  </w:r>
                  <w:r>
                    <w:rPr>
                      <w:rFonts w:hint="eastAsia"/>
                      <w:color w:val="auto"/>
                      <w:sz w:val="21"/>
                      <w:szCs w:val="21"/>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生活垃圾</w:t>
                  </w:r>
                </w:p>
              </w:tc>
              <w:tc>
                <w:tcPr>
                  <w:tcW w:w="30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color w:val="auto"/>
                      <w:sz w:val="21"/>
                      <w:szCs w:val="21"/>
                      <w:vertAlign w:val="baseline"/>
                      <w:lang w:val="en-US" w:eastAsia="zh-CN"/>
                    </w:rPr>
                    <w:t>生活垃圾集中收集后拉运至和硕县垃圾填埋场处理，运距约50千米。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噪声治理</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选用低噪设备、安装基础减振、定期对设备进行保养维护、隔声措施、保持路面完整、控制车辆行驶速度、合理安排作业和运输时间，夜间禁止运输</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运输沿线限速行驶，禁止鸣笛。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2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3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pacing w:val="-2"/>
                      <w:sz w:val="21"/>
                      <w:szCs w:val="21"/>
                      <w:lang w:eastAsia="zh-CN"/>
                    </w:rPr>
                    <w:t>生态</w:t>
                  </w:r>
                  <w:r>
                    <w:rPr>
                      <w:rFonts w:hint="default" w:ascii="Times New Roman" w:hAnsi="Times New Roman" w:eastAsia="宋体" w:cs="Times New Roman"/>
                      <w:color w:val="auto"/>
                      <w:spacing w:val="-2"/>
                      <w:sz w:val="21"/>
                      <w:szCs w:val="21"/>
                    </w:rPr>
                    <w:t>保护</w:t>
                  </w:r>
                  <w:r>
                    <w:rPr>
                      <w:rFonts w:hint="default" w:ascii="Times New Roman" w:hAnsi="Times New Roman" w:eastAsia="宋体" w:cs="Times New Roman"/>
                      <w:color w:val="auto"/>
                      <w:spacing w:val="-1"/>
                      <w:sz w:val="21"/>
                      <w:szCs w:val="21"/>
                    </w:rPr>
                    <w:t>措施</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
                      <w:sz w:val="21"/>
                      <w:szCs w:val="21"/>
                    </w:rPr>
                    <w:t>按《矿山生态环境保护</w:t>
                  </w:r>
                  <w:r>
                    <w:rPr>
                      <w:rFonts w:hint="default" w:ascii="Times New Roman" w:hAnsi="Times New Roman" w:eastAsia="宋体" w:cs="Times New Roman"/>
                      <w:color w:val="auto"/>
                      <w:sz w:val="21"/>
                      <w:szCs w:val="21"/>
                    </w:rPr>
                    <w:t>与恢复治理技术规</w:t>
                  </w:r>
                  <w:r>
                    <w:rPr>
                      <w:rFonts w:hint="default" w:ascii="Times New Roman" w:hAnsi="Times New Roman" w:eastAsia="宋体" w:cs="Times New Roman"/>
                      <w:color w:val="auto"/>
                      <w:spacing w:val="-4"/>
                      <w:sz w:val="21"/>
                      <w:szCs w:val="21"/>
                    </w:rPr>
                    <w:t>范</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试行</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2"/>
                      <w:sz w:val="21"/>
                      <w:szCs w:val="21"/>
                    </w:rPr>
                    <w:t>HJ651-2013</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2"/>
                      <w:sz w:val="21"/>
                      <w:szCs w:val="21"/>
                    </w:rPr>
                    <w:t>制定生态恢复治</w:t>
                  </w:r>
                  <w:r>
                    <w:rPr>
                      <w:rFonts w:hint="default" w:ascii="Times New Roman" w:hAnsi="Times New Roman" w:eastAsia="宋体" w:cs="Times New Roman"/>
                      <w:color w:val="auto"/>
                      <w:spacing w:val="2"/>
                      <w:sz w:val="21"/>
                      <w:szCs w:val="21"/>
                    </w:rPr>
                    <w:t>理方案。严</w:t>
                  </w:r>
                  <w:r>
                    <w:rPr>
                      <w:rFonts w:hint="default" w:ascii="Times New Roman" w:hAnsi="Times New Roman" w:eastAsia="宋体" w:cs="Times New Roman"/>
                      <w:color w:val="auto"/>
                      <w:spacing w:val="1"/>
                      <w:sz w:val="21"/>
                      <w:szCs w:val="21"/>
                    </w:rPr>
                    <w:t>格控制占地面积和范围、对受</w:t>
                  </w:r>
                  <w:r>
                    <w:rPr>
                      <w:rFonts w:hint="default" w:ascii="Times New Roman" w:hAnsi="Times New Roman" w:eastAsia="宋体" w:cs="Times New Roman"/>
                      <w:color w:val="auto"/>
                      <w:spacing w:val="2"/>
                      <w:sz w:val="21"/>
                      <w:szCs w:val="21"/>
                    </w:rPr>
                    <w:t>破坏的地表</w:t>
                  </w:r>
                  <w:r>
                    <w:rPr>
                      <w:rFonts w:hint="default" w:ascii="Times New Roman" w:hAnsi="Times New Roman" w:eastAsia="宋体" w:cs="Times New Roman"/>
                      <w:color w:val="auto"/>
                      <w:spacing w:val="1"/>
                      <w:sz w:val="21"/>
                      <w:szCs w:val="21"/>
                    </w:rPr>
                    <w:t>及时进行平整，生态恢复达到</w:t>
                  </w:r>
                  <w:r>
                    <w:rPr>
                      <w:rFonts w:hint="default" w:ascii="Times New Roman" w:hAnsi="Times New Roman" w:eastAsia="宋体" w:cs="Times New Roman"/>
                      <w:color w:val="auto"/>
                      <w:spacing w:val="-3"/>
                      <w:sz w:val="21"/>
                      <w:szCs w:val="21"/>
                    </w:rPr>
                    <w:t>本环评提出生态恢复指标</w:t>
                  </w:r>
                  <w:r>
                    <w:rPr>
                      <w:rFonts w:hint="eastAsia" w:cs="Times New Roman"/>
                      <w:color w:val="auto"/>
                      <w:spacing w:val="-3"/>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环境风险防范工程</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eastAsia" w:ascii="Times New Roman" w:hAnsi="Times New Roman" w:eastAsia="宋体" w:cs="Times New Roman"/>
                      <w:color w:val="auto"/>
                      <w:spacing w:val="-2"/>
                      <w:sz w:val="21"/>
                      <w:szCs w:val="21"/>
                      <w:lang w:eastAsia="zh-CN"/>
                    </w:rPr>
                  </w:pPr>
                  <w:r>
                    <w:rPr>
                      <w:rFonts w:hint="eastAsia" w:cs="Times New Roman"/>
                      <w:color w:val="auto"/>
                      <w:spacing w:val="0"/>
                      <w:sz w:val="21"/>
                      <w:szCs w:val="21"/>
                      <w:lang w:val="en-US" w:eastAsia="zh-CN"/>
                    </w:rPr>
                    <w:t>废暂存间</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pacing w:val="-1"/>
                      <w:sz w:val="21"/>
                      <w:szCs w:val="21"/>
                      <w:lang w:val="en-US" w:eastAsia="zh-CN"/>
                    </w:rPr>
                  </w:pPr>
                  <w:r>
                    <w:rPr>
                      <w:rFonts w:hint="eastAsia" w:cs="Times New Roman"/>
                      <w:color w:val="auto"/>
                      <w:spacing w:val="-1"/>
                      <w:sz w:val="21"/>
                      <w:szCs w:val="21"/>
                      <w:lang w:val="en-US" w:eastAsia="zh-CN"/>
                    </w:rPr>
                    <w:t>重点防渗区：防渗层为至少1m厚黏土层（渗透系数不大于10</w:t>
                  </w:r>
                  <w:r>
                    <w:rPr>
                      <w:rFonts w:hint="eastAsia" w:cs="Times New Roman"/>
                      <w:color w:val="auto"/>
                      <w:spacing w:val="-1"/>
                      <w:sz w:val="21"/>
                      <w:szCs w:val="21"/>
                      <w:vertAlign w:val="superscript"/>
                      <w:lang w:val="en-US" w:eastAsia="zh-CN"/>
                    </w:rPr>
                    <w:t>-7</w:t>
                  </w:r>
                  <w:r>
                    <w:rPr>
                      <w:rFonts w:hint="eastAsia" w:cs="Times New Roman"/>
                      <w:color w:val="auto"/>
                      <w:spacing w:val="-1"/>
                      <w:sz w:val="21"/>
                      <w:szCs w:val="21"/>
                      <w:lang w:val="en-US" w:eastAsia="zh-CN"/>
                    </w:rPr>
                    <w:t>cm/s），或至少2mm厚高密度聚乙烯膜等人工防渗材料（渗透系数不大于10</w:t>
                  </w:r>
                  <w:r>
                    <w:rPr>
                      <w:rFonts w:hint="eastAsia" w:cs="Times New Roman"/>
                      <w:color w:val="auto"/>
                      <w:spacing w:val="-1"/>
                      <w:sz w:val="21"/>
                      <w:szCs w:val="21"/>
                      <w:vertAlign w:val="superscript"/>
                      <w:lang w:val="en-US" w:eastAsia="zh-CN"/>
                    </w:rPr>
                    <w:t>-10</w:t>
                  </w:r>
                  <w:r>
                    <w:rPr>
                      <w:rFonts w:hint="eastAsia" w:cs="Times New Roman"/>
                      <w:color w:val="auto"/>
                      <w:spacing w:val="-1"/>
                      <w:sz w:val="21"/>
                      <w:szCs w:val="21"/>
                      <w:lang w:val="en-US" w:eastAsia="zh-CN"/>
                    </w:rPr>
                    <w:t>cm/s），或其他防渗性能等效的材料。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eastAsia" w:ascii="Times New Roman" w:hAnsi="Times New Roman" w:eastAsia="宋体" w:cs="Times New Roman"/>
                      <w:color w:val="auto"/>
                      <w:spacing w:val="-2"/>
                      <w:sz w:val="21"/>
                      <w:szCs w:val="21"/>
                      <w:lang w:eastAsia="zh-CN"/>
                    </w:rPr>
                  </w:pPr>
                  <w:r>
                    <w:rPr>
                      <w:rFonts w:hint="eastAsia" w:ascii="Times New Roman" w:hAnsi="Times New Roman" w:eastAsia="宋体" w:cs="Times New Roman"/>
                      <w:color w:val="auto"/>
                      <w:kern w:val="0"/>
                      <w:sz w:val="21"/>
                      <w:szCs w:val="21"/>
                      <w:highlight w:val="none"/>
                      <w:lang w:val="en-US" w:eastAsia="zh-CN"/>
                    </w:rPr>
                    <w:t>地埋式污水处理设施</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1"/>
                      <w:sz w:val="21"/>
                      <w:szCs w:val="21"/>
                      <w:lang w:eastAsia="zh-CN"/>
                    </w:rPr>
                  </w:pPr>
                  <w:r>
                    <w:rPr>
                      <w:rFonts w:hint="default" w:ascii="Times New Roman" w:hAnsi="Times New Roman" w:eastAsia="宋体" w:cs="Times New Roman"/>
                      <w:color w:val="auto"/>
                      <w:spacing w:val="-1"/>
                      <w:sz w:val="21"/>
                      <w:szCs w:val="21"/>
                    </w:rPr>
                    <w:t>一般防渗区</w:t>
                  </w:r>
                  <w:r>
                    <w:rPr>
                      <w:rFonts w:hint="eastAsia" w:cs="Times New Roman"/>
                      <w:color w:val="auto"/>
                      <w:spacing w:val="-1"/>
                      <w:sz w:val="21"/>
                      <w:szCs w:val="21"/>
                      <w:lang w:eastAsia="zh-CN"/>
                    </w:rPr>
                    <w:t>：防渗层渗透系数≤1×10</w:t>
                  </w:r>
                  <w:r>
                    <w:rPr>
                      <w:rFonts w:hint="eastAsia" w:cs="Times New Roman"/>
                      <w:color w:val="auto"/>
                      <w:spacing w:val="-1"/>
                      <w:sz w:val="21"/>
                      <w:szCs w:val="21"/>
                      <w:vertAlign w:val="superscript"/>
                      <w:lang w:eastAsia="zh-CN"/>
                    </w:rPr>
                    <w:t>-7</w:t>
                  </w:r>
                  <w:r>
                    <w:rPr>
                      <w:rFonts w:hint="eastAsia" w:cs="Times New Roman"/>
                      <w:color w:val="auto"/>
                      <w:spacing w:val="-1"/>
                      <w:sz w:val="21"/>
                      <w:szCs w:val="21"/>
                      <w:lang w:eastAsia="zh-CN"/>
                    </w:rPr>
                    <w:t>cm/s，渗透系数≤渗透系数等效黏土防渗。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vertAlign w:val="baseline"/>
                      <w:lang w:val="en-US" w:eastAsia="zh-CN"/>
                    </w:rPr>
                    <w:t>办公生活</w:t>
                  </w:r>
                  <w:r>
                    <w:rPr>
                      <w:rFonts w:hint="eastAsia" w:cs="Times New Roman"/>
                      <w:color w:val="auto"/>
                      <w:sz w:val="21"/>
                      <w:szCs w:val="21"/>
                      <w:vertAlign w:val="baseline"/>
                      <w:lang w:val="en-US" w:eastAsia="zh-CN"/>
                    </w:rPr>
                    <w:t>、生产车间</w:t>
                  </w:r>
                </w:p>
              </w:tc>
              <w:tc>
                <w:tcPr>
                  <w:tcW w:w="3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color w:val="auto"/>
                      <w:spacing w:val="-1"/>
                      <w:sz w:val="21"/>
                      <w:szCs w:val="21"/>
                      <w:lang w:eastAsia="zh-CN"/>
                    </w:rPr>
                  </w:pPr>
                  <w:r>
                    <w:rPr>
                      <w:rFonts w:hint="default" w:ascii="Times New Roman" w:hAnsi="Times New Roman" w:eastAsia="宋体" w:cs="Times New Roman"/>
                      <w:color w:val="auto"/>
                      <w:spacing w:val="-1"/>
                      <w:sz w:val="21"/>
                      <w:szCs w:val="21"/>
                    </w:rPr>
                    <w:t>简单防渗区</w:t>
                  </w:r>
                  <w:r>
                    <w:rPr>
                      <w:rFonts w:hint="eastAsia" w:cs="Times New Roman"/>
                      <w:color w:val="auto"/>
                      <w:spacing w:val="-1"/>
                      <w:sz w:val="21"/>
                      <w:szCs w:val="21"/>
                      <w:lang w:eastAsia="zh-CN"/>
                    </w:rPr>
                    <w:t>：公共区域地面，采用混凝土材质防渗。</w:t>
                  </w:r>
                </w:p>
              </w:tc>
            </w:tr>
          </w:tbl>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主要建筑物详见</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lang w:val="en-US" w:eastAsia="zh-CN"/>
              </w:rPr>
              <w:t>表</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表2-2   主要建筑物一览表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4091"/>
              <w:gridCol w:w="29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2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名称</w:t>
                  </w:r>
                </w:p>
              </w:tc>
              <w:tc>
                <w:tcPr>
                  <w:tcW w:w="17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面积</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2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办公室</w:t>
                  </w:r>
                </w:p>
              </w:tc>
              <w:tc>
                <w:tcPr>
                  <w:tcW w:w="17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2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培训会议室</w:t>
                  </w:r>
                </w:p>
              </w:tc>
              <w:tc>
                <w:tcPr>
                  <w:tcW w:w="17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p>
              </w:tc>
              <w:tc>
                <w:tcPr>
                  <w:tcW w:w="2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浴室</w:t>
                  </w:r>
                </w:p>
              </w:tc>
              <w:tc>
                <w:tcPr>
                  <w:tcW w:w="17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w:t>
                  </w:r>
                </w:p>
              </w:tc>
              <w:tc>
                <w:tcPr>
                  <w:tcW w:w="2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职工宿舍</w:t>
                  </w:r>
                </w:p>
              </w:tc>
              <w:tc>
                <w:tcPr>
                  <w:tcW w:w="17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c>
                <w:tcPr>
                  <w:tcW w:w="2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厕所</w:t>
                  </w:r>
                </w:p>
              </w:tc>
              <w:tc>
                <w:tcPr>
                  <w:tcW w:w="17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w:t>
                  </w:r>
                </w:p>
              </w:tc>
              <w:tc>
                <w:tcPr>
                  <w:tcW w:w="2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食堂</w:t>
                  </w:r>
                </w:p>
              </w:tc>
              <w:tc>
                <w:tcPr>
                  <w:tcW w:w="17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w:t>
                  </w:r>
                </w:p>
              </w:tc>
              <w:tc>
                <w:tcPr>
                  <w:tcW w:w="2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发电机房及配电室</w:t>
                  </w:r>
                </w:p>
              </w:tc>
              <w:tc>
                <w:tcPr>
                  <w:tcW w:w="17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w:t>
                  </w:r>
                </w:p>
              </w:tc>
              <w:tc>
                <w:tcPr>
                  <w:tcW w:w="2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材料库房</w:t>
                  </w:r>
                </w:p>
              </w:tc>
              <w:tc>
                <w:tcPr>
                  <w:tcW w:w="17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9</w:t>
                  </w:r>
                </w:p>
              </w:tc>
              <w:tc>
                <w:tcPr>
                  <w:tcW w:w="2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机修间</w:t>
                  </w:r>
                </w:p>
              </w:tc>
              <w:tc>
                <w:tcPr>
                  <w:tcW w:w="17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10</w:t>
                  </w:r>
                </w:p>
              </w:tc>
              <w:tc>
                <w:tcPr>
                  <w:tcW w:w="2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生产车间</w:t>
                  </w:r>
                </w:p>
              </w:tc>
              <w:tc>
                <w:tcPr>
                  <w:tcW w:w="17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1500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11</w:t>
                  </w:r>
                </w:p>
              </w:tc>
              <w:tc>
                <w:tcPr>
                  <w:tcW w:w="241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危废暂存间</w:t>
                  </w:r>
                </w:p>
              </w:tc>
              <w:tc>
                <w:tcPr>
                  <w:tcW w:w="1749"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lang w:val="en-US" w:eastAsia="zh-CN"/>
              </w:rPr>
            </w:pPr>
            <w:r>
              <w:rPr>
                <w:rFonts w:hint="eastAsia"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w:t>
            </w:r>
            <w:r>
              <w:rPr>
                <w:rFonts w:hint="eastAsia"/>
                <w:color w:val="auto"/>
                <w:sz w:val="24"/>
                <w:szCs w:val="24"/>
                <w:lang w:val="en-US" w:eastAsia="zh-CN"/>
              </w:rPr>
              <w:t>主要设备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lang w:val="en-US" w:eastAsia="zh-CN"/>
              </w:rPr>
            </w:pPr>
            <w:r>
              <w:rPr>
                <w:rFonts w:hint="default" w:ascii="Times New Roman" w:hAnsi="Times New Roman" w:eastAsia="宋体" w:cs="Times New Roman"/>
                <w:color w:val="auto"/>
                <w:sz w:val="24"/>
                <w:szCs w:val="24"/>
                <w:lang w:val="en-US" w:eastAsia="zh-CN"/>
              </w:rPr>
              <w:t>主要</w:t>
            </w:r>
            <w:r>
              <w:rPr>
                <w:rFonts w:hint="eastAsia" w:ascii="Times New Roman" w:hAnsi="Times New Roman" w:eastAsia="宋体" w:cs="Times New Roman"/>
                <w:color w:val="auto"/>
                <w:sz w:val="24"/>
                <w:szCs w:val="24"/>
                <w:lang w:val="en-US" w:eastAsia="zh-CN"/>
              </w:rPr>
              <w:t>设备清单详见下表。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表2-</w:t>
            </w:r>
            <w:r>
              <w:rPr>
                <w:rFonts w:hint="eastAsia" w:ascii="Times New Roman" w:hAnsi="Times New Roman" w:eastAsia="宋体" w:cs="Times New Roman"/>
                <w:b/>
                <w:bCs/>
                <w:color w:val="auto"/>
                <w:sz w:val="22"/>
                <w:szCs w:val="22"/>
                <w:lang w:val="en-US" w:eastAsia="zh-CN"/>
              </w:rPr>
              <w:t>3</w:t>
            </w:r>
            <w:r>
              <w:rPr>
                <w:rFonts w:hint="default" w:ascii="Times New Roman" w:hAnsi="Times New Roman" w:eastAsia="宋体" w:cs="Times New Roman"/>
                <w:b/>
                <w:bCs/>
                <w:color w:val="auto"/>
                <w:sz w:val="22"/>
                <w:szCs w:val="22"/>
                <w:lang w:val="en-US" w:eastAsia="zh-CN"/>
              </w:rPr>
              <w:t xml:space="preserve">  </w:t>
            </w:r>
            <w:r>
              <w:rPr>
                <w:rFonts w:hint="eastAsia" w:ascii="Times New Roman" w:hAnsi="Times New Roman" w:eastAsia="宋体" w:cs="Times New Roman"/>
                <w:b/>
                <w:bCs/>
                <w:color w:val="auto"/>
                <w:sz w:val="22"/>
                <w:szCs w:val="22"/>
                <w:lang w:val="en-US" w:eastAsia="zh-CN"/>
              </w:rPr>
              <w:t xml:space="preserve"> </w:t>
            </w:r>
            <w:r>
              <w:rPr>
                <w:rFonts w:hint="default" w:ascii="Times New Roman" w:hAnsi="Times New Roman" w:eastAsia="宋体" w:cs="Times New Roman"/>
                <w:b/>
                <w:bCs/>
                <w:color w:val="auto"/>
                <w:sz w:val="22"/>
                <w:szCs w:val="22"/>
                <w:lang w:val="en-US" w:eastAsia="zh-CN"/>
              </w:rPr>
              <w:t>主要</w:t>
            </w:r>
            <w:r>
              <w:rPr>
                <w:rFonts w:hint="eastAsia" w:ascii="Times New Roman" w:hAnsi="Times New Roman" w:eastAsia="宋体" w:cs="Times New Roman"/>
                <w:b/>
                <w:bCs/>
                <w:color w:val="auto"/>
                <w:sz w:val="22"/>
                <w:szCs w:val="22"/>
                <w:lang w:val="en-US" w:eastAsia="zh-CN"/>
              </w:rPr>
              <w:t>设备清单</w:t>
            </w:r>
            <w:r>
              <w:rPr>
                <w:rFonts w:hint="default" w:ascii="Times New Roman" w:hAnsi="Times New Roman" w:eastAsia="宋体" w:cs="Times New Roman"/>
                <w:b/>
                <w:bCs/>
                <w:color w:val="auto"/>
                <w:sz w:val="22"/>
                <w:szCs w:val="22"/>
                <w:lang w:val="en-US" w:eastAsia="zh-CN"/>
              </w:rPr>
              <w:t>一览表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558"/>
              <w:gridCol w:w="4792"/>
              <w:gridCol w:w="684"/>
              <w:gridCol w:w="7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9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名称</w:t>
                  </w:r>
                </w:p>
              </w:tc>
              <w:tc>
                <w:tcPr>
                  <w:tcW w:w="28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型号</w:t>
                  </w:r>
                </w:p>
              </w:tc>
              <w:tc>
                <w:tcPr>
                  <w:tcW w:w="40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eastAsia="zh-CN"/>
                    </w:rPr>
                  </w:pPr>
                  <w:r>
                    <w:rPr>
                      <w:rFonts w:hint="eastAsia"/>
                      <w:color w:val="auto"/>
                    </w:rPr>
                    <w:t>单位</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eastAsia="zh-CN"/>
                    </w:rPr>
                  </w:pPr>
                  <w:r>
                    <w:rPr>
                      <w:rFonts w:hint="eastAsia"/>
                      <w:color w:val="auto"/>
                    </w:rPr>
                    <w:t>数量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9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圆盘锯石机</w:t>
                  </w:r>
                </w:p>
              </w:tc>
              <w:tc>
                <w:tcPr>
                  <w:tcW w:w="28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锯切深度1.7m，电压380V，功率45×2kW</w:t>
                  </w:r>
                </w:p>
              </w:tc>
              <w:tc>
                <w:tcPr>
                  <w:tcW w:w="40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台</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9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串珠绳锯</w:t>
                  </w:r>
                </w:p>
              </w:tc>
              <w:tc>
                <w:tcPr>
                  <w:tcW w:w="28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电压380V，15</w:t>
                  </w:r>
                  <w:r>
                    <w:rPr>
                      <w:rFonts w:hint="eastAsia" w:cs="Times New Roman"/>
                      <w:color w:val="auto"/>
                      <w:kern w:val="0"/>
                      <w:sz w:val="21"/>
                      <w:szCs w:val="21"/>
                      <w:lang w:val="en-US" w:eastAsia="zh-CN"/>
                    </w:rPr>
                    <w:t>kW</w:t>
                  </w:r>
                </w:p>
              </w:tc>
              <w:tc>
                <w:tcPr>
                  <w:tcW w:w="40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台</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p>
              </w:tc>
              <w:tc>
                <w:tcPr>
                  <w:tcW w:w="9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手持式凿岩机</w:t>
                  </w:r>
                </w:p>
              </w:tc>
              <w:tc>
                <w:tcPr>
                  <w:tcW w:w="28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孔径38-42mm，孔深5m，风压0.5MPa，风量2.5m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/min</w:t>
                  </w:r>
                </w:p>
              </w:tc>
              <w:tc>
                <w:tcPr>
                  <w:tcW w:w="40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台</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w:t>
                  </w:r>
                </w:p>
              </w:tc>
              <w:tc>
                <w:tcPr>
                  <w:tcW w:w="9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顶石袋</w:t>
                  </w:r>
                </w:p>
              </w:tc>
              <w:tc>
                <w:tcPr>
                  <w:tcW w:w="28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风压0.5MPa，风量1m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/min</w:t>
                  </w:r>
                </w:p>
              </w:tc>
              <w:tc>
                <w:tcPr>
                  <w:tcW w:w="40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台</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c>
                <w:tcPr>
                  <w:tcW w:w="9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液压劈裂机</w:t>
                  </w:r>
                </w:p>
              </w:tc>
              <w:tc>
                <w:tcPr>
                  <w:tcW w:w="28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劈裂力7000kN，功率3kW</w:t>
                  </w:r>
                </w:p>
              </w:tc>
              <w:tc>
                <w:tcPr>
                  <w:tcW w:w="40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台</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w:t>
                  </w:r>
                </w:p>
              </w:tc>
              <w:tc>
                <w:tcPr>
                  <w:tcW w:w="9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空压机</w:t>
                  </w:r>
                </w:p>
              </w:tc>
              <w:tc>
                <w:tcPr>
                  <w:tcW w:w="28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排气量30m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/min，排气压力0.7MPa，功率250kW</w:t>
                  </w:r>
                </w:p>
              </w:tc>
              <w:tc>
                <w:tcPr>
                  <w:tcW w:w="40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台</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w:t>
                  </w:r>
                </w:p>
              </w:tc>
              <w:tc>
                <w:tcPr>
                  <w:tcW w:w="9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装载机</w:t>
                  </w:r>
                </w:p>
              </w:tc>
              <w:tc>
                <w:tcPr>
                  <w:tcW w:w="28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斗容2.7m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,功率160kW</w:t>
                  </w:r>
                </w:p>
              </w:tc>
              <w:tc>
                <w:tcPr>
                  <w:tcW w:w="40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台</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w:t>
                  </w:r>
                </w:p>
              </w:tc>
              <w:tc>
                <w:tcPr>
                  <w:tcW w:w="9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叉车</w:t>
                  </w:r>
                </w:p>
              </w:tc>
              <w:tc>
                <w:tcPr>
                  <w:tcW w:w="28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操作质量20t/18t，举升高度3m，功率250kW</w:t>
                  </w:r>
                </w:p>
              </w:tc>
              <w:tc>
                <w:tcPr>
                  <w:tcW w:w="40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台</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9</w:t>
                  </w:r>
                </w:p>
              </w:tc>
              <w:tc>
                <w:tcPr>
                  <w:tcW w:w="9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矿用自卸汽车</w:t>
                  </w:r>
                </w:p>
              </w:tc>
              <w:tc>
                <w:tcPr>
                  <w:tcW w:w="28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20t</w:t>
                  </w:r>
                </w:p>
              </w:tc>
              <w:tc>
                <w:tcPr>
                  <w:tcW w:w="40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台</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10</w:t>
                  </w:r>
                </w:p>
              </w:tc>
              <w:tc>
                <w:tcPr>
                  <w:tcW w:w="91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洒水车</w:t>
                  </w:r>
                </w:p>
              </w:tc>
              <w:tc>
                <w:tcPr>
                  <w:tcW w:w="28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default" w:cs="Times New Roman"/>
                      <w:color w:val="auto"/>
                      <w:kern w:val="0"/>
                      <w:sz w:val="21"/>
                      <w:szCs w:val="21"/>
                      <w:lang w:val="en-US" w:eastAsia="zh-CN"/>
                    </w:rPr>
                    <w:t>10t</w:t>
                  </w:r>
                </w:p>
              </w:tc>
              <w:tc>
                <w:tcPr>
                  <w:tcW w:w="40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台</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11</w:t>
                  </w:r>
                </w:p>
              </w:tc>
              <w:tc>
                <w:tcPr>
                  <w:tcW w:w="14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kern w:val="0"/>
                      <w:sz w:val="21"/>
                      <w:szCs w:val="21"/>
                      <w:lang w:val="en-US" w:eastAsia="zh-CN"/>
                    </w:rPr>
                  </w:pPr>
                  <w:r>
                    <w:rPr>
                      <w:rFonts w:hint="default" w:ascii="Times New Roman" w:hAnsi="Times New Roman" w:eastAsia="宋体" w:cs="Times New Roman"/>
                      <w:color w:val="auto"/>
                      <w:kern w:val="2"/>
                      <w:sz w:val="21"/>
                      <w:szCs w:val="24"/>
                      <w:lang w:val="en-US" w:eastAsia="zh-CN" w:bidi="ar-SA"/>
                    </w:rPr>
                    <w:t>喷砂机</w:t>
                  </w:r>
                </w:p>
              </w:tc>
              <w:tc>
                <w:tcPr>
                  <w:tcW w:w="44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64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台</w:t>
                  </w:r>
                </w:p>
              </w:tc>
              <w:tc>
                <w:tcPr>
                  <w:tcW w:w="6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12</w:t>
                  </w:r>
                </w:p>
              </w:tc>
              <w:tc>
                <w:tcPr>
                  <w:tcW w:w="14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kern w:val="0"/>
                      <w:sz w:val="21"/>
                      <w:szCs w:val="21"/>
                      <w:lang w:val="en-US" w:eastAsia="zh-CN"/>
                    </w:rPr>
                  </w:pPr>
                  <w:r>
                    <w:rPr>
                      <w:rFonts w:hint="default" w:ascii="Times New Roman" w:hAnsi="Times New Roman" w:eastAsia="宋体" w:cs="Times New Roman"/>
                      <w:color w:val="auto"/>
                      <w:kern w:val="2"/>
                      <w:sz w:val="21"/>
                      <w:szCs w:val="24"/>
                      <w:lang w:val="en-US" w:eastAsia="zh-CN" w:bidi="ar-SA"/>
                    </w:rPr>
                    <w:t>抛光机</w:t>
                  </w:r>
                </w:p>
              </w:tc>
              <w:tc>
                <w:tcPr>
                  <w:tcW w:w="44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64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套</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13</w:t>
                  </w:r>
                </w:p>
              </w:tc>
              <w:tc>
                <w:tcPr>
                  <w:tcW w:w="14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龙门桥切</w:t>
                  </w:r>
                </w:p>
              </w:tc>
              <w:tc>
                <w:tcPr>
                  <w:tcW w:w="44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w:t>
                  </w:r>
                </w:p>
              </w:tc>
              <w:tc>
                <w:tcPr>
                  <w:tcW w:w="64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kern w:val="0"/>
                      <w:sz w:val="21"/>
                      <w:szCs w:val="21"/>
                      <w:lang w:val="en-US" w:eastAsia="zh-CN"/>
                    </w:rPr>
                  </w:pPr>
                  <w:r>
                    <w:rPr>
                      <w:rFonts w:hint="default" w:ascii="Times New Roman" w:hAnsi="Times New Roman" w:eastAsia="宋体" w:cs="Times New Roman"/>
                      <w:color w:val="auto"/>
                      <w:kern w:val="2"/>
                      <w:sz w:val="21"/>
                      <w:szCs w:val="24"/>
                      <w:lang w:val="en-US" w:eastAsia="zh-CN" w:bidi="ar-SA"/>
                    </w:rPr>
                    <w:t>台</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14</w:t>
                  </w:r>
                </w:p>
              </w:tc>
              <w:tc>
                <w:tcPr>
                  <w:tcW w:w="14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中切</w:t>
                  </w:r>
                </w:p>
              </w:tc>
              <w:tc>
                <w:tcPr>
                  <w:tcW w:w="44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w:t>
                  </w:r>
                </w:p>
              </w:tc>
              <w:tc>
                <w:tcPr>
                  <w:tcW w:w="64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kern w:val="0"/>
                      <w:sz w:val="21"/>
                      <w:szCs w:val="21"/>
                      <w:lang w:val="en-US" w:eastAsia="zh-CN"/>
                    </w:rPr>
                  </w:pPr>
                  <w:r>
                    <w:rPr>
                      <w:rFonts w:hint="default" w:ascii="Times New Roman" w:hAnsi="Times New Roman" w:eastAsia="宋体" w:cs="Times New Roman"/>
                      <w:color w:val="auto"/>
                      <w:kern w:val="2"/>
                      <w:sz w:val="21"/>
                      <w:szCs w:val="24"/>
                      <w:lang w:val="en-US" w:eastAsia="zh-CN" w:bidi="ar-SA"/>
                    </w:rPr>
                    <w:t>台</w:t>
                  </w:r>
                </w:p>
              </w:tc>
              <w:tc>
                <w:tcPr>
                  <w:tcW w:w="41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6</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sz w:val="24"/>
                <w:szCs w:val="24"/>
                <w:shd w:val="clear" w:color="auto" w:fill="auto"/>
                <w:lang w:val="en-US" w:eastAsia="zh-CN"/>
              </w:rPr>
            </w:pPr>
            <w:r>
              <w:rPr>
                <w:rFonts w:hint="eastAsia"/>
                <w:color w:val="auto"/>
                <w:sz w:val="24"/>
                <w:szCs w:val="24"/>
                <w:shd w:val="clear" w:color="auto" w:fill="auto"/>
                <w:lang w:val="en-US" w:eastAsia="zh-CN"/>
              </w:rPr>
              <w:t>5、产品方案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本项目产品方案为饰面用石材荒料</w:t>
            </w:r>
            <w:r>
              <w:rPr>
                <w:rFonts w:hint="eastAsia" w:cs="Times New Roman"/>
                <w:color w:val="auto"/>
                <w:sz w:val="24"/>
                <w:szCs w:val="24"/>
                <w:lang w:val="en-US" w:eastAsia="zh-CN"/>
              </w:rPr>
              <w:t>，开采规模为1.8万m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/a，切割整形后的荒料堆放至荒料堆放场销售。</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表2-</w:t>
            </w:r>
            <w:r>
              <w:rPr>
                <w:rFonts w:hint="eastAsia" w:cs="Times New Roman"/>
                <w:b/>
                <w:bCs/>
                <w:color w:val="auto"/>
                <w:sz w:val="22"/>
                <w:szCs w:val="22"/>
                <w:lang w:val="en-US" w:eastAsia="zh-CN"/>
              </w:rPr>
              <w:t>4</w:t>
            </w:r>
            <w:r>
              <w:rPr>
                <w:rFonts w:hint="default" w:ascii="Times New Roman" w:hAnsi="Times New Roman" w:eastAsia="宋体" w:cs="Times New Roman"/>
                <w:b/>
                <w:bCs/>
                <w:color w:val="auto"/>
                <w:sz w:val="22"/>
                <w:szCs w:val="22"/>
                <w:lang w:val="en-US" w:eastAsia="zh-CN"/>
              </w:rPr>
              <w:t xml:space="preserve"> </w:t>
            </w:r>
            <w:r>
              <w:rPr>
                <w:rFonts w:hint="eastAsia" w:ascii="Times New Roman" w:hAnsi="Times New Roman" w:eastAsia="宋体" w:cs="Times New Roman"/>
                <w:b/>
                <w:bCs/>
                <w:color w:val="auto"/>
                <w:sz w:val="22"/>
                <w:szCs w:val="22"/>
                <w:lang w:val="en-US" w:eastAsia="zh-CN"/>
              </w:rPr>
              <w:t xml:space="preserve"> </w:t>
            </w:r>
            <w:r>
              <w:rPr>
                <w:rFonts w:hint="default" w:ascii="Times New Roman" w:hAnsi="Times New Roman" w:eastAsia="宋体" w:cs="Times New Roman"/>
                <w:b/>
                <w:bCs/>
                <w:color w:val="auto"/>
                <w:sz w:val="22"/>
                <w:szCs w:val="22"/>
                <w:lang w:val="en-US" w:eastAsia="zh-CN"/>
              </w:rPr>
              <w:t xml:space="preserve"> 主要原</w:t>
            </w:r>
            <w:r>
              <w:rPr>
                <w:rFonts w:hint="eastAsia" w:ascii="Times New Roman" w:hAnsi="Times New Roman" w:eastAsia="宋体" w:cs="Times New Roman"/>
                <w:b/>
                <w:bCs/>
                <w:color w:val="auto"/>
                <w:sz w:val="22"/>
                <w:szCs w:val="22"/>
                <w:lang w:val="en-US" w:eastAsia="zh-CN"/>
              </w:rPr>
              <w:t>辅料</w:t>
            </w:r>
            <w:r>
              <w:rPr>
                <w:rFonts w:hint="default" w:ascii="Times New Roman" w:hAnsi="Times New Roman" w:eastAsia="宋体" w:cs="Times New Roman"/>
                <w:b/>
                <w:bCs/>
                <w:color w:val="auto"/>
                <w:sz w:val="22"/>
                <w:szCs w:val="22"/>
                <w:lang w:val="en-US" w:eastAsia="zh-CN"/>
              </w:rPr>
              <w:t>用量表</w:t>
            </w:r>
          </w:p>
          <w:tbl>
            <w:tblPr>
              <w:tblStyle w:val="24"/>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1460"/>
              <w:gridCol w:w="2156"/>
              <w:gridCol w:w="38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序号</w:t>
                  </w:r>
                </w:p>
              </w:tc>
              <w:tc>
                <w:tcPr>
                  <w:tcW w:w="8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名称</w:t>
                  </w:r>
                </w:p>
              </w:tc>
              <w:tc>
                <w:tcPr>
                  <w:tcW w:w="12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用量</w:t>
                  </w:r>
                </w:p>
              </w:tc>
              <w:tc>
                <w:tcPr>
                  <w:tcW w:w="22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w:t>
                  </w:r>
                </w:p>
              </w:tc>
              <w:tc>
                <w:tcPr>
                  <w:tcW w:w="8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原矿</w:t>
                  </w:r>
                </w:p>
              </w:tc>
              <w:tc>
                <w:tcPr>
                  <w:tcW w:w="12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b w:val="0"/>
                      <w:bCs/>
                      <w:color w:val="auto"/>
                      <w:sz w:val="21"/>
                      <w:szCs w:val="21"/>
                      <w:u w:val="none"/>
                      <w:lang w:val="en-US" w:eastAsia="zh-CN"/>
                    </w:rPr>
                    <w:t>238160</w:t>
                  </w:r>
                  <w:r>
                    <w:rPr>
                      <w:rFonts w:hint="eastAsia" w:cs="Times New Roman"/>
                      <w:bCs/>
                      <w:color w:val="auto"/>
                      <w:sz w:val="21"/>
                      <w:szCs w:val="21"/>
                      <w:lang w:val="en-US" w:eastAsia="zh-CN"/>
                    </w:rPr>
                    <w:t>t</w:t>
                  </w:r>
                  <w:r>
                    <w:rPr>
                      <w:rFonts w:hint="default" w:ascii="Times New Roman" w:hAnsi="Times New Roman" w:eastAsia="宋体" w:cs="Times New Roman"/>
                      <w:bCs/>
                      <w:color w:val="auto"/>
                      <w:sz w:val="21"/>
                      <w:szCs w:val="21"/>
                    </w:rPr>
                    <w:t>/a</w:t>
                  </w:r>
                </w:p>
              </w:tc>
              <w:tc>
                <w:tcPr>
                  <w:tcW w:w="22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lang w:val="en-US" w:eastAsia="zh-CN"/>
                    </w:rPr>
                  </w:pPr>
                  <w:r>
                    <w:rPr>
                      <w:rFonts w:hint="eastAsia" w:cs="Times New Roman"/>
                      <w:b w:val="0"/>
                      <w:bCs/>
                      <w:color w:val="auto"/>
                      <w:sz w:val="21"/>
                      <w:szCs w:val="21"/>
                      <w:u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2</w:t>
                  </w:r>
                </w:p>
              </w:tc>
              <w:tc>
                <w:tcPr>
                  <w:tcW w:w="8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水</w:t>
                  </w:r>
                </w:p>
              </w:tc>
              <w:tc>
                <w:tcPr>
                  <w:tcW w:w="12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14882</w:t>
                  </w:r>
                  <w:r>
                    <w:rPr>
                      <w:rFonts w:hint="default" w:ascii="Times New Roman" w:hAnsi="Times New Roman" w:eastAsia="宋体" w:cs="Times New Roman"/>
                      <w:color w:val="auto"/>
                      <w:szCs w:val="21"/>
                      <w:lang w:val="en-US" w:eastAsia="zh-CN"/>
                    </w:rPr>
                    <w:t>m</w:t>
                  </w:r>
                  <w:r>
                    <w:rPr>
                      <w:rFonts w:hint="eastAsia"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/a</w:t>
                  </w:r>
                </w:p>
              </w:tc>
              <w:tc>
                <w:tcPr>
                  <w:tcW w:w="22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由水罐汽车就近拉运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8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rPr>
                  </w:pPr>
                  <w:r>
                    <w:rPr>
                      <w:rFonts w:hint="eastAsia" w:cs="Times New Roman"/>
                      <w:color w:val="auto"/>
                      <w:sz w:val="21"/>
                      <w:szCs w:val="21"/>
                      <w:u w:val="none"/>
                      <w:lang w:val="en-US" w:eastAsia="zh-CN"/>
                    </w:rPr>
                    <w:t>柴油</w:t>
                  </w:r>
                </w:p>
              </w:tc>
              <w:tc>
                <w:tcPr>
                  <w:tcW w:w="12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20t/a</w:t>
                  </w:r>
                </w:p>
              </w:tc>
              <w:tc>
                <w:tcPr>
                  <w:tcW w:w="22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每日早晚定时由加油站罐车配送柴油，直接给工程车辆加注</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表2-</w:t>
            </w:r>
            <w:r>
              <w:rPr>
                <w:rFonts w:hint="eastAsia" w:ascii="Times New Roman" w:hAnsi="Times New Roman" w:eastAsia="宋体" w:cs="Times New Roman"/>
                <w:b/>
                <w:bCs/>
                <w:color w:val="auto"/>
                <w:sz w:val="22"/>
                <w:szCs w:val="22"/>
                <w:lang w:val="en-US" w:eastAsia="zh-CN"/>
              </w:rPr>
              <w:t>5</w:t>
            </w:r>
            <w:r>
              <w:rPr>
                <w:rFonts w:hint="default" w:ascii="Times New Roman" w:hAnsi="Times New Roman" w:eastAsia="宋体" w:cs="Times New Roman"/>
                <w:b/>
                <w:bCs/>
                <w:color w:val="auto"/>
                <w:sz w:val="22"/>
                <w:szCs w:val="22"/>
                <w:lang w:val="en-US" w:eastAsia="zh-CN"/>
              </w:rPr>
              <w:t xml:space="preserve">   产品方案</w:t>
            </w:r>
          </w:p>
          <w:tbl>
            <w:tblPr>
              <w:tblStyle w:val="24"/>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1208"/>
              <w:gridCol w:w="1454"/>
              <w:gridCol w:w="45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6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产品种类</w:t>
                  </w:r>
                </w:p>
              </w:tc>
              <w:tc>
                <w:tcPr>
                  <w:tcW w:w="71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主要工艺</w:t>
                  </w:r>
                </w:p>
              </w:tc>
              <w:tc>
                <w:tcPr>
                  <w:tcW w:w="857"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产能</w:t>
                  </w:r>
                </w:p>
              </w:tc>
              <w:tc>
                <w:tcPr>
                  <w:tcW w:w="2664" w:type="pct"/>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lang w:val="en-US"/>
                    </w:rPr>
                  </w:pPr>
                  <w:r>
                    <w:rPr>
                      <w:rFonts w:hint="default" w:ascii="Times New Roman" w:hAnsi="Times New Roman" w:eastAsia="宋体" w:cs="Times New Roman"/>
                      <w:bCs/>
                      <w:color w:val="auto"/>
                      <w:szCs w:val="21"/>
                      <w:lang w:val="en-US"/>
                    </w:rPr>
                    <w:t>（饰面石材用）花岗岩荒料</w:t>
                  </w:r>
                </w:p>
              </w:tc>
              <w:tc>
                <w:tcPr>
                  <w:tcW w:w="71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开采</w:t>
                  </w:r>
                </w:p>
              </w:tc>
              <w:tc>
                <w:tcPr>
                  <w:tcW w:w="857" w:type="pct"/>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cs="Times New Roman"/>
                      <w:bCs/>
                      <w:color w:val="auto"/>
                      <w:sz w:val="21"/>
                      <w:szCs w:val="21"/>
                      <w:lang w:val="en-US" w:eastAsia="zh-CN"/>
                    </w:rPr>
                    <w:t>26000t</w:t>
                  </w:r>
                  <w:r>
                    <w:rPr>
                      <w:rFonts w:hint="default" w:ascii="Times New Roman" w:hAnsi="Times New Roman" w:eastAsia="宋体" w:cs="Times New Roman"/>
                      <w:bCs/>
                      <w:color w:val="auto"/>
                      <w:sz w:val="21"/>
                      <w:szCs w:val="21"/>
                    </w:rPr>
                    <w:t>/a</w:t>
                  </w:r>
                </w:p>
              </w:tc>
              <w:tc>
                <w:tcPr>
                  <w:tcW w:w="266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荒料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pct"/>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板材</w:t>
                  </w:r>
                </w:p>
              </w:tc>
              <w:tc>
                <w:tcPr>
                  <w:tcW w:w="71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加工</w:t>
                  </w:r>
                </w:p>
              </w:tc>
              <w:tc>
                <w:tcPr>
                  <w:tcW w:w="857" w:type="pct"/>
                  <w:tcBorders>
                    <w:tl2br w:val="nil"/>
                    <w:tr2bl w:val="nil"/>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cs="Times New Roman"/>
                      <w:bCs/>
                      <w:color w:val="auto"/>
                      <w:sz w:val="21"/>
                      <w:szCs w:val="21"/>
                      <w:lang w:val="en-US" w:eastAsia="zh-CN"/>
                    </w:rPr>
                    <w:t>20800t</w:t>
                  </w:r>
                  <w:r>
                    <w:rPr>
                      <w:rFonts w:hint="default" w:ascii="Times New Roman" w:hAnsi="Times New Roman" w:eastAsia="宋体" w:cs="Times New Roman"/>
                      <w:bCs/>
                      <w:color w:val="auto"/>
                      <w:sz w:val="21"/>
                      <w:szCs w:val="21"/>
                    </w:rPr>
                    <w:t>/a</w:t>
                  </w:r>
                </w:p>
              </w:tc>
              <w:tc>
                <w:tcPr>
                  <w:tcW w:w="266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板材厚度长度等规格由下游企业需求而定</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6、物料平衡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项目物料平衡见表2-5。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表2-5   物料平衡表</w:t>
            </w:r>
          </w:p>
          <w:tbl>
            <w:tblPr>
              <w:tblStyle w:val="23"/>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1245"/>
              <w:gridCol w:w="1779"/>
              <w:gridCol w:w="951"/>
              <w:gridCol w:w="1840"/>
              <w:gridCol w:w="174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pct"/>
                  <w:gridSpan w:val="3"/>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投入</w:t>
                  </w:r>
                </w:p>
              </w:tc>
              <w:tc>
                <w:tcPr>
                  <w:tcW w:w="2673" w:type="pct"/>
                  <w:gridSpan w:val="3"/>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产出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pct"/>
                  <w:gridSpan w:val="2"/>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名称</w:t>
                  </w:r>
                </w:p>
              </w:tc>
              <w:tc>
                <w:tcPr>
                  <w:tcW w:w="1049"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数量（</w:t>
                  </w:r>
                  <w:r>
                    <w:rPr>
                      <w:rFonts w:hint="eastAsia" w:cs="Times New Roman"/>
                      <w:bCs/>
                      <w:color w:val="auto"/>
                      <w:sz w:val="21"/>
                      <w:szCs w:val="21"/>
                      <w:lang w:val="en-US" w:eastAsia="zh-CN"/>
                    </w:rPr>
                    <w:t>t</w:t>
                  </w:r>
                  <w:r>
                    <w:rPr>
                      <w:rFonts w:hint="default" w:ascii="Times New Roman" w:hAnsi="Times New Roman" w:eastAsia="宋体" w:cs="Times New Roman"/>
                      <w:bCs/>
                      <w:color w:val="auto"/>
                      <w:sz w:val="21"/>
                      <w:szCs w:val="21"/>
                    </w:rPr>
                    <w:t>/a</w:t>
                  </w:r>
                  <w:r>
                    <w:rPr>
                      <w:rFonts w:hint="eastAsia" w:ascii="Times New Roman" w:hAnsi="Times New Roman" w:eastAsia="宋体" w:cs="Times New Roman"/>
                      <w:b w:val="0"/>
                      <w:bCs/>
                      <w:color w:val="auto"/>
                      <w:sz w:val="21"/>
                      <w:szCs w:val="21"/>
                      <w:u w:val="none"/>
                      <w:lang w:val="en-US" w:eastAsia="zh-CN"/>
                    </w:rPr>
                    <w:t>）</w:t>
                  </w:r>
                </w:p>
              </w:tc>
              <w:tc>
                <w:tcPr>
                  <w:tcW w:w="1646" w:type="pct"/>
                  <w:gridSpan w:val="2"/>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名称</w:t>
                  </w:r>
                </w:p>
              </w:tc>
              <w:tc>
                <w:tcPr>
                  <w:tcW w:w="1026"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数量（</w:t>
                  </w:r>
                  <w:r>
                    <w:rPr>
                      <w:rFonts w:hint="eastAsia" w:cs="Times New Roman"/>
                      <w:bCs/>
                      <w:color w:val="auto"/>
                      <w:sz w:val="21"/>
                      <w:szCs w:val="21"/>
                      <w:lang w:val="en-US" w:eastAsia="zh-CN"/>
                    </w:rPr>
                    <w:t>t</w:t>
                  </w:r>
                  <w:r>
                    <w:rPr>
                      <w:rFonts w:hint="default" w:ascii="Times New Roman" w:hAnsi="Times New Roman" w:eastAsia="宋体" w:cs="Times New Roman"/>
                      <w:bCs/>
                      <w:color w:val="auto"/>
                      <w:sz w:val="21"/>
                      <w:szCs w:val="21"/>
                    </w:rPr>
                    <w:t>/a</w:t>
                  </w:r>
                  <w:r>
                    <w:rPr>
                      <w:rFonts w:hint="eastAsia" w:ascii="Times New Roman" w:hAnsi="Times New Roman" w:eastAsia="宋体" w:cs="Times New Roman"/>
                      <w:b w:val="0"/>
                      <w:bCs/>
                      <w:color w:val="auto"/>
                      <w:sz w:val="21"/>
                      <w:szCs w:val="21"/>
                      <w:u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Merge w:val="restar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采矿场</w:t>
                  </w:r>
                </w:p>
              </w:tc>
              <w:tc>
                <w:tcPr>
                  <w:tcW w:w="733"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原矿</w:t>
                  </w:r>
                </w:p>
              </w:tc>
              <w:tc>
                <w:tcPr>
                  <w:tcW w:w="1049"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color w:val="auto"/>
                      <w:sz w:val="21"/>
                      <w:szCs w:val="21"/>
                      <w:highlight w:val="yellow"/>
                      <w:u w:val="none"/>
                      <w:lang w:val="en-US" w:eastAsia="zh-CN"/>
                    </w:rPr>
                  </w:pPr>
                  <w:r>
                    <w:rPr>
                      <w:rFonts w:hint="eastAsia" w:cs="Times New Roman"/>
                      <w:b w:val="0"/>
                      <w:bCs/>
                      <w:color w:val="auto"/>
                      <w:sz w:val="21"/>
                      <w:szCs w:val="21"/>
                      <w:u w:val="none"/>
                      <w:lang w:val="en-US" w:eastAsia="zh-CN"/>
                    </w:rPr>
                    <w:t>238160</w:t>
                  </w:r>
                </w:p>
              </w:tc>
              <w:tc>
                <w:tcPr>
                  <w:tcW w:w="561" w:type="pct"/>
                  <w:vMerge w:val="restar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产品</w:t>
                  </w:r>
                </w:p>
              </w:tc>
              <w:tc>
                <w:tcPr>
                  <w:tcW w:w="1085"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花岗岩荒料</w:t>
                  </w:r>
                </w:p>
              </w:tc>
              <w:tc>
                <w:tcPr>
                  <w:tcW w:w="1026"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color w:val="auto"/>
                      <w:sz w:val="21"/>
                      <w:szCs w:val="21"/>
                      <w:highlight w:val="none"/>
                      <w:u w:val="none"/>
                      <w:lang w:val="en-US" w:eastAsia="zh-CN"/>
                    </w:rPr>
                  </w:pPr>
                  <w:r>
                    <w:rPr>
                      <w:rFonts w:hint="eastAsia" w:cs="Times New Roman"/>
                      <w:bCs/>
                      <w:color w:val="auto"/>
                      <w:sz w:val="21"/>
                      <w:szCs w:val="21"/>
                      <w:highlight w:val="none"/>
                      <w:lang w:val="en-US" w:eastAsia="zh-CN"/>
                    </w:rPr>
                    <w:t>26000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Merge w:val="continue"/>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p>
              </w:tc>
              <w:tc>
                <w:tcPr>
                  <w:tcW w:w="733"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p>
              </w:tc>
              <w:tc>
                <w:tcPr>
                  <w:tcW w:w="1049"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highlight w:val="yellow"/>
                      <w:u w:val="none"/>
                      <w:lang w:val="en-US" w:eastAsia="zh-CN"/>
                    </w:rPr>
                  </w:pPr>
                </w:p>
              </w:tc>
              <w:tc>
                <w:tcPr>
                  <w:tcW w:w="561" w:type="pct"/>
                  <w:vMerge w:val="continue"/>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highlight w:val="none"/>
                      <w:u w:val="none"/>
                      <w:lang w:val="en-US" w:eastAsia="zh-CN"/>
                    </w:rPr>
                  </w:pPr>
                </w:p>
              </w:tc>
              <w:tc>
                <w:tcPr>
                  <w:tcW w:w="1085"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highlight w:val="none"/>
                      <w:u w:val="none"/>
                      <w:lang w:val="en-US" w:eastAsia="zh-CN"/>
                    </w:rPr>
                  </w:pPr>
                  <w:r>
                    <w:rPr>
                      <w:rFonts w:hint="eastAsia" w:cs="Times New Roman"/>
                      <w:bCs/>
                      <w:color w:val="auto"/>
                      <w:szCs w:val="21"/>
                      <w:highlight w:val="none"/>
                      <w:lang w:val="en-US" w:eastAsia="zh-CN"/>
                    </w:rPr>
                    <w:t>板材</w:t>
                  </w:r>
                </w:p>
              </w:tc>
              <w:tc>
                <w:tcPr>
                  <w:tcW w:w="1026"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highlight w:val="none"/>
                      <w:u w:val="none"/>
                      <w:lang w:val="en-US" w:eastAsia="zh-CN"/>
                    </w:rPr>
                  </w:pPr>
                  <w:r>
                    <w:rPr>
                      <w:rFonts w:hint="eastAsia" w:cs="Times New Roman"/>
                      <w:bCs/>
                      <w:color w:val="auto"/>
                      <w:sz w:val="21"/>
                      <w:szCs w:val="21"/>
                      <w:highlight w:val="none"/>
                      <w:lang w:val="en-US" w:eastAsia="zh-CN"/>
                    </w:rPr>
                    <w:t>20800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Merge w:val="continue"/>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p>
              </w:tc>
              <w:tc>
                <w:tcPr>
                  <w:tcW w:w="733"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p>
              </w:tc>
              <w:tc>
                <w:tcPr>
                  <w:tcW w:w="1049"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highlight w:val="yellow"/>
                      <w:u w:val="none"/>
                      <w:lang w:val="en-US" w:eastAsia="zh-CN"/>
                    </w:rPr>
                  </w:pPr>
                </w:p>
              </w:tc>
              <w:tc>
                <w:tcPr>
                  <w:tcW w:w="561" w:type="pct"/>
                  <w:vMerge w:val="restar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污染物</w:t>
                  </w:r>
                </w:p>
              </w:tc>
              <w:tc>
                <w:tcPr>
                  <w:tcW w:w="1085"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粉尘</w:t>
                  </w:r>
                </w:p>
              </w:tc>
              <w:tc>
                <w:tcPr>
                  <w:tcW w:w="1026"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74.14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Merge w:val="continue"/>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p>
              </w:tc>
              <w:tc>
                <w:tcPr>
                  <w:tcW w:w="733"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p>
              </w:tc>
              <w:tc>
                <w:tcPr>
                  <w:tcW w:w="1049"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p>
              </w:tc>
              <w:tc>
                <w:tcPr>
                  <w:tcW w:w="561" w:type="pct"/>
                  <w:vMerge w:val="continue"/>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p>
              </w:tc>
              <w:tc>
                <w:tcPr>
                  <w:tcW w:w="1085"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r>
                    <w:rPr>
                      <w:rFonts w:hint="default" w:ascii="Times New Roman" w:hAnsi="Times New Roman" w:eastAsia="宋体" w:cs="Times New Roman"/>
                      <w:b w:val="0"/>
                      <w:bCs/>
                      <w:color w:val="auto"/>
                      <w:sz w:val="21"/>
                      <w:szCs w:val="21"/>
                      <w:u w:val="none"/>
                      <w:lang w:val="en-US" w:eastAsia="zh-CN"/>
                    </w:rPr>
                    <w:t>弃土石、弃料</w:t>
                  </w:r>
                </w:p>
              </w:tc>
              <w:tc>
                <w:tcPr>
                  <w:tcW w:w="1026"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color w:val="auto"/>
                      <w:sz w:val="21"/>
                      <w:szCs w:val="21"/>
                      <w:u w:val="none"/>
                      <w:lang w:val="en-US" w:eastAsia="zh-CN"/>
                    </w:rPr>
                  </w:pPr>
                  <w:r>
                    <w:rPr>
                      <w:rFonts w:hint="eastAsia" w:cs="Times New Roman"/>
                      <w:b w:val="0"/>
                      <w:bCs/>
                      <w:color w:val="auto"/>
                      <w:sz w:val="21"/>
                      <w:szCs w:val="21"/>
                      <w:u w:val="none"/>
                      <w:lang w:val="en-US" w:eastAsia="zh-CN"/>
                    </w:rPr>
                    <w:t>191221.52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p>
              </w:tc>
              <w:tc>
                <w:tcPr>
                  <w:tcW w:w="733"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p>
              </w:tc>
              <w:tc>
                <w:tcPr>
                  <w:tcW w:w="1049"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p>
              </w:tc>
              <w:tc>
                <w:tcPr>
                  <w:tcW w:w="561" w:type="pct"/>
                  <w:vMerge w:val="continue"/>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p>
              </w:tc>
              <w:tc>
                <w:tcPr>
                  <w:tcW w:w="1085"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color w:val="auto"/>
                      <w:sz w:val="21"/>
                      <w:szCs w:val="21"/>
                      <w:u w:val="none"/>
                      <w:lang w:val="en-US" w:eastAsia="zh-CN"/>
                    </w:rPr>
                  </w:pPr>
                  <w:r>
                    <w:rPr>
                      <w:rFonts w:hint="default" w:ascii="Times New Roman" w:hAnsi="Times New Roman" w:eastAsia="宋体" w:cs="Times New Roman"/>
                      <w:b w:val="0"/>
                      <w:bCs/>
                      <w:color w:val="auto"/>
                      <w:sz w:val="21"/>
                      <w:szCs w:val="21"/>
                      <w:u w:val="none"/>
                      <w:lang w:val="en-US" w:eastAsia="zh-CN"/>
                    </w:rPr>
                    <w:t>泥渣</w:t>
                  </w:r>
                </w:p>
              </w:tc>
              <w:tc>
                <w:tcPr>
                  <w:tcW w:w="1026"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64.34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7" w:type="pct"/>
                  <w:gridSpan w:val="2"/>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合计</w:t>
                  </w:r>
                </w:p>
              </w:tc>
              <w:tc>
                <w:tcPr>
                  <w:tcW w:w="1049"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color w:val="auto"/>
                      <w:sz w:val="21"/>
                      <w:szCs w:val="21"/>
                      <w:u w:val="none"/>
                      <w:lang w:val="en-US" w:eastAsia="zh-CN"/>
                    </w:rPr>
                  </w:pPr>
                  <w:r>
                    <w:rPr>
                      <w:rFonts w:hint="eastAsia" w:cs="Times New Roman"/>
                      <w:b w:val="0"/>
                      <w:bCs/>
                      <w:color w:val="auto"/>
                      <w:sz w:val="21"/>
                      <w:szCs w:val="21"/>
                      <w:u w:val="none"/>
                      <w:lang w:val="en-US" w:eastAsia="zh-CN"/>
                    </w:rPr>
                    <w:t>238160</w:t>
                  </w:r>
                </w:p>
              </w:tc>
              <w:tc>
                <w:tcPr>
                  <w:tcW w:w="1646" w:type="pct"/>
                  <w:gridSpan w:val="2"/>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color w:val="auto"/>
                      <w:sz w:val="21"/>
                      <w:szCs w:val="21"/>
                      <w:u w:val="none"/>
                      <w:lang w:val="en-US" w:eastAsia="zh-CN"/>
                    </w:rPr>
                  </w:pPr>
                  <w:r>
                    <w:rPr>
                      <w:rFonts w:hint="eastAsia" w:ascii="Times New Roman" w:hAnsi="Times New Roman" w:eastAsia="宋体" w:cs="Times New Roman"/>
                      <w:b w:val="0"/>
                      <w:bCs/>
                      <w:color w:val="auto"/>
                      <w:sz w:val="21"/>
                      <w:szCs w:val="21"/>
                      <w:u w:val="none"/>
                      <w:lang w:val="en-US" w:eastAsia="zh-CN"/>
                    </w:rPr>
                    <w:t>合计</w:t>
                  </w:r>
                </w:p>
              </w:tc>
              <w:tc>
                <w:tcPr>
                  <w:tcW w:w="1026"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color w:val="auto"/>
                      <w:sz w:val="21"/>
                      <w:szCs w:val="21"/>
                      <w:u w:val="none"/>
                      <w:lang w:val="en-US" w:eastAsia="zh-CN"/>
                    </w:rPr>
                  </w:pPr>
                  <w:r>
                    <w:rPr>
                      <w:rFonts w:hint="eastAsia" w:cs="Times New Roman"/>
                      <w:b w:val="0"/>
                      <w:bCs/>
                      <w:color w:val="auto"/>
                      <w:sz w:val="21"/>
                      <w:szCs w:val="21"/>
                      <w:u w:val="none"/>
                      <w:lang w:val="en-US" w:eastAsia="zh-CN"/>
                    </w:rPr>
                    <w:t>238160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6、产品工艺指标</w:t>
            </w:r>
          </w:p>
          <w:p>
            <w:pPr>
              <w:adjustRightInd w:val="0"/>
              <w:snapToGrid w:val="0"/>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lang w:val="en-US" w:eastAsia="zh-CN"/>
              </w:rPr>
              <w:t>①</w:t>
            </w:r>
            <w:r>
              <w:rPr>
                <w:rFonts w:hint="default" w:ascii="Times New Roman" w:hAnsi="Times New Roman" w:cs="Times New Roman"/>
                <w:b w:val="0"/>
                <w:bCs w:val="0"/>
                <w:color w:val="auto"/>
                <w:sz w:val="24"/>
              </w:rPr>
              <w:t>饰面石材质量一般要求</w:t>
            </w:r>
          </w:p>
          <w:p>
            <w:pPr>
              <w:snapToGrid w:val="0"/>
              <w:spacing w:line="360" w:lineRule="auto"/>
              <w:ind w:firstLine="480" w:firstLineChars="200"/>
              <w:rPr>
                <w:rFonts w:hint="default" w:ascii="Times New Roman" w:hAnsi="Times New Roman" w:cs="Times New Roman"/>
                <w:color w:val="auto"/>
                <w:kern w:val="21"/>
                <w:sz w:val="24"/>
              </w:rPr>
            </w:pPr>
            <w:r>
              <w:rPr>
                <w:rFonts w:hint="default" w:ascii="Times New Roman" w:hAnsi="Times New Roman" w:cs="Times New Roman"/>
                <w:color w:val="auto"/>
                <w:kern w:val="21"/>
                <w:sz w:val="24"/>
              </w:rPr>
              <w:t>装饰性能：加工抛磨后，颜色、花纹一致，拼接性能好，具</w:t>
            </w:r>
            <w:r>
              <w:rPr>
                <w:rFonts w:hint="eastAsia" w:cs="Times New Roman"/>
                <w:color w:val="auto"/>
                <w:kern w:val="21"/>
                <w:sz w:val="24"/>
                <w:lang w:val="en-US" w:eastAsia="zh-CN"/>
              </w:rPr>
              <w:t>有</w:t>
            </w:r>
            <w:r>
              <w:rPr>
                <w:rFonts w:hint="default" w:ascii="Times New Roman" w:hAnsi="Times New Roman" w:cs="Times New Roman"/>
                <w:color w:val="auto"/>
                <w:kern w:val="21"/>
                <w:sz w:val="24"/>
              </w:rPr>
              <w:t>一定光泽度。荒料的表面颜色基本一致，矿石矿物颗粒分布均匀，无裂纹，不同颜色的色斑长度不大于5cm。</w:t>
            </w:r>
          </w:p>
          <w:p>
            <w:pPr>
              <w:snapToGrid w:val="0"/>
              <w:spacing w:line="360" w:lineRule="auto"/>
              <w:ind w:firstLine="480" w:firstLineChars="200"/>
              <w:rPr>
                <w:rFonts w:hint="default" w:ascii="Times New Roman" w:hAnsi="Times New Roman" w:cs="Times New Roman"/>
                <w:color w:val="auto"/>
                <w:kern w:val="21"/>
                <w:sz w:val="24"/>
              </w:rPr>
            </w:pPr>
            <w:r>
              <w:rPr>
                <w:rFonts w:hint="default" w:ascii="Times New Roman" w:hAnsi="Times New Roman" w:cs="Times New Roman"/>
                <w:color w:val="auto"/>
                <w:kern w:val="21"/>
                <w:sz w:val="24"/>
              </w:rPr>
              <w:t>（2）荒料规格：≥65×40×70cm。</w:t>
            </w:r>
          </w:p>
          <w:p>
            <w:pPr>
              <w:snapToGrid w:val="0"/>
              <w:spacing w:line="360" w:lineRule="auto"/>
              <w:ind w:firstLine="480" w:firstLineChars="200"/>
              <w:rPr>
                <w:rFonts w:hint="default" w:ascii="Times New Roman" w:hAnsi="Times New Roman" w:cs="Times New Roman"/>
                <w:color w:val="auto"/>
                <w:kern w:val="21"/>
                <w:sz w:val="24"/>
              </w:rPr>
            </w:pPr>
            <w:r>
              <w:rPr>
                <w:rFonts w:hint="default" w:ascii="Times New Roman" w:hAnsi="Times New Roman" w:cs="Times New Roman"/>
                <w:color w:val="auto"/>
                <w:kern w:val="21"/>
                <w:sz w:val="24"/>
              </w:rPr>
              <w:t>（3）荒料率：≥18%。</w:t>
            </w:r>
          </w:p>
          <w:p>
            <w:pPr>
              <w:snapToGrid w:val="0"/>
              <w:spacing w:line="360" w:lineRule="auto"/>
              <w:ind w:firstLine="480" w:firstLineChars="200"/>
              <w:rPr>
                <w:rFonts w:hint="default" w:ascii="Times New Roman" w:hAnsi="Times New Roman" w:cs="Times New Roman"/>
                <w:color w:val="auto"/>
                <w:kern w:val="21"/>
                <w:sz w:val="24"/>
              </w:rPr>
            </w:pPr>
            <w:r>
              <w:rPr>
                <w:rFonts w:hint="default" w:ascii="Times New Roman" w:hAnsi="Times New Roman" w:cs="Times New Roman"/>
                <w:color w:val="auto"/>
                <w:kern w:val="21"/>
                <w:sz w:val="24"/>
              </w:rPr>
              <w:t>（4）板材率：≥25m</w:t>
            </w:r>
            <w:r>
              <w:rPr>
                <w:rFonts w:hint="eastAsia" w:ascii="Times New Roman" w:hAnsi="Times New Roman" w:cs="Times New Roman"/>
                <w:color w:val="auto"/>
                <w:kern w:val="21"/>
                <w:sz w:val="24"/>
                <w:vertAlign w:val="superscript"/>
                <w:lang w:val="en-US" w:eastAsia="zh-CN"/>
              </w:rPr>
              <w:t>3</w:t>
            </w:r>
            <w:r>
              <w:rPr>
                <w:rFonts w:hint="default" w:ascii="Times New Roman" w:hAnsi="Times New Roman" w:cs="Times New Roman"/>
                <w:color w:val="auto"/>
                <w:kern w:val="21"/>
                <w:sz w:val="24"/>
              </w:rPr>
              <w:t>/m</w:t>
            </w:r>
            <w:r>
              <w:rPr>
                <w:rFonts w:hint="default" w:ascii="Times New Roman" w:hAnsi="Times New Roman" w:cs="Times New Roman"/>
                <w:color w:val="auto"/>
                <w:kern w:val="21"/>
                <w:sz w:val="24"/>
                <w:vertAlign w:val="superscript"/>
              </w:rPr>
              <w:t>3</w:t>
            </w:r>
            <w:r>
              <w:rPr>
                <w:rFonts w:hint="default" w:ascii="Times New Roman" w:hAnsi="Times New Roman" w:cs="Times New Roman"/>
                <w:color w:val="auto"/>
                <w:kern w:val="21"/>
                <w:sz w:val="24"/>
              </w:rPr>
              <w:t>。</w:t>
            </w:r>
          </w:p>
          <w:p>
            <w:pPr>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kern w:val="21"/>
                <w:sz w:val="24"/>
              </w:rPr>
              <w:t>（5）放射性：放射性比活度同时满足Ira≤1.0Bq/kg和Ir≤1.3Bq/kg，可作为A类装饰材料，矿石及其产品的产销和使用范围不受限制,根据送样结果，本矿矿石的放射性符合A类装饰材料的技术要求</w:t>
            </w:r>
            <w:r>
              <w:rPr>
                <w:rFonts w:hint="default" w:ascii="Times New Roman" w:hAnsi="Times New Roman" w:cs="Times New Roman"/>
                <w:color w:val="auto"/>
                <w:sz w:val="24"/>
                <w:lang w:val="zh-CN"/>
              </w:rPr>
              <w:t>。</w:t>
            </w:r>
            <w:r>
              <w:rPr>
                <w:rFonts w:hint="default" w:ascii="Times New Roman" w:hAnsi="Times New Roman" w:cs="Times New Roman"/>
                <w:color w:val="auto"/>
                <w:kern w:val="21"/>
                <w:sz w:val="24"/>
              </w:rPr>
              <w:t>饰面石材物理性能</w:t>
            </w:r>
            <w:r>
              <w:rPr>
                <w:rFonts w:hint="default" w:ascii="Times New Roman" w:hAnsi="Times New Roman" w:cs="Times New Roman"/>
                <w:color w:val="auto"/>
                <w:sz w:val="24"/>
                <w:lang w:val="zh-CN"/>
              </w:rPr>
              <w:t>要求见表</w:t>
            </w:r>
            <w:r>
              <w:rPr>
                <w:rFonts w:hint="default" w:ascii="Times New Roman" w:hAnsi="Times New Roman" w:cs="Times New Roman"/>
                <w:color w:val="auto"/>
                <w:sz w:val="24"/>
              </w:rPr>
              <w:t>2-</w:t>
            </w:r>
            <w:r>
              <w:rPr>
                <w:rFonts w:hint="eastAsia" w:cs="Times New Roman"/>
                <w:color w:val="auto"/>
                <w:sz w:val="24"/>
                <w:lang w:val="en-US" w:eastAsia="zh-CN"/>
              </w:rPr>
              <w:t>6</w:t>
            </w:r>
            <w:r>
              <w:rPr>
                <w:rFonts w:hint="default" w:ascii="Times New Roman" w:hAnsi="Times New Roman" w:cs="Times New Roman"/>
                <w:color w:val="auto"/>
                <w:sz w:val="24"/>
                <w:lang w:val="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表</w:t>
            </w:r>
            <w:r>
              <w:rPr>
                <w:rFonts w:hint="eastAsia" w:ascii="Times New Roman" w:hAnsi="Times New Roman" w:eastAsia="宋体" w:cs="Times New Roman"/>
                <w:b/>
                <w:bCs/>
                <w:color w:val="auto"/>
                <w:sz w:val="22"/>
                <w:szCs w:val="22"/>
                <w:lang w:val="en-US" w:eastAsia="zh-CN"/>
              </w:rPr>
              <w:t xml:space="preserve">2-6   </w:t>
            </w:r>
            <w:r>
              <w:rPr>
                <w:rFonts w:hint="default" w:ascii="Times New Roman" w:hAnsi="Times New Roman" w:eastAsia="宋体" w:cs="Times New Roman"/>
                <w:b/>
                <w:bCs/>
                <w:color w:val="auto"/>
                <w:sz w:val="22"/>
                <w:szCs w:val="22"/>
                <w:lang w:val="en-US" w:eastAsia="zh-CN"/>
              </w:rPr>
              <w:t>饰面石材物理性能一般要求表</w:t>
            </w:r>
          </w:p>
          <w:tbl>
            <w:tblPr>
              <w:tblStyle w:val="23"/>
              <w:tblW w:w="4997"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58"/>
              <w:gridCol w:w="1058"/>
              <w:gridCol w:w="1058"/>
              <w:gridCol w:w="1058"/>
              <w:gridCol w:w="1060"/>
              <w:gridCol w:w="1058"/>
              <w:gridCol w:w="1062"/>
              <w:gridCol w:w="106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624" w:type="pct"/>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bookmarkStart w:id="4" w:name="_Hlk172110184"/>
                  <w:r>
                    <w:rPr>
                      <w:rFonts w:hint="default" w:ascii="Times New Roman" w:hAnsi="Times New Roman" w:eastAsia="宋体" w:cs="Times New Roman"/>
                      <w:color w:val="auto"/>
                      <w:sz w:val="21"/>
                      <w:szCs w:val="21"/>
                    </w:rPr>
                    <w:t>项目</w:t>
                  </w:r>
                </w:p>
              </w:tc>
              <w:tc>
                <w:tcPr>
                  <w:tcW w:w="624" w:type="pct"/>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体积密度</w:t>
                  </w:r>
                </w:p>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(g/cm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24" w:type="pct"/>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吸水率</w:t>
                  </w:r>
                </w:p>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24"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干燥</w:t>
                  </w:r>
                </w:p>
              </w:tc>
              <w:tc>
                <w:tcPr>
                  <w:tcW w:w="624"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水饱和</w:t>
                  </w:r>
                </w:p>
              </w:tc>
              <w:tc>
                <w:tcPr>
                  <w:tcW w:w="624"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干燥</w:t>
                  </w:r>
                </w:p>
              </w:tc>
              <w:tc>
                <w:tcPr>
                  <w:tcW w:w="625"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水饱和</w:t>
                  </w:r>
                </w:p>
              </w:tc>
              <w:tc>
                <w:tcPr>
                  <w:tcW w:w="625" w:type="pct"/>
                  <w:vMerge w:val="restar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耐磨性*</w:t>
                  </w:r>
                </w:p>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(1/cm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24"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p>
              </w:tc>
              <w:tc>
                <w:tcPr>
                  <w:tcW w:w="624"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p>
              </w:tc>
              <w:tc>
                <w:tcPr>
                  <w:tcW w:w="624"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p>
              </w:tc>
              <w:tc>
                <w:tcPr>
                  <w:tcW w:w="1249" w:type="pct"/>
                  <w:gridSpan w:val="2"/>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压缩强度/MPa</w:t>
                  </w:r>
                </w:p>
              </w:tc>
              <w:tc>
                <w:tcPr>
                  <w:tcW w:w="1250" w:type="pct"/>
                  <w:gridSpan w:val="2"/>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弯曲强度/MPa</w:t>
                  </w:r>
                </w:p>
              </w:tc>
              <w:tc>
                <w:tcPr>
                  <w:tcW w:w="625" w:type="pct"/>
                  <w:vMerge w:val="continue"/>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24"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花岗石</w:t>
                  </w:r>
                </w:p>
              </w:tc>
              <w:tc>
                <w:tcPr>
                  <w:tcW w:w="624"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2.56</w:t>
                  </w:r>
                </w:p>
              </w:tc>
              <w:tc>
                <w:tcPr>
                  <w:tcW w:w="624"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≤0.60</w:t>
                  </w:r>
                </w:p>
              </w:tc>
              <w:tc>
                <w:tcPr>
                  <w:tcW w:w="1249" w:type="pct"/>
                  <w:gridSpan w:val="2"/>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100.0</w:t>
                  </w:r>
                </w:p>
              </w:tc>
              <w:tc>
                <w:tcPr>
                  <w:tcW w:w="1250" w:type="pct"/>
                  <w:gridSpan w:val="2"/>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8.0</w:t>
                  </w:r>
                </w:p>
              </w:tc>
              <w:tc>
                <w:tcPr>
                  <w:tcW w:w="625" w:type="pct"/>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25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00" w:type="pct"/>
                  <w:gridSpan w:val="8"/>
                  <w:tcBorders>
                    <w:tl2br w:val="nil"/>
                    <w:tr2bl w:val="nil"/>
                  </w:tcBorders>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注：*仅适用在地面、楼梯踏步、台面等易磨损部位的石材。</w:t>
                  </w:r>
                </w:p>
              </w:tc>
            </w:tr>
            <w:bookmarkEnd w:id="4"/>
          </w:tbl>
          <w:p>
            <w:pPr>
              <w:adjustRightInd w:val="0"/>
              <w:snapToGrid w:val="0"/>
              <w:spacing w:line="360" w:lineRule="auto"/>
              <w:ind w:firstLine="480" w:firstLineChars="200"/>
              <w:rPr>
                <w:rFonts w:hint="default" w:ascii="Times New Roman" w:hAnsi="Times New Roman" w:cs="Times New Roman"/>
                <w:b w:val="0"/>
                <w:bCs w:val="0"/>
                <w:color w:val="auto"/>
                <w:sz w:val="24"/>
                <w:lang w:val="zh-CN"/>
              </w:rPr>
            </w:pPr>
            <w:r>
              <w:rPr>
                <w:rFonts w:hint="default" w:ascii="Times New Roman" w:hAnsi="Times New Roman" w:cs="Times New Roman"/>
                <w:b w:val="0"/>
                <w:bCs w:val="0"/>
                <w:color w:val="auto"/>
                <w:sz w:val="24"/>
                <w:lang w:val="en-US" w:eastAsia="zh-CN"/>
              </w:rPr>
              <w:t>②</w:t>
            </w:r>
            <w:r>
              <w:rPr>
                <w:rFonts w:hint="default" w:ascii="Times New Roman" w:hAnsi="Times New Roman" w:cs="Times New Roman"/>
                <w:b w:val="0"/>
                <w:bCs w:val="0"/>
                <w:color w:val="auto"/>
                <w:sz w:val="24"/>
                <w:lang w:val="zh-CN"/>
              </w:rPr>
              <w:t>开采技术条件</w:t>
            </w:r>
          </w:p>
          <w:p>
            <w:pPr>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矿体可采厚度：</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lang w:val="zh-CN"/>
              </w:rPr>
              <w:t>米。</w:t>
            </w:r>
          </w:p>
          <w:p>
            <w:pPr>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夹石剔除厚度：</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zh-CN"/>
              </w:rPr>
              <w:t>米。</w:t>
            </w:r>
          </w:p>
          <w:p>
            <w:pPr>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露天开采边坡角：</w:t>
            </w:r>
            <w:r>
              <w:rPr>
                <w:rFonts w:hint="eastAsia" w:ascii="Times New Roman" w:hAnsi="Times New Roman" w:cs="Times New Roman"/>
                <w:color w:val="auto"/>
                <w:sz w:val="24"/>
                <w:lang w:val="en-US" w:eastAsia="zh-CN"/>
              </w:rPr>
              <w:t>70</w:t>
            </w:r>
            <w:r>
              <w:rPr>
                <w:rFonts w:hint="default" w:ascii="Times New Roman" w:hAnsi="Times New Roman" w:cs="Times New Roman"/>
                <w:color w:val="auto"/>
                <w:sz w:val="24"/>
                <w:lang w:val="zh-CN"/>
              </w:rPr>
              <w:t>°。</w:t>
            </w:r>
          </w:p>
          <w:p>
            <w:pPr>
              <w:adjustRightInd w:val="0"/>
              <w:snapToGrid w:val="0"/>
              <w:spacing w:line="360" w:lineRule="auto"/>
              <w:ind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露天开采最小底盘宽度：</w:t>
            </w:r>
            <w:r>
              <w:rPr>
                <w:rFonts w:hint="default" w:ascii="Times New Roman" w:hAnsi="Times New Roman" w:cs="Times New Roman"/>
                <w:color w:val="auto"/>
                <w:sz w:val="24"/>
              </w:rPr>
              <w:t>≥</w:t>
            </w:r>
            <w:r>
              <w:rPr>
                <w:rFonts w:hint="default" w:ascii="Times New Roman" w:hAnsi="Times New Roman" w:cs="Times New Roman"/>
                <w:color w:val="auto"/>
                <w:sz w:val="24"/>
                <w:lang w:val="zh-CN"/>
              </w:rPr>
              <w:t>20米。</w:t>
            </w:r>
          </w:p>
          <w:p>
            <w:pPr>
              <w:adjustRightInd w:val="0"/>
              <w:snapToGrid w:val="0"/>
              <w:spacing w:line="360" w:lineRule="auto"/>
              <w:ind w:firstLine="480" w:firstLineChars="200"/>
              <w:rPr>
                <w:rFonts w:hint="default" w:ascii="Times New Roman" w:hAnsi="Times New Roman" w:eastAsia="宋体" w:cs="Times New Roman"/>
                <w:color w:val="auto"/>
                <w:sz w:val="24"/>
                <w:szCs w:val="24"/>
                <w:shd w:val="clear" w:color="auto" w:fill="auto"/>
                <w:lang w:val="en-US" w:eastAsia="zh-CN"/>
              </w:rPr>
            </w:pPr>
            <w:r>
              <w:rPr>
                <w:rFonts w:hint="default" w:ascii="Times New Roman" w:hAnsi="Times New Roman" w:cs="Times New Roman"/>
                <w:color w:val="auto"/>
                <w:sz w:val="24"/>
                <w:lang w:val="zh-CN"/>
              </w:rPr>
              <w:t>最低开采标高：根据技术经济试算（评价）结果、露天开采最终境界边坡稳定性、露天开采最小底盘宽度、各矿体钻探工程深部控制情况（含矿石质量及节理发育情况等）及基本样对比结果，确定各矿体最低开采标高为</w:t>
            </w:r>
            <w:r>
              <w:rPr>
                <w:rFonts w:hint="eastAsia" w:ascii="Times New Roman" w:hAnsi="Times New Roman" w:cs="Times New Roman"/>
                <w:color w:val="auto"/>
                <w:sz w:val="24"/>
                <w:lang w:val="en-US" w:eastAsia="zh-CN"/>
              </w:rPr>
              <w:t>1225</w:t>
            </w:r>
            <w:r>
              <w:rPr>
                <w:rFonts w:hint="default" w:ascii="Times New Roman" w:hAnsi="Times New Roman" w:cs="Times New Roman"/>
                <w:color w:val="auto"/>
                <w:sz w:val="24"/>
                <w:lang w:val="zh-CN"/>
              </w:rPr>
              <w:t>米</w:t>
            </w:r>
            <w:r>
              <w:rPr>
                <w:rFonts w:hint="default" w:ascii="Times New Roman" w:hAnsi="Times New Roman" w:cs="Times New Roman"/>
                <w:color w:val="auto"/>
                <w:sz w:val="24"/>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shd w:val="clear" w:color="auto" w:fill="auto"/>
                <w:lang w:val="en-US" w:eastAsia="zh-CN"/>
              </w:rPr>
            </w:pPr>
            <w:r>
              <w:rPr>
                <w:rFonts w:hint="eastAsia" w:cs="Times New Roman"/>
                <w:color w:val="auto"/>
                <w:sz w:val="24"/>
                <w:szCs w:val="24"/>
                <w:shd w:val="clear" w:color="auto" w:fill="auto"/>
                <w:lang w:val="en-US" w:eastAsia="zh-CN"/>
              </w:rPr>
              <w:t>7、开采范围</w:t>
            </w:r>
          </w:p>
          <w:p>
            <w:pPr>
              <w:adjustRightInd w:val="0"/>
              <w:snapToGrid w:val="0"/>
              <w:spacing w:line="360" w:lineRule="auto"/>
              <w:ind w:firstLine="480" w:firstLineChars="200"/>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项目矿区永久占地面积</w:t>
            </w:r>
            <w:r>
              <w:rPr>
                <w:rFonts w:hint="eastAsia" w:cs="Times New Roman"/>
                <w:b w:val="0"/>
                <w:bCs w:val="0"/>
                <w:color w:val="auto"/>
                <w:sz w:val="24"/>
                <w:lang w:val="en-US" w:eastAsia="zh-CN"/>
              </w:rPr>
              <w:t>0.9817平方公里</w:t>
            </w:r>
            <w:r>
              <w:rPr>
                <w:rFonts w:hint="default" w:ascii="Times New Roman" w:hAnsi="Times New Roman" w:cs="Times New Roman"/>
                <w:b w:val="0"/>
                <w:bCs w:val="0"/>
                <w:color w:val="auto"/>
                <w:sz w:val="24"/>
                <w:lang w:val="en-US" w:eastAsia="zh-CN"/>
              </w:rPr>
              <w:t>，采矿场范围拐点坐标见表2-</w:t>
            </w:r>
            <w:r>
              <w:rPr>
                <w:rFonts w:hint="eastAsia" w:cs="Times New Roman"/>
                <w:b w:val="0"/>
                <w:bCs w:val="0"/>
                <w:color w:val="auto"/>
                <w:sz w:val="24"/>
                <w:lang w:val="en-US" w:eastAsia="zh-CN"/>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0"/>
                <w:sz w:val="21"/>
                <w:szCs w:val="21"/>
                <w:lang w:val="en-US" w:eastAsia="zh-CN"/>
              </w:rPr>
            </w:pPr>
            <w:r>
              <w:rPr>
                <w:rFonts w:hint="eastAsia" w:ascii="Times New Roman" w:hAnsi="Times New Roman" w:eastAsia="宋体" w:cs="Times New Roman"/>
                <w:b/>
                <w:bCs/>
                <w:color w:val="auto"/>
                <w:sz w:val="22"/>
                <w:szCs w:val="22"/>
                <w:lang w:val="en-US" w:eastAsia="zh-CN"/>
              </w:rPr>
              <w:t>表2-</w:t>
            </w:r>
            <w:r>
              <w:rPr>
                <w:rFonts w:hint="eastAsia" w:cs="Times New Roman"/>
                <w:b/>
                <w:bCs/>
                <w:color w:val="auto"/>
                <w:sz w:val="22"/>
                <w:szCs w:val="22"/>
                <w:lang w:val="en-US" w:eastAsia="zh-CN"/>
              </w:rPr>
              <w:t>7</w:t>
            </w:r>
            <w:r>
              <w:rPr>
                <w:rFonts w:hint="eastAsia" w:ascii="Times New Roman" w:hAnsi="Times New Roman" w:eastAsia="宋体" w:cs="Times New Roman"/>
                <w:b/>
                <w:bCs/>
                <w:color w:val="auto"/>
                <w:sz w:val="22"/>
                <w:szCs w:val="22"/>
                <w:lang w:val="en-US" w:eastAsia="zh-CN"/>
              </w:rPr>
              <w:t xml:space="preserve">  矿区范围拐点坐标</w:t>
            </w:r>
          </w:p>
          <w:tbl>
            <w:tblPr>
              <w:tblStyle w:val="23"/>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2282"/>
              <w:gridCol w:w="2282"/>
              <w:gridCol w:w="1569"/>
              <w:gridCol w:w="16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拐点编号</w:t>
                  </w:r>
                </w:p>
              </w:tc>
              <w:tc>
                <w:tcPr>
                  <w:tcW w:w="4587"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2000国家坐标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zh-CN" w:eastAsia="zh-CN"/>
                    </w:rPr>
                  </w:pPr>
                </w:p>
              </w:tc>
              <w:tc>
                <w:tcPr>
                  <w:tcW w:w="13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东经</w:t>
                  </w:r>
                </w:p>
              </w:tc>
              <w:tc>
                <w:tcPr>
                  <w:tcW w:w="13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北纬</w:t>
                  </w:r>
                </w:p>
              </w:tc>
              <w:tc>
                <w:tcPr>
                  <w:tcW w:w="9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X</w:t>
                  </w:r>
                </w:p>
              </w:tc>
              <w:tc>
                <w:tcPr>
                  <w:tcW w:w="9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Y</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3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Cs w:val="21"/>
                    </w:rPr>
                    <w:t>87°34′47.48″</w:t>
                  </w:r>
                </w:p>
              </w:tc>
              <w:tc>
                <w:tcPr>
                  <w:tcW w:w="13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42°11′41.20″</w:t>
                  </w:r>
                </w:p>
              </w:tc>
              <w:tc>
                <w:tcPr>
                  <w:tcW w:w="925" w:type="pct"/>
                  <w:tcBorders>
                    <w:tl2br w:val="nil"/>
                    <w:tr2bl w:val="nil"/>
                  </w:tcBorders>
                  <w:noWrap w:val="0"/>
                  <w:vAlign w:val="bottom"/>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Cs w:val="21"/>
                    </w:rPr>
                    <w:t>4673434.63</w:t>
                  </w:r>
                </w:p>
              </w:tc>
              <w:tc>
                <w:tcPr>
                  <w:tcW w:w="971" w:type="pct"/>
                  <w:tcBorders>
                    <w:tl2br w:val="nil"/>
                    <w:tr2bl w:val="nil"/>
                  </w:tcBorders>
                  <w:noWrap w:val="0"/>
                  <w:vAlign w:val="bottom"/>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29547894.84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3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87°35′27.58″</w:t>
                  </w:r>
                </w:p>
              </w:tc>
              <w:tc>
                <w:tcPr>
                  <w:tcW w:w="13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42°11′28.23″</w:t>
                  </w:r>
                </w:p>
              </w:tc>
              <w:tc>
                <w:tcPr>
                  <w:tcW w:w="925" w:type="pct"/>
                  <w:tcBorders>
                    <w:tl2br w:val="nil"/>
                    <w:tr2bl w:val="nil"/>
                  </w:tcBorders>
                  <w:noWrap w:val="0"/>
                  <w:vAlign w:val="bottom"/>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4673040.88</w:t>
                  </w:r>
                </w:p>
              </w:tc>
              <w:tc>
                <w:tcPr>
                  <w:tcW w:w="971" w:type="pct"/>
                  <w:tcBorders>
                    <w:tl2br w:val="nil"/>
                    <w:tr2bl w:val="nil"/>
                  </w:tcBorders>
                  <w:noWrap w:val="0"/>
                  <w:vAlign w:val="bottom"/>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29548817.56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3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87°35′03.52″</w:t>
                  </w:r>
                </w:p>
              </w:tc>
              <w:tc>
                <w:tcPr>
                  <w:tcW w:w="13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42°10′48.74″</w:t>
                  </w:r>
                </w:p>
              </w:tc>
              <w:tc>
                <w:tcPr>
                  <w:tcW w:w="925" w:type="pct"/>
                  <w:tcBorders>
                    <w:tl2br w:val="nil"/>
                    <w:tr2bl w:val="nil"/>
                  </w:tcBorders>
                  <w:noWrap w:val="0"/>
                  <w:vAlign w:val="bottom"/>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4671818.50</w:t>
                  </w:r>
                </w:p>
              </w:tc>
              <w:tc>
                <w:tcPr>
                  <w:tcW w:w="971" w:type="pct"/>
                  <w:tcBorders>
                    <w:tl2br w:val="nil"/>
                    <w:tr2bl w:val="nil"/>
                  </w:tcBorders>
                  <w:noWrap w:val="0"/>
                  <w:vAlign w:val="bottom"/>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29548273.83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3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87°34′36.34″</w:t>
                  </w:r>
                </w:p>
              </w:tc>
              <w:tc>
                <w:tcPr>
                  <w:tcW w:w="13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42°11′22.90″</w:t>
                  </w:r>
                </w:p>
              </w:tc>
              <w:tc>
                <w:tcPr>
                  <w:tcW w:w="925" w:type="pct"/>
                  <w:tcBorders>
                    <w:tl2br w:val="nil"/>
                    <w:tr2bl w:val="nil"/>
                  </w:tcBorders>
                  <w:noWrap w:val="0"/>
                  <w:vAlign w:val="bottom"/>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4672868.44</w:t>
                  </w:r>
                </w:p>
              </w:tc>
              <w:tc>
                <w:tcPr>
                  <w:tcW w:w="971" w:type="pct"/>
                  <w:tcBorders>
                    <w:tl2br w:val="nil"/>
                    <w:tr2bl w:val="nil"/>
                  </w:tcBorders>
                  <w:noWrap w:val="0"/>
                  <w:vAlign w:val="bottom"/>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29547643.07</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8、开采方案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开采方式</w:t>
            </w:r>
          </w:p>
          <w:p>
            <w:pPr>
              <w:adjustRightInd w:val="0"/>
              <w:snapToGrid w:val="0"/>
              <w:spacing w:line="360" w:lineRule="auto"/>
              <w:ind w:firstLine="480" w:firstLineChars="200"/>
              <w:rPr>
                <w:rFonts w:hint="default"/>
                <w:color w:val="auto"/>
                <w:sz w:val="24"/>
                <w:szCs w:val="24"/>
                <w:lang w:val="en-US" w:eastAsia="zh-CN"/>
              </w:rPr>
            </w:pPr>
            <w:r>
              <w:rPr>
                <w:rFonts w:hint="default"/>
                <w:color w:val="auto"/>
                <w:sz w:val="24"/>
                <w:szCs w:val="24"/>
                <w:lang w:val="en-US" w:eastAsia="zh-CN"/>
              </w:rPr>
              <w:t>矿区内矿体出露地表，最高出露标高1272米，资源储量估算矿体最低标高1225米。矿体处于最低侵蚀基准面之上，露天开采条件好。根据矿体赋存特征及地形条件，设计采用露天凹陷开采方式。</w:t>
            </w:r>
          </w:p>
          <w:p>
            <w:pPr>
              <w:adjustRightInd w:val="0"/>
              <w:snapToGri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（2）开采范围</w:t>
            </w:r>
          </w:p>
          <w:p>
            <w:pPr>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开采范围为采矿证划定的矿区范围，开采对象为矿区范围内的花岗岩矿体。</w:t>
            </w:r>
          </w:p>
          <w:p>
            <w:pPr>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（3）开采顺序</w:t>
            </w:r>
          </w:p>
          <w:p>
            <w:pPr>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开采顺序总体要求为：自上而下水平分层台阶式开采。</w:t>
            </w:r>
          </w:p>
          <w:p>
            <w:pPr>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（4）采矿方法</w:t>
            </w:r>
          </w:p>
          <w:p>
            <w:pPr>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根据矿山地形地质条件、矿山建设规模及机械化程度，采用自上而下、水平分层台阶式开采，圆盘锯石机与凿岩劈裂联合采矿法。</w:t>
            </w:r>
          </w:p>
          <w:p>
            <w:pPr>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开采工艺流程：铺轨→切割（圆盘锯石机垂直切割、排孔水平劈裂）→分离→分割（凿岩劈裂法分割）→平板车运输→清渣。</w:t>
            </w:r>
          </w:p>
          <w:p>
            <w:pPr>
              <w:adjustRightInd w:val="0"/>
              <w:snapToGri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（5）运输方案</w:t>
            </w:r>
          </w:p>
          <w:p>
            <w:pPr>
              <w:adjustRightInd w:val="0"/>
              <w:snapToGrid w:val="0"/>
              <w:spacing w:line="360" w:lineRule="auto"/>
              <w:ind w:firstLine="480" w:firstLineChars="200"/>
              <w:rPr>
                <w:rFonts w:hint="default"/>
                <w:color w:val="auto"/>
                <w:sz w:val="24"/>
                <w:szCs w:val="24"/>
                <w:lang w:val="en-US" w:eastAsia="zh-CN"/>
              </w:rPr>
            </w:pPr>
            <w:r>
              <w:rPr>
                <w:rFonts w:hint="default"/>
                <w:color w:val="auto"/>
                <w:sz w:val="24"/>
                <w:szCs w:val="24"/>
                <w:lang w:val="en-US" w:eastAsia="zh-CN"/>
              </w:rPr>
              <w:t>该矿为新建矿山，根据地形地貌条件及外部道路情况，本次采用公路开拓、汽车运输方案。</w:t>
            </w:r>
          </w:p>
          <w:p>
            <w:pPr>
              <w:adjustRightInd w:val="0"/>
              <w:snapToGrid w:val="0"/>
              <w:spacing w:line="360" w:lineRule="auto"/>
              <w:ind w:firstLine="480" w:firstLineChars="200"/>
              <w:rPr>
                <w:rFonts w:hint="default"/>
                <w:color w:val="auto"/>
                <w:sz w:val="24"/>
                <w:szCs w:val="24"/>
                <w:lang w:val="en-US" w:eastAsia="zh-CN"/>
              </w:rPr>
            </w:pPr>
            <w:r>
              <w:rPr>
                <w:rFonts w:hint="default"/>
                <w:color w:val="auto"/>
                <w:sz w:val="24"/>
                <w:szCs w:val="24"/>
                <w:lang w:val="en-US" w:eastAsia="zh-CN"/>
              </w:rPr>
              <w:t>内部运输：内部运输主要是采场内部生产材料的运入及矿石的运出。生产设备及材料可用汽车经矿山公路运输至各个采矿工作面。</w:t>
            </w:r>
          </w:p>
          <w:p>
            <w:pPr>
              <w:adjustRightInd w:val="0"/>
              <w:snapToGrid w:val="0"/>
              <w:spacing w:line="360" w:lineRule="auto"/>
              <w:ind w:firstLine="480" w:firstLineChars="200"/>
              <w:rPr>
                <w:rFonts w:hint="default"/>
                <w:color w:val="auto"/>
                <w:sz w:val="24"/>
                <w:szCs w:val="24"/>
                <w:lang w:val="en-US" w:eastAsia="zh-CN"/>
              </w:rPr>
            </w:pPr>
            <w:r>
              <w:rPr>
                <w:rFonts w:hint="default"/>
                <w:color w:val="auto"/>
                <w:sz w:val="24"/>
                <w:szCs w:val="24"/>
                <w:lang w:val="en-US" w:eastAsia="zh-CN"/>
              </w:rPr>
              <w:t>外部运输：外部运输主要是生产、生活物资（如生活用品）的运入以及矿山最终产品销售后运出。外部运输工作委托专业运输车辆或由公司内部运输车辆承担。</w:t>
            </w:r>
          </w:p>
          <w:p>
            <w:pPr>
              <w:adjustRightInd w:val="0"/>
              <w:snapToGri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（6）露天开采境界</w:t>
            </w:r>
          </w:p>
          <w:p>
            <w:pPr>
              <w:adjustRightInd w:val="0"/>
              <w:snapToGrid w:val="0"/>
              <w:spacing w:line="360" w:lineRule="auto"/>
              <w:ind w:firstLine="480" w:firstLineChars="200"/>
              <w:rPr>
                <w:rFonts w:hint="default"/>
                <w:color w:val="auto"/>
                <w:sz w:val="24"/>
                <w:szCs w:val="24"/>
                <w:lang w:val="en-US" w:eastAsia="zh-CN"/>
              </w:rPr>
            </w:pPr>
            <w:r>
              <w:rPr>
                <w:rFonts w:hint="default"/>
                <w:color w:val="auto"/>
                <w:sz w:val="24"/>
                <w:szCs w:val="24"/>
                <w:lang w:val="en-US" w:eastAsia="zh-CN"/>
              </w:rPr>
              <w:t>根据矿区地形条件及压覆区分布范围，将矿区自然圈定为一个开采境界，全矿共设置一个采矿场。开采境界构成要素，见下表：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lang w:val="en-US" w:eastAsia="zh-CN"/>
              </w:rPr>
            </w:pPr>
            <w:r>
              <w:rPr>
                <w:rFonts w:hint="default" w:ascii="Times New Roman" w:hAnsi="Times New Roman" w:eastAsia="宋体" w:cs="Times New Roman"/>
                <w:color w:val="auto"/>
                <w:sz w:val="24"/>
                <w:szCs w:val="24"/>
                <w:lang w:val="en-US" w:eastAsia="zh-CN"/>
              </w:rPr>
              <w:t>境界构成要素，见下表：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表2-</w:t>
            </w:r>
            <w:r>
              <w:rPr>
                <w:rFonts w:hint="eastAsia" w:cs="Times New Roman"/>
                <w:b/>
                <w:bCs/>
                <w:color w:val="auto"/>
                <w:kern w:val="0"/>
                <w:sz w:val="21"/>
                <w:szCs w:val="21"/>
                <w:lang w:val="en-US" w:eastAsia="zh-CN"/>
              </w:rPr>
              <w:t>8</w:t>
            </w:r>
            <w:r>
              <w:rPr>
                <w:rFonts w:hint="default" w:ascii="Times New Roman" w:hAnsi="Times New Roman" w:eastAsia="宋体" w:cs="Times New Roman"/>
                <w:b/>
                <w:bCs/>
                <w:color w:val="auto"/>
                <w:kern w:val="0"/>
                <w:sz w:val="21"/>
                <w:szCs w:val="21"/>
                <w:lang w:val="en-US" w:eastAsia="zh-CN"/>
              </w:rPr>
              <w:t xml:space="preserve">  露天开采境界圈定结果参数一览表</w:t>
            </w:r>
          </w:p>
          <w:tbl>
            <w:tblPr>
              <w:tblStyle w:val="2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1756"/>
              <w:gridCol w:w="50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露天境界要素</w:t>
                  </w:r>
                </w:p>
              </w:tc>
              <w:tc>
                <w:tcPr>
                  <w:tcW w:w="52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全矿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最高开采标高</w:t>
                  </w:r>
                </w:p>
              </w:tc>
              <w:tc>
                <w:tcPr>
                  <w:tcW w:w="52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1272</w:t>
                  </w:r>
                  <w:r>
                    <w:rPr>
                      <w:rFonts w:hint="default" w:ascii="Times New Roman" w:hAnsi="Times New Roman" w:eastAsia="宋体" w:cs="Times New Roman"/>
                      <w:color w:val="auto"/>
                      <w:lang w:val="en-US" w:eastAsia="zh-CN"/>
                    </w:rPr>
                    <w:t>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最低开采标高</w:t>
                  </w:r>
                </w:p>
              </w:tc>
              <w:tc>
                <w:tcPr>
                  <w:tcW w:w="52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1225</w:t>
                  </w:r>
                  <w:r>
                    <w:rPr>
                      <w:rFonts w:hint="default" w:ascii="Times New Roman" w:hAnsi="Times New Roman" w:eastAsia="宋体" w:cs="Times New Roman"/>
                      <w:color w:val="auto"/>
                      <w:lang w:val="en-US" w:eastAsia="zh-CN"/>
                    </w:rPr>
                    <w:t>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最终台阶标高</w:t>
                  </w:r>
                </w:p>
              </w:tc>
              <w:tc>
                <w:tcPr>
                  <w:tcW w:w="52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1265米、1255米、1245米、1235米、1225米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最终台阶高度</w:t>
                  </w:r>
                </w:p>
              </w:tc>
              <w:tc>
                <w:tcPr>
                  <w:tcW w:w="52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10</w:t>
                  </w:r>
                  <w:r>
                    <w:rPr>
                      <w:rFonts w:hint="default" w:ascii="Times New Roman" w:hAnsi="Times New Roman" w:eastAsia="宋体" w:cs="Times New Roman"/>
                      <w:color w:val="auto"/>
                      <w:lang w:val="en-US" w:eastAsia="zh-CN"/>
                    </w:rPr>
                    <w:t>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安全平台宽度</w:t>
                  </w:r>
                </w:p>
              </w:tc>
              <w:tc>
                <w:tcPr>
                  <w:tcW w:w="52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lang w:val="en-US" w:eastAsia="zh-CN"/>
                    </w:rPr>
                  </w:pPr>
                  <w:r>
                    <w:rPr>
                      <w:rFonts w:hint="eastAsia" w:cs="Times New Roman"/>
                      <w:color w:val="auto"/>
                      <w:lang w:val="en-US" w:eastAsia="zh-CN"/>
                    </w:rPr>
                    <w:t>3.5米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清扫平台宽度</w:t>
                  </w:r>
                </w:p>
              </w:tc>
              <w:tc>
                <w:tcPr>
                  <w:tcW w:w="52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lang w:val="en-US" w:eastAsia="zh-CN"/>
                    </w:rPr>
                  </w:pPr>
                  <w:r>
                    <w:rPr>
                      <w:rFonts w:hint="eastAsia" w:cs="Times New Roman"/>
                      <w:color w:val="auto"/>
                      <w:lang w:val="en-US" w:eastAsia="zh-CN"/>
                    </w:rPr>
                    <w:t>6米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最终台阶坡面角</w:t>
                  </w:r>
                </w:p>
              </w:tc>
              <w:tc>
                <w:tcPr>
                  <w:tcW w:w="52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lang w:val="en-US" w:eastAsia="zh-CN"/>
                    </w:rPr>
                  </w:pPr>
                  <w:r>
                    <w:rPr>
                      <w:rFonts w:hint="eastAsia" w:cs="Times New Roman"/>
                      <w:color w:val="auto"/>
                      <w:lang w:val="en-US" w:eastAsia="zh-CN"/>
                    </w:rPr>
                    <w:t>80</w:t>
                  </w:r>
                  <w:r>
                    <w:rPr>
                      <w:rFonts w:hint="default" w:ascii="Times New Roman" w:hAnsi="Times New Roman" w:eastAsia="宋体" w:cs="Times New Roman"/>
                      <w:color w:va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运输平台宽度</w:t>
                  </w:r>
                </w:p>
              </w:tc>
              <w:tc>
                <w:tcPr>
                  <w:tcW w:w="52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lang w:val="en-US" w:eastAsia="zh-CN"/>
                    </w:rPr>
                  </w:pPr>
                  <w:r>
                    <w:rPr>
                      <w:rFonts w:hint="eastAsia" w:cs="Times New Roman"/>
                      <w:color w:val="auto"/>
                      <w:lang w:val="en-US" w:eastAsia="zh-CN"/>
                    </w:rPr>
                    <w:t>3</w:t>
                  </w:r>
                  <w:r>
                    <w:rPr>
                      <w:rFonts w:hint="default" w:ascii="Times New Roman" w:hAnsi="Times New Roman" w:eastAsia="宋体" w:cs="Times New Roman"/>
                      <w:color w:val="auto"/>
                      <w:lang w:val="en-US" w:eastAsia="zh-CN"/>
                    </w:rPr>
                    <w:t>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境界尺寸</w:t>
                  </w:r>
                </w:p>
              </w:tc>
              <w:tc>
                <w:tcPr>
                  <w:tcW w:w="1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地表境界</w:t>
                  </w:r>
                </w:p>
              </w:tc>
              <w:tc>
                <w:tcPr>
                  <w:tcW w:w="52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长</w:t>
                  </w:r>
                  <w:r>
                    <w:rPr>
                      <w:rFonts w:hint="eastAsia" w:cs="Times New Roman"/>
                      <w:color w:val="auto"/>
                      <w:lang w:val="en-US" w:eastAsia="zh-CN"/>
                    </w:rPr>
                    <w:t>153</w:t>
                  </w:r>
                  <w:r>
                    <w:rPr>
                      <w:rFonts w:hint="default" w:ascii="Times New Roman" w:hAnsi="Times New Roman" w:eastAsia="宋体" w:cs="Times New Roman"/>
                      <w:color w:val="auto"/>
                      <w:lang w:val="en-US" w:eastAsia="zh-CN"/>
                    </w:rPr>
                    <w:t>米，宽</w:t>
                  </w:r>
                  <w:r>
                    <w:rPr>
                      <w:rFonts w:hint="eastAsia" w:cs="Times New Roman"/>
                      <w:color w:val="auto"/>
                      <w:lang w:val="en-US" w:eastAsia="zh-CN"/>
                    </w:rPr>
                    <w:t>106</w:t>
                  </w:r>
                  <w:r>
                    <w:rPr>
                      <w:rFonts w:hint="default" w:ascii="Times New Roman" w:hAnsi="Times New Roman" w:eastAsia="宋体" w:cs="Times New Roman"/>
                      <w:color w:val="auto"/>
                      <w:lang w:val="en-US" w:eastAsia="zh-CN"/>
                    </w:rPr>
                    <w:t>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p>
              </w:tc>
              <w:tc>
                <w:tcPr>
                  <w:tcW w:w="1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底部境界</w:t>
                  </w:r>
                </w:p>
              </w:tc>
              <w:tc>
                <w:tcPr>
                  <w:tcW w:w="52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长</w:t>
                  </w:r>
                  <w:r>
                    <w:rPr>
                      <w:rFonts w:hint="eastAsia" w:cs="Times New Roman"/>
                      <w:color w:val="auto"/>
                      <w:lang w:val="en-US" w:eastAsia="zh-CN"/>
                    </w:rPr>
                    <w:t>135</w:t>
                  </w:r>
                  <w:r>
                    <w:rPr>
                      <w:rFonts w:hint="default" w:ascii="Times New Roman" w:hAnsi="Times New Roman" w:eastAsia="宋体" w:cs="Times New Roman"/>
                      <w:color w:val="auto"/>
                      <w:lang w:val="en-US" w:eastAsia="zh-CN"/>
                    </w:rPr>
                    <w:t>米，宽</w:t>
                  </w:r>
                  <w:r>
                    <w:rPr>
                      <w:rFonts w:hint="eastAsia" w:cs="Times New Roman"/>
                      <w:color w:val="auto"/>
                      <w:lang w:val="en-US" w:eastAsia="zh-CN"/>
                    </w:rPr>
                    <w:t>78</w:t>
                  </w:r>
                  <w:r>
                    <w:rPr>
                      <w:rFonts w:hint="default" w:ascii="Times New Roman" w:hAnsi="Times New Roman" w:eastAsia="宋体" w:cs="Times New Roman"/>
                      <w:color w:val="auto"/>
                      <w:lang w:val="en-US" w:eastAsia="zh-CN"/>
                    </w:rPr>
                    <w:t>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最终帮坡角</w:t>
                  </w:r>
                </w:p>
              </w:tc>
              <w:tc>
                <w:tcPr>
                  <w:tcW w:w="52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60</w:t>
                  </w:r>
                  <w:r>
                    <w:rPr>
                      <w:rFonts w:hint="default" w:ascii="Times New Roman" w:hAnsi="Times New Roman" w:eastAsia="宋体" w:cs="Times New Roman"/>
                      <w:color w:val="auto"/>
                      <w:lang w:val="en-US" w:eastAsia="zh-CN"/>
                    </w:rPr>
                    <w:t>°</w:t>
                  </w:r>
                  <w:r>
                    <w:rPr>
                      <w:rFonts w:hint="eastAsia" w:cs="Times New Roman"/>
                      <w:color w:val="auto"/>
                      <w:lang w:val="en-US" w:eastAsia="zh-CN"/>
                    </w:rPr>
                    <w:t>-62</w:t>
                  </w:r>
                  <w:r>
                    <w:rPr>
                      <w:rFonts w:hint="default" w:ascii="Times New Roman" w:hAnsi="Times New Roman" w:eastAsia="宋体" w:cs="Times New Roman"/>
                      <w:color w:va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出入沟底宽</w:t>
                  </w:r>
                </w:p>
              </w:tc>
              <w:tc>
                <w:tcPr>
                  <w:tcW w:w="52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7米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出入沟纵坡</w:t>
                  </w:r>
                </w:p>
              </w:tc>
              <w:tc>
                <w:tcPr>
                  <w:tcW w:w="52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lang w:val="en-US" w:eastAsia="zh-CN"/>
                    </w:rPr>
                  </w:pPr>
                  <w:r>
                    <w:rPr>
                      <w:rFonts w:hint="eastAsia" w:cs="Times New Roman"/>
                      <w:color w:val="auto"/>
                      <w:lang w:val="en-US" w:eastAsia="zh-CN"/>
                    </w:rPr>
                    <w:t>6%-8%</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9、</w:t>
            </w:r>
            <w:r>
              <w:rPr>
                <w:rFonts w:hint="default" w:ascii="Times New Roman" w:hAnsi="Times New Roman" w:eastAsia="宋体" w:cs="Times New Roman"/>
                <w:color w:val="auto"/>
                <w:kern w:val="2"/>
                <w:sz w:val="24"/>
                <w:szCs w:val="24"/>
                <w:lang w:val="en-US" w:eastAsia="zh-CN" w:bidi="ar-SA"/>
              </w:rPr>
              <w:t>主要技术经济指标</w:t>
            </w:r>
          </w:p>
          <w:p>
            <w:pPr>
              <w:adjustRightInd w:val="0"/>
              <w:snapToGrid w:val="0"/>
              <w:spacing w:line="360" w:lineRule="auto"/>
              <w:ind w:firstLine="480" w:firstLineChars="200"/>
              <w:rPr>
                <w:rFonts w:hint="eastAsia" w:ascii="宋体" w:hAnsi="宋体"/>
                <w:color w:val="auto"/>
                <w:sz w:val="24"/>
                <w:szCs w:val="28"/>
                <w:lang w:eastAsia="zh-CN"/>
              </w:rPr>
            </w:pPr>
            <w:r>
              <w:rPr>
                <w:rFonts w:ascii="宋体" w:hAnsi="宋体"/>
                <w:color w:val="auto"/>
                <w:sz w:val="24"/>
                <w:szCs w:val="28"/>
              </w:rPr>
              <w:t>设计露天开采主要技术经济指标见</w:t>
            </w:r>
            <w:r>
              <w:rPr>
                <w:rFonts w:hint="eastAsia" w:ascii="宋体" w:hAnsi="宋体"/>
                <w:color w:val="auto"/>
                <w:sz w:val="24"/>
                <w:szCs w:val="28"/>
                <w:lang w:val="en-US" w:eastAsia="zh-CN"/>
              </w:rPr>
              <w:t>下</w:t>
            </w:r>
            <w:r>
              <w:rPr>
                <w:rFonts w:ascii="宋体" w:hAnsi="宋体"/>
                <w:color w:val="auto"/>
                <w:sz w:val="24"/>
                <w:szCs w:val="28"/>
              </w:rPr>
              <w:t>表</w:t>
            </w:r>
            <w:r>
              <w:rPr>
                <w:rFonts w:hint="eastAsia" w:ascii="宋体" w:hAnsi="宋体"/>
                <w:color w:val="auto"/>
                <w:sz w:val="24"/>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表2-</w:t>
            </w:r>
            <w:r>
              <w:rPr>
                <w:rFonts w:hint="eastAsia" w:cs="Times New Roman"/>
                <w:b/>
                <w:bCs/>
                <w:color w:val="auto"/>
                <w:sz w:val="22"/>
                <w:szCs w:val="22"/>
                <w:lang w:val="en-US" w:eastAsia="zh-CN"/>
              </w:rPr>
              <w:t>9</w:t>
            </w:r>
            <w:r>
              <w:rPr>
                <w:rFonts w:hint="eastAsia" w:ascii="Times New Roman" w:hAnsi="Times New Roman" w:eastAsia="宋体" w:cs="Times New Roman"/>
                <w:b/>
                <w:bCs/>
                <w:color w:val="auto"/>
                <w:sz w:val="22"/>
                <w:szCs w:val="22"/>
                <w:lang w:val="en-US" w:eastAsia="zh-CN"/>
              </w:rPr>
              <w:t xml:space="preserve">    </w:t>
            </w:r>
            <w:r>
              <w:rPr>
                <w:rFonts w:hint="default" w:ascii="Times New Roman" w:hAnsi="Times New Roman" w:eastAsia="宋体" w:cs="Times New Roman"/>
                <w:b/>
                <w:bCs/>
                <w:color w:val="auto"/>
                <w:sz w:val="22"/>
                <w:szCs w:val="22"/>
                <w:lang w:val="en-US" w:eastAsia="zh-CN"/>
              </w:rPr>
              <w:t>项目主要技术经济指标</w:t>
            </w:r>
            <w:r>
              <w:rPr>
                <w:rFonts w:hint="eastAsia" w:ascii="Times New Roman" w:hAnsi="Times New Roman" w:eastAsia="宋体" w:cs="Times New Roman"/>
                <w:b/>
                <w:bCs/>
                <w:color w:val="auto"/>
                <w:sz w:val="22"/>
                <w:szCs w:val="22"/>
                <w:lang w:val="en-US" w:eastAsia="zh-CN"/>
              </w:rPr>
              <w:t>一览表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43"/>
              <w:gridCol w:w="3031"/>
              <w:gridCol w:w="1125"/>
              <w:gridCol w:w="1604"/>
              <w:gridCol w:w="19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tblHeader/>
                <w:jc w:val="center"/>
              </w:trPr>
              <w:tc>
                <w:tcPr>
                  <w:tcW w:w="438"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序号</w:t>
                  </w:r>
                </w:p>
              </w:tc>
              <w:tc>
                <w:tcPr>
                  <w:tcW w:w="178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指标名称</w:t>
                  </w:r>
                </w:p>
              </w:tc>
              <w:tc>
                <w:tcPr>
                  <w:tcW w:w="66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单位</w:t>
                  </w:r>
                </w:p>
              </w:tc>
              <w:tc>
                <w:tcPr>
                  <w:tcW w:w="945"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数值</w:t>
                  </w:r>
                </w:p>
              </w:tc>
              <w:tc>
                <w:tcPr>
                  <w:tcW w:w="116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8"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1</w:t>
                  </w:r>
                </w:p>
              </w:tc>
              <w:tc>
                <w:tcPr>
                  <w:tcW w:w="178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评审通过的资源量</w:t>
                  </w:r>
                </w:p>
              </w:tc>
              <w:tc>
                <w:tcPr>
                  <w:tcW w:w="66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万立方米</w:t>
                  </w:r>
                </w:p>
              </w:tc>
              <w:tc>
                <w:tcPr>
                  <w:tcW w:w="94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133.55</w:t>
                  </w:r>
                </w:p>
              </w:tc>
              <w:tc>
                <w:tcPr>
                  <w:tcW w:w="116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eastAsia" w:cs="Times New Roman"/>
                      <w:b w:val="0"/>
                      <w:bCs w:val="0"/>
                      <w:color w:val="auto"/>
                      <w:szCs w:val="21"/>
                      <w:lang w:val="en-US" w:eastAsia="zh-CN"/>
                    </w:rPr>
                    <w:t>27.04</w:t>
                  </w:r>
                  <w:r>
                    <w:rPr>
                      <w:rFonts w:hint="default" w:ascii="Times New Roman" w:hAnsi="Times New Roman" w:cs="Times New Roman"/>
                      <w:b w:val="0"/>
                      <w:bCs w:val="0"/>
                      <w:color w:val="auto"/>
                      <w:szCs w:val="21"/>
                    </w:rPr>
                    <w:t>（荒料量）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8"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2</w:t>
                  </w:r>
                </w:p>
              </w:tc>
              <w:tc>
                <w:tcPr>
                  <w:tcW w:w="178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设计利用资源量</w:t>
                  </w:r>
                </w:p>
              </w:tc>
              <w:tc>
                <w:tcPr>
                  <w:tcW w:w="66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万立方米</w:t>
                  </w:r>
                </w:p>
              </w:tc>
              <w:tc>
                <w:tcPr>
                  <w:tcW w:w="945"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eastAsia" w:cs="Times New Roman"/>
                      <w:b w:val="0"/>
                      <w:bCs w:val="0"/>
                      <w:color w:val="auto"/>
                      <w:szCs w:val="21"/>
                      <w:lang w:val="en-US" w:eastAsia="zh-CN"/>
                    </w:rPr>
                    <w:t>133.55</w:t>
                  </w:r>
                </w:p>
              </w:tc>
              <w:tc>
                <w:tcPr>
                  <w:tcW w:w="116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eastAsia" w:cs="Times New Roman"/>
                      <w:b w:val="0"/>
                      <w:bCs w:val="0"/>
                      <w:color w:val="auto"/>
                      <w:szCs w:val="21"/>
                      <w:lang w:val="en-US" w:eastAsia="zh-CN"/>
                    </w:rPr>
                    <w:t>27.04</w:t>
                  </w:r>
                  <w:r>
                    <w:rPr>
                      <w:rFonts w:hint="default" w:ascii="Times New Roman" w:hAnsi="Times New Roman" w:cs="Times New Roman"/>
                      <w:b w:val="0"/>
                      <w:bCs w:val="0"/>
                      <w:color w:val="auto"/>
                      <w:szCs w:val="21"/>
                    </w:rPr>
                    <w:t>（荒料量）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8"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3</w:t>
                  </w:r>
                </w:p>
              </w:tc>
              <w:tc>
                <w:tcPr>
                  <w:tcW w:w="178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设计利用率</w:t>
                  </w:r>
                </w:p>
              </w:tc>
              <w:tc>
                <w:tcPr>
                  <w:tcW w:w="66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w:t>
                  </w:r>
                </w:p>
              </w:tc>
              <w:tc>
                <w:tcPr>
                  <w:tcW w:w="94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97</w:t>
                  </w:r>
                </w:p>
              </w:tc>
              <w:tc>
                <w:tcPr>
                  <w:tcW w:w="116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8"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4</w:t>
                  </w:r>
                </w:p>
              </w:tc>
              <w:tc>
                <w:tcPr>
                  <w:tcW w:w="178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采出矿量</w:t>
                  </w:r>
                </w:p>
              </w:tc>
              <w:tc>
                <w:tcPr>
                  <w:tcW w:w="66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万立方米</w:t>
                  </w:r>
                </w:p>
              </w:tc>
              <w:tc>
                <w:tcPr>
                  <w:tcW w:w="94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129.54</w:t>
                  </w:r>
                </w:p>
              </w:tc>
              <w:tc>
                <w:tcPr>
                  <w:tcW w:w="116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eastAsia" w:cs="Times New Roman"/>
                      <w:b w:val="0"/>
                      <w:bCs w:val="0"/>
                      <w:color w:val="auto"/>
                      <w:szCs w:val="21"/>
                      <w:lang w:val="en-US" w:eastAsia="zh-CN"/>
                    </w:rPr>
                    <w:t>26.23</w:t>
                  </w:r>
                  <w:r>
                    <w:rPr>
                      <w:rFonts w:hint="default" w:ascii="Times New Roman" w:hAnsi="Times New Roman" w:cs="Times New Roman"/>
                      <w:b w:val="0"/>
                      <w:bCs w:val="0"/>
                      <w:color w:val="auto"/>
                      <w:szCs w:val="21"/>
                    </w:rPr>
                    <w:t>（荒料量）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8"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5</w:t>
                  </w:r>
                </w:p>
              </w:tc>
              <w:tc>
                <w:tcPr>
                  <w:tcW w:w="178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回采率</w:t>
                  </w:r>
                </w:p>
              </w:tc>
              <w:tc>
                <w:tcPr>
                  <w:tcW w:w="66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w:t>
                  </w:r>
                </w:p>
              </w:tc>
              <w:tc>
                <w:tcPr>
                  <w:tcW w:w="94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97</w:t>
                  </w:r>
                </w:p>
              </w:tc>
              <w:tc>
                <w:tcPr>
                  <w:tcW w:w="116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8"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6</w:t>
                  </w:r>
                </w:p>
              </w:tc>
              <w:tc>
                <w:tcPr>
                  <w:tcW w:w="178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损失率</w:t>
                  </w:r>
                </w:p>
              </w:tc>
              <w:tc>
                <w:tcPr>
                  <w:tcW w:w="66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w:t>
                  </w:r>
                </w:p>
              </w:tc>
              <w:tc>
                <w:tcPr>
                  <w:tcW w:w="945"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val="0"/>
                      <w:color w:val="auto"/>
                      <w:szCs w:val="21"/>
                      <w:lang w:eastAsia="zh-CN"/>
                    </w:rPr>
                  </w:pPr>
                  <w:r>
                    <w:rPr>
                      <w:rFonts w:hint="eastAsia" w:cs="Times New Roman"/>
                      <w:b w:val="0"/>
                      <w:bCs w:val="0"/>
                      <w:color w:val="auto"/>
                      <w:szCs w:val="21"/>
                      <w:lang w:val="en-US" w:eastAsia="zh-CN"/>
                    </w:rPr>
                    <w:t>3</w:t>
                  </w:r>
                </w:p>
              </w:tc>
              <w:tc>
                <w:tcPr>
                  <w:tcW w:w="116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8"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7</w:t>
                  </w:r>
                </w:p>
              </w:tc>
              <w:tc>
                <w:tcPr>
                  <w:tcW w:w="178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贫化率</w:t>
                  </w:r>
                </w:p>
              </w:tc>
              <w:tc>
                <w:tcPr>
                  <w:tcW w:w="66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w:t>
                  </w:r>
                </w:p>
              </w:tc>
              <w:tc>
                <w:tcPr>
                  <w:tcW w:w="945"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0</w:t>
                  </w:r>
                </w:p>
              </w:tc>
              <w:tc>
                <w:tcPr>
                  <w:tcW w:w="116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8"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8</w:t>
                  </w:r>
                </w:p>
              </w:tc>
              <w:tc>
                <w:tcPr>
                  <w:tcW w:w="178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矿山生产规模</w:t>
                  </w:r>
                </w:p>
              </w:tc>
              <w:tc>
                <w:tcPr>
                  <w:tcW w:w="66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万立方米</w:t>
                  </w:r>
                </w:p>
              </w:tc>
              <w:tc>
                <w:tcPr>
                  <w:tcW w:w="94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1.8</w:t>
                  </w:r>
                </w:p>
              </w:tc>
              <w:tc>
                <w:tcPr>
                  <w:tcW w:w="116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荒料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8"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9</w:t>
                  </w:r>
                </w:p>
              </w:tc>
              <w:tc>
                <w:tcPr>
                  <w:tcW w:w="178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服务年限</w:t>
                  </w:r>
                </w:p>
              </w:tc>
              <w:tc>
                <w:tcPr>
                  <w:tcW w:w="66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年</w:t>
                  </w:r>
                </w:p>
              </w:tc>
              <w:tc>
                <w:tcPr>
                  <w:tcW w:w="945"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14.57</w:t>
                  </w:r>
                </w:p>
              </w:tc>
              <w:tc>
                <w:tcPr>
                  <w:tcW w:w="116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eastAsia" w:cs="Times New Roman"/>
                      <w:b w:val="0"/>
                      <w:bCs w:val="0"/>
                      <w:color w:val="auto"/>
                      <w:szCs w:val="21"/>
                      <w:lang w:val="en-US" w:eastAsia="zh-CN"/>
                    </w:rPr>
                    <w:t>14</w:t>
                  </w:r>
                  <w:r>
                    <w:rPr>
                      <w:rFonts w:hint="default" w:ascii="Times New Roman" w:hAnsi="Times New Roman" w:cs="Times New Roman"/>
                      <w:b w:val="0"/>
                      <w:bCs w:val="0"/>
                      <w:color w:val="auto"/>
                      <w:szCs w:val="21"/>
                    </w:rPr>
                    <w:t>年</w:t>
                  </w:r>
                  <w:r>
                    <w:rPr>
                      <w:rFonts w:hint="eastAsia" w:cs="Times New Roman"/>
                      <w:b w:val="0"/>
                      <w:bCs w:val="0"/>
                      <w:color w:val="auto"/>
                      <w:szCs w:val="21"/>
                      <w:lang w:val="en-US" w:eastAsia="zh-CN"/>
                    </w:rPr>
                    <w:t>7</w:t>
                  </w:r>
                  <w:r>
                    <w:rPr>
                      <w:rFonts w:hint="default" w:ascii="Times New Roman" w:hAnsi="Times New Roman" w:cs="Times New Roman"/>
                      <w:b w:val="0"/>
                      <w:bCs w:val="0"/>
                      <w:color w:val="auto"/>
                      <w:szCs w:val="21"/>
                    </w:rPr>
                    <w:t>个月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8"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10</w:t>
                  </w:r>
                </w:p>
              </w:tc>
              <w:tc>
                <w:tcPr>
                  <w:tcW w:w="178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开拓方案</w:t>
                  </w:r>
                </w:p>
              </w:tc>
              <w:tc>
                <w:tcPr>
                  <w:tcW w:w="2774" w:type="pct"/>
                  <w:gridSpan w:val="3"/>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公路开拓、汽车运输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8"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11</w:t>
                  </w:r>
                </w:p>
              </w:tc>
              <w:tc>
                <w:tcPr>
                  <w:tcW w:w="178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基建期</w:t>
                  </w:r>
                </w:p>
              </w:tc>
              <w:tc>
                <w:tcPr>
                  <w:tcW w:w="66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年</w:t>
                  </w:r>
                </w:p>
              </w:tc>
              <w:tc>
                <w:tcPr>
                  <w:tcW w:w="945"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eastAsia" w:cs="Times New Roman"/>
                      <w:b w:val="0"/>
                      <w:bCs w:val="0"/>
                      <w:color w:val="auto"/>
                      <w:szCs w:val="21"/>
                      <w:lang w:val="en-US" w:eastAsia="zh-CN"/>
                    </w:rPr>
                    <w:t>1</w:t>
                  </w:r>
                </w:p>
              </w:tc>
              <w:tc>
                <w:tcPr>
                  <w:tcW w:w="1166"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eastAsia" w:cs="Times New Roman"/>
                      <w:b w:val="0"/>
                      <w:bCs w:val="0"/>
                      <w:color w:val="auto"/>
                      <w:szCs w:val="21"/>
                      <w:lang w:val="en-US" w:eastAsia="zh-CN"/>
                    </w:rPr>
                    <w:t>12</w:t>
                  </w:r>
                  <w:r>
                    <w:rPr>
                      <w:rFonts w:hint="default" w:ascii="Times New Roman" w:hAnsi="Times New Roman" w:cs="Times New Roman"/>
                      <w:b w:val="0"/>
                      <w:bCs w:val="0"/>
                      <w:color w:val="auto"/>
                      <w:szCs w:val="21"/>
                    </w:rPr>
                    <w:t>个月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10</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b w:val="0"/>
                <w:bCs w:val="0"/>
                <w:color w:val="auto"/>
                <w:kern w:val="2"/>
                <w:sz w:val="24"/>
                <w:szCs w:val="24"/>
                <w:lang w:val="en-US" w:eastAsia="zh-CN" w:bidi="ar-SA"/>
              </w:rPr>
              <w:t>工作制度</w:t>
            </w:r>
          </w:p>
          <w:p>
            <w:pPr>
              <w:adjustRightInd w:val="0"/>
              <w:snapToGrid w:val="0"/>
              <w:spacing w:line="360" w:lineRule="auto"/>
              <w:ind w:firstLine="480" w:firstLineChars="200"/>
              <w:rPr>
                <w:rFonts w:hint="eastAsia" w:ascii="宋体" w:hAnsi="宋体" w:eastAsia="宋体"/>
                <w:color w:val="auto"/>
                <w:sz w:val="24"/>
                <w:lang w:eastAsia="zh-CN"/>
              </w:rPr>
            </w:pPr>
            <w:r>
              <w:rPr>
                <w:rFonts w:hint="default" w:ascii="Times New Roman" w:hAnsi="Times New Roman" w:cs="Times New Roman"/>
                <w:color w:val="auto"/>
                <w:sz w:val="24"/>
              </w:rPr>
              <w:t>根据矿区气候条件和生产规模</w:t>
            </w:r>
            <w:r>
              <w:rPr>
                <w:rFonts w:hint="eastAsia" w:cs="Times New Roman"/>
                <w:color w:val="auto"/>
                <w:sz w:val="24"/>
                <w:lang w:eastAsia="zh-CN"/>
              </w:rPr>
              <w:t>，</w:t>
            </w:r>
            <w:r>
              <w:rPr>
                <w:rFonts w:hint="eastAsia" w:ascii="宋体" w:hAnsi="宋体"/>
                <w:color w:val="auto"/>
                <w:sz w:val="24"/>
                <w:lang w:val="en-US" w:eastAsia="zh-CN"/>
              </w:rPr>
              <w:t>本项目</w:t>
            </w:r>
            <w:r>
              <w:rPr>
                <w:rFonts w:hint="eastAsia"/>
                <w:color w:val="auto"/>
                <w:sz w:val="24"/>
                <w:szCs w:val="32"/>
                <w:highlight w:val="none"/>
                <w:lang w:val="en-US" w:eastAsia="zh-CN"/>
              </w:rPr>
              <w:t>劳动定员35人。</w:t>
            </w:r>
            <w:r>
              <w:rPr>
                <w:rFonts w:hint="default" w:ascii="Times New Roman" w:hAnsi="Times New Roman" w:cs="Times New Roman"/>
                <w:color w:val="auto"/>
                <w:sz w:val="24"/>
              </w:rPr>
              <w:t>每天工作1班，每班工作8小时</w:t>
            </w:r>
            <w:r>
              <w:rPr>
                <w:rFonts w:ascii="宋体" w:hAnsi="宋体"/>
                <w:color w:val="auto"/>
                <w:sz w:val="24"/>
              </w:rPr>
              <w:t>。</w:t>
            </w:r>
            <w:r>
              <w:rPr>
                <w:rFonts w:hint="default" w:ascii="Times New Roman" w:hAnsi="Times New Roman" w:cs="Times New Roman"/>
                <w:color w:val="auto"/>
                <w:sz w:val="24"/>
              </w:rPr>
              <w:t>矿山年工作日数为240天</w:t>
            </w:r>
            <w:r>
              <w:rPr>
                <w:rFonts w:hint="eastAsia"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11</w:t>
            </w:r>
            <w:r>
              <w:rPr>
                <w:rFonts w:hint="eastAsia" w:ascii="Times New Roman" w:hAnsi="Times New Roman" w:eastAsia="宋体" w:cs="Times New Roman"/>
                <w:b w:val="0"/>
                <w:bCs w:val="0"/>
                <w:color w:val="auto"/>
                <w:kern w:val="2"/>
                <w:sz w:val="24"/>
                <w:szCs w:val="24"/>
                <w:lang w:val="en-US" w:eastAsia="zh-CN" w:bidi="ar-SA"/>
              </w:rPr>
              <w:t>、公用工程</w:t>
            </w:r>
          </w:p>
          <w:p>
            <w:pPr>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（1）供电</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本项目供电可引自和硕县变电站，由110kV区域变电所架设 35kV 供电专线到矿山，线路长度约3km。预留300</w:t>
            </w:r>
            <w:r>
              <w:rPr>
                <w:rFonts w:hint="eastAsia" w:cs="Times New Roman"/>
                <w:color w:val="auto"/>
                <w:sz w:val="24"/>
                <w:szCs w:val="24"/>
                <w:lang w:val="en-US" w:eastAsia="zh-CN"/>
              </w:rPr>
              <w:t>kW</w:t>
            </w:r>
            <w:r>
              <w:rPr>
                <w:rFonts w:hint="default" w:ascii="Times New Roman" w:hAnsi="Times New Roman" w:eastAsia="宋体" w:cs="Times New Roman"/>
                <w:color w:val="auto"/>
                <w:sz w:val="24"/>
                <w:szCs w:val="24"/>
                <w:lang w:val="en-US" w:eastAsia="zh-CN"/>
              </w:rPr>
              <w:t>供综合利用加工容量，采用型号 S11-250/10、S11-315/10、S11-630/10各1台三相电力型200kVA变压器。矿山自建变电所向电力设备及照明供电。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（2）供水</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矿山生活用水从距矿区约45千米的乌什塔拉乡周边村庄拉运，设计矿山配备1辆30立方米的水车进行拉运。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（3）排水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①生活污水</w:t>
            </w:r>
          </w:p>
          <w:p>
            <w:pPr>
              <w:keepNext w:val="0"/>
              <w:keepLines w:val="0"/>
              <w:widowControl/>
              <w:suppressLineNumbers w:val="0"/>
              <w:autoSpaceDE w:val="0"/>
              <w:autoSpaceDN w:val="0"/>
              <w:adjustRightInd w:val="0"/>
              <w:snapToGrid w:val="0"/>
              <w:spacing w:before="0" w:beforeAutospacing="0" w:after="0" w:afterAutospacing="0" w:line="360" w:lineRule="auto"/>
              <w:ind w:left="0" w:right="0" w:firstLine="480" w:firstLineChars="200"/>
              <w:jc w:val="both"/>
              <w:rPr>
                <w:rFonts w:hint="eastAsia" w:cs="Times New Roman"/>
                <w:color w:val="auto"/>
                <w:sz w:val="24"/>
                <w:szCs w:val="32"/>
                <w:highlight w:val="none"/>
                <w:lang w:val="en-US" w:eastAsia="zh-CN"/>
              </w:rPr>
            </w:pPr>
            <w:r>
              <w:rPr>
                <w:rFonts w:hint="eastAsia"/>
                <w:color w:val="auto"/>
                <w:sz w:val="24"/>
                <w:szCs w:val="32"/>
                <w:highlight w:val="none"/>
                <w:lang w:val="en-US" w:eastAsia="zh-CN"/>
              </w:rPr>
              <w:t>本项目劳动定员共计35人，在厂区食宿，根据《新疆维吾尔自治区生活用水定额》城镇居民用水南疆区，生活用水量按</w:t>
            </w:r>
            <w:r>
              <w:rPr>
                <w:rFonts w:hint="default"/>
                <w:color w:val="auto"/>
                <w:sz w:val="24"/>
                <w:szCs w:val="32"/>
                <w:highlight w:val="none"/>
                <w:lang w:val="en-US" w:eastAsia="zh-CN"/>
              </w:rPr>
              <w:t>80L/</w:t>
            </w:r>
            <w:r>
              <w:rPr>
                <w:rFonts w:hint="eastAsia"/>
                <w:color w:val="auto"/>
                <w:sz w:val="24"/>
                <w:szCs w:val="32"/>
                <w:highlight w:val="none"/>
                <w:lang w:val="en-US" w:eastAsia="zh-CN"/>
              </w:rPr>
              <w:t>人</w:t>
            </w:r>
            <w:r>
              <w:rPr>
                <w:rFonts w:hint="default"/>
                <w:color w:val="auto"/>
                <w:sz w:val="24"/>
                <w:szCs w:val="32"/>
                <w:highlight w:val="none"/>
                <w:lang w:val="en-US" w:eastAsia="zh-CN"/>
              </w:rPr>
              <w:t>·d</w:t>
            </w:r>
            <w:r>
              <w:rPr>
                <w:rFonts w:hint="eastAsia"/>
                <w:color w:val="auto"/>
                <w:sz w:val="24"/>
                <w:szCs w:val="32"/>
                <w:highlight w:val="none"/>
                <w:lang w:val="en-US" w:eastAsia="zh-CN"/>
              </w:rPr>
              <w:t>计算，年工作天</w:t>
            </w:r>
            <w:r>
              <w:rPr>
                <w:rFonts w:hint="default"/>
                <w:color w:val="auto"/>
                <w:sz w:val="24"/>
                <w:szCs w:val="32"/>
                <w:highlight w:val="none"/>
                <w:lang w:val="en-US" w:eastAsia="zh-CN"/>
              </w:rPr>
              <w:t>240d</w:t>
            </w:r>
            <w:r>
              <w:rPr>
                <w:rFonts w:hint="eastAsia"/>
                <w:color w:val="auto"/>
                <w:sz w:val="24"/>
                <w:szCs w:val="32"/>
                <w:highlight w:val="none"/>
                <w:lang w:val="en-US" w:eastAsia="zh-CN"/>
              </w:rPr>
              <w:t>，则生活用水总量为2.8</w:t>
            </w:r>
            <w:r>
              <w:rPr>
                <w:rFonts w:hint="default"/>
                <w:color w:val="auto"/>
                <w:sz w:val="24"/>
                <w:szCs w:val="32"/>
                <w:highlight w:val="none"/>
                <w:lang w:val="en-US" w:eastAsia="zh-CN"/>
              </w:rPr>
              <w:t>m</w:t>
            </w:r>
            <w:r>
              <w:rPr>
                <w:rFonts w:hint="default"/>
                <w:color w:val="auto"/>
                <w:sz w:val="24"/>
                <w:szCs w:val="32"/>
                <w:highlight w:val="none"/>
                <w:vertAlign w:val="superscript"/>
                <w:lang w:val="en-US" w:eastAsia="zh-CN"/>
              </w:rPr>
              <w:t>3</w:t>
            </w:r>
            <w:r>
              <w:rPr>
                <w:rFonts w:hint="default"/>
                <w:color w:val="auto"/>
                <w:sz w:val="24"/>
                <w:szCs w:val="32"/>
                <w:highlight w:val="none"/>
                <w:lang w:val="en-US" w:eastAsia="zh-CN"/>
              </w:rPr>
              <w:t>/d</w:t>
            </w:r>
            <w:r>
              <w:rPr>
                <w:rFonts w:hint="eastAsia"/>
                <w:color w:val="auto"/>
                <w:sz w:val="24"/>
                <w:szCs w:val="32"/>
                <w:highlight w:val="none"/>
                <w:lang w:val="en-US" w:eastAsia="zh-CN"/>
              </w:rPr>
              <w:t>（672</w:t>
            </w:r>
            <w:r>
              <w:rPr>
                <w:rFonts w:hint="default"/>
                <w:color w:val="auto"/>
                <w:sz w:val="24"/>
                <w:szCs w:val="32"/>
                <w:highlight w:val="none"/>
                <w:lang w:val="en-US" w:eastAsia="zh-CN"/>
              </w:rPr>
              <w:t>m</w:t>
            </w:r>
            <w:r>
              <w:rPr>
                <w:rFonts w:hint="default"/>
                <w:color w:val="auto"/>
                <w:sz w:val="24"/>
                <w:szCs w:val="32"/>
                <w:highlight w:val="none"/>
                <w:vertAlign w:val="superscript"/>
                <w:lang w:val="en-US" w:eastAsia="zh-CN"/>
              </w:rPr>
              <w:t>3</w:t>
            </w:r>
            <w:r>
              <w:rPr>
                <w:rFonts w:hint="default"/>
                <w:color w:val="auto"/>
                <w:sz w:val="24"/>
                <w:szCs w:val="32"/>
                <w:highlight w:val="none"/>
                <w:lang w:val="en-US" w:eastAsia="zh-CN"/>
              </w:rPr>
              <w:t>/a</w:t>
            </w:r>
            <w:r>
              <w:rPr>
                <w:rFonts w:hint="eastAsia"/>
                <w:color w:val="auto"/>
                <w:sz w:val="24"/>
                <w:szCs w:val="32"/>
                <w:highlight w:val="none"/>
                <w:lang w:val="en-US" w:eastAsia="zh-CN"/>
              </w:rPr>
              <w:t>）。排水量按用水量的</w:t>
            </w:r>
            <w:r>
              <w:rPr>
                <w:rFonts w:hint="default"/>
                <w:color w:val="auto"/>
                <w:sz w:val="24"/>
                <w:szCs w:val="32"/>
                <w:highlight w:val="none"/>
                <w:lang w:val="en-US" w:eastAsia="zh-CN"/>
              </w:rPr>
              <w:t>80%</w:t>
            </w:r>
            <w:r>
              <w:rPr>
                <w:rFonts w:hint="eastAsia"/>
                <w:color w:val="auto"/>
                <w:sz w:val="24"/>
                <w:szCs w:val="32"/>
                <w:highlight w:val="none"/>
                <w:lang w:val="en-US" w:eastAsia="zh-CN"/>
              </w:rPr>
              <w:t>计，则排水量为2.24</w:t>
            </w:r>
            <w:r>
              <w:rPr>
                <w:rFonts w:hint="default"/>
                <w:color w:val="auto"/>
                <w:sz w:val="24"/>
                <w:szCs w:val="32"/>
                <w:highlight w:val="none"/>
                <w:lang w:val="en-US" w:eastAsia="zh-CN"/>
              </w:rPr>
              <w:t>m</w:t>
            </w:r>
            <w:r>
              <w:rPr>
                <w:rFonts w:hint="default"/>
                <w:color w:val="auto"/>
                <w:sz w:val="24"/>
                <w:szCs w:val="32"/>
                <w:highlight w:val="none"/>
                <w:vertAlign w:val="superscript"/>
                <w:lang w:val="en-US" w:eastAsia="zh-CN"/>
              </w:rPr>
              <w:t>3</w:t>
            </w:r>
            <w:r>
              <w:rPr>
                <w:rFonts w:hint="default"/>
                <w:color w:val="auto"/>
                <w:sz w:val="24"/>
                <w:szCs w:val="32"/>
                <w:highlight w:val="none"/>
                <w:lang w:val="en-US" w:eastAsia="zh-CN"/>
              </w:rPr>
              <w:t>/d</w:t>
            </w:r>
            <w:r>
              <w:rPr>
                <w:rFonts w:hint="eastAsia"/>
                <w:color w:val="auto"/>
                <w:sz w:val="24"/>
                <w:szCs w:val="32"/>
                <w:highlight w:val="none"/>
                <w:lang w:val="en-US" w:eastAsia="zh-CN"/>
              </w:rPr>
              <w:t>（537.6</w:t>
            </w:r>
            <w:r>
              <w:rPr>
                <w:rFonts w:hint="default"/>
                <w:color w:val="auto"/>
                <w:sz w:val="24"/>
                <w:szCs w:val="32"/>
                <w:highlight w:val="none"/>
                <w:lang w:val="en-US" w:eastAsia="zh-CN"/>
              </w:rPr>
              <w:t>m</w:t>
            </w:r>
            <w:r>
              <w:rPr>
                <w:rFonts w:hint="default"/>
                <w:color w:val="auto"/>
                <w:sz w:val="24"/>
                <w:szCs w:val="32"/>
                <w:highlight w:val="none"/>
                <w:vertAlign w:val="superscript"/>
                <w:lang w:val="en-US" w:eastAsia="zh-CN"/>
              </w:rPr>
              <w:t>3</w:t>
            </w:r>
            <w:r>
              <w:rPr>
                <w:rFonts w:hint="default"/>
                <w:color w:val="auto"/>
                <w:sz w:val="24"/>
                <w:szCs w:val="32"/>
                <w:highlight w:val="none"/>
                <w:lang w:val="en-US" w:eastAsia="zh-CN"/>
              </w:rPr>
              <w:t>/a</w:t>
            </w:r>
            <w:r>
              <w:rPr>
                <w:rFonts w:hint="eastAsia"/>
                <w:color w:val="auto"/>
                <w:sz w:val="24"/>
                <w:szCs w:val="32"/>
                <w:highlight w:val="none"/>
                <w:lang w:val="en-US" w:eastAsia="zh-CN"/>
              </w:rPr>
              <w:t>）。生活污水中成分简单，不含有毒害物质。其主要污染因子</w:t>
            </w:r>
            <w:r>
              <w:rPr>
                <w:rFonts w:hint="default"/>
                <w:color w:val="auto"/>
                <w:sz w:val="24"/>
                <w:szCs w:val="32"/>
                <w:highlight w:val="none"/>
                <w:lang w:val="en-US" w:eastAsia="zh-CN"/>
              </w:rPr>
              <w:t>SS</w:t>
            </w:r>
            <w:r>
              <w:rPr>
                <w:rFonts w:hint="eastAsia"/>
                <w:color w:val="auto"/>
                <w:sz w:val="24"/>
                <w:szCs w:val="32"/>
                <w:highlight w:val="none"/>
                <w:lang w:val="en-US" w:eastAsia="zh-CN"/>
              </w:rPr>
              <w:t>、</w:t>
            </w:r>
            <w:r>
              <w:rPr>
                <w:rFonts w:hint="default"/>
                <w:color w:val="auto"/>
                <w:sz w:val="24"/>
                <w:szCs w:val="32"/>
                <w:highlight w:val="none"/>
                <w:lang w:val="en-US" w:eastAsia="zh-CN"/>
              </w:rPr>
              <w:t>COD</w:t>
            </w:r>
            <w:r>
              <w:rPr>
                <w:rFonts w:hint="eastAsia"/>
                <w:color w:val="auto"/>
                <w:sz w:val="24"/>
                <w:szCs w:val="32"/>
                <w:highlight w:val="none"/>
                <w:lang w:val="en-US" w:eastAsia="zh-CN"/>
              </w:rPr>
              <w:t>、</w:t>
            </w:r>
            <w:r>
              <w:rPr>
                <w:rFonts w:hint="default"/>
                <w:color w:val="auto"/>
                <w:sz w:val="24"/>
                <w:szCs w:val="32"/>
                <w:highlight w:val="none"/>
                <w:lang w:val="en-US" w:eastAsia="zh-CN"/>
              </w:rPr>
              <w:t>BOD</w:t>
            </w:r>
            <w:r>
              <w:rPr>
                <w:rFonts w:hint="default"/>
                <w:color w:val="auto"/>
                <w:sz w:val="24"/>
                <w:szCs w:val="32"/>
                <w:highlight w:val="none"/>
                <w:vertAlign w:val="subscript"/>
                <w:lang w:val="en-US" w:eastAsia="zh-CN"/>
              </w:rPr>
              <w:t>5</w:t>
            </w:r>
            <w:r>
              <w:rPr>
                <w:rFonts w:hint="eastAsia"/>
                <w:color w:val="auto"/>
                <w:sz w:val="24"/>
                <w:szCs w:val="32"/>
                <w:highlight w:val="none"/>
                <w:lang w:val="en-US" w:eastAsia="zh-CN"/>
              </w:rPr>
              <w:t>、</w:t>
            </w:r>
            <w:r>
              <w:rPr>
                <w:rFonts w:hint="default"/>
                <w:color w:val="auto"/>
                <w:sz w:val="24"/>
                <w:szCs w:val="32"/>
                <w:highlight w:val="none"/>
                <w:lang w:val="en-US" w:eastAsia="zh-CN"/>
              </w:rPr>
              <w:t>NH</w:t>
            </w:r>
            <w:r>
              <w:rPr>
                <w:rFonts w:hint="default"/>
                <w:color w:val="auto"/>
                <w:sz w:val="24"/>
                <w:szCs w:val="32"/>
                <w:highlight w:val="none"/>
                <w:vertAlign w:val="subscript"/>
                <w:lang w:val="en-US" w:eastAsia="zh-CN"/>
              </w:rPr>
              <w:t>3</w:t>
            </w:r>
            <w:r>
              <w:rPr>
                <w:rFonts w:hint="default"/>
                <w:color w:val="auto"/>
                <w:sz w:val="24"/>
                <w:szCs w:val="32"/>
                <w:highlight w:val="none"/>
                <w:lang w:val="en-US" w:eastAsia="zh-CN"/>
              </w:rPr>
              <w:t>-N</w:t>
            </w:r>
            <w:r>
              <w:rPr>
                <w:rFonts w:hint="eastAsia"/>
                <w:color w:val="auto"/>
                <w:sz w:val="24"/>
                <w:szCs w:val="32"/>
                <w:highlight w:val="none"/>
                <w:lang w:val="en-US" w:eastAsia="zh-CN"/>
              </w:rPr>
              <w:t>。项目产生的</w:t>
            </w:r>
            <w:r>
              <w:rPr>
                <w:rFonts w:hint="default" w:cs="Times New Roman"/>
                <w:color w:val="auto"/>
                <w:sz w:val="24"/>
                <w:szCs w:val="32"/>
                <w:highlight w:val="none"/>
                <w:lang w:val="en-US" w:eastAsia="zh-CN"/>
              </w:rPr>
              <w:t>生活污水经</w:t>
            </w:r>
            <w:r>
              <w:rPr>
                <w:rFonts w:hint="eastAsia" w:cs="Times New Roman"/>
                <w:color w:val="auto"/>
                <w:sz w:val="24"/>
                <w:szCs w:val="32"/>
                <w:highlight w:val="none"/>
                <w:lang w:val="en-US" w:eastAsia="zh-CN"/>
              </w:rPr>
              <w:t>地埋式污水处理设备收集，处理后的污水可以同时满足《农村生活污水处理排放标准》（DB654575-2019）C级标准（COD</w:t>
            </w:r>
            <w:r>
              <w:rPr>
                <w:rFonts w:hint="eastAsia" w:cs="Times New Roman"/>
                <w:color w:val="auto"/>
                <w:sz w:val="24"/>
                <w:szCs w:val="32"/>
                <w:highlight w:val="none"/>
                <w:vertAlign w:val="subscript"/>
                <w:lang w:val="en-US" w:eastAsia="zh-CN"/>
              </w:rPr>
              <w:t>Cr</w:t>
            </w:r>
            <w:r>
              <w:rPr>
                <w:rFonts w:hint="eastAsia" w:cs="Times New Roman"/>
                <w:color w:val="auto"/>
                <w:sz w:val="24"/>
                <w:szCs w:val="32"/>
                <w:highlight w:val="none"/>
                <w:lang w:val="en-US" w:eastAsia="zh-CN"/>
              </w:rPr>
              <w:t>：200mg/L、SS：100mg/L）</w:t>
            </w:r>
            <w:r>
              <w:rPr>
                <w:rFonts w:hint="eastAsia" w:ascii="Times New Roman" w:hAnsi="Times New Roman" w:eastAsia="宋体" w:cs="Times New Roman"/>
                <w:color w:val="auto"/>
                <w:sz w:val="24"/>
                <w:szCs w:val="32"/>
                <w:highlight w:val="none"/>
                <w:lang w:val="en-US" w:eastAsia="zh-CN"/>
              </w:rPr>
              <w:t>，用于项目区周边荒漠生态恢复的灌溉</w:t>
            </w:r>
            <w:r>
              <w:rPr>
                <w:rFonts w:hint="eastAsia" w:cs="Times New Roman"/>
                <w:color w:val="auto"/>
                <w:sz w:val="24"/>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②生产废水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车间废水：本项目在车间切割、切边等工序生产设备均采用水喷淋，产生的粉尘被水力捕集后进入沉淀池，含尘废水经沉淀处理后循环使用，不外排。</w:t>
            </w:r>
            <w:r>
              <w:rPr>
                <w:rFonts w:hint="default" w:ascii="Times New Roman" w:hAnsi="Times New Roman" w:eastAsia="宋体" w:cs="Times New Roman"/>
                <w:color w:val="auto"/>
                <w:kern w:val="0"/>
                <w:sz w:val="24"/>
                <w:szCs w:val="24"/>
                <w:lang w:val="en-US" w:eastAsia="zh-CN" w:bidi="ar"/>
              </w:rPr>
              <w:t>参照《排放源统计调查产排污核算方法和系数手册》</w:t>
            </w:r>
            <w:r>
              <w:rPr>
                <w:rFonts w:hint="eastAsia" w:ascii="宋体" w:hAnsi="宋体" w:eastAsia="宋体" w:cs="宋体"/>
                <w:color w:val="auto"/>
                <w:kern w:val="0"/>
                <w:sz w:val="24"/>
                <w:szCs w:val="24"/>
                <w:lang w:val="en-US" w:eastAsia="zh-CN" w:bidi="ar"/>
              </w:rPr>
              <w:t>中“</w:t>
            </w:r>
            <w:r>
              <w:rPr>
                <w:rFonts w:hint="default" w:ascii="Times New Roman" w:hAnsi="Times New Roman" w:eastAsia="宋体" w:cs="Times New Roman"/>
                <w:color w:val="auto"/>
                <w:kern w:val="0"/>
                <w:sz w:val="24"/>
                <w:szCs w:val="24"/>
                <w:lang w:val="en-US" w:eastAsia="zh-CN" w:bidi="ar"/>
              </w:rPr>
              <w:t>303砖</w:t>
            </w:r>
            <w:r>
              <w:rPr>
                <w:rFonts w:hint="eastAsia" w:ascii="宋体" w:hAnsi="宋体" w:eastAsia="宋体" w:cs="宋体"/>
                <w:color w:val="auto"/>
                <w:kern w:val="0"/>
                <w:sz w:val="24"/>
                <w:szCs w:val="24"/>
                <w:lang w:val="en-US" w:eastAsia="zh-CN" w:bidi="ar"/>
              </w:rPr>
              <w:t>瓦、石材等建筑材料制造行业系数手册”</w:t>
            </w:r>
            <w:r>
              <w:rPr>
                <w:rFonts w:hint="default" w:ascii="Times New Roman" w:hAnsi="Times New Roman" w:eastAsia="宋体" w:cs="Times New Roman"/>
                <w:color w:val="auto"/>
                <w:kern w:val="0"/>
                <w:sz w:val="24"/>
                <w:szCs w:val="24"/>
                <w:lang w:val="en-US" w:eastAsia="zh-CN" w:bidi="ar"/>
              </w:rPr>
              <w:t>，工业废水量产污系数为0.3</w:t>
            </w:r>
            <w:r>
              <w:rPr>
                <w:rFonts w:hint="eastAsia" w:cs="Times New Roman"/>
                <w:color w:val="auto"/>
                <w:kern w:val="0"/>
                <w:sz w:val="24"/>
                <w:szCs w:val="24"/>
                <w:lang w:val="en-US" w:eastAsia="zh-CN" w:bidi="ar"/>
              </w:rPr>
              <w:t>94</w:t>
            </w:r>
            <w:r>
              <w:rPr>
                <w:rFonts w:hint="default" w:ascii="Times New Roman" w:hAnsi="Times New Roman" w:eastAsia="宋体" w:cs="Times New Roman"/>
                <w:color w:val="auto"/>
                <w:kern w:val="0"/>
                <w:sz w:val="24"/>
                <w:szCs w:val="24"/>
                <w:lang w:val="en-US" w:eastAsia="zh-CN" w:bidi="ar"/>
              </w:rPr>
              <w:t>吨/平方米-产品</w:t>
            </w:r>
            <w:r>
              <w:rPr>
                <w:rFonts w:hint="eastAsia" w:ascii="Times New Roman" w:hAnsi="Times New Roman" w:eastAsia="宋体" w:cs="Times New Roman"/>
                <w:color w:val="auto"/>
                <w:kern w:val="0"/>
                <w:sz w:val="24"/>
                <w:szCs w:val="24"/>
                <w:lang w:val="en-US" w:eastAsia="zh-CN" w:bidi="ar"/>
              </w:rPr>
              <w:t>。年加工板材20万</w:t>
            </w:r>
            <w:r>
              <w:rPr>
                <w:rFonts w:hint="default" w:ascii="Times New Roman" w:hAnsi="Times New Roman" w:eastAsia="宋体" w:cs="Times New Roman"/>
                <w:color w:val="auto"/>
                <w:kern w:val="0"/>
                <w:sz w:val="24"/>
                <w:szCs w:val="24"/>
                <w:lang w:val="en-US" w:eastAsia="zh-CN" w:bidi="ar"/>
              </w:rPr>
              <w:t>平方米</w:t>
            </w:r>
            <w:r>
              <w:rPr>
                <w:rFonts w:hint="eastAsia" w:ascii="Times New Roman" w:hAnsi="Times New Roman" w:eastAsia="宋体" w:cs="Times New Roman"/>
                <w:color w:val="auto"/>
                <w:kern w:val="0"/>
                <w:sz w:val="24"/>
                <w:szCs w:val="24"/>
                <w:lang w:val="en-US" w:eastAsia="zh-CN" w:bidi="ar"/>
              </w:rPr>
              <w:t>，故废水量为78800m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/a。损耗量按10%计，则需定期补充新鲜水量为7880m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③采矿湿法切割用水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
              </w:rPr>
              <w:t>参照《排放源统计调查产排污核算方法和系数手册》</w:t>
            </w:r>
            <w:r>
              <w:rPr>
                <w:rFonts w:hint="eastAsia" w:ascii="宋体" w:hAnsi="宋体" w:eastAsia="宋体" w:cs="宋体"/>
                <w:color w:val="auto"/>
                <w:kern w:val="0"/>
                <w:sz w:val="24"/>
                <w:szCs w:val="24"/>
                <w:lang w:val="en-US" w:eastAsia="zh-CN" w:bidi="ar"/>
              </w:rPr>
              <w:t>中“</w:t>
            </w:r>
            <w:r>
              <w:rPr>
                <w:rFonts w:hint="default" w:ascii="Times New Roman" w:hAnsi="Times New Roman" w:eastAsia="宋体" w:cs="Times New Roman"/>
                <w:color w:val="auto"/>
                <w:kern w:val="0"/>
                <w:sz w:val="24"/>
                <w:szCs w:val="24"/>
                <w:lang w:val="en-US" w:eastAsia="zh-CN" w:bidi="ar"/>
              </w:rPr>
              <w:t>303砖</w:t>
            </w:r>
            <w:r>
              <w:rPr>
                <w:rFonts w:hint="eastAsia" w:ascii="宋体" w:hAnsi="宋体" w:eastAsia="宋体" w:cs="宋体"/>
                <w:color w:val="auto"/>
                <w:kern w:val="0"/>
                <w:sz w:val="24"/>
                <w:szCs w:val="24"/>
                <w:lang w:val="en-US" w:eastAsia="zh-CN" w:bidi="ar"/>
              </w:rPr>
              <w:t>瓦、石材等建筑材料制造行业系数手册”</w:t>
            </w:r>
            <w:r>
              <w:rPr>
                <w:rFonts w:hint="default" w:ascii="Times New Roman" w:hAnsi="Times New Roman" w:eastAsia="宋体" w:cs="Times New Roman"/>
                <w:color w:val="auto"/>
                <w:kern w:val="0"/>
                <w:sz w:val="24"/>
                <w:szCs w:val="24"/>
                <w:lang w:val="en-US" w:eastAsia="zh-CN" w:bidi="ar"/>
              </w:rPr>
              <w:t>，工业废水量产污系数为</w:t>
            </w:r>
            <w:r>
              <w:rPr>
                <w:rFonts w:hint="eastAsia" w:cs="Times New Roman"/>
                <w:color w:val="auto"/>
                <w:kern w:val="0"/>
                <w:sz w:val="24"/>
                <w:szCs w:val="24"/>
                <w:lang w:val="en-US" w:eastAsia="zh-CN" w:bidi="ar"/>
              </w:rPr>
              <w:t>0.085</w:t>
            </w:r>
            <w:r>
              <w:rPr>
                <w:rFonts w:hint="default" w:ascii="Times New Roman" w:hAnsi="Times New Roman" w:eastAsia="宋体" w:cs="Times New Roman"/>
                <w:color w:val="auto"/>
                <w:kern w:val="0"/>
                <w:sz w:val="24"/>
                <w:szCs w:val="24"/>
                <w:lang w:val="en-US" w:eastAsia="zh-CN" w:bidi="ar"/>
              </w:rPr>
              <w:t>吨/</w:t>
            </w:r>
            <w:r>
              <w:rPr>
                <w:rFonts w:hint="eastAsia" w:cs="Times New Roman"/>
                <w:color w:val="auto"/>
                <w:kern w:val="0"/>
                <w:sz w:val="24"/>
                <w:szCs w:val="24"/>
                <w:lang w:val="en-US" w:eastAsia="zh-CN" w:bidi="ar"/>
              </w:rPr>
              <w:t>立</w:t>
            </w:r>
            <w:r>
              <w:rPr>
                <w:rFonts w:hint="default" w:ascii="Times New Roman" w:hAnsi="Times New Roman" w:eastAsia="宋体" w:cs="Times New Roman"/>
                <w:color w:val="auto"/>
                <w:kern w:val="0"/>
                <w:sz w:val="24"/>
                <w:szCs w:val="24"/>
                <w:lang w:val="en-US" w:eastAsia="zh-CN" w:bidi="ar"/>
              </w:rPr>
              <w:t>方米-产品</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年生产规模1.8万立方米</w:t>
            </w:r>
            <w:r>
              <w:rPr>
                <w:rFonts w:hint="eastAsia" w:ascii="Times New Roman" w:hAnsi="Times New Roman" w:eastAsia="宋体" w:cs="Times New Roman"/>
                <w:color w:val="auto"/>
                <w:kern w:val="0"/>
                <w:sz w:val="24"/>
                <w:szCs w:val="24"/>
                <w:lang w:val="en-US" w:eastAsia="zh-CN" w:bidi="ar"/>
              </w:rPr>
              <w:t>，故废水量为</w:t>
            </w:r>
            <w:r>
              <w:rPr>
                <w:rFonts w:hint="eastAsia" w:cs="Times New Roman"/>
                <w:color w:val="auto"/>
                <w:kern w:val="0"/>
                <w:sz w:val="24"/>
                <w:szCs w:val="24"/>
                <w:lang w:val="en-US" w:eastAsia="zh-CN" w:bidi="ar"/>
              </w:rPr>
              <w:t>1530</w:t>
            </w:r>
            <w:r>
              <w:rPr>
                <w:rFonts w:hint="eastAsia"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/a</w:t>
            </w:r>
            <w:r>
              <w:rPr>
                <w:rFonts w:hint="eastAsia" w:cs="Times New Roman"/>
                <w:color w:val="auto"/>
                <w:kern w:val="0"/>
                <w:sz w:val="24"/>
                <w:szCs w:val="24"/>
                <w:lang w:val="en-US" w:eastAsia="zh-CN" w:bidi="ar"/>
              </w:rPr>
              <w:t>，全部</w:t>
            </w:r>
            <w:r>
              <w:rPr>
                <w:rFonts w:hint="eastAsia"/>
                <w:color w:val="auto"/>
                <w:sz w:val="24"/>
                <w:lang w:eastAsia="zh-CN"/>
              </w:rPr>
              <w:t>自然蒸发</w:t>
            </w:r>
            <w:r>
              <w:rPr>
                <w:rFonts w:hint="eastAsia" w:ascii="Times New Roman" w:hAnsi="Times New Roman" w:eastAsia="宋体" w:cs="Times New Roman"/>
                <w:color w:val="auto"/>
                <w:kern w:val="0"/>
                <w:sz w:val="24"/>
                <w:szCs w:val="24"/>
                <w:lang w:val="en-US" w:eastAsia="zh-CN" w:bidi="ar"/>
              </w:rPr>
              <w:t>，则需定期补充新鲜水量为</w:t>
            </w:r>
            <w:r>
              <w:rPr>
                <w:rFonts w:hint="eastAsia" w:cs="Times New Roman"/>
                <w:color w:val="auto"/>
                <w:kern w:val="0"/>
                <w:sz w:val="24"/>
                <w:szCs w:val="24"/>
                <w:lang w:val="en-US" w:eastAsia="zh-CN" w:bidi="ar"/>
              </w:rPr>
              <w:t>1530</w:t>
            </w:r>
            <w:r>
              <w:rPr>
                <w:rFonts w:hint="eastAsia" w:ascii="Times New Roman" w:hAnsi="Times New Roman" w:eastAsia="宋体" w:cs="Times New Roman"/>
                <w:color w:val="auto"/>
                <w:kern w:val="0"/>
                <w:sz w:val="24"/>
                <w:szCs w:val="24"/>
                <w:lang w:val="en-US" w:eastAsia="zh-CN" w:bidi="ar"/>
              </w:rPr>
              <w:t>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lang w:eastAsia="zh-CN"/>
              </w:rPr>
            </w:pPr>
            <w:r>
              <w:rPr>
                <w:rFonts w:hint="eastAsia" w:ascii="Times New Roman" w:hAnsi="Times New Roman" w:eastAsia="宋体" w:cs="Times New Roman"/>
                <w:color w:val="auto"/>
                <w:sz w:val="24"/>
                <w:szCs w:val="24"/>
                <w:lang w:val="en-US" w:eastAsia="zh-CN"/>
              </w:rPr>
              <w:t>④本</w:t>
            </w:r>
            <w:r>
              <w:rPr>
                <w:rFonts w:hint="eastAsia" w:cs="Times New Roman"/>
                <w:color w:val="auto"/>
                <w:sz w:val="24"/>
                <w:szCs w:val="24"/>
                <w:lang w:val="en-US" w:eastAsia="zh-CN"/>
              </w:rPr>
              <w:t>项目采矿过程中</w:t>
            </w:r>
            <w:r>
              <w:rPr>
                <w:rFonts w:hint="eastAsia"/>
                <w:color w:val="auto"/>
                <w:sz w:val="24"/>
                <w:lang w:eastAsia="zh-CN"/>
              </w:rPr>
              <w:t>为减少</w:t>
            </w:r>
            <w:r>
              <w:rPr>
                <w:rFonts w:hint="eastAsia"/>
                <w:color w:val="auto"/>
                <w:sz w:val="24"/>
                <w:lang w:val="en-US" w:eastAsia="zh-CN"/>
              </w:rPr>
              <w:t>采矿</w:t>
            </w:r>
            <w:r>
              <w:rPr>
                <w:rFonts w:hint="eastAsia"/>
                <w:color w:val="auto"/>
                <w:sz w:val="24"/>
                <w:lang w:eastAsia="zh-CN"/>
              </w:rPr>
              <w:t>时产生的扬尘，</w:t>
            </w:r>
            <w:r>
              <w:rPr>
                <w:rFonts w:hint="eastAsia"/>
                <w:color w:val="auto"/>
                <w:sz w:val="24"/>
                <w:lang w:val="en-US" w:eastAsia="zh-CN"/>
              </w:rPr>
              <w:t>在开采过程中</w:t>
            </w:r>
            <w:r>
              <w:rPr>
                <w:rFonts w:hint="eastAsia"/>
                <w:color w:val="auto"/>
                <w:sz w:val="24"/>
                <w:lang w:eastAsia="zh-CN"/>
              </w:rPr>
              <w:t>进行洒水，并尽量放低装卸位置，从而减少扬尘量。降尘用水为</w:t>
            </w:r>
            <w:r>
              <w:rPr>
                <w:rFonts w:hint="eastAsia"/>
                <w:color w:val="auto"/>
                <w:sz w:val="24"/>
                <w:lang w:val="en-US" w:eastAsia="zh-CN"/>
              </w:rPr>
              <w:t>20</w:t>
            </w:r>
            <w:r>
              <w:rPr>
                <w:rFonts w:hint="eastAsia"/>
                <w:color w:val="auto"/>
                <w:sz w:val="24"/>
                <w:lang w:eastAsia="zh-CN"/>
              </w:rPr>
              <w:t>m</w:t>
            </w:r>
            <w:r>
              <w:rPr>
                <w:rFonts w:hint="eastAsia"/>
                <w:color w:val="auto"/>
                <w:sz w:val="24"/>
                <w:vertAlign w:val="superscript"/>
                <w:lang w:eastAsia="zh-CN"/>
              </w:rPr>
              <w:t>3</w:t>
            </w:r>
            <w:r>
              <w:rPr>
                <w:rFonts w:hint="eastAsia"/>
                <w:color w:val="auto"/>
                <w:sz w:val="24"/>
                <w:lang w:eastAsia="zh-CN"/>
              </w:rPr>
              <w:t>/d（</w:t>
            </w:r>
            <w:r>
              <w:rPr>
                <w:rFonts w:hint="eastAsia"/>
                <w:color w:val="auto"/>
                <w:sz w:val="24"/>
                <w:lang w:val="en-US" w:eastAsia="zh-CN"/>
              </w:rPr>
              <w:t>4800</w:t>
            </w:r>
            <w:r>
              <w:rPr>
                <w:rFonts w:hint="eastAsia"/>
                <w:color w:val="auto"/>
                <w:sz w:val="24"/>
                <w:lang w:eastAsia="zh-CN"/>
              </w:rPr>
              <w:t>m</w:t>
            </w:r>
            <w:r>
              <w:rPr>
                <w:rFonts w:hint="eastAsia"/>
                <w:color w:val="auto"/>
                <w:sz w:val="24"/>
                <w:vertAlign w:val="superscript"/>
                <w:lang w:eastAsia="zh-CN"/>
              </w:rPr>
              <w:t>3</w:t>
            </w:r>
            <w:r>
              <w:rPr>
                <w:rFonts w:hint="eastAsia"/>
                <w:color w:val="auto"/>
                <w:sz w:val="24"/>
                <w:lang w:eastAsia="zh-CN"/>
              </w:rPr>
              <w:t>/a），采用新鲜水，洒水自然蒸发。</w:t>
            </w:r>
          </w:p>
          <w:p>
            <w:pPr>
              <w:pStyle w:val="2"/>
              <w:rPr>
                <w:rFonts w:hint="eastAsia"/>
                <w:color w:val="auto"/>
                <w:sz w:val="24"/>
                <w:lang w:eastAsia="zh-CN"/>
              </w:rPr>
            </w:pPr>
          </w:p>
          <w:p>
            <w:pPr>
              <w:pStyle w:val="3"/>
              <w:rPr>
                <w:rFonts w:hint="eastAsia"/>
                <w:color w:val="auto"/>
                <w:sz w:val="24"/>
                <w:lang w:eastAsia="zh-CN"/>
              </w:rPr>
            </w:pPr>
          </w:p>
          <w:p>
            <w:pPr>
              <w:pStyle w:val="4"/>
              <w:rPr>
                <w:rFonts w:hint="eastAsia"/>
                <w:color w:val="auto"/>
                <w:sz w:val="24"/>
                <w:lang w:eastAsia="zh-CN"/>
              </w:rPr>
            </w:pPr>
          </w:p>
          <w:p>
            <w:pPr>
              <w:rPr>
                <w:rFonts w:hint="eastAsia"/>
                <w:color w:val="auto"/>
                <w:sz w:val="24"/>
                <w:lang w:eastAsia="zh-CN"/>
              </w:rPr>
            </w:pPr>
          </w:p>
          <w:p>
            <w:pPr>
              <w:pStyle w:val="2"/>
              <w:rPr>
                <w:rFonts w:hint="eastAsia"/>
                <w:color w:val="auto"/>
                <w:sz w:val="24"/>
                <w:lang w:eastAsia="zh-CN"/>
              </w:rPr>
            </w:pPr>
          </w:p>
          <w:p>
            <w:pPr>
              <w:pStyle w:val="3"/>
              <w:rPr>
                <w:rFonts w:hint="eastAsia"/>
                <w:color w:val="auto"/>
                <w:sz w:val="24"/>
                <w:lang w:eastAsia="zh-CN"/>
              </w:rPr>
            </w:pPr>
          </w:p>
          <w:p>
            <w:pPr>
              <w:pStyle w:val="4"/>
              <w:rPr>
                <w:rFonts w:hint="eastAsia"/>
                <w:color w:val="auto"/>
                <w:sz w:val="24"/>
                <w:lang w:eastAsia="zh-CN"/>
              </w:rPr>
            </w:pPr>
          </w:p>
          <w:p>
            <w:pPr>
              <w:rPr>
                <w:rFonts w:hint="eastAsia"/>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color w:val="auto"/>
                <w:sz w:val="22"/>
              </w:rPr>
            </w:pPr>
            <w:r>
              <w:rPr>
                <w:color w:val="auto"/>
                <w:sz w:val="22"/>
                <w:highlight w:val="none"/>
              </w:rPr>
              <w:object>
                <v:shape id="_x0000_i1025" o:spt="75" type="#_x0000_t75" style="height:183.05pt;width:353.4pt;" o:ole="t" filled="f" o:preferrelative="t" stroked="f" coordsize="21600,21600">
                  <v:path/>
                  <v:fill on="f" focussize="0,0"/>
                  <v:stroke on="f"/>
                  <v:imagedata r:id="rId9" o:title=""/>
                  <o:lock v:ext="edit" aspectratio="f"/>
                  <w10:wrap type="none"/>
                  <w10:anchorlock/>
                </v:shape>
                <o:OLEObject Type="Embed" ProgID="Visio.Drawing.15" ShapeID="_x0000_i1025" DrawAspect="Content" ObjectID="_1468075725" r:id="rId8">
                  <o:LockedField>false</o:LockedField>
                </o:OLEObject>
              </w:objec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eastAsia="宋体" w:cs="Times New Roman"/>
                <w:b/>
                <w:color w:val="auto"/>
                <w:sz w:val="22"/>
                <w:szCs w:val="28"/>
                <w:lang w:val="en-US" w:eastAsia="zh-CN"/>
              </w:rPr>
              <w:t>图2-1   本项目水平衡图</w:t>
            </w:r>
            <w:r>
              <w:rPr>
                <w:rFonts w:hint="eastAsia" w:cs="Times New Roman"/>
                <w:b/>
                <w:color w:val="auto"/>
                <w:sz w:val="22"/>
                <w:szCs w:val="28"/>
                <w:lang w:val="en-US" w:eastAsia="zh-CN"/>
              </w:rPr>
              <w:t>（m</w:t>
            </w:r>
            <w:r>
              <w:rPr>
                <w:rFonts w:hint="eastAsia" w:cs="Times New Roman"/>
                <w:b/>
                <w:color w:val="auto"/>
                <w:sz w:val="22"/>
                <w:szCs w:val="28"/>
                <w:vertAlign w:val="superscript"/>
                <w:lang w:val="en-US" w:eastAsia="zh-CN"/>
              </w:rPr>
              <w:t>3</w:t>
            </w:r>
            <w:r>
              <w:rPr>
                <w:rFonts w:hint="eastAsia" w:cs="Times New Roman"/>
                <w:b/>
                <w:color w:val="auto"/>
                <w:sz w:val="22"/>
                <w:szCs w:val="28"/>
                <w:lang w:val="en-US" w:eastAsia="zh-CN"/>
              </w:rPr>
              <w:t>/a）</w:t>
            </w:r>
          </w:p>
          <w:p>
            <w:pPr>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sz w:val="24"/>
                <w:szCs w:val="24"/>
                <w:lang w:val="en-US" w:eastAsia="zh-CN"/>
              </w:rPr>
              <w:t>矿山供热</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矿区冬季不生产不设置供暖设施，日常用热水采用电热水器供给</w:t>
            </w:r>
            <w:r>
              <w:rPr>
                <w:rFonts w:hint="eastAsia" w:ascii="Times New Roman" w:hAnsi="Times New Roman" w:cs="Times New Roman"/>
                <w:b w:val="0"/>
                <w:bCs/>
                <w:color w:val="auto"/>
                <w:kern w:val="2"/>
                <w:sz w:val="24"/>
                <w:szCs w:val="24"/>
                <w:lang w:val="en-US" w:eastAsia="zh-CN" w:bidi="ar-SA"/>
              </w:rPr>
              <w:t>。</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cs="Times New Roman"/>
                <w:b w:val="0"/>
                <w:bCs/>
                <w:color w:val="auto"/>
                <w:kern w:val="2"/>
                <w:sz w:val="24"/>
                <w:szCs w:val="24"/>
                <w:lang w:val="en-US" w:eastAsia="zh-CN" w:bidi="ar-SA"/>
              </w:rPr>
              <w:t>（4）矿山消防</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rPr>
                <w:rFonts w:hint="default"/>
                <w:color w:val="auto"/>
                <w:lang w:val="en-US" w:eastAsia="zh-CN"/>
              </w:rPr>
            </w:pPr>
            <w:r>
              <w:rPr>
                <w:rFonts w:hint="default" w:ascii="Times New Roman" w:hAnsi="Times New Roman" w:eastAsia="宋体" w:cs="Times New Roman"/>
                <w:b w:val="0"/>
                <w:bCs/>
                <w:color w:val="auto"/>
                <w:kern w:val="2"/>
                <w:sz w:val="24"/>
                <w:szCs w:val="24"/>
                <w:lang w:val="en-US" w:eastAsia="zh-CN" w:bidi="ar-SA"/>
              </w:rPr>
              <w:t>在火灾隐患较大的地方，均配备灭火器、消防砂等消防用具</w:t>
            </w:r>
            <w:r>
              <w:rPr>
                <w:rFonts w:hint="eastAsia" w:ascii="Times New Roman" w:hAnsi="Times New Roman" w:cs="Times New Roman"/>
                <w:b w:val="0"/>
                <w:bCs/>
                <w:color w:val="auto"/>
                <w:kern w:val="2"/>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 w:type="pct"/>
            <w:noWrap w:val="0"/>
            <w:vAlign w:val="center"/>
          </w:tcPr>
          <w:p>
            <w:pPr>
              <w:keepLines w:val="0"/>
              <w:pageBreakBefore w:val="0"/>
              <w:kinsoku/>
              <w:overflowPunct/>
              <w:topLinePunct w:val="0"/>
              <w:bidi w:val="0"/>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总平面及现场布置</w:t>
            </w:r>
          </w:p>
        </w:tc>
        <w:tc>
          <w:tcPr>
            <w:tcW w:w="4601" w:type="pct"/>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kern w:val="21"/>
                <w:sz w:val="24"/>
                <w:szCs w:val="24"/>
                <w:lang w:val="en-US" w:eastAsia="zh-CN"/>
              </w:rPr>
            </w:pPr>
            <w:r>
              <w:rPr>
                <w:rFonts w:hint="eastAsia" w:cs="Times New Roman"/>
                <w:color w:val="auto"/>
                <w:kern w:val="21"/>
                <w:sz w:val="24"/>
                <w:szCs w:val="24"/>
                <w:lang w:val="en-US" w:eastAsia="zh-CN"/>
              </w:rPr>
              <w:t>本项目矿区范围由4拐点圈定，矿区面积约0.9817平方公里，开采标高范围1225m～1272m。矿山为新建矿山，矿山开采需规划设施场地包括办公生活区、矿山道路，露天采场、荒料堆放场、排土场，矿山地面设施总平面布局占地面积36.45顷，规划矿建设施均位于矿区范围内，占用土地类型为其他土地(裸岩石砾地)。总平面布置图见附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表2-</w:t>
            </w:r>
            <w:r>
              <w:rPr>
                <w:rFonts w:hint="eastAsia" w:cs="Times New Roman"/>
                <w:b/>
                <w:bCs/>
                <w:color w:val="auto"/>
                <w:sz w:val="22"/>
                <w:szCs w:val="22"/>
                <w:lang w:val="en-US" w:eastAsia="zh-CN"/>
              </w:rPr>
              <w:t>8</w:t>
            </w:r>
            <w:r>
              <w:rPr>
                <w:rFonts w:hint="eastAsia" w:ascii="Times New Roman" w:hAnsi="Times New Roman" w:eastAsia="宋体" w:cs="Times New Roman"/>
                <w:b/>
                <w:bCs/>
                <w:color w:val="auto"/>
                <w:sz w:val="22"/>
                <w:szCs w:val="22"/>
                <w:lang w:val="en-US" w:eastAsia="zh-CN"/>
              </w:rPr>
              <w:t xml:space="preserve">    </w:t>
            </w:r>
            <w:r>
              <w:rPr>
                <w:rFonts w:hint="default" w:ascii="Times New Roman" w:hAnsi="Times New Roman" w:eastAsia="宋体" w:cs="Times New Roman"/>
                <w:b/>
                <w:bCs/>
                <w:color w:val="auto"/>
                <w:sz w:val="22"/>
                <w:szCs w:val="22"/>
                <w:lang w:val="en-US" w:eastAsia="zh-CN"/>
              </w:rPr>
              <w:t>矿山规划布局一览表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38"/>
              <w:gridCol w:w="1985"/>
              <w:gridCol w:w="1400"/>
              <w:gridCol w:w="2379"/>
              <w:gridCol w:w="19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tblHeader/>
                <w:jc w:val="center"/>
              </w:trPr>
              <w:tc>
                <w:tcPr>
                  <w:tcW w:w="435"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序号</w:t>
                  </w:r>
                </w:p>
              </w:tc>
              <w:tc>
                <w:tcPr>
                  <w:tcW w:w="1169"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项目名称</w:t>
                  </w:r>
                </w:p>
              </w:tc>
              <w:tc>
                <w:tcPr>
                  <w:tcW w:w="825"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rPr>
                    <w:t>面积</w:t>
                  </w:r>
                  <w:r>
                    <w:rPr>
                      <w:rFonts w:hint="eastAsia" w:cs="Times New Roman"/>
                      <w:b w:val="0"/>
                      <w:bCs w:val="0"/>
                      <w:color w:val="auto"/>
                      <w:szCs w:val="21"/>
                      <w:lang w:eastAsia="zh-CN"/>
                    </w:rPr>
                    <w:t>（</w:t>
                  </w:r>
                  <w:r>
                    <w:rPr>
                      <w:rFonts w:hint="eastAsia" w:cs="Times New Roman"/>
                      <w:b w:val="0"/>
                      <w:bCs w:val="0"/>
                      <w:color w:val="auto"/>
                      <w:szCs w:val="21"/>
                      <w:lang w:val="en-US" w:eastAsia="zh-CN"/>
                    </w:rPr>
                    <w:t>m</w:t>
                  </w:r>
                  <w:r>
                    <w:rPr>
                      <w:rFonts w:hint="eastAsia" w:cs="Times New Roman"/>
                      <w:b w:val="0"/>
                      <w:bCs w:val="0"/>
                      <w:color w:val="auto"/>
                      <w:szCs w:val="21"/>
                      <w:vertAlign w:val="superscript"/>
                      <w:lang w:val="en-US" w:eastAsia="zh-CN"/>
                    </w:rPr>
                    <w:t>2</w:t>
                  </w:r>
                  <w:r>
                    <w:rPr>
                      <w:rFonts w:hint="eastAsia" w:cs="Times New Roman"/>
                      <w:b w:val="0"/>
                      <w:bCs w:val="0"/>
                      <w:color w:val="auto"/>
                      <w:szCs w:val="21"/>
                      <w:lang w:eastAsia="zh-CN"/>
                    </w:rPr>
                    <w:t>）</w:t>
                  </w:r>
                </w:p>
              </w:tc>
              <w:tc>
                <w:tcPr>
                  <w:tcW w:w="1402"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场地位置</w:t>
                  </w:r>
                </w:p>
              </w:tc>
              <w:tc>
                <w:tcPr>
                  <w:tcW w:w="1167"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占地类型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5"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1</w:t>
                  </w:r>
                </w:p>
              </w:tc>
              <w:tc>
                <w:tcPr>
                  <w:tcW w:w="1169"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露天采场</w:t>
                  </w:r>
                </w:p>
              </w:tc>
              <w:tc>
                <w:tcPr>
                  <w:tcW w:w="825"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63000</w:t>
                  </w:r>
                </w:p>
              </w:tc>
              <w:tc>
                <w:tcPr>
                  <w:tcW w:w="1402"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矿区范围内中部矿体处</w:t>
                  </w:r>
                </w:p>
              </w:tc>
              <w:tc>
                <w:tcPr>
                  <w:tcW w:w="1167"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其他土地（裸岩</w:t>
                  </w:r>
                </w:p>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eastAsia="宋体" w:cs="Times New Roman"/>
                      <w:b w:val="0"/>
                      <w:bCs w:val="0"/>
                      <w:color w:val="auto"/>
                      <w:szCs w:val="21"/>
                      <w:lang w:val="en-US" w:eastAsia="zh-CN"/>
                    </w:rPr>
                    <w:t>石砾地）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5"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2</w:t>
                  </w:r>
                </w:p>
              </w:tc>
              <w:tc>
                <w:tcPr>
                  <w:tcW w:w="1169"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办公生活区</w:t>
                  </w:r>
                </w:p>
              </w:tc>
              <w:tc>
                <w:tcPr>
                  <w:tcW w:w="825"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5000</w:t>
                  </w:r>
                </w:p>
              </w:tc>
              <w:tc>
                <w:tcPr>
                  <w:tcW w:w="1402"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矿区内北东部</w:t>
                  </w:r>
                </w:p>
              </w:tc>
              <w:tc>
                <w:tcPr>
                  <w:tcW w:w="1167" w:type="pct"/>
                  <w:vMerge w:val="continue"/>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5"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3</w:t>
                  </w:r>
                </w:p>
              </w:tc>
              <w:tc>
                <w:tcPr>
                  <w:tcW w:w="1169"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排土场</w:t>
                  </w:r>
                </w:p>
              </w:tc>
              <w:tc>
                <w:tcPr>
                  <w:tcW w:w="825"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180000</w:t>
                  </w:r>
                </w:p>
              </w:tc>
              <w:tc>
                <w:tcPr>
                  <w:tcW w:w="1402"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矿区内东南部</w:t>
                  </w:r>
                </w:p>
              </w:tc>
              <w:tc>
                <w:tcPr>
                  <w:tcW w:w="1167" w:type="pct"/>
                  <w:vMerge w:val="continue"/>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5"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4</w:t>
                  </w:r>
                </w:p>
              </w:tc>
              <w:tc>
                <w:tcPr>
                  <w:tcW w:w="1169"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矿山道路</w:t>
                  </w:r>
                </w:p>
              </w:tc>
              <w:tc>
                <w:tcPr>
                  <w:tcW w:w="825"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4500</w:t>
                  </w:r>
                </w:p>
              </w:tc>
              <w:tc>
                <w:tcPr>
                  <w:tcW w:w="1402"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连接各个场地道路</w:t>
                  </w:r>
                </w:p>
              </w:tc>
              <w:tc>
                <w:tcPr>
                  <w:tcW w:w="1167" w:type="pct"/>
                  <w:vMerge w:val="continue"/>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5"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5</w:t>
                  </w:r>
                </w:p>
              </w:tc>
              <w:tc>
                <w:tcPr>
                  <w:tcW w:w="1169"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荒料堆放场</w:t>
                  </w:r>
                </w:p>
              </w:tc>
              <w:tc>
                <w:tcPr>
                  <w:tcW w:w="825"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110000</w:t>
                  </w:r>
                </w:p>
              </w:tc>
              <w:tc>
                <w:tcPr>
                  <w:tcW w:w="1402"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矿区内中东部</w:t>
                  </w:r>
                </w:p>
              </w:tc>
              <w:tc>
                <w:tcPr>
                  <w:tcW w:w="1167" w:type="pct"/>
                  <w:vMerge w:val="continue"/>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35"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6</w:t>
                  </w:r>
                </w:p>
              </w:tc>
              <w:tc>
                <w:tcPr>
                  <w:tcW w:w="1169"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生产车间</w:t>
                  </w:r>
                </w:p>
              </w:tc>
              <w:tc>
                <w:tcPr>
                  <w:tcW w:w="825" w:type="pct"/>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2000</w:t>
                  </w:r>
                </w:p>
              </w:tc>
              <w:tc>
                <w:tcPr>
                  <w:tcW w:w="1402" w:type="pct"/>
                  <w:tcBorders>
                    <w:tl2br w:val="nil"/>
                    <w:tr2bl w:val="nil"/>
                  </w:tcBorders>
                  <w:noWrap w:val="0"/>
                  <w:vAlign w:val="center"/>
                </w:tcPr>
                <w:p>
                  <w:pPr>
                    <w:adjustRightInd w:val="0"/>
                    <w:snapToGrid w:val="0"/>
                    <w:jc w:val="center"/>
                    <w:rPr>
                      <w:rFonts w:hint="eastAsia" w:ascii="Times New Roman" w:hAnsi="Times New Roman" w:eastAsia="宋体" w:cs="Times New Roman"/>
                      <w:b w:val="0"/>
                      <w:bCs w:val="0"/>
                      <w:color w:val="auto"/>
                      <w:szCs w:val="21"/>
                      <w:lang w:val="en-US" w:eastAsia="zh-CN"/>
                    </w:rPr>
                  </w:pPr>
                  <w:r>
                    <w:rPr>
                      <w:rFonts w:hint="default" w:ascii="Times New Roman" w:hAnsi="Times New Roman" w:cs="Times New Roman"/>
                      <w:b w:val="0"/>
                      <w:bCs w:val="0"/>
                      <w:color w:val="auto"/>
                      <w:szCs w:val="21"/>
                    </w:rPr>
                    <w:t>矿区</w:t>
                  </w:r>
                  <w:r>
                    <w:rPr>
                      <w:rFonts w:hint="eastAsia" w:cs="Times New Roman"/>
                      <w:b w:val="0"/>
                      <w:bCs w:val="0"/>
                      <w:color w:val="auto"/>
                      <w:szCs w:val="21"/>
                      <w:lang w:val="en-US" w:eastAsia="zh-CN"/>
                    </w:rPr>
                    <w:t>内</w:t>
                  </w:r>
                </w:p>
              </w:tc>
              <w:tc>
                <w:tcPr>
                  <w:tcW w:w="1167"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1605"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合计</w:t>
                  </w:r>
                </w:p>
              </w:tc>
              <w:tc>
                <w:tcPr>
                  <w:tcW w:w="3394" w:type="pct"/>
                  <w:gridSpan w:val="3"/>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36</w:t>
                  </w:r>
                  <w:r>
                    <w:rPr>
                      <w:rFonts w:hint="eastAsia" w:cs="Times New Roman"/>
                      <w:b w:val="0"/>
                      <w:bCs w:val="0"/>
                      <w:color w:val="auto"/>
                      <w:szCs w:val="21"/>
                      <w:lang w:val="en-US" w:eastAsia="zh-CN"/>
                    </w:rPr>
                    <w:t>4</w:t>
                  </w:r>
                  <w:r>
                    <w:rPr>
                      <w:rFonts w:hint="default" w:ascii="Times New Roman" w:hAnsi="Times New Roman" w:cs="Times New Roman"/>
                      <w:b w:val="0"/>
                      <w:bCs w:val="0"/>
                      <w:color w:val="auto"/>
                      <w:szCs w:val="21"/>
                    </w:rPr>
                    <w:t>500平方米</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21"/>
                <w:sz w:val="24"/>
                <w:szCs w:val="24"/>
                <w:lang w:val="en-US" w:eastAsia="zh-CN"/>
              </w:rPr>
            </w:pPr>
            <w:r>
              <w:rPr>
                <w:rFonts w:hint="eastAsia" w:cs="Times New Roman"/>
                <w:color w:val="auto"/>
                <w:kern w:val="21"/>
                <w:sz w:val="24"/>
                <w:szCs w:val="24"/>
                <w:lang w:val="en-US" w:eastAsia="zh-CN"/>
              </w:rPr>
              <w:t>（1）露天采场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21"/>
                <w:sz w:val="24"/>
                <w:szCs w:val="24"/>
                <w:lang w:val="en-US" w:eastAsia="zh-CN"/>
              </w:rPr>
            </w:pPr>
            <w:r>
              <w:rPr>
                <w:rFonts w:hint="eastAsia" w:cs="Times New Roman"/>
                <w:color w:val="auto"/>
                <w:kern w:val="21"/>
                <w:sz w:val="24"/>
                <w:szCs w:val="24"/>
                <w:lang w:val="en-US" w:eastAsia="zh-CN"/>
              </w:rPr>
              <w:t>矿山规划共有1处露天采场，位于矿区内矿体处。占地面积63000平方米，呈正地形的四边形状，地表境界长153米，宽106米，形成5个台段，台阶高度10米，台阶坡面角80°，最终帮坡角小于60-62°，地表为残坡积和洪积产物，植被不发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21"/>
                <w:sz w:val="24"/>
                <w:szCs w:val="24"/>
                <w:lang w:val="en-US" w:eastAsia="zh-CN"/>
              </w:rPr>
            </w:pPr>
            <w:r>
              <w:rPr>
                <w:rFonts w:hint="eastAsia" w:cs="Times New Roman"/>
                <w:color w:val="auto"/>
                <w:kern w:val="21"/>
                <w:sz w:val="24"/>
                <w:szCs w:val="24"/>
                <w:lang w:val="en-US" w:eastAsia="zh-CN"/>
              </w:rPr>
              <w:t>（2）办公生活区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21"/>
                <w:sz w:val="24"/>
                <w:szCs w:val="24"/>
                <w:lang w:val="en-US" w:eastAsia="zh-CN"/>
              </w:rPr>
            </w:pPr>
            <w:r>
              <w:rPr>
                <w:rFonts w:hint="eastAsia" w:cs="Times New Roman"/>
                <w:color w:val="auto"/>
                <w:kern w:val="21"/>
                <w:sz w:val="24"/>
                <w:szCs w:val="24"/>
                <w:lang w:val="en-US" w:eastAsia="zh-CN"/>
              </w:rPr>
              <w:t>规划办公生活区位于矿区内北东部，地形坡度1-5°，规划办公生活区占地面积5000平方米，总建筑面积1500平方米，建设过程中仅需进行小规模切坡工程，切坡高度小于1.5米，地表为残坡积和洪积产物，植被不发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21"/>
                <w:sz w:val="24"/>
                <w:szCs w:val="24"/>
                <w:lang w:val="en-US" w:eastAsia="zh-CN"/>
              </w:rPr>
            </w:pPr>
            <w:r>
              <w:rPr>
                <w:rFonts w:hint="eastAsia" w:cs="Times New Roman"/>
                <w:color w:val="auto"/>
                <w:kern w:val="21"/>
                <w:sz w:val="24"/>
                <w:szCs w:val="24"/>
                <w:lang w:val="en-US" w:eastAsia="zh-CN"/>
              </w:rPr>
              <w:t>（3）排土场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21"/>
                <w:sz w:val="24"/>
                <w:szCs w:val="24"/>
                <w:lang w:val="en-US" w:eastAsia="zh-CN"/>
              </w:rPr>
            </w:pPr>
            <w:r>
              <w:rPr>
                <w:rFonts w:hint="eastAsia" w:cs="Times New Roman"/>
                <w:color w:val="auto"/>
                <w:kern w:val="21"/>
                <w:sz w:val="24"/>
                <w:szCs w:val="24"/>
                <w:lang w:val="en-US" w:eastAsia="zh-CN"/>
              </w:rPr>
              <w:t>矿山设计利用矿石量133.55万立方米，荒料量27.04万立方米，则生产废石量为106.51万立方米，矿山设计剥离量50.1万立方米，则废石总量为156.69万立方米，松散系数按照1.5考虑，则为235.04万立方米，排土场所需面积为180000平方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21"/>
                <w:sz w:val="24"/>
                <w:szCs w:val="24"/>
                <w:lang w:val="en-US" w:eastAsia="zh-CN"/>
              </w:rPr>
            </w:pPr>
            <w:r>
              <w:rPr>
                <w:rFonts w:hint="eastAsia" w:cs="Times New Roman"/>
                <w:color w:val="auto"/>
                <w:kern w:val="21"/>
                <w:sz w:val="24"/>
                <w:szCs w:val="24"/>
                <w:lang w:val="en-US" w:eastAsia="zh-CN"/>
              </w:rPr>
              <w:t>规划排土场位于矿区内东部，设计矿山排土场场内废石压实堆放，双台阶堆存，台阶高度10米，废石堆安息角小于35°，最大堆放高度20米，占地面积共180000平方米，排土场总容积为236万平方米；地形坡度约1-8°。场地地形较平坦，建设过程中基本无需削坡，地表为残坡积和洪积产物，植被不发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21"/>
                <w:sz w:val="24"/>
                <w:szCs w:val="24"/>
                <w:lang w:val="en-US" w:eastAsia="zh-CN"/>
              </w:rPr>
            </w:pPr>
            <w:r>
              <w:rPr>
                <w:rFonts w:hint="eastAsia" w:cs="Times New Roman"/>
                <w:color w:val="auto"/>
                <w:kern w:val="21"/>
                <w:sz w:val="24"/>
                <w:szCs w:val="24"/>
                <w:lang w:val="en-US" w:eastAsia="zh-CN"/>
              </w:rPr>
              <w:t>（4）矿山道路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21"/>
                <w:sz w:val="24"/>
                <w:szCs w:val="24"/>
                <w:lang w:val="en-US" w:eastAsia="zh-CN"/>
              </w:rPr>
            </w:pPr>
            <w:r>
              <w:rPr>
                <w:rFonts w:hint="eastAsia" w:cs="Times New Roman"/>
                <w:color w:val="auto"/>
                <w:kern w:val="21"/>
                <w:sz w:val="24"/>
                <w:szCs w:val="24"/>
                <w:lang w:val="en-US" w:eastAsia="zh-CN"/>
              </w:rPr>
              <w:t>规划矿山道路依据地形布设，道路起点位于矿区东北侧，连接原有的简易便道，终点连接排土场。运输道路按矿山三级道路标准修建，最小圆曲线半径15m，最大纵坡9%，车辆最大运输速度为20km/h，每200m纵坡道路之间设置50m缓坡段，缓坡段采用平坡设错车道，路面宽6m，路基宽8m，道路两旁及转弯处设置安全警示标志，道路转弯处及边坡侧设置挡车设施，挡车设施采用废弃岩石堆砌，堆砌高度1.0m的梯形断面。设计规划矿山道路全长750m，占地面积4500平方米。矿山道路依山坡地形修建，建设过程中存在小规模切坡工程，切坡高度小于1.5m，工作量小，不会形成高陡边坡，不会改变现有斜坡的形态及稳定状态。地表为残坡积和洪积产物，植被不发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21"/>
                <w:sz w:val="24"/>
                <w:szCs w:val="24"/>
                <w:lang w:val="en-US" w:eastAsia="zh-CN"/>
              </w:rPr>
            </w:pPr>
            <w:r>
              <w:rPr>
                <w:rFonts w:hint="eastAsia" w:cs="Times New Roman"/>
                <w:color w:val="auto"/>
                <w:kern w:val="21"/>
                <w:sz w:val="24"/>
                <w:szCs w:val="24"/>
                <w:lang w:val="en-US" w:eastAsia="zh-CN"/>
              </w:rPr>
              <w:t>（5）荒料堆放场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21"/>
                <w:sz w:val="24"/>
                <w:szCs w:val="24"/>
                <w:lang w:val="en-US" w:eastAsia="zh-CN"/>
              </w:rPr>
            </w:pPr>
            <w:r>
              <w:rPr>
                <w:rFonts w:hint="eastAsia" w:ascii="Times New Roman" w:hAnsi="Times New Roman" w:eastAsia="宋体" w:cs="Times New Roman"/>
                <w:color w:val="auto"/>
                <w:kern w:val="21"/>
                <w:sz w:val="24"/>
                <w:szCs w:val="24"/>
                <w:lang w:val="en-US" w:eastAsia="zh-CN"/>
              </w:rPr>
              <w:t>矿山日生产荒料量75立方米，折合面积约112.5平方米，按照60天考虑销售进度及运输情况，拟设置规划荒料堆放场占地面积约110000平方米。荒料堆放场布置在露天采场东200米处，地形坡度1-5°，场地地形较平坦，建设过程中基本无需削坡，地表为残坡积和洪积产物，植被不发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kern w:val="21"/>
                <w:sz w:val="24"/>
                <w:szCs w:val="24"/>
                <w:lang w:val="en-US" w:eastAsia="zh-CN"/>
              </w:rPr>
            </w:pPr>
            <w:r>
              <w:rPr>
                <w:rFonts w:hint="eastAsia" w:cs="Times New Roman"/>
                <w:color w:val="auto"/>
                <w:kern w:val="21"/>
                <w:sz w:val="24"/>
                <w:szCs w:val="24"/>
                <w:lang w:val="en-US" w:eastAsia="zh-CN"/>
              </w:rPr>
              <w:t>（6）生产车间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21"/>
                <w:sz w:val="24"/>
                <w:szCs w:val="24"/>
                <w:lang w:val="en-US" w:eastAsia="zh-CN"/>
              </w:rPr>
            </w:pPr>
            <w:r>
              <w:rPr>
                <w:rFonts w:hint="eastAsia" w:cs="Times New Roman"/>
                <w:color w:val="auto"/>
                <w:kern w:val="21"/>
                <w:sz w:val="24"/>
                <w:szCs w:val="24"/>
                <w:lang w:val="en-US" w:eastAsia="zh-CN"/>
              </w:rPr>
              <w:t>生产车间位于矿区入口处的平缓地带，包含1#车间和2#车间，总占地面积达2000平方米。1#车间内设有2条切割生产线；2#车间配备了一条喷砂生产线和一条抛光生产线。</w:t>
            </w:r>
            <w:r>
              <w:rPr>
                <w:rFonts w:hint="eastAsia" w:ascii="Times New Roman" w:hAnsi="Times New Roman" w:eastAsia="宋体" w:cs="Times New Roman"/>
                <w:color w:val="auto"/>
                <w:kern w:val="21"/>
                <w:sz w:val="24"/>
                <w:szCs w:val="24"/>
                <w:lang w:val="en-US" w:eastAsia="zh-CN"/>
              </w:rPr>
              <w:t>车间主体采用彩钢结构，地面已进行水泥硬化处理。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1"/>
                <w:sz w:val="24"/>
                <w:szCs w:val="24"/>
                <w:lang w:val="en-US" w:eastAsia="zh-CN"/>
              </w:rPr>
            </w:pPr>
            <w:r>
              <w:rPr>
                <w:rFonts w:hint="eastAsia" w:cs="Times New Roman"/>
                <w:color w:val="auto"/>
                <w:kern w:val="21"/>
                <w:sz w:val="24"/>
                <w:szCs w:val="24"/>
                <w:lang w:val="en-US" w:eastAsia="zh-CN"/>
              </w:rPr>
              <w:t>施工布置：本项目为矿山工程，施工期主要建设办公生活区、矿山道路，露天采场、荒料堆放场、排土场和生产车间。项目对外交通主要依靠乌紫线（S325）和砂石路，场内交通以砂石土路为主。本项目所需砼、砂石等建筑材料采用外购获得；施工期主要为施工用水和生活用水，用水量较小，由水罐汽车负责运水；供电从附近电网接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8" w:type="pct"/>
            <w:noWrap w:val="0"/>
            <w:vAlign w:val="center"/>
          </w:tcPr>
          <w:p>
            <w:pPr>
              <w:keepLines w:val="0"/>
              <w:pageBreakBefore w:val="0"/>
              <w:kinsoku/>
              <w:overflowPunct/>
              <w:topLinePunct w:val="0"/>
              <w:bidi w:val="0"/>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施工方案</w:t>
            </w:r>
          </w:p>
        </w:tc>
        <w:tc>
          <w:tcPr>
            <w:tcW w:w="4601" w:type="pct"/>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1、项目施工期施工工艺</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本项目施工期施工内容主要为矿区道路、矿区边界设置铁丝围栏以及配套办公设施，由于办公区设置采用彩钢板搭建，项目道路可依托前期普查、详查期遗留的简单道路，因此施工期施工比较简单，施工期较短，施工主要工艺流程及产污环节见图2-2</w:t>
            </w:r>
            <w:r>
              <w:rPr>
                <w:rFonts w:hint="eastAsia" w:cs="Times New Roman"/>
                <w:color w:val="auto"/>
                <w:spacing w:val="6"/>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b/>
                <w:bCs/>
                <w:color w:val="auto"/>
                <w:sz w:val="21"/>
                <w:szCs w:val="21"/>
                <w:lang w:val="en-US" w:eastAsia="zh-CN"/>
              </w:rPr>
            </w:pPr>
            <w:r>
              <w:rPr>
                <w:rFonts w:hint="eastAsia"/>
                <w:b/>
                <w:bCs/>
                <w:color w:val="auto"/>
                <w:sz w:val="21"/>
                <w:szCs w:val="21"/>
                <w:lang w:val="en-US" w:eastAsia="zh-CN"/>
              </w:rPr>
              <w:drawing>
                <wp:inline distT="0" distB="0" distL="114300" distR="114300">
                  <wp:extent cx="4767580" cy="1567180"/>
                  <wp:effectExtent l="0" t="0" r="13970" b="13970"/>
                  <wp:docPr id="35" name="图片 35" descr="174739397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47393974352"/>
                          <pic:cNvPicPr>
                            <a:picLocks noChangeAspect="1"/>
                          </pic:cNvPicPr>
                        </pic:nvPicPr>
                        <pic:blipFill>
                          <a:blip r:embed="rId10"/>
                          <a:stretch>
                            <a:fillRect/>
                          </a:stretch>
                        </pic:blipFill>
                        <pic:spPr>
                          <a:xfrm>
                            <a:off x="0" y="0"/>
                            <a:ext cx="4767580" cy="156718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b/>
                <w:bCs/>
                <w:color w:val="auto"/>
                <w:sz w:val="21"/>
                <w:szCs w:val="21"/>
                <w:lang w:val="en-US" w:eastAsia="zh-CN"/>
              </w:rPr>
            </w:pPr>
            <w:r>
              <w:rPr>
                <w:rFonts w:hint="eastAsia"/>
                <w:b/>
                <w:bCs/>
                <w:color w:val="auto"/>
                <w:sz w:val="21"/>
                <w:szCs w:val="21"/>
                <w:lang w:val="en-US" w:eastAsia="zh-CN"/>
              </w:rPr>
              <w:t>图2-2  项目施工期工艺流程及产物环节图</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本项目施工期较短，施工过程简单，施工对环境的影响均为短期影响，且影响较小，随着施工结束而消失，对区域生态环境影响不大。</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eastAsia" w:cs="Times New Roman"/>
                <w:color w:val="auto"/>
                <w:spacing w:val="6"/>
                <w:sz w:val="24"/>
                <w:szCs w:val="24"/>
                <w:lang w:val="en-US" w:eastAsia="zh-CN"/>
              </w:rPr>
            </w:pPr>
            <w:r>
              <w:rPr>
                <w:rFonts w:hint="eastAsia" w:cs="Times New Roman"/>
                <w:color w:val="auto"/>
                <w:spacing w:val="6"/>
                <w:sz w:val="24"/>
                <w:szCs w:val="24"/>
                <w:lang w:val="en-US" w:eastAsia="zh-CN"/>
              </w:rPr>
              <w:t>2、施工时序</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eastAsia" w:cs="Times New Roman"/>
                <w:color w:val="auto"/>
                <w:spacing w:val="6"/>
                <w:sz w:val="24"/>
                <w:szCs w:val="24"/>
                <w:lang w:val="en-US" w:eastAsia="zh-CN"/>
              </w:rPr>
            </w:pPr>
            <w:r>
              <w:rPr>
                <w:rFonts w:hint="eastAsia" w:cs="Times New Roman"/>
                <w:color w:val="auto"/>
                <w:spacing w:val="6"/>
                <w:sz w:val="24"/>
                <w:szCs w:val="24"/>
                <w:lang w:val="en-US" w:eastAsia="zh-CN"/>
              </w:rPr>
              <w:t>据取土场开拓部署，确定本项目建设采用全面规划、快速达产的建设方式。为缩短建设工期，尽快投产，在建设过程中的施工时序主要应遵循以下原则：</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eastAsia" w:cs="Times New Roman"/>
                <w:color w:val="auto"/>
                <w:spacing w:val="6"/>
                <w:sz w:val="24"/>
                <w:szCs w:val="24"/>
                <w:lang w:val="en-US" w:eastAsia="zh-CN"/>
              </w:rPr>
            </w:pPr>
            <w:r>
              <w:rPr>
                <w:rFonts w:hint="eastAsia" w:cs="Times New Roman"/>
                <w:color w:val="auto"/>
                <w:spacing w:val="6"/>
                <w:sz w:val="24"/>
                <w:szCs w:val="24"/>
                <w:lang w:val="en-US" w:eastAsia="zh-CN"/>
              </w:rPr>
              <w:t>（1）首先做好工业场地的“四通一平”工作，即先建设场内道路、供水、供电、通讯等工程。</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eastAsia" w:cs="Times New Roman"/>
                <w:color w:val="auto"/>
                <w:spacing w:val="6"/>
                <w:sz w:val="24"/>
                <w:szCs w:val="24"/>
                <w:lang w:val="en-US" w:eastAsia="zh-CN"/>
              </w:rPr>
              <w:t>（2）施工安排应保持连续性和均衡性，保持劳动力需求平衡，做到有计划增减施工队伍。</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eastAsia" w:cs="Times New Roman"/>
                <w:color w:val="auto"/>
                <w:spacing w:val="6"/>
                <w:sz w:val="24"/>
                <w:szCs w:val="24"/>
                <w:lang w:val="en-US" w:eastAsia="zh-CN"/>
              </w:rPr>
              <w:t>3</w:t>
            </w:r>
            <w:r>
              <w:rPr>
                <w:rFonts w:hint="eastAsia" w:ascii="Times New Roman" w:hAnsi="Times New Roman" w:eastAsia="宋体" w:cs="Times New Roman"/>
                <w:color w:val="auto"/>
                <w:spacing w:val="6"/>
                <w:sz w:val="24"/>
                <w:szCs w:val="24"/>
                <w:lang w:val="en-US" w:eastAsia="zh-CN"/>
              </w:rPr>
              <w:t>、</w:t>
            </w:r>
            <w:r>
              <w:rPr>
                <w:rFonts w:hint="default" w:ascii="Times New Roman" w:hAnsi="Times New Roman" w:eastAsia="宋体" w:cs="Times New Roman"/>
                <w:color w:val="auto"/>
                <w:spacing w:val="6"/>
                <w:sz w:val="24"/>
                <w:szCs w:val="24"/>
                <w:lang w:val="en-US" w:eastAsia="zh-CN"/>
              </w:rPr>
              <w:t>施工期主要污染工序</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本项目施工期主要是表土剥离、场地平整，</w:t>
            </w:r>
            <w:r>
              <w:rPr>
                <w:rFonts w:hint="eastAsia" w:cs="Times New Roman"/>
                <w:color w:val="auto"/>
                <w:spacing w:val="6"/>
                <w:sz w:val="24"/>
                <w:szCs w:val="24"/>
                <w:lang w:val="en-US" w:eastAsia="zh-CN"/>
              </w:rPr>
              <w:t>办公生活区房屋</w:t>
            </w:r>
            <w:r>
              <w:rPr>
                <w:rFonts w:hint="default" w:ascii="Times New Roman" w:hAnsi="Times New Roman" w:eastAsia="宋体" w:cs="Times New Roman"/>
                <w:color w:val="auto"/>
                <w:spacing w:val="6"/>
                <w:sz w:val="24"/>
                <w:szCs w:val="24"/>
                <w:lang w:val="en-US" w:eastAsia="zh-CN"/>
              </w:rPr>
              <w:t>的搭建及设备的安装。施工期会产生少量的扬尘、粉尘、噪声和固废污染。</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施工期车辆行驶会产生扬尘及汽车尾气；施工期场地平整、办公生活区建设过程中产生少量扬尘。本项目施工期工程量较小，产生的扬尘量较少。</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本项目生活区房屋修建工程量较小，仅有少量用水，自然蒸发不外排；设备安装过程无需用水。</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本项目施工期的噪声主要来自施工人员交谈时产生的社会噪声、设备相互碰撞发出的噪声以及运输设备车辆行驶时的交通噪声。社会噪声及设备相互碰撞发出的源强一般不超过85dB(A)。</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（4）固体废弃物</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本项目施工期产生的固废主要为剥离的表土、设备的包装材料、施工人员的生活垃圾。</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eastAsia" w:cs="Times New Roman"/>
                <w:color w:val="auto"/>
                <w:spacing w:val="6"/>
                <w:sz w:val="24"/>
                <w:szCs w:val="24"/>
                <w:lang w:val="en-US" w:eastAsia="zh-CN"/>
              </w:rPr>
              <w:t>4</w:t>
            </w:r>
            <w:r>
              <w:rPr>
                <w:rFonts w:hint="eastAsia" w:ascii="Times New Roman" w:hAnsi="Times New Roman" w:eastAsia="宋体" w:cs="Times New Roman"/>
                <w:color w:val="auto"/>
                <w:spacing w:val="6"/>
                <w:sz w:val="24"/>
                <w:szCs w:val="24"/>
                <w:lang w:val="en-US" w:eastAsia="zh-CN"/>
              </w:rPr>
              <w:t>、</w:t>
            </w:r>
            <w:r>
              <w:rPr>
                <w:rFonts w:hint="default" w:ascii="Times New Roman" w:hAnsi="Times New Roman" w:eastAsia="宋体" w:cs="Times New Roman"/>
                <w:color w:val="auto"/>
                <w:spacing w:val="6"/>
                <w:sz w:val="24"/>
                <w:szCs w:val="24"/>
                <w:lang w:val="en-US" w:eastAsia="zh-CN"/>
              </w:rPr>
              <w:t>建设周期</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highlight w:val="none"/>
                <w:lang w:val="en-US" w:eastAsia="zh-CN"/>
              </w:rPr>
            </w:pPr>
            <w:r>
              <w:rPr>
                <w:rFonts w:hint="default" w:ascii="Times New Roman" w:hAnsi="Times New Roman" w:eastAsia="宋体" w:cs="Times New Roman"/>
                <w:color w:val="auto"/>
                <w:spacing w:val="6"/>
                <w:sz w:val="24"/>
                <w:szCs w:val="24"/>
                <w:highlight w:val="none"/>
                <w:lang w:val="en-US" w:eastAsia="zh-CN"/>
              </w:rPr>
              <w:t>本项目建设周期拟定为</w:t>
            </w:r>
            <w:r>
              <w:rPr>
                <w:rFonts w:hint="eastAsia" w:cs="Times New Roman"/>
                <w:color w:val="auto"/>
                <w:spacing w:val="6"/>
                <w:sz w:val="24"/>
                <w:szCs w:val="24"/>
                <w:highlight w:val="none"/>
                <w:lang w:val="en-US" w:eastAsia="zh-CN"/>
              </w:rPr>
              <w:t>12</w:t>
            </w:r>
            <w:r>
              <w:rPr>
                <w:rFonts w:hint="default" w:ascii="Times New Roman" w:hAnsi="Times New Roman" w:eastAsia="宋体" w:cs="Times New Roman"/>
                <w:color w:val="auto"/>
                <w:spacing w:val="6"/>
                <w:sz w:val="24"/>
                <w:szCs w:val="24"/>
                <w:highlight w:val="none"/>
                <w:lang w:val="en-US" w:eastAsia="zh-CN"/>
              </w:rPr>
              <w:t>个月。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04" w:firstLineChars="200"/>
              <w:jc w:val="both"/>
              <w:textAlignment w:val="auto"/>
              <w:rPr>
                <w:rFonts w:hint="eastAsia"/>
                <w:color w:val="auto"/>
                <w:highlight w:val="none"/>
                <w:lang w:val="en-US" w:eastAsia="zh-CN"/>
              </w:rPr>
            </w:pPr>
            <w:r>
              <w:rPr>
                <w:rFonts w:hint="eastAsia" w:ascii="Times New Roman" w:hAnsi="Times New Roman" w:eastAsia="宋体" w:cs="Times New Roman"/>
                <w:color w:val="auto"/>
                <w:spacing w:val="6"/>
                <w:sz w:val="24"/>
                <w:szCs w:val="24"/>
                <w:lang w:val="en-US" w:eastAsia="zh-CN"/>
              </w:rPr>
              <w:t>5、运营</w:t>
            </w:r>
            <w:r>
              <w:rPr>
                <w:rFonts w:hint="eastAsia" w:cs="Times New Roman"/>
                <w:color w:val="auto"/>
                <w:spacing w:val="6"/>
                <w:sz w:val="24"/>
                <w:szCs w:val="24"/>
                <w:highlight w:val="none"/>
                <w:lang w:val="en-US" w:eastAsia="zh-CN"/>
              </w:rPr>
              <w:t>期工艺流程</w:t>
            </w:r>
          </w:p>
          <w:p>
            <w:pPr>
              <w:pStyle w:val="2"/>
              <w:rPr>
                <w:rFonts w:hint="eastAsia"/>
                <w:color w:val="auto"/>
                <w:highlight w:val="none"/>
                <w:lang w:val="en-US" w:eastAsia="zh-CN"/>
              </w:rPr>
            </w:pPr>
            <w:r>
              <w:rPr>
                <w:rFonts w:hint="default" w:ascii="Times New Roman" w:hAnsi="Times New Roman" w:eastAsia="宋体" w:cs="Times New Roman"/>
                <w:color w:val="auto"/>
                <w:highlight w:val="none"/>
              </w:rPr>
              <w:object>
                <v:shape id="_x0000_i1026" o:spt="75" type="#_x0000_t75" style="height:162.4pt;width:298.2pt;" o:ole="t" filled="f" o:preferrelative="t" stroked="f" coordsize="21600,21600">
                  <v:path/>
                  <v:fill on="f" focussize="0,0"/>
                  <v:stroke on="f"/>
                  <v:imagedata r:id="rId12" o:title=""/>
                  <o:lock v:ext="edit" aspectratio="f"/>
                  <w10:wrap type="none"/>
                  <w10:anchorlock/>
                </v:shape>
                <o:OLEObject Type="Embed" ProgID="Visio.Drawing.15" ShapeID="_x0000_i1026" DrawAspect="Content" ObjectID="_1468075726" r:id="rId11">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color w:val="auto"/>
                <w:spacing w:val="6"/>
                <w:sz w:val="24"/>
                <w:szCs w:val="24"/>
                <w:highlight w:val="none"/>
                <w:lang w:val="en-US" w:eastAsia="zh-CN"/>
              </w:rPr>
            </w:pPr>
            <w:r>
              <w:rPr>
                <w:rFonts w:hint="eastAsia"/>
                <w:b/>
                <w:bCs/>
                <w:color w:val="auto"/>
                <w:sz w:val="21"/>
                <w:szCs w:val="21"/>
                <w:highlight w:val="none"/>
                <w:lang w:val="en-US" w:eastAsia="zh-CN"/>
              </w:rPr>
              <w:t>图2-3 项目运营期工艺流程及污染物节点图</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eastAsia" w:ascii="Times New Roman" w:hAnsi="Times New Roman" w:eastAsia="宋体" w:cs="Times New Roman"/>
                <w:color w:val="auto"/>
                <w:spacing w:val="6"/>
                <w:sz w:val="24"/>
                <w:szCs w:val="24"/>
                <w:highlight w:val="none"/>
                <w:lang w:val="en-US" w:eastAsia="zh-CN"/>
              </w:rPr>
              <w:t>（1）</w:t>
            </w:r>
            <w:r>
              <w:rPr>
                <w:rFonts w:hint="eastAsia" w:ascii="Times New Roman" w:hAnsi="Times New Roman" w:eastAsia="宋体" w:cs="Times New Roman"/>
                <w:color w:val="auto"/>
                <w:spacing w:val="6"/>
                <w:sz w:val="24"/>
                <w:szCs w:val="24"/>
                <w:lang w:val="en-US" w:eastAsia="zh-CN"/>
              </w:rPr>
              <w:t>表土剥离</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eastAsia" w:ascii="Times New Roman" w:hAnsi="Times New Roman" w:eastAsia="宋体" w:cs="Times New Roman"/>
                <w:color w:val="auto"/>
                <w:spacing w:val="6"/>
                <w:sz w:val="24"/>
                <w:szCs w:val="24"/>
                <w:lang w:val="en-US" w:eastAsia="zh-CN"/>
              </w:rPr>
              <w:t>待采矿体表面被表土层覆盖，在采石前须将其剥离，为采石工序做好准备。表土层剥离通过挖掘机与人工配合完成。表土用装载车运输至</w:t>
            </w:r>
            <w:r>
              <w:rPr>
                <w:rFonts w:hint="eastAsia" w:cs="Times New Roman"/>
                <w:color w:val="auto"/>
                <w:spacing w:val="6"/>
                <w:sz w:val="24"/>
                <w:szCs w:val="24"/>
                <w:lang w:val="en-US" w:eastAsia="zh-CN"/>
              </w:rPr>
              <w:t>排土场</w:t>
            </w:r>
            <w:r>
              <w:rPr>
                <w:rFonts w:hint="eastAsia" w:ascii="Times New Roman" w:hAnsi="Times New Roman" w:eastAsia="宋体" w:cs="Times New Roman"/>
                <w:color w:val="auto"/>
                <w:spacing w:val="6"/>
                <w:sz w:val="24"/>
                <w:szCs w:val="24"/>
                <w:lang w:val="en-US" w:eastAsia="zh-CN"/>
              </w:rPr>
              <w:t>堆存，作为矿山采空区复垦土。此过程会产生弃土、粉尘和噪声。</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eastAsia" w:ascii="Times New Roman" w:hAnsi="Times New Roman" w:eastAsia="宋体" w:cs="Times New Roman"/>
                <w:color w:val="auto"/>
                <w:spacing w:val="6"/>
                <w:sz w:val="24"/>
                <w:szCs w:val="24"/>
                <w:lang w:val="en-US" w:eastAsia="zh-CN"/>
              </w:rPr>
            </w:pPr>
            <w:r>
              <w:rPr>
                <w:rFonts w:hint="eastAsia" w:ascii="Times New Roman" w:hAnsi="Times New Roman" w:eastAsia="宋体" w:cs="Times New Roman"/>
                <w:color w:val="auto"/>
                <w:spacing w:val="6"/>
                <w:sz w:val="24"/>
                <w:szCs w:val="24"/>
                <w:lang w:val="en-US" w:eastAsia="zh-CN"/>
              </w:rPr>
              <w:t>（2）湿式凿岩</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eastAsia" w:ascii="Times New Roman" w:hAnsi="Times New Roman" w:eastAsia="宋体" w:cs="Times New Roman"/>
                <w:color w:val="auto"/>
                <w:spacing w:val="6"/>
                <w:sz w:val="24"/>
                <w:szCs w:val="24"/>
                <w:lang w:val="en-US" w:eastAsia="zh-CN"/>
              </w:rPr>
            </w:pPr>
            <w:r>
              <w:rPr>
                <w:rFonts w:hint="eastAsia" w:ascii="Times New Roman" w:hAnsi="Times New Roman" w:eastAsia="宋体" w:cs="Times New Roman"/>
                <w:color w:val="auto"/>
                <w:spacing w:val="6"/>
                <w:sz w:val="24"/>
                <w:szCs w:val="24"/>
                <w:lang w:val="en-US" w:eastAsia="zh-CN"/>
              </w:rPr>
              <w:t>项目采取湿式作业，采用切割机切割，可大量减少粉尘的产生。湿法作业用水自然蒸干。此过程会产生</w:t>
            </w:r>
            <w:r>
              <w:rPr>
                <w:rFonts w:hint="eastAsia" w:cs="Times New Roman"/>
                <w:color w:val="auto"/>
                <w:spacing w:val="6"/>
                <w:sz w:val="24"/>
                <w:szCs w:val="24"/>
                <w:lang w:val="en-US" w:eastAsia="zh-CN"/>
              </w:rPr>
              <w:t>固废、</w:t>
            </w:r>
            <w:r>
              <w:rPr>
                <w:rFonts w:hint="eastAsia" w:ascii="Times New Roman" w:hAnsi="Times New Roman" w:eastAsia="宋体" w:cs="Times New Roman"/>
                <w:color w:val="auto"/>
                <w:spacing w:val="6"/>
                <w:sz w:val="24"/>
                <w:szCs w:val="24"/>
                <w:lang w:val="en-US" w:eastAsia="zh-CN"/>
              </w:rPr>
              <w:t>粉尘</w:t>
            </w:r>
            <w:r>
              <w:rPr>
                <w:rFonts w:hint="eastAsia" w:cs="Times New Roman"/>
                <w:color w:val="auto"/>
                <w:spacing w:val="6"/>
                <w:sz w:val="24"/>
                <w:szCs w:val="24"/>
                <w:lang w:val="en-US" w:eastAsia="zh-CN"/>
              </w:rPr>
              <w:t>、</w:t>
            </w:r>
            <w:r>
              <w:rPr>
                <w:rFonts w:hint="eastAsia" w:ascii="Times New Roman" w:hAnsi="Times New Roman" w:eastAsia="宋体" w:cs="Times New Roman"/>
                <w:color w:val="auto"/>
                <w:spacing w:val="6"/>
                <w:sz w:val="24"/>
                <w:szCs w:val="24"/>
                <w:lang w:val="en-US" w:eastAsia="zh-CN"/>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eastAsia" w:ascii="Times New Roman" w:hAnsi="Times New Roman" w:eastAsia="宋体" w:cs="Times New Roman"/>
                <w:color w:val="auto"/>
                <w:spacing w:val="6"/>
                <w:sz w:val="24"/>
                <w:szCs w:val="24"/>
                <w:lang w:val="en-US" w:eastAsia="zh-CN"/>
              </w:rPr>
            </w:pPr>
            <w:r>
              <w:rPr>
                <w:rFonts w:hint="eastAsia" w:ascii="Times New Roman" w:hAnsi="Times New Roman" w:eastAsia="宋体" w:cs="Times New Roman"/>
                <w:color w:val="auto"/>
                <w:spacing w:val="6"/>
                <w:sz w:val="24"/>
                <w:szCs w:val="24"/>
                <w:lang w:val="en-US" w:eastAsia="zh-CN"/>
              </w:rPr>
              <w:t>（3）工业加工</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eastAsia" w:ascii="Times New Roman" w:hAnsi="Times New Roman" w:eastAsia="宋体" w:cs="Times New Roman"/>
                <w:color w:val="auto"/>
                <w:spacing w:val="6"/>
                <w:sz w:val="24"/>
                <w:szCs w:val="24"/>
                <w:lang w:val="en-US" w:eastAsia="zh-CN"/>
              </w:rPr>
            </w:pPr>
            <w:r>
              <w:rPr>
                <w:rFonts w:hint="eastAsia" w:ascii="Times New Roman" w:hAnsi="Times New Roman" w:eastAsia="宋体" w:cs="Times New Roman"/>
                <w:color w:val="auto"/>
                <w:spacing w:val="6"/>
                <w:sz w:val="24"/>
                <w:szCs w:val="24"/>
                <w:lang w:val="en-US" w:eastAsia="zh-CN"/>
              </w:rPr>
              <w:t>将采好的</w:t>
            </w:r>
            <w:r>
              <w:rPr>
                <w:rFonts w:hint="eastAsia" w:cs="Times New Roman"/>
                <w:color w:val="auto"/>
                <w:spacing w:val="6"/>
                <w:sz w:val="24"/>
                <w:szCs w:val="24"/>
                <w:lang w:val="en-US" w:eastAsia="zh-CN"/>
              </w:rPr>
              <w:t>花</w:t>
            </w:r>
            <w:r>
              <w:rPr>
                <w:rFonts w:hint="eastAsia" w:ascii="Times New Roman" w:hAnsi="Times New Roman" w:eastAsia="宋体" w:cs="Times New Roman"/>
                <w:color w:val="auto"/>
                <w:spacing w:val="6"/>
                <w:sz w:val="24"/>
                <w:szCs w:val="24"/>
                <w:lang w:val="en-US" w:eastAsia="zh-CN"/>
              </w:rPr>
              <w:t>岗岩荒料运送到</w:t>
            </w:r>
            <w:r>
              <w:rPr>
                <w:rFonts w:hint="eastAsia" w:cs="Times New Roman"/>
                <w:color w:val="auto"/>
                <w:spacing w:val="6"/>
                <w:sz w:val="24"/>
                <w:szCs w:val="24"/>
                <w:lang w:val="en-US" w:eastAsia="zh-CN"/>
              </w:rPr>
              <w:t>生产车间</w:t>
            </w:r>
            <w:r>
              <w:rPr>
                <w:rFonts w:hint="eastAsia" w:ascii="Times New Roman" w:hAnsi="Times New Roman" w:eastAsia="宋体" w:cs="Times New Roman"/>
                <w:color w:val="auto"/>
                <w:spacing w:val="6"/>
                <w:sz w:val="24"/>
                <w:szCs w:val="24"/>
                <w:lang w:val="en-US" w:eastAsia="zh-CN"/>
              </w:rPr>
              <w:t>进行切割及喷砂过程。此过程会产生</w:t>
            </w:r>
            <w:r>
              <w:rPr>
                <w:rFonts w:hint="eastAsia" w:cs="Times New Roman"/>
                <w:color w:val="auto"/>
                <w:spacing w:val="6"/>
                <w:sz w:val="24"/>
                <w:szCs w:val="24"/>
                <w:lang w:val="en-US" w:eastAsia="zh-CN"/>
              </w:rPr>
              <w:t>固废、</w:t>
            </w:r>
            <w:r>
              <w:rPr>
                <w:rFonts w:hint="eastAsia" w:ascii="Times New Roman" w:hAnsi="Times New Roman" w:eastAsia="宋体" w:cs="Times New Roman"/>
                <w:color w:val="auto"/>
                <w:spacing w:val="6"/>
                <w:sz w:val="24"/>
                <w:szCs w:val="24"/>
                <w:lang w:val="en-US" w:eastAsia="zh-CN"/>
              </w:rPr>
              <w:t>粉尘</w:t>
            </w:r>
            <w:r>
              <w:rPr>
                <w:rFonts w:hint="eastAsia" w:cs="Times New Roman"/>
                <w:color w:val="auto"/>
                <w:spacing w:val="6"/>
                <w:sz w:val="24"/>
                <w:szCs w:val="24"/>
                <w:lang w:val="en-US" w:eastAsia="zh-CN"/>
              </w:rPr>
              <w:t>、</w:t>
            </w:r>
            <w:r>
              <w:rPr>
                <w:rFonts w:hint="eastAsia" w:ascii="Times New Roman" w:hAnsi="Times New Roman" w:eastAsia="宋体" w:cs="Times New Roman"/>
                <w:color w:val="auto"/>
                <w:spacing w:val="6"/>
                <w:sz w:val="24"/>
                <w:szCs w:val="24"/>
                <w:lang w:val="en-US" w:eastAsia="zh-CN"/>
              </w:rPr>
              <w:t>噪声</w:t>
            </w:r>
            <w:r>
              <w:rPr>
                <w:rFonts w:hint="eastAsia" w:cs="Times New Roman"/>
                <w:color w:val="auto"/>
                <w:spacing w:val="6"/>
                <w:sz w:val="24"/>
                <w:szCs w:val="24"/>
                <w:lang w:val="en-US" w:eastAsia="zh-CN"/>
              </w:rPr>
              <w:t>和废水</w:t>
            </w:r>
            <w:r>
              <w:rPr>
                <w:rFonts w:hint="eastAsia" w:ascii="Times New Roman" w:hAnsi="Times New Roman" w:eastAsia="宋体" w:cs="Times New Roman"/>
                <w:color w:val="auto"/>
                <w:spacing w:val="6"/>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color w:val="auto"/>
                <w:spacing w:val="6"/>
                <w:sz w:val="24"/>
                <w:szCs w:val="24"/>
                <w:lang w:val="en-US" w:eastAsia="zh-CN"/>
              </w:rPr>
              <w:t>4）</w:t>
            </w:r>
            <w:r>
              <w:rPr>
                <w:rFonts w:hint="eastAsia" w:ascii="Times New Roman" w:hAnsi="Times New Roman" w:eastAsia="宋体" w:cs="Times New Roman"/>
                <w:color w:val="auto"/>
                <w:spacing w:val="6"/>
                <w:sz w:val="24"/>
                <w:szCs w:val="24"/>
                <w:lang w:val="en-US" w:eastAsia="zh-CN"/>
              </w:rPr>
              <w:t>产品运输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04" w:firstLineChars="200"/>
              <w:jc w:val="both"/>
              <w:textAlignment w:val="auto"/>
              <w:rPr>
                <w:rFonts w:hint="default" w:ascii="Times New Roman" w:hAnsi="Times New Roman" w:eastAsia="宋体" w:cs="Times New Roman"/>
                <w:color w:val="auto"/>
                <w:spacing w:val="6"/>
                <w:kern w:val="2"/>
                <w:sz w:val="24"/>
                <w:szCs w:val="24"/>
                <w:lang w:val="en-US" w:eastAsia="zh-CN" w:bidi="ar-SA"/>
              </w:rPr>
            </w:pPr>
            <w:r>
              <w:rPr>
                <w:rFonts w:hint="eastAsia" w:cs="Times New Roman"/>
                <w:color w:val="auto"/>
                <w:spacing w:val="6"/>
                <w:kern w:val="2"/>
                <w:sz w:val="24"/>
                <w:szCs w:val="24"/>
                <w:lang w:val="en-US" w:eastAsia="zh-CN" w:bidi="ar-SA"/>
              </w:rPr>
              <w:t>将加工好的花岗岩成品和荒料运输到下游企业。</w:t>
            </w:r>
            <w:r>
              <w:rPr>
                <w:rFonts w:hint="eastAsia" w:ascii="Times New Roman" w:hAnsi="Times New Roman" w:eastAsia="宋体" w:cs="Times New Roman"/>
                <w:color w:val="auto"/>
                <w:spacing w:val="6"/>
                <w:sz w:val="24"/>
                <w:szCs w:val="24"/>
                <w:lang w:val="en-US" w:eastAsia="zh-CN"/>
              </w:rPr>
              <w:t>此过程会产生扬尘。</w:t>
            </w:r>
          </w:p>
          <w:p>
            <w:pPr>
              <w:pStyle w:val="21"/>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Lines="0" w:afterAutospacing="0" w:line="240" w:lineRule="auto"/>
              <w:ind w:left="0" w:right="0"/>
              <w:jc w:val="center"/>
              <w:textAlignment w:val="auto"/>
              <w:rPr>
                <w:rFonts w:hint="default" w:cs="Times New Roman"/>
                <w:color w:val="auto"/>
                <w:spacing w:val="6"/>
                <w:sz w:val="24"/>
                <w:szCs w:val="24"/>
                <w:lang w:val="en-US" w:eastAsia="zh-CN"/>
              </w:rPr>
            </w:pPr>
            <w:r>
              <w:rPr>
                <w:rFonts w:hint="default" w:ascii="Times New Roman" w:hAnsi="Times New Roman" w:eastAsia="宋体" w:cs="Times New Roman"/>
                <w:b/>
                <w:color w:val="auto"/>
                <w:kern w:val="2"/>
                <w:sz w:val="21"/>
                <w:szCs w:val="21"/>
                <w:lang w:val="en-US" w:eastAsia="zh-CN" w:bidi="ar"/>
              </w:rPr>
              <w:t>表2-</w:t>
            </w:r>
            <w:r>
              <w:rPr>
                <w:rFonts w:hint="eastAsia" w:ascii="Times New Roman" w:hAnsi="Times New Roman" w:cs="Times New Roman"/>
                <w:b/>
                <w:color w:val="auto"/>
                <w:kern w:val="2"/>
                <w:sz w:val="21"/>
                <w:szCs w:val="21"/>
                <w:lang w:val="en-US" w:eastAsia="zh-CN" w:bidi="ar"/>
              </w:rPr>
              <w:t>9</w:t>
            </w:r>
            <w:r>
              <w:rPr>
                <w:rFonts w:hint="default" w:ascii="Times New Roman" w:hAnsi="Times New Roman" w:eastAsia="宋体" w:cs="Times New Roman"/>
                <w:b/>
                <w:color w:val="auto"/>
                <w:kern w:val="2"/>
                <w:sz w:val="21"/>
                <w:szCs w:val="21"/>
                <w:lang w:val="en-US" w:eastAsia="zh-CN" w:bidi="ar"/>
              </w:rPr>
              <w:t xml:space="preserve">    产污环节</w:t>
            </w:r>
            <w:r>
              <w:rPr>
                <w:rFonts w:hint="eastAsia" w:ascii="宋体" w:hAnsi="宋体" w:eastAsia="宋体" w:cs="宋体"/>
                <w:b/>
                <w:color w:val="auto"/>
                <w:kern w:val="2"/>
                <w:sz w:val="21"/>
                <w:szCs w:val="21"/>
                <w:lang w:val="en-US" w:eastAsia="zh-CN" w:bidi="ar"/>
              </w:rPr>
              <w:t>一览表</w:t>
            </w:r>
          </w:p>
          <w:tbl>
            <w:tblPr>
              <w:tblStyle w:val="47"/>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66"/>
              <w:gridCol w:w="1633"/>
              <w:gridCol w:w="1432"/>
              <w:gridCol w:w="4251"/>
            </w:tblGrid>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687" w:type="pct"/>
                  <w:tcBorders>
                    <w:tl2br w:val="nil"/>
                    <w:tr2bl w:val="nil"/>
                  </w:tcBorders>
                  <w:noWrap w:val="0"/>
                  <w:vAlign w:val="center"/>
                </w:tcPr>
                <w:p>
                  <w:pPr>
                    <w:pStyle w:val="27"/>
                    <w:pageBreakBefore w:val="0"/>
                    <w:kinsoku/>
                    <w:overflowPunct/>
                    <w:topLinePunct w:val="0"/>
                    <w:bidi w:val="0"/>
                    <w:jc w:val="center"/>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污染类型</w:t>
                  </w:r>
                </w:p>
              </w:tc>
              <w:tc>
                <w:tcPr>
                  <w:tcW w:w="962" w:type="pct"/>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产污节点</w:t>
                  </w:r>
                </w:p>
              </w:tc>
              <w:tc>
                <w:tcPr>
                  <w:tcW w:w="844" w:type="pct"/>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污染因子</w:t>
                  </w:r>
                </w:p>
              </w:tc>
              <w:tc>
                <w:tcPr>
                  <w:tcW w:w="2505" w:type="pct"/>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处理措施</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687" w:type="pct"/>
                  <w:vMerge w:val="restart"/>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废气</w:t>
                  </w:r>
                </w:p>
              </w:tc>
              <w:tc>
                <w:tcPr>
                  <w:tcW w:w="962" w:type="pct"/>
                  <w:tcBorders>
                    <w:tl2br w:val="nil"/>
                    <w:tr2bl w:val="nil"/>
                  </w:tcBorders>
                  <w:shd w:val="clear" w:color="auto" w:fill="auto"/>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
                    </w:rPr>
                    <w:t>凿岩粉尘</w:t>
                  </w:r>
                </w:p>
              </w:tc>
              <w:tc>
                <w:tcPr>
                  <w:tcW w:w="844" w:type="pct"/>
                  <w:tcBorders>
                    <w:tl2br w:val="nil"/>
                    <w:tr2bl w:val="nil"/>
                  </w:tcBorders>
                  <w:noWrap w:val="0"/>
                  <w:vAlign w:val="center"/>
                </w:tcPr>
                <w:p>
                  <w:pPr>
                    <w:pStyle w:val="27"/>
                    <w:pageBreakBefore w:val="0"/>
                    <w:kinsoku/>
                    <w:overflowPunct/>
                    <w:topLinePunct w:val="0"/>
                    <w:bidi w:val="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颗粒物</w:t>
                  </w:r>
                </w:p>
              </w:tc>
              <w:tc>
                <w:tcPr>
                  <w:tcW w:w="2505" w:type="pct"/>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湿法作业</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687" w:type="pct"/>
                  <w:vMerge w:val="continue"/>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rPr>
                  </w:pPr>
                </w:p>
              </w:tc>
              <w:tc>
                <w:tcPr>
                  <w:tcW w:w="962" w:type="pct"/>
                  <w:tcBorders>
                    <w:tl2br w:val="nil"/>
                    <w:tr2bl w:val="nil"/>
                  </w:tcBorders>
                  <w:shd w:val="clear" w:color="auto" w:fill="auto"/>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rPr>
                    <w:t>装卸和风蚀扬尘</w:t>
                  </w:r>
                </w:p>
              </w:tc>
              <w:tc>
                <w:tcPr>
                  <w:tcW w:w="844"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颗粒物</w:t>
                  </w:r>
                </w:p>
              </w:tc>
              <w:tc>
                <w:tcPr>
                  <w:tcW w:w="2505"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以无组织形式排放</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687" w:type="pct"/>
                  <w:vMerge w:val="continue"/>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rPr>
                  </w:pPr>
                </w:p>
              </w:tc>
              <w:tc>
                <w:tcPr>
                  <w:tcW w:w="962" w:type="pct"/>
                  <w:tcBorders>
                    <w:tl2br w:val="nil"/>
                    <w:tr2bl w:val="nil"/>
                  </w:tcBorders>
                  <w:shd w:val="clear" w:color="auto" w:fill="auto"/>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lang w:val="en-US" w:eastAsia="zh-CN" w:bidi="ar"/>
                    </w:rPr>
                  </w:pPr>
                  <w:r>
                    <w:rPr>
                      <w:rFonts w:hint="eastAsia" w:ascii="宋体" w:hAnsi="宋体" w:cs="宋体"/>
                      <w:b w:val="0"/>
                      <w:bCs w:val="0"/>
                      <w:color w:val="auto"/>
                      <w:kern w:val="2"/>
                      <w:sz w:val="21"/>
                      <w:szCs w:val="21"/>
                      <w:lang w:val="en-US" w:eastAsia="zh-CN" w:bidi="ar"/>
                    </w:rPr>
                    <w:t>加工粉尘</w:t>
                  </w:r>
                </w:p>
              </w:tc>
              <w:tc>
                <w:tcPr>
                  <w:tcW w:w="844"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颗粒物</w:t>
                  </w:r>
                </w:p>
              </w:tc>
              <w:tc>
                <w:tcPr>
                  <w:tcW w:w="2505"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在车间内以无组织形式排放</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687" w:type="pct"/>
                  <w:vMerge w:val="continue"/>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rPr>
                  </w:pPr>
                </w:p>
              </w:tc>
              <w:tc>
                <w:tcPr>
                  <w:tcW w:w="962" w:type="pct"/>
                  <w:tcBorders>
                    <w:tl2br w:val="nil"/>
                    <w:tr2bl w:val="nil"/>
                  </w:tcBorders>
                  <w:shd w:val="clear" w:color="auto" w:fill="auto"/>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s="宋体"/>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rPr>
                    <w:t>喷砂机粉尘</w:t>
                  </w:r>
                </w:p>
              </w:tc>
              <w:tc>
                <w:tcPr>
                  <w:tcW w:w="844"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颗粒物</w:t>
                  </w:r>
                </w:p>
              </w:tc>
              <w:tc>
                <w:tcPr>
                  <w:tcW w:w="2505"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经布袋除尘器处理后，通过15m高排气筒（DA001）排放</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687" w:type="pct"/>
                  <w:vMerge w:val="continue"/>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rPr>
                  </w:pPr>
                </w:p>
              </w:tc>
              <w:tc>
                <w:tcPr>
                  <w:tcW w:w="962" w:type="pct"/>
                  <w:tcBorders>
                    <w:tl2br w:val="nil"/>
                    <w:tr2bl w:val="nil"/>
                  </w:tcBorders>
                  <w:shd w:val="clear" w:color="auto" w:fill="auto"/>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lang w:val="en-US" w:eastAsia="zh-CN" w:bidi="ar"/>
                    </w:rPr>
                  </w:pPr>
                  <w:r>
                    <w:rPr>
                      <w:rFonts w:hint="eastAsia" w:ascii="宋体" w:hAnsi="宋体" w:eastAsia="宋体" w:cs="宋体"/>
                      <w:b w:val="0"/>
                      <w:bCs w:val="0"/>
                      <w:color w:val="auto"/>
                      <w:kern w:val="2"/>
                      <w:sz w:val="21"/>
                      <w:szCs w:val="21"/>
                      <w:lang w:val="en-US" w:eastAsia="zh-CN" w:bidi="ar"/>
                    </w:rPr>
                    <w:t>运输扬尘</w:t>
                  </w:r>
                </w:p>
              </w:tc>
              <w:tc>
                <w:tcPr>
                  <w:tcW w:w="844" w:type="pct"/>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颗粒物</w:t>
                  </w:r>
                </w:p>
              </w:tc>
              <w:tc>
                <w:tcPr>
                  <w:tcW w:w="2505" w:type="pct"/>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lang w:val="en-US" w:eastAsia="zh-CN"/>
                    </w:rPr>
                    <w:t>控制车速</w:t>
                  </w:r>
                  <w:r>
                    <w:rPr>
                      <w:rFonts w:hint="eastAsia" w:ascii="Times New Roman" w:hAnsi="Times New Roman"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运输道路采取洒水抑尘措施</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687" w:type="pct"/>
                  <w:vMerge w:val="continue"/>
                  <w:tcBorders>
                    <w:tl2br w:val="nil"/>
                    <w:tr2bl w:val="nil"/>
                  </w:tcBorders>
                  <w:noWrap w:val="0"/>
                  <w:vAlign w:val="center"/>
                </w:tcPr>
                <w:p>
                  <w:pPr>
                    <w:pStyle w:val="27"/>
                    <w:pageBreakBefore w:val="0"/>
                    <w:kinsoku/>
                    <w:overflowPunct/>
                    <w:topLinePunct w:val="0"/>
                    <w:bidi w:val="0"/>
                    <w:jc w:val="center"/>
                    <w:textAlignment w:val="auto"/>
                    <w:rPr>
                      <w:color w:val="auto"/>
                    </w:rPr>
                  </w:pPr>
                </w:p>
              </w:tc>
              <w:tc>
                <w:tcPr>
                  <w:tcW w:w="962" w:type="pct"/>
                  <w:tcBorders>
                    <w:tl2br w:val="nil"/>
                    <w:tr2bl w:val="nil"/>
                  </w:tcBorders>
                  <w:shd w:val="clear" w:color="auto" w:fill="auto"/>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rPr>
                    <w:t>食堂油烟</w:t>
                  </w:r>
                </w:p>
              </w:tc>
              <w:tc>
                <w:tcPr>
                  <w:tcW w:w="844" w:type="pct"/>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油烟</w:t>
                  </w:r>
                </w:p>
              </w:tc>
              <w:tc>
                <w:tcPr>
                  <w:tcW w:w="2505" w:type="pct"/>
                  <w:tcBorders>
                    <w:tl2br w:val="nil"/>
                    <w:tr2bl w:val="nil"/>
                  </w:tcBorders>
                  <w:noWrap w:val="0"/>
                  <w:vAlign w:val="center"/>
                </w:tcPr>
                <w:p>
                  <w:pPr>
                    <w:pStyle w:val="27"/>
                    <w:pageBreakBefore w:val="0"/>
                    <w:kinsoku/>
                    <w:overflowPunct/>
                    <w:topLinePunct w:val="0"/>
                    <w:bidi w:val="0"/>
                    <w:jc w:val="center"/>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val="0"/>
                      <w:color w:val="auto"/>
                      <w:kern w:val="21"/>
                      <w:sz w:val="21"/>
                      <w:szCs w:val="21"/>
                      <w:vertAlign w:val="baseline"/>
                      <w:lang w:val="en-US" w:eastAsia="zh-CN"/>
                    </w:rPr>
                    <w:t>由效率为</w:t>
                  </w:r>
                  <w:r>
                    <w:rPr>
                      <w:rFonts w:hint="default" w:ascii="Times New Roman" w:hAnsi="Times New Roman" w:cs="Times New Roman"/>
                      <w:b w:val="0"/>
                      <w:bCs w:val="0"/>
                      <w:color w:val="auto"/>
                      <w:kern w:val="21"/>
                      <w:sz w:val="21"/>
                      <w:szCs w:val="21"/>
                      <w:vertAlign w:val="baseline"/>
                      <w:lang w:val="en-US" w:eastAsia="zh-CN"/>
                    </w:rPr>
                    <w:t>85%</w:t>
                  </w:r>
                  <w:r>
                    <w:rPr>
                      <w:rFonts w:hint="eastAsia" w:cs="Times New Roman"/>
                      <w:b w:val="0"/>
                      <w:bCs w:val="0"/>
                      <w:color w:val="auto"/>
                      <w:kern w:val="21"/>
                      <w:sz w:val="21"/>
                      <w:szCs w:val="21"/>
                      <w:vertAlign w:val="baseline"/>
                      <w:lang w:val="en-US" w:eastAsia="zh-CN"/>
                    </w:rPr>
                    <w:t>的油烟净化器处理后，由1根高于屋顶的排气筒排放</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687" w:type="pct"/>
                  <w:vMerge w:val="restart"/>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废水</w:t>
                  </w:r>
                </w:p>
              </w:tc>
              <w:tc>
                <w:tcPr>
                  <w:tcW w:w="962" w:type="pct"/>
                  <w:tcBorders>
                    <w:tl2br w:val="nil"/>
                    <w:tr2bl w:val="nil"/>
                  </w:tcBorders>
                  <w:noWrap w:val="0"/>
                  <w:vAlign w:val="center"/>
                </w:tcPr>
                <w:p>
                  <w:pPr>
                    <w:pStyle w:val="27"/>
                    <w:pageBreakBefore w:val="0"/>
                    <w:kinsoku/>
                    <w:overflowPunct/>
                    <w:topLinePunct w:val="0"/>
                    <w:bidi w:val="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生活</w:t>
                  </w:r>
                </w:p>
              </w:tc>
              <w:tc>
                <w:tcPr>
                  <w:tcW w:w="844" w:type="pct"/>
                  <w:tcBorders>
                    <w:tl2br w:val="nil"/>
                    <w:tr2bl w:val="nil"/>
                  </w:tcBorders>
                  <w:noWrap w:val="0"/>
                  <w:vAlign w:val="center"/>
                </w:tcPr>
                <w:p>
                  <w:pPr>
                    <w:pStyle w:val="27"/>
                    <w:pageBreakBefore w:val="0"/>
                    <w:kinsoku/>
                    <w:overflowPunct/>
                    <w:topLinePunct w:val="0"/>
                    <w:bidi w:val="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生活污水</w:t>
                  </w:r>
                </w:p>
              </w:tc>
              <w:tc>
                <w:tcPr>
                  <w:tcW w:w="2505" w:type="pct"/>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eastAsia="zh-CN"/>
                    </w:rPr>
                    <w:t>生活污水</w:t>
                  </w:r>
                  <w:r>
                    <w:rPr>
                      <w:rFonts w:hint="eastAsia" w:ascii="Times New Roman" w:hAnsi="Times New Roman" w:eastAsia="宋体" w:cs="Times New Roman"/>
                      <w:b w:val="0"/>
                      <w:bCs/>
                      <w:color w:val="auto"/>
                      <w:sz w:val="21"/>
                      <w:szCs w:val="21"/>
                      <w:lang w:val="en-US" w:eastAsia="zh-CN"/>
                    </w:rPr>
                    <w:t>经</w:t>
                  </w:r>
                  <w:r>
                    <w:rPr>
                      <w:rFonts w:hint="default" w:ascii="Times New Roman" w:hAnsi="Times New Roman" w:eastAsia="宋体" w:cs="Times New Roman"/>
                      <w:b w:val="0"/>
                      <w:bCs/>
                      <w:color w:val="auto"/>
                      <w:sz w:val="21"/>
                      <w:szCs w:val="21"/>
                      <w:lang w:eastAsia="zh-CN"/>
                    </w:rPr>
                    <w:t>地埋式污水处理设施处理后用于项目区周边荒漠生态恢复的灌溉</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687" w:type="pct"/>
                  <w:vMerge w:val="continue"/>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rPr>
                  </w:pPr>
                </w:p>
              </w:tc>
              <w:tc>
                <w:tcPr>
                  <w:tcW w:w="962" w:type="pct"/>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生产</w:t>
                  </w:r>
                </w:p>
              </w:tc>
              <w:tc>
                <w:tcPr>
                  <w:tcW w:w="844"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SS</w:t>
                  </w:r>
                </w:p>
              </w:tc>
              <w:tc>
                <w:tcPr>
                  <w:tcW w:w="2505"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val="en-US" w:eastAsia="zh-CN"/>
                    </w:rPr>
                    <w:t>经沉淀池处理后循环使用</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687" w:type="pct"/>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噪声</w:t>
                  </w:r>
                </w:p>
              </w:tc>
              <w:tc>
                <w:tcPr>
                  <w:tcW w:w="962" w:type="pct"/>
                  <w:tcBorders>
                    <w:tl2br w:val="nil"/>
                    <w:tr2bl w:val="nil"/>
                  </w:tcBorders>
                  <w:noWrap w:val="0"/>
                  <w:vAlign w:val="center"/>
                </w:tcPr>
                <w:p>
                  <w:pPr>
                    <w:pStyle w:val="27"/>
                    <w:pageBreakBefore w:val="0"/>
                    <w:kinsoku/>
                    <w:overflowPunct/>
                    <w:topLinePunct w:val="0"/>
                    <w:bidi w:val="0"/>
                    <w:jc w:val="center"/>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生产</w:t>
                  </w:r>
                  <w:r>
                    <w:rPr>
                      <w:rFonts w:hint="eastAsia" w:ascii="Times New Roman" w:hAnsi="Times New Roman" w:eastAsia="宋体" w:cs="Times New Roman"/>
                      <w:b w:val="0"/>
                      <w:bCs/>
                      <w:color w:val="auto"/>
                      <w:sz w:val="21"/>
                      <w:szCs w:val="21"/>
                      <w:lang w:val="en-US" w:eastAsia="zh-CN"/>
                    </w:rPr>
                    <w:t>过程</w:t>
                  </w:r>
                </w:p>
              </w:tc>
              <w:tc>
                <w:tcPr>
                  <w:tcW w:w="844" w:type="pct"/>
                  <w:tcBorders>
                    <w:tl2br w:val="nil"/>
                    <w:tr2bl w:val="nil"/>
                  </w:tcBorders>
                  <w:noWrap w:val="0"/>
                  <w:vAlign w:val="center"/>
                </w:tcPr>
                <w:p>
                  <w:pPr>
                    <w:pStyle w:val="27"/>
                    <w:pageBreakBefore w:val="0"/>
                    <w:kinsoku/>
                    <w:overflowPunct/>
                    <w:topLinePunct w:val="0"/>
                    <w:bidi w:val="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噪声</w:t>
                  </w:r>
                </w:p>
              </w:tc>
              <w:tc>
                <w:tcPr>
                  <w:tcW w:w="2505" w:type="pct"/>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减振、隔声、距离衰减</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687" w:type="pct"/>
                  <w:vMerge w:val="restart"/>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固废</w:t>
                  </w:r>
                </w:p>
              </w:tc>
              <w:tc>
                <w:tcPr>
                  <w:tcW w:w="962" w:type="pct"/>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生活过程</w:t>
                  </w:r>
                </w:p>
              </w:tc>
              <w:tc>
                <w:tcPr>
                  <w:tcW w:w="844" w:type="pct"/>
                  <w:tcBorders>
                    <w:tl2br w:val="nil"/>
                    <w:tr2bl w:val="nil"/>
                  </w:tcBorders>
                  <w:noWrap w:val="0"/>
                  <w:vAlign w:val="center"/>
                </w:tcPr>
                <w:p>
                  <w:pPr>
                    <w:pStyle w:val="27"/>
                    <w:pageBreakBefore w:val="0"/>
                    <w:kinsoku/>
                    <w:overflowPunct/>
                    <w:topLinePunct w:val="0"/>
                    <w:bidi w:val="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生活垃圾</w:t>
                  </w:r>
                </w:p>
              </w:tc>
              <w:tc>
                <w:tcPr>
                  <w:tcW w:w="2505" w:type="pct"/>
                  <w:tcBorders>
                    <w:tl2br w:val="nil"/>
                    <w:tr2bl w:val="nil"/>
                  </w:tcBorders>
                  <w:noWrap w:val="0"/>
                  <w:vAlign w:val="center"/>
                </w:tcPr>
                <w:p>
                  <w:pPr>
                    <w:pStyle w:val="27"/>
                    <w:pageBreakBefore w:val="0"/>
                    <w:kinsoku/>
                    <w:overflowPunct/>
                    <w:topLinePunct w:val="0"/>
                    <w:bidi w:val="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生活垃圾集中收集后拉运至和硕县垃圾填埋场处理</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687" w:type="pct"/>
                  <w:vMerge w:val="continue"/>
                  <w:tcBorders>
                    <w:tl2br w:val="nil"/>
                    <w:tr2bl w:val="nil"/>
                  </w:tcBorders>
                  <w:noWrap w:val="0"/>
                  <w:vAlign w:val="center"/>
                </w:tcPr>
                <w:p>
                  <w:pPr>
                    <w:pStyle w:val="27"/>
                    <w:pageBreakBefore w:val="0"/>
                    <w:kinsoku/>
                    <w:overflowPunct/>
                    <w:topLinePunct w:val="0"/>
                    <w:bidi w:val="0"/>
                    <w:jc w:val="center"/>
                    <w:textAlignment w:val="auto"/>
                    <w:rPr>
                      <w:rFonts w:ascii="Times New Roman" w:hAnsi="Times New Roman" w:eastAsia="宋体" w:cs="Times New Roman"/>
                      <w:b w:val="0"/>
                      <w:bCs/>
                      <w:color w:val="auto"/>
                      <w:sz w:val="21"/>
                      <w:szCs w:val="21"/>
                    </w:rPr>
                  </w:pPr>
                </w:p>
              </w:tc>
              <w:tc>
                <w:tcPr>
                  <w:tcW w:w="962"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废气处理</w:t>
                  </w:r>
                </w:p>
              </w:tc>
              <w:tc>
                <w:tcPr>
                  <w:tcW w:w="844"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厂房内沉降粉尘及除尘灰</w:t>
                  </w:r>
                </w:p>
              </w:tc>
              <w:tc>
                <w:tcPr>
                  <w:tcW w:w="2505"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清运至堆放在</w:t>
                  </w:r>
                  <w:r>
                    <w:rPr>
                      <w:rFonts w:hint="eastAsia" w:ascii="Times New Roman" w:hAnsi="Times New Roman" w:eastAsia="宋体" w:cs="Times New Roman"/>
                      <w:b w:val="0"/>
                      <w:bCs/>
                      <w:color w:val="auto"/>
                      <w:sz w:val="21"/>
                      <w:szCs w:val="21"/>
                      <w:lang w:val="en-US" w:eastAsia="zh-CN"/>
                    </w:rPr>
                    <w:t>排土场</w:t>
                  </w:r>
                  <w:r>
                    <w:rPr>
                      <w:rFonts w:hint="default" w:ascii="Times New Roman" w:hAnsi="Times New Roman" w:eastAsia="宋体" w:cs="Times New Roman"/>
                      <w:b w:val="0"/>
                      <w:bCs/>
                      <w:color w:val="auto"/>
                      <w:sz w:val="21"/>
                      <w:szCs w:val="21"/>
                      <w:lang w:val="en-US" w:eastAsia="zh-CN"/>
                    </w:rPr>
                    <w:t>，边开采边回填，矿山开采结束后全部回填于采坑，平整场地</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687" w:type="pct"/>
                  <w:vMerge w:val="continue"/>
                  <w:tcBorders>
                    <w:tl2br w:val="nil"/>
                    <w:tr2bl w:val="nil"/>
                  </w:tcBorders>
                  <w:noWrap w:val="0"/>
                  <w:vAlign w:val="center"/>
                </w:tcPr>
                <w:p>
                  <w:pPr>
                    <w:pStyle w:val="27"/>
                    <w:pageBreakBefore w:val="0"/>
                    <w:kinsoku/>
                    <w:overflowPunct/>
                    <w:topLinePunct w:val="0"/>
                    <w:bidi w:val="0"/>
                    <w:jc w:val="center"/>
                    <w:textAlignment w:val="auto"/>
                    <w:rPr>
                      <w:rFonts w:ascii="Times New Roman" w:hAnsi="Times New Roman" w:eastAsia="宋体" w:cs="Times New Roman"/>
                      <w:b w:val="0"/>
                      <w:bCs/>
                      <w:color w:val="auto"/>
                      <w:sz w:val="21"/>
                      <w:szCs w:val="21"/>
                    </w:rPr>
                  </w:pPr>
                </w:p>
              </w:tc>
              <w:tc>
                <w:tcPr>
                  <w:tcW w:w="962" w:type="pct"/>
                  <w:vMerge w:val="restar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生产过程</w:t>
                  </w:r>
                </w:p>
              </w:tc>
              <w:tc>
                <w:tcPr>
                  <w:tcW w:w="844"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废石</w:t>
                  </w:r>
                  <w:r>
                    <w:rPr>
                      <w:rFonts w:hint="eastAsia" w:ascii="Times New Roman" w:hAnsi="Times New Roman"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边角料及不合格品</w:t>
                  </w:r>
                </w:p>
              </w:tc>
              <w:tc>
                <w:tcPr>
                  <w:tcW w:w="2505"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清运至堆放在</w:t>
                  </w:r>
                  <w:r>
                    <w:rPr>
                      <w:rFonts w:hint="eastAsia" w:ascii="Times New Roman" w:hAnsi="Times New Roman" w:eastAsia="宋体" w:cs="Times New Roman"/>
                      <w:b w:val="0"/>
                      <w:bCs/>
                      <w:color w:val="auto"/>
                      <w:sz w:val="21"/>
                      <w:szCs w:val="21"/>
                      <w:lang w:val="en-US" w:eastAsia="zh-CN"/>
                    </w:rPr>
                    <w:t>排土场</w:t>
                  </w:r>
                  <w:r>
                    <w:rPr>
                      <w:rFonts w:hint="default" w:ascii="Times New Roman" w:hAnsi="Times New Roman" w:eastAsia="宋体" w:cs="Times New Roman"/>
                      <w:b w:val="0"/>
                      <w:bCs/>
                      <w:color w:val="auto"/>
                      <w:kern w:val="2"/>
                      <w:sz w:val="21"/>
                      <w:szCs w:val="21"/>
                      <w:lang w:val="en-US" w:eastAsia="zh-CN" w:bidi="ar-SA"/>
                    </w:rPr>
                    <w:t>，边开采边回填，矿山开采结束后全部回填于采坑，平整场地</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687" w:type="pct"/>
                  <w:vMerge w:val="continue"/>
                  <w:tcBorders>
                    <w:tl2br w:val="nil"/>
                    <w:tr2bl w:val="nil"/>
                  </w:tcBorders>
                  <w:noWrap w:val="0"/>
                  <w:vAlign w:val="center"/>
                </w:tcPr>
                <w:p>
                  <w:pPr>
                    <w:pStyle w:val="27"/>
                    <w:pageBreakBefore w:val="0"/>
                    <w:kinsoku/>
                    <w:overflowPunct/>
                    <w:topLinePunct w:val="0"/>
                    <w:bidi w:val="0"/>
                    <w:ind w:firstLine="0" w:firstLineChars="0"/>
                    <w:jc w:val="center"/>
                    <w:textAlignment w:val="auto"/>
                    <w:rPr>
                      <w:color w:val="auto"/>
                    </w:rPr>
                  </w:pPr>
                </w:p>
              </w:tc>
              <w:tc>
                <w:tcPr>
                  <w:tcW w:w="962" w:type="pct"/>
                  <w:vMerge w:val="continue"/>
                  <w:tcBorders>
                    <w:tl2br w:val="nil"/>
                    <w:tr2bl w:val="nil"/>
                  </w:tcBorders>
                  <w:noWrap w:val="0"/>
                  <w:vAlign w:val="center"/>
                </w:tcPr>
                <w:p>
                  <w:pPr>
                    <w:pStyle w:val="27"/>
                    <w:pageBreakBefore w:val="0"/>
                    <w:kinsoku/>
                    <w:overflowPunct/>
                    <w:topLinePunct w:val="0"/>
                    <w:bidi w:val="0"/>
                    <w:ind w:firstLine="0" w:firstLineChars="0"/>
                    <w:jc w:val="center"/>
                    <w:textAlignment w:val="auto"/>
                    <w:rPr>
                      <w:color w:val="auto"/>
                    </w:rPr>
                  </w:pPr>
                </w:p>
              </w:tc>
              <w:tc>
                <w:tcPr>
                  <w:tcW w:w="844"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沉淀池泥渣</w:t>
                  </w:r>
                </w:p>
              </w:tc>
              <w:tc>
                <w:tcPr>
                  <w:tcW w:w="2505"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清运至堆放在</w:t>
                  </w:r>
                  <w:r>
                    <w:rPr>
                      <w:rFonts w:hint="eastAsia" w:ascii="Times New Roman" w:hAnsi="Times New Roman" w:eastAsia="宋体" w:cs="Times New Roman"/>
                      <w:b w:val="0"/>
                      <w:bCs/>
                      <w:color w:val="auto"/>
                      <w:sz w:val="21"/>
                      <w:szCs w:val="21"/>
                      <w:lang w:val="en-US" w:eastAsia="zh-CN"/>
                    </w:rPr>
                    <w:t>排土场</w:t>
                  </w:r>
                  <w:r>
                    <w:rPr>
                      <w:rFonts w:hint="default" w:ascii="Times New Roman" w:hAnsi="Times New Roman" w:eastAsia="宋体" w:cs="Times New Roman"/>
                      <w:b w:val="0"/>
                      <w:bCs/>
                      <w:color w:val="auto"/>
                      <w:sz w:val="21"/>
                      <w:szCs w:val="21"/>
                      <w:lang w:val="en-US" w:eastAsia="zh-CN"/>
                    </w:rPr>
                    <w:t>，边开采边回填，矿山开采结束后全部回填于采坑，平整场地</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687" w:type="pct"/>
                  <w:vMerge w:val="continue"/>
                  <w:tcBorders>
                    <w:tl2br w:val="nil"/>
                    <w:tr2bl w:val="nil"/>
                  </w:tcBorders>
                  <w:noWrap w:val="0"/>
                  <w:vAlign w:val="center"/>
                </w:tcPr>
                <w:p>
                  <w:pPr>
                    <w:pStyle w:val="27"/>
                    <w:pageBreakBefore w:val="0"/>
                    <w:kinsoku/>
                    <w:overflowPunct/>
                    <w:topLinePunct w:val="0"/>
                    <w:bidi w:val="0"/>
                    <w:ind w:firstLine="0" w:firstLineChars="0"/>
                    <w:jc w:val="center"/>
                    <w:textAlignment w:val="auto"/>
                    <w:rPr>
                      <w:color w:val="auto"/>
                    </w:rPr>
                  </w:pPr>
                </w:p>
              </w:tc>
              <w:tc>
                <w:tcPr>
                  <w:tcW w:w="962" w:type="pct"/>
                  <w:vMerge w:val="restar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设备运维</w:t>
                  </w:r>
                </w:p>
              </w:tc>
              <w:tc>
                <w:tcPr>
                  <w:tcW w:w="844"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废机油</w:t>
                  </w:r>
                  <w:r>
                    <w:rPr>
                      <w:rFonts w:hint="eastAsia" w:ascii="Times New Roman" w:hAnsi="Times New Roman" w:cs="Times New Roman"/>
                      <w:b w:val="0"/>
                      <w:bCs/>
                      <w:color w:val="auto"/>
                      <w:sz w:val="21"/>
                      <w:szCs w:val="21"/>
                      <w:lang w:val="en-US" w:eastAsia="zh-CN"/>
                    </w:rPr>
                    <w:t>、废机油桶</w:t>
                  </w:r>
                </w:p>
              </w:tc>
              <w:tc>
                <w:tcPr>
                  <w:tcW w:w="2505"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暂存于危废暂存间，定期交由有资质单位进行处置。</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687" w:type="pct"/>
                  <w:vMerge w:val="continue"/>
                  <w:tcBorders>
                    <w:tl2br w:val="nil"/>
                    <w:tr2bl w:val="nil"/>
                  </w:tcBorders>
                  <w:noWrap w:val="0"/>
                  <w:vAlign w:val="center"/>
                </w:tcPr>
                <w:p>
                  <w:pPr>
                    <w:pStyle w:val="27"/>
                    <w:pageBreakBefore w:val="0"/>
                    <w:kinsoku/>
                    <w:overflowPunct/>
                    <w:topLinePunct w:val="0"/>
                    <w:bidi w:val="0"/>
                    <w:ind w:firstLine="0" w:firstLineChars="0"/>
                    <w:jc w:val="center"/>
                    <w:textAlignment w:val="auto"/>
                    <w:rPr>
                      <w:color w:val="auto"/>
                    </w:rPr>
                  </w:pPr>
                </w:p>
              </w:tc>
              <w:tc>
                <w:tcPr>
                  <w:tcW w:w="962" w:type="pct"/>
                  <w:vMerge w:val="continue"/>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eastAsia" w:ascii="Times New Roman" w:hAnsi="Times New Roman" w:eastAsia="宋体" w:cs="Times New Roman"/>
                      <w:b w:val="0"/>
                      <w:bCs/>
                      <w:color w:val="auto"/>
                      <w:sz w:val="21"/>
                      <w:szCs w:val="21"/>
                      <w:lang w:val="en-US" w:eastAsia="zh-CN"/>
                    </w:rPr>
                  </w:pPr>
                </w:p>
              </w:tc>
              <w:tc>
                <w:tcPr>
                  <w:tcW w:w="844"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废含油手套、抹布</w:t>
                  </w:r>
                </w:p>
              </w:tc>
              <w:tc>
                <w:tcPr>
                  <w:tcW w:w="2505" w:type="pct"/>
                  <w:tcBorders>
                    <w:tl2br w:val="nil"/>
                    <w:tr2bl w:val="nil"/>
                  </w:tcBorders>
                  <w:noWrap w:val="0"/>
                  <w:vAlign w:val="center"/>
                </w:tcPr>
                <w:p>
                  <w:pPr>
                    <w:pStyle w:val="27"/>
                    <w:pageBreakBefore w:val="0"/>
                    <w:kinsoku/>
                    <w:overflowPunct/>
                    <w:topLinePunct w:val="0"/>
                    <w:bidi w:val="0"/>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袋装收集后混入生活垃圾</w:t>
                  </w:r>
                  <w:r>
                    <w:rPr>
                      <w:rFonts w:hint="default" w:ascii="Times New Roman" w:hAnsi="Times New Roman" w:eastAsia="宋体" w:cs="Times New Roman"/>
                      <w:b w:val="0"/>
                      <w:bCs/>
                      <w:color w:val="auto"/>
                      <w:sz w:val="21"/>
                      <w:szCs w:val="21"/>
                      <w:lang w:val="en-US" w:eastAsia="zh-CN"/>
                    </w:rPr>
                    <w:t>拉运至和硕县垃圾填埋场处理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cs="Times New Roman"/>
                <w:color w:val="auto"/>
                <w:spacing w:val="6"/>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398" w:type="pct"/>
            <w:noWrap w:val="0"/>
            <w:vAlign w:val="center"/>
          </w:tcPr>
          <w:p>
            <w:pPr>
              <w:keepLines w:val="0"/>
              <w:pageBreakBefore w:val="0"/>
              <w:kinsoku/>
              <w:overflowPunct/>
              <w:topLinePunct w:val="0"/>
              <w:bidi w:val="0"/>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其他</w:t>
            </w:r>
          </w:p>
        </w:tc>
        <w:tc>
          <w:tcPr>
            <w:tcW w:w="4601" w:type="pct"/>
            <w:noWrap w:val="0"/>
            <w:vAlign w:val="center"/>
          </w:tcPr>
          <w:p>
            <w:pPr>
              <w:keepLines w:val="0"/>
              <w:pageBreakBefore w:val="0"/>
              <w:kinsoku/>
              <w:overflowPunct/>
              <w:topLinePunct w:val="0"/>
              <w:bidi w:val="0"/>
              <w:adjustRightInd w:val="0"/>
              <w:snapToGrid w:val="0"/>
              <w:jc w:val="center"/>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无</w:t>
            </w:r>
          </w:p>
        </w:tc>
      </w:tr>
    </w:tbl>
    <w:p>
      <w:pPr>
        <w:pStyle w:val="21"/>
        <w:jc w:val="center"/>
        <w:outlineLvl w:val="0"/>
        <w:rPr>
          <w:rFonts w:ascii="黑体" w:hAnsi="黑体" w:eastAsia="黑体"/>
          <w:snapToGrid w:val="0"/>
          <w:sz w:val="30"/>
          <w:szCs w:val="30"/>
        </w:rPr>
      </w:pPr>
      <w:r>
        <w:rPr>
          <w:rFonts w:eastAsia="仿宋_GB2312"/>
          <w:b/>
          <w:bCs/>
        </w:rPr>
        <w:br w:type="page"/>
      </w:r>
      <w:r>
        <w:rPr>
          <w:rFonts w:hint="eastAsia" w:ascii="黑体" w:hAnsi="黑体" w:eastAsia="黑体"/>
          <w:snapToGrid w:val="0"/>
          <w:sz w:val="30"/>
          <w:szCs w:val="30"/>
        </w:rPr>
        <w:t>三、生态环境现状、保护目标及评价标准</w:t>
      </w:r>
    </w:p>
    <w:tbl>
      <w:tblPr>
        <w:tblStyle w:val="23"/>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86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04" w:type="pct"/>
            <w:noWrap w:val="0"/>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生态环境现状</w:t>
            </w:r>
          </w:p>
        </w:tc>
        <w:tc>
          <w:tcPr>
            <w:tcW w:w="459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24"/>
              </w:rPr>
            </w:pPr>
            <w:r>
              <w:rPr>
                <w:rFonts w:hint="eastAsia" w:ascii="宋体" w:hAnsi="宋体" w:eastAsia="宋体" w:cs="宋体"/>
                <w:color w:val="auto"/>
                <w:kern w:val="2"/>
                <w:sz w:val="24"/>
                <w:szCs w:val="24"/>
                <w:lang w:val="en-US" w:eastAsia="zh-CN" w:bidi="ar"/>
              </w:rPr>
              <w:t>为了解建设项目所在区域的环境质量现状情况，结合区域的自然环境特征和本项目的工程污染源特征，本次环评分别对项目区大气环境、地表水环境、声环境质量现状进行调查和评价。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宋体" w:hAnsi="宋体" w:eastAsia="宋体" w:cs="宋体"/>
                <w:b w:val="0"/>
                <w:bCs/>
                <w:color w:val="auto"/>
                <w:kern w:val="2"/>
                <w:sz w:val="24"/>
                <w:szCs w:val="24"/>
                <w:lang w:val="en-US" w:eastAsia="zh-CN" w:bidi="ar"/>
              </w:rPr>
            </w:pPr>
            <w:r>
              <w:rPr>
                <w:rFonts w:hint="default" w:ascii="Times New Roman" w:hAnsi="Times New Roman" w:eastAsia="宋体" w:cs="Times New Roman"/>
                <w:b w:val="0"/>
                <w:bCs/>
                <w:color w:val="auto"/>
                <w:kern w:val="2"/>
                <w:sz w:val="24"/>
                <w:szCs w:val="24"/>
                <w:lang w:val="en-US" w:eastAsia="zh-CN" w:bidi="ar"/>
              </w:rPr>
              <w:t>1</w:t>
            </w:r>
            <w:r>
              <w:rPr>
                <w:rFonts w:hint="eastAsia" w:cs="Times New Roman"/>
                <w:b w:val="0"/>
                <w:bCs/>
                <w:color w:val="auto"/>
                <w:kern w:val="2"/>
                <w:sz w:val="24"/>
                <w:szCs w:val="24"/>
                <w:lang w:val="en-US" w:eastAsia="zh-CN" w:bidi="ar"/>
              </w:rPr>
              <w:t>、</w:t>
            </w:r>
            <w:r>
              <w:rPr>
                <w:rFonts w:hint="default" w:ascii="Times New Roman" w:hAnsi="Times New Roman" w:eastAsia="宋体" w:cs="Times New Roman"/>
                <w:b w:val="0"/>
                <w:bCs/>
                <w:color w:val="auto"/>
                <w:kern w:val="2"/>
                <w:sz w:val="24"/>
                <w:szCs w:val="24"/>
                <w:lang w:val="en-US" w:eastAsia="zh-CN" w:bidi="ar"/>
              </w:rPr>
              <w:t>生态环境质量现状调查及评价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宋体" w:hAnsi="宋体" w:eastAsia="宋体" w:cs="宋体"/>
                <w:color w:val="auto"/>
                <w:kern w:val="2"/>
                <w:sz w:val="24"/>
                <w:szCs w:val="24"/>
                <w:lang w:val="en-US" w:eastAsia="zh-CN" w:bidi="ar"/>
              </w:rPr>
            </w:pPr>
            <w:r>
              <w:rPr>
                <w:rFonts w:hint="default" w:ascii="宋体" w:hAnsi="宋体" w:eastAsia="宋体" w:cs="宋体"/>
                <w:color w:val="auto"/>
                <w:kern w:val="2"/>
                <w:sz w:val="24"/>
                <w:szCs w:val="24"/>
                <w:lang w:val="en-US" w:eastAsia="zh-CN" w:bidi="ar"/>
              </w:rPr>
              <w:t>依据《新疆生态环境功能区划》，项目区属于天山山地温性草原、森林生态区，天山南坡草原牧业、绿洲农业生态亚区，托木尔峰和天山南坡中段冰雪水源及生物多样性保护生态功能区，详见</w:t>
            </w:r>
            <w:r>
              <w:rPr>
                <w:rFonts w:hint="eastAsia" w:ascii="宋体" w:hAnsi="宋体" w:eastAsia="宋体" w:cs="宋体"/>
                <w:color w:val="auto"/>
                <w:kern w:val="2"/>
                <w:sz w:val="24"/>
                <w:szCs w:val="24"/>
                <w:lang w:val="en-US" w:eastAsia="zh-CN" w:bidi="ar"/>
              </w:rPr>
              <w:t>下</w:t>
            </w:r>
            <w:r>
              <w:rPr>
                <w:rFonts w:hint="default" w:ascii="宋体" w:hAnsi="宋体" w:eastAsia="宋体" w:cs="宋体"/>
                <w:color w:val="auto"/>
                <w:kern w:val="2"/>
                <w:sz w:val="24"/>
                <w:szCs w:val="24"/>
                <w:lang w:val="en-US" w:eastAsia="zh-CN" w:bidi="ar"/>
              </w:rPr>
              <w:t>表。新疆生态功能区划</w:t>
            </w:r>
            <w:r>
              <w:rPr>
                <w:rFonts w:hint="eastAsia" w:ascii="宋体" w:hAnsi="宋体" w:eastAsia="宋体" w:cs="宋体"/>
                <w:color w:val="auto"/>
                <w:kern w:val="2"/>
                <w:sz w:val="24"/>
                <w:szCs w:val="24"/>
                <w:lang w:val="en-US" w:eastAsia="zh-CN" w:bidi="ar"/>
              </w:rPr>
              <w:t>详见</w:t>
            </w:r>
            <w:r>
              <w:rPr>
                <w:rFonts w:hint="default" w:ascii="宋体" w:hAnsi="宋体" w:eastAsia="宋体" w:cs="宋体"/>
                <w:color w:val="auto"/>
                <w:kern w:val="2"/>
                <w:sz w:val="24"/>
                <w:szCs w:val="24"/>
                <w:lang w:val="en-US" w:eastAsia="zh-CN" w:bidi="ar"/>
              </w:rPr>
              <w:t>附图</w:t>
            </w:r>
            <w:r>
              <w:rPr>
                <w:rFonts w:hint="eastAsia" w:ascii="宋体" w:hAnsi="宋体" w:eastAsia="宋体" w:cs="宋体"/>
                <w:color w:val="auto"/>
                <w:kern w:val="2"/>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1"/>
                <w:szCs w:val="21"/>
                <w:lang w:val="en-US" w:eastAsia="zh-CN" w:bidi="ar"/>
              </w:rPr>
            </w:pPr>
            <w:r>
              <w:rPr>
                <w:rFonts w:hint="default" w:ascii="Times New Roman" w:hAnsi="Times New Roman" w:eastAsia="宋体" w:cs="Times New Roman"/>
                <w:b/>
                <w:color w:val="auto"/>
                <w:kern w:val="2"/>
                <w:sz w:val="21"/>
                <w:szCs w:val="21"/>
                <w:lang w:val="en-US" w:eastAsia="zh-CN" w:bidi="ar"/>
              </w:rPr>
              <w:t>表3-</w:t>
            </w:r>
            <w:r>
              <w:rPr>
                <w:rFonts w:hint="eastAsia" w:ascii="Times New Roman" w:hAnsi="Times New Roman" w:eastAsia="宋体" w:cs="Times New Roman"/>
                <w:b/>
                <w:color w:val="auto"/>
                <w:kern w:val="2"/>
                <w:sz w:val="21"/>
                <w:szCs w:val="21"/>
                <w:lang w:val="en-US" w:eastAsia="zh-CN" w:bidi="ar"/>
              </w:rPr>
              <w:t xml:space="preserve">1  </w:t>
            </w:r>
            <w:r>
              <w:rPr>
                <w:rFonts w:hint="default" w:ascii="Times New Roman" w:hAnsi="Times New Roman" w:eastAsia="宋体" w:cs="Times New Roman"/>
                <w:b/>
                <w:color w:val="auto"/>
                <w:kern w:val="2"/>
                <w:sz w:val="21"/>
                <w:szCs w:val="21"/>
                <w:lang w:val="en-US" w:eastAsia="zh-CN" w:bidi="ar"/>
              </w:rPr>
              <w:t>新疆生态功能区划简表</w:t>
            </w:r>
          </w:p>
          <w:tbl>
            <w:tblPr>
              <w:tblStyle w:val="2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93"/>
              <w:gridCol w:w="965"/>
              <w:gridCol w:w="507"/>
              <w:gridCol w:w="798"/>
              <w:gridCol w:w="1021"/>
              <w:gridCol w:w="859"/>
              <w:gridCol w:w="1041"/>
              <w:gridCol w:w="1467"/>
              <w:gridCol w:w="102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0" w:type="auto"/>
                  <w:gridSpan w:val="2"/>
                  <w:tcBorders>
                    <w:tl2br w:val="nil"/>
                    <w:tr2bl w:val="nil"/>
                  </w:tcBorders>
                  <w:shd w:val="clear" w:color="auto" w:fill="auto"/>
                  <w:vAlign w:val="center"/>
                </w:tcPr>
                <w:p>
                  <w:pPr>
                    <w:pStyle w:val="54"/>
                    <w:keepNext w:val="0"/>
                    <w:keepLines w:val="0"/>
                    <w:widowControl/>
                    <w:suppressLineNumbers w:val="0"/>
                    <w:spacing w:before="0" w:beforeLines="0" w:beforeAutospacing="0" w:after="0" w:afterLines="0" w:afterAutospacing="0"/>
                    <w:ind w:left="0" w:right="0"/>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生态功能分区单元</w:t>
                  </w:r>
                </w:p>
              </w:tc>
              <w:tc>
                <w:tcPr>
                  <w:tcW w:w="0" w:type="auto"/>
                  <w:vMerge w:val="restart"/>
                  <w:tcBorders>
                    <w:tl2br w:val="nil"/>
                    <w:tr2bl w:val="nil"/>
                  </w:tcBorders>
                  <w:shd w:val="clear" w:color="auto" w:fill="auto"/>
                  <w:vAlign w:val="center"/>
                </w:tcPr>
                <w:p>
                  <w:pPr>
                    <w:pStyle w:val="54"/>
                    <w:keepNext w:val="0"/>
                    <w:keepLines w:val="0"/>
                    <w:widowControl/>
                    <w:suppressLineNumbers w:val="0"/>
                    <w:spacing w:before="0" w:beforeLines="0" w:beforeAutospacing="0" w:after="0" w:afterLines="0" w:afterAutospacing="0"/>
                    <w:ind w:left="0" w:right="0"/>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隶属行政区</w:t>
                  </w:r>
                </w:p>
              </w:tc>
              <w:tc>
                <w:tcPr>
                  <w:tcW w:w="0" w:type="auto"/>
                  <w:vMerge w:val="restart"/>
                  <w:tcBorders>
                    <w:tl2br w:val="nil"/>
                    <w:tr2bl w:val="nil"/>
                  </w:tcBorders>
                  <w:shd w:val="clear" w:color="auto" w:fill="auto"/>
                  <w:vAlign w:val="center"/>
                </w:tcPr>
                <w:p>
                  <w:pPr>
                    <w:pStyle w:val="54"/>
                    <w:keepNext w:val="0"/>
                    <w:keepLines w:val="0"/>
                    <w:widowControl/>
                    <w:suppressLineNumbers w:val="0"/>
                    <w:spacing w:before="0" w:beforeLines="0" w:beforeAutospacing="0" w:after="0" w:afterLines="0" w:afterAutospacing="0"/>
                    <w:ind w:left="0" w:right="0"/>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主要生态服务功能</w:t>
                  </w:r>
                </w:p>
              </w:tc>
              <w:tc>
                <w:tcPr>
                  <w:tcW w:w="0" w:type="auto"/>
                  <w:vMerge w:val="restart"/>
                  <w:tcBorders>
                    <w:tl2br w:val="nil"/>
                    <w:tr2bl w:val="nil"/>
                  </w:tcBorders>
                  <w:shd w:val="clear" w:color="auto" w:fill="auto"/>
                  <w:vAlign w:val="center"/>
                </w:tcPr>
                <w:p>
                  <w:pPr>
                    <w:pStyle w:val="54"/>
                    <w:keepNext w:val="0"/>
                    <w:keepLines w:val="0"/>
                    <w:widowControl/>
                    <w:suppressLineNumbers w:val="0"/>
                    <w:spacing w:before="0" w:beforeLines="0" w:beforeAutospacing="0" w:after="0" w:afterLines="0" w:afterAutospacing="0"/>
                    <w:ind w:left="0" w:right="0"/>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主要生态环境问题</w:t>
                  </w:r>
                </w:p>
              </w:tc>
              <w:tc>
                <w:tcPr>
                  <w:tcW w:w="0" w:type="auto"/>
                  <w:vMerge w:val="restart"/>
                  <w:tcBorders>
                    <w:tl2br w:val="nil"/>
                    <w:tr2bl w:val="nil"/>
                  </w:tcBorders>
                  <w:shd w:val="clear" w:color="auto" w:fill="auto"/>
                  <w:vAlign w:val="center"/>
                </w:tcPr>
                <w:p>
                  <w:pPr>
                    <w:pStyle w:val="54"/>
                    <w:keepNext w:val="0"/>
                    <w:keepLines w:val="0"/>
                    <w:widowControl/>
                    <w:suppressLineNumbers w:val="0"/>
                    <w:spacing w:before="0" w:beforeLines="0" w:beforeAutospacing="0" w:after="0" w:afterLines="0" w:afterAutospacing="0"/>
                    <w:ind w:left="0" w:right="0"/>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主要生态敏感因子、敏感程度</w:t>
                  </w:r>
                </w:p>
              </w:tc>
              <w:tc>
                <w:tcPr>
                  <w:tcW w:w="0" w:type="auto"/>
                  <w:vMerge w:val="restart"/>
                  <w:tcBorders>
                    <w:tl2br w:val="nil"/>
                    <w:tr2bl w:val="nil"/>
                  </w:tcBorders>
                  <w:shd w:val="clear" w:color="auto" w:fill="auto"/>
                  <w:vAlign w:val="center"/>
                </w:tcPr>
                <w:p>
                  <w:pPr>
                    <w:pStyle w:val="54"/>
                    <w:keepNext w:val="0"/>
                    <w:keepLines w:val="0"/>
                    <w:widowControl/>
                    <w:suppressLineNumbers w:val="0"/>
                    <w:spacing w:before="0" w:beforeLines="0" w:beforeAutospacing="0" w:after="0" w:afterLines="0" w:afterAutospacing="0"/>
                    <w:ind w:left="0" w:right="0"/>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主要保护目标</w:t>
                  </w:r>
                </w:p>
              </w:tc>
              <w:tc>
                <w:tcPr>
                  <w:tcW w:w="0" w:type="auto"/>
                  <w:vMerge w:val="restart"/>
                  <w:tcBorders>
                    <w:tl2br w:val="nil"/>
                    <w:tr2bl w:val="nil"/>
                  </w:tcBorders>
                  <w:shd w:val="clear" w:color="auto" w:fill="auto"/>
                  <w:vAlign w:val="center"/>
                </w:tcPr>
                <w:p>
                  <w:pPr>
                    <w:pStyle w:val="54"/>
                    <w:keepNext w:val="0"/>
                    <w:keepLines w:val="0"/>
                    <w:widowControl/>
                    <w:suppressLineNumbers w:val="0"/>
                    <w:spacing w:before="0" w:beforeLines="0" w:beforeAutospacing="0" w:after="0" w:afterLines="0" w:afterAutospacing="0"/>
                    <w:ind w:left="0" w:right="0"/>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主要保护措施</w:t>
                  </w:r>
                </w:p>
              </w:tc>
              <w:tc>
                <w:tcPr>
                  <w:tcW w:w="0" w:type="auto"/>
                  <w:vMerge w:val="restart"/>
                  <w:tcBorders>
                    <w:tl2br w:val="nil"/>
                    <w:tr2bl w:val="nil"/>
                  </w:tcBorders>
                  <w:shd w:val="clear" w:color="auto" w:fill="auto"/>
                  <w:vAlign w:val="center"/>
                </w:tcPr>
                <w:p>
                  <w:pPr>
                    <w:pStyle w:val="54"/>
                    <w:keepNext w:val="0"/>
                    <w:keepLines w:val="0"/>
                    <w:widowControl/>
                    <w:suppressLineNumbers w:val="0"/>
                    <w:spacing w:before="0" w:beforeLines="0" w:beforeAutospacing="0" w:after="0" w:afterLines="0" w:afterAutospacing="0"/>
                    <w:ind w:left="0" w:right="0"/>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适宜发展方向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pPr>
                    <w:pStyle w:val="54"/>
                    <w:keepNext w:val="0"/>
                    <w:keepLines w:val="0"/>
                    <w:widowControl/>
                    <w:suppressLineNumbers w:val="0"/>
                    <w:spacing w:before="0" w:beforeLines="0" w:beforeAutospacing="0" w:after="0" w:afterLines="0" w:afterAutospacing="0"/>
                    <w:ind w:left="0" w:right="0"/>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生态亚区</w:t>
                  </w:r>
                </w:p>
              </w:tc>
              <w:tc>
                <w:tcPr>
                  <w:tcW w:w="0" w:type="auto"/>
                  <w:tcBorders>
                    <w:tl2br w:val="nil"/>
                    <w:tr2bl w:val="nil"/>
                  </w:tcBorders>
                  <w:shd w:val="clear" w:color="auto" w:fill="auto"/>
                  <w:vAlign w:val="center"/>
                </w:tcPr>
                <w:p>
                  <w:pPr>
                    <w:pStyle w:val="54"/>
                    <w:keepNext w:val="0"/>
                    <w:keepLines w:val="0"/>
                    <w:widowControl/>
                    <w:suppressLineNumbers w:val="0"/>
                    <w:spacing w:before="0" w:beforeLines="0" w:beforeAutospacing="0" w:after="0" w:afterLines="0" w:afterAutospacing="0"/>
                    <w:ind w:left="0" w:right="0"/>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生态功能区</w:t>
                  </w:r>
                </w:p>
              </w:tc>
              <w:tc>
                <w:tcPr>
                  <w:tcW w:w="0" w:type="auto"/>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0" w:type="auto"/>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0" w:type="auto"/>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0" w:type="auto"/>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0" w:type="auto"/>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0" w:type="auto"/>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0" w:type="auto"/>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textAlignment w:val="baseline"/>
                    <w:rPr>
                      <w:rFonts w:hint="default" w:ascii="Times New Roman" w:hAnsi="Times New Roman" w:eastAsia="宋体" w:cs="Times New Roman"/>
                      <w:b/>
                      <w:bCs w:val="0"/>
                      <w:color w:val="auto"/>
                      <w:kern w:val="2"/>
                      <w:sz w:val="21"/>
                      <w:szCs w:val="21"/>
                      <w:vertAlign w:val="baseline"/>
                    </w:rPr>
                  </w:pPr>
                  <w:r>
                    <w:rPr>
                      <w:rFonts w:hint="default" w:ascii="Times New Roman" w:hAnsi="Times New Roman" w:eastAsia="宋体" w:cs="Times New Roman"/>
                      <w:color w:val="auto"/>
                      <w:kern w:val="2"/>
                      <w:sz w:val="21"/>
                      <w:szCs w:val="21"/>
                      <w:vertAlign w:val="baseline"/>
                      <w:lang w:val="en-US" w:eastAsia="zh-CN" w:bidi="ar"/>
                    </w:rPr>
                    <w:t>Ⅲ</w:t>
                  </w:r>
                  <w:r>
                    <w:rPr>
                      <w:rFonts w:hint="default" w:ascii="Times New Roman" w:hAnsi="Times New Roman" w:eastAsia="宋体" w:cs="Times New Roman"/>
                      <w:color w:val="auto"/>
                      <w:kern w:val="2"/>
                      <w:sz w:val="21"/>
                      <w:szCs w:val="21"/>
                      <w:vertAlign w:val="subscript"/>
                      <w:lang w:val="en-US" w:eastAsia="zh-CN" w:bidi="ar"/>
                    </w:rPr>
                    <w:t>3</w:t>
                  </w:r>
                  <w:r>
                    <w:rPr>
                      <w:rFonts w:hint="eastAsia" w:ascii="Times New Roman" w:hAnsi="Times New Roman" w:cs="Times New Roman"/>
                      <w:color w:val="auto"/>
                      <w:kern w:val="2"/>
                      <w:sz w:val="21"/>
                      <w:szCs w:val="21"/>
                      <w:lang w:val="en-US" w:eastAsia="zh-CN" w:bidi="ar"/>
                    </w:rPr>
                    <w:t>天山南坡干草原侵蚀控制生态亚区</w:t>
                  </w:r>
                </w:p>
              </w:tc>
              <w:tc>
                <w:tcPr>
                  <w:tcW w:w="0" w:type="auto"/>
                  <w:tcBorders>
                    <w:tl2br w:val="nil"/>
                    <w:tr2bl w:val="nil"/>
                  </w:tcBorders>
                  <w:shd w:val="clear" w:color="auto" w:fill="auto"/>
                  <w:vAlign w:val="center"/>
                </w:tcPr>
                <w:p>
                  <w:pPr>
                    <w:keepNext w:val="0"/>
                    <w:keepLines w:val="0"/>
                    <w:widowControl w:val="0"/>
                    <w:suppressLineNumbers w:val="0"/>
                    <w:spacing w:before="100" w:beforeAutospacing="0" w:after="50" w:afterAutospacing="0"/>
                    <w:ind w:left="0" w:right="0"/>
                    <w:jc w:val="both"/>
                    <w:rPr>
                      <w:rFonts w:hint="default" w:ascii="Times New Roman" w:hAnsi="Times New Roman" w:eastAsia="宋体" w:cs="Times New Roman"/>
                      <w:b/>
                      <w:bCs w:val="0"/>
                      <w:color w:val="auto"/>
                      <w:kern w:val="2"/>
                      <w:sz w:val="21"/>
                      <w:szCs w:val="21"/>
                      <w:vertAlign w:val="baseline"/>
                    </w:rPr>
                  </w:pPr>
                  <w:r>
                    <w:rPr>
                      <w:rFonts w:hint="default" w:ascii="Times New Roman" w:hAnsi="Times New Roman" w:eastAsia="宋体" w:cs="Times New Roman"/>
                      <w:color w:val="auto"/>
                      <w:kern w:val="2"/>
                      <w:sz w:val="21"/>
                      <w:szCs w:val="21"/>
                      <w:lang w:val="en-US" w:eastAsia="zh-CN" w:bidi="ar"/>
                    </w:rPr>
                    <w:t>4</w:t>
                  </w:r>
                  <w:r>
                    <w:rPr>
                      <w:rFonts w:hint="eastAsia" w:cs="Times New Roman"/>
                      <w:color w:val="auto"/>
                      <w:kern w:val="2"/>
                      <w:sz w:val="21"/>
                      <w:szCs w:val="21"/>
                      <w:lang w:val="en-US" w:eastAsia="zh-CN" w:bidi="ar"/>
                    </w:rPr>
                    <w:t>8</w:t>
                  </w:r>
                  <w:r>
                    <w:rPr>
                      <w:rFonts w:hint="eastAsia" w:ascii="Times New Roman" w:hAnsi="Times New Roman" w:cs="Times New Roman"/>
                      <w:color w:val="auto"/>
                      <w:kern w:val="2"/>
                      <w:sz w:val="21"/>
                      <w:szCs w:val="21"/>
                      <w:lang w:val="en-US" w:eastAsia="zh-CN" w:bidi="ar"/>
                    </w:rPr>
                    <w:t>.觉罗塔格—库鲁克塔格山矿业开发植被保护生态功能区</w:t>
                  </w:r>
                </w:p>
              </w:tc>
              <w:tc>
                <w:tcPr>
                  <w:tcW w:w="0" w:type="auto"/>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vertAlign w:val="baseline"/>
                    </w:rPr>
                  </w:pPr>
                  <w:r>
                    <w:rPr>
                      <w:rFonts w:hint="eastAsia" w:ascii="宋体" w:hAnsi="宋体" w:eastAsia="宋体" w:cs="宋体"/>
                      <w:color w:val="auto"/>
                      <w:kern w:val="2"/>
                      <w:sz w:val="21"/>
                      <w:szCs w:val="21"/>
                      <w:lang w:val="en-US" w:eastAsia="zh-CN" w:bidi="ar"/>
                    </w:rPr>
                    <w:t>和硕县</w:t>
                  </w:r>
                </w:p>
              </w:tc>
              <w:tc>
                <w:tcPr>
                  <w:tcW w:w="0" w:type="auto"/>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2"/>
                      <w:sz w:val="21"/>
                      <w:szCs w:val="21"/>
                      <w:vertAlign w:val="baseline"/>
                    </w:rPr>
                  </w:pPr>
                  <w:r>
                    <w:rPr>
                      <w:rFonts w:hint="default" w:ascii="Times New Roman" w:hAnsi="Times New Roman" w:eastAsia="宋体" w:cs="Times New Roman"/>
                      <w:color w:val="auto"/>
                      <w:kern w:val="2"/>
                      <w:sz w:val="21"/>
                      <w:szCs w:val="21"/>
                      <w:vertAlign w:val="baseline"/>
                    </w:rPr>
                    <w:t>荒漠化控制、矿产资源</w:t>
                  </w:r>
                </w:p>
              </w:tc>
              <w:tc>
                <w:tcPr>
                  <w:tcW w:w="0" w:type="auto"/>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2"/>
                      <w:sz w:val="21"/>
                      <w:szCs w:val="21"/>
                      <w:vertAlign w:val="baseline"/>
                    </w:rPr>
                  </w:pPr>
                  <w:r>
                    <w:rPr>
                      <w:rFonts w:hint="eastAsia" w:ascii="宋体" w:hAnsi="宋体" w:eastAsia="宋体" w:cs="宋体"/>
                      <w:color w:val="auto"/>
                      <w:kern w:val="2"/>
                      <w:sz w:val="21"/>
                      <w:szCs w:val="21"/>
                      <w:lang w:val="en-US" w:eastAsia="zh-CN" w:bidi="ar"/>
                    </w:rPr>
                    <w:t>水土流失、野生动物减少、土壤侵蚀、森林破坏</w:t>
                  </w:r>
                </w:p>
              </w:tc>
              <w:tc>
                <w:tcPr>
                  <w:tcW w:w="0" w:type="auto"/>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2"/>
                      <w:sz w:val="21"/>
                      <w:szCs w:val="21"/>
                      <w:vertAlign w:val="baseline"/>
                    </w:rPr>
                  </w:pPr>
                  <w:r>
                    <w:rPr>
                      <w:rFonts w:hint="default" w:ascii="Times New Roman" w:hAnsi="Times New Roman" w:eastAsia="宋体" w:cs="Times New Roman"/>
                      <w:color w:val="auto"/>
                      <w:kern w:val="2"/>
                      <w:sz w:val="21"/>
                      <w:szCs w:val="21"/>
                      <w:vertAlign w:val="baseline"/>
                    </w:rPr>
                    <w:t>荒漠植被破坏、地貌破坏</w:t>
                  </w:r>
                </w:p>
              </w:tc>
              <w:tc>
                <w:tcPr>
                  <w:tcW w:w="0" w:type="auto"/>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2"/>
                      <w:sz w:val="21"/>
                      <w:szCs w:val="21"/>
                      <w:vertAlign w:val="baseline"/>
                    </w:rPr>
                  </w:pPr>
                  <w:r>
                    <w:rPr>
                      <w:rFonts w:hint="default" w:ascii="Times New Roman" w:hAnsi="Times New Roman" w:eastAsia="宋体" w:cs="Times New Roman"/>
                      <w:color w:val="auto"/>
                      <w:kern w:val="2"/>
                      <w:sz w:val="21"/>
                      <w:szCs w:val="21"/>
                      <w:vertAlign w:val="baseline"/>
                    </w:rPr>
                    <w:t>保护荒漠植被、保护地貌、保护野骆驼等野生动物</w:t>
                  </w:r>
                </w:p>
              </w:tc>
              <w:tc>
                <w:tcPr>
                  <w:tcW w:w="0" w:type="auto"/>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2"/>
                      <w:sz w:val="21"/>
                      <w:szCs w:val="21"/>
                      <w:vertAlign w:val="baseline"/>
                    </w:rPr>
                  </w:pPr>
                  <w:r>
                    <w:rPr>
                      <w:rFonts w:hint="default" w:ascii="Times New Roman" w:hAnsi="Times New Roman" w:eastAsia="宋体" w:cs="Times New Roman"/>
                      <w:color w:val="auto"/>
                      <w:kern w:val="2"/>
                      <w:sz w:val="21"/>
                      <w:szCs w:val="21"/>
                      <w:vertAlign w:val="baseline"/>
                    </w:rPr>
                    <w:t>加强采矿管理、禁止在野骆驼保护区缓冲区内进行开发活动，维护自然生态环境，合理发展矿业。</w:t>
                  </w:r>
                </w:p>
              </w:tc>
              <w:tc>
                <w:tcPr>
                  <w:tcW w:w="0" w:type="auto"/>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2"/>
                      <w:sz w:val="21"/>
                      <w:szCs w:val="21"/>
                      <w:vertAlign w:val="baseline"/>
                    </w:rPr>
                  </w:pPr>
                  <w:r>
                    <w:rPr>
                      <w:rFonts w:hint="eastAsia" w:ascii="宋体" w:hAnsi="宋体" w:eastAsia="宋体" w:cs="宋体"/>
                      <w:color w:val="auto"/>
                      <w:kern w:val="2"/>
                      <w:sz w:val="21"/>
                      <w:szCs w:val="21"/>
                      <w:lang w:val="en-US" w:eastAsia="zh-CN" w:bidi="ar"/>
                    </w:rPr>
                    <w:t>合理利用天然草地，维护自然景观和生物多样性</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（1）新疆主体功能区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新疆维吾尔自治区主体功能区规划》，新疆维吾尔自治区国土空间分为以下主体功能区：按开发内容，分为城市化地区、农产品主产区和重点生态功能区；按层级，包括国家和自治区两个层面。根据新疆维吾尔自治区主体功能区规划，本项目地处和硕县，项目选址不在水源涵养区、地下水源、饮用水源、各类自然保护区、自然生态良好区域、风景名胜区和人群密集区等生态敏感区域，不属于主体功能区中禁止开发区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（2）土壤类型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矿区及附近地表大部分基岩裸露，风化作用以物理风化为主。矿区内地表局部分布有第四系松散堆积物，厚度不一，一般在10cm～1m；地表土壤颜色为土黄色到杂色，成分主要以</w:t>
            </w:r>
            <w:r>
              <w:rPr>
                <w:rFonts w:hint="eastAsia" w:cs="Times New Roman"/>
                <w:color w:val="auto"/>
                <w:kern w:val="2"/>
                <w:sz w:val="24"/>
                <w:szCs w:val="24"/>
                <w:lang w:val="en-US" w:eastAsia="zh-CN" w:bidi="ar"/>
              </w:rPr>
              <w:t>花岗岩</w:t>
            </w:r>
            <w:r>
              <w:rPr>
                <w:rFonts w:hint="default" w:ascii="Times New Roman" w:hAnsi="Times New Roman" w:eastAsia="宋体" w:cs="Times New Roman"/>
                <w:color w:val="auto"/>
                <w:kern w:val="2"/>
                <w:sz w:val="24"/>
                <w:szCs w:val="24"/>
                <w:lang w:val="en-US" w:eastAsia="zh-CN" w:bidi="ar"/>
              </w:rPr>
              <w:t>碎屑、砂砾质和粘性土组成，砂砾石含量一般20%-30%，容重1.3-1.5g/cm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，厚度0.5-1米，土壤表层0.2米为有机质层，有机质含量在7g/kg左右，土壤pH值在7.5-7.9。</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根据《新疆维吾尔自治区土壤类型图》和野外实地调查，矿区土壤类型主要为荒漠土（灰棕漠土），其特点是颜色为灰棕色，土壤有机质含量低，碎石角砾含量高，土质疏松。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（3）植被类型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矿区及附近地表大部分基岩裸露，植被发育程度弱，局部分布第四系沉积物，其上偶见芨芨草，骆驼刺等耐旱植物生长。地表植被属天然植被，分布不均匀，群落单一，多呈点状、簇状、片状分布，植被覆盖度不足5%，植物高度多小于30cm。矿区无人工植被。植被类型不涉及国家、自治区重点保护植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（4）动物类型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矿区动物种类较为较少，较为单一，仅有少量的鸟类、鼠类和爬行类</w:t>
            </w:r>
            <w:r>
              <w:rPr>
                <w:rFonts w:hint="eastAsia" w:cs="Times New Roman"/>
                <w:color w:val="auto"/>
                <w:kern w:val="2"/>
                <w:sz w:val="24"/>
                <w:szCs w:val="24"/>
                <w:lang w:val="en-US" w:eastAsia="zh-CN" w:bidi="ar"/>
              </w:rPr>
              <w:t>，无国家级重点保护动物</w:t>
            </w:r>
            <w:r>
              <w:rPr>
                <w:rFonts w:hint="default" w:ascii="Times New Roman" w:hAnsi="Times New Roman" w:eastAsia="宋体" w:cs="Times New Roman"/>
                <w:color w:val="auto"/>
                <w:kern w:val="2"/>
                <w:sz w:val="24"/>
                <w:szCs w:val="24"/>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（5）地形地貌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矿区位于新疆东天山中段焉耆盆地北缘，属孜勒克塔格山脉，海拔在1341～1388米之间，最大高差达43米，属侵蚀切割中低山地貌。矿区地形起伏不大，总体地势南西高，北东低，区内地表大部分基岩裸露，仅在山顶平台有少量残积碎石、砂土，山脚有些坡积岩石碎块、砂土，沟谷中有冲洪积沙砾石层覆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（6）土地利用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矿山所在区域原始土地利用类型为其他土地类-裸岩石砾地，矿区规划主要各类矿建设施位于采矿范围内。矿山建设不涉及基本农田，土地归属国有。本项目用地范围内及周边无国家、自治区级野生珍稀动植物分布，不涉及沙化封禁区等自然保护目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露天采矿场严格按照矿产资源开发利用设计的采矿方式进行矿山开采；开采顺序、标高、采矿场范围、深度以及台阶坡度、平台距离、最终坡脚等参数必须严格按照设计方案执行；同时在开采的过程中禁止乱堆乱放，开采的废石必须按方案堆排于废石堆放场；在采矿场外围5m设置铁丝围栏和警示牌，禁止无关人员和动物靠近；定期对采矿场边坡危岩和浮石进行清理；做好边坡稳定性监测；土地复垦期间对采坑进行回填，使其与地形地貌相协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废石堆放场严格按照矿产资源开发利用设计进行废石排放和堆存，堆放标高、分层厚度、堆放坡度等参数满足设计要求；在废石堆放场外围5m设置铁丝围栏和警示牌，禁止无关人员和动物靠近；定期对堆存过程中产生的危岩和浮石进行清理；矿山开采结束后及时进行土地复垦，恢复原有地形地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严格按照矿产资源开发利用设计用地范围进行建设，生活垃圾定点堆放、定期清运；生产期间，保持环境卫生，维护地形地貌景观和土地使用现状；矿山闭坑后，对场内可利用建筑材料进行回收，其他地面设施进行拆除，建筑垃圾拉运至和硕县垃圾填埋场填埋处理；通过平整压占的土地，基本恢复原有地形地貌形态和土地使用功能，尽量与周边地形地貌相协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（7）水土流失现状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根据《关于印发新疆</w:t>
            </w:r>
            <w:r>
              <w:rPr>
                <w:rFonts w:hint="eastAsia" w:cs="Times New Roman"/>
                <w:color w:val="auto"/>
                <w:kern w:val="2"/>
                <w:sz w:val="24"/>
                <w:szCs w:val="24"/>
                <w:lang w:val="en-US" w:eastAsia="zh-CN" w:bidi="ar"/>
              </w:rPr>
              <w:t>维吾尔</w:t>
            </w:r>
            <w:r>
              <w:rPr>
                <w:rFonts w:hint="default" w:ascii="Times New Roman" w:hAnsi="Times New Roman" w:eastAsia="宋体" w:cs="Times New Roman"/>
                <w:color w:val="auto"/>
                <w:kern w:val="2"/>
                <w:sz w:val="24"/>
                <w:szCs w:val="24"/>
                <w:lang w:val="en-US" w:eastAsia="zh-CN" w:bidi="ar"/>
              </w:rPr>
              <w:t>自治区级水土流失重点预防区和重点治理区复核划分成果的通知》（新水水保〔2019〕4号），本项目所在区不属于水土流失重点预防区和重点治理区。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（8）土地沙化现状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根据《新疆第</w:t>
            </w:r>
            <w:r>
              <w:rPr>
                <w:rFonts w:hint="eastAsia" w:cs="Times New Roman"/>
                <w:color w:val="auto"/>
                <w:kern w:val="2"/>
                <w:sz w:val="24"/>
                <w:szCs w:val="24"/>
                <w:lang w:val="en-US" w:eastAsia="zh-CN" w:bidi="ar"/>
              </w:rPr>
              <w:t>六</w:t>
            </w:r>
            <w:r>
              <w:rPr>
                <w:rFonts w:hint="default" w:ascii="Times New Roman" w:hAnsi="Times New Roman" w:eastAsia="宋体" w:cs="Times New Roman"/>
                <w:color w:val="auto"/>
                <w:kern w:val="2"/>
                <w:sz w:val="24"/>
                <w:szCs w:val="24"/>
                <w:lang w:val="en-US" w:eastAsia="zh-CN" w:bidi="ar"/>
              </w:rPr>
              <w:t>次沙化土地监测报告》，本项目位于巴州和硕县，项目所在地带为</w:t>
            </w:r>
            <w:r>
              <w:rPr>
                <w:rFonts w:hint="eastAsia" w:cs="Times New Roman"/>
                <w:color w:val="auto"/>
                <w:kern w:val="2"/>
                <w:sz w:val="24"/>
                <w:szCs w:val="24"/>
                <w:lang w:val="en-US" w:eastAsia="zh-CN" w:bidi="ar"/>
              </w:rPr>
              <w:t>戈壁</w:t>
            </w:r>
            <w:r>
              <w:rPr>
                <w:rFonts w:hint="default" w:ascii="Times New Roman" w:hAnsi="Times New Roman" w:eastAsia="宋体" w:cs="Times New Roman"/>
                <w:color w:val="auto"/>
                <w:kern w:val="2"/>
                <w:sz w:val="24"/>
                <w:szCs w:val="24"/>
                <w:lang w:val="en-US" w:eastAsia="zh-CN" w:bidi="ar"/>
              </w:rPr>
              <w:t>区，土壤主要为灰棕漠土，不属于沙化区。</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b w:val="0"/>
                <w:bCs/>
                <w:color w:val="auto"/>
                <w:kern w:val="2"/>
                <w:sz w:val="24"/>
                <w:szCs w:val="24"/>
              </w:rPr>
            </w:pPr>
            <w:r>
              <w:rPr>
                <w:rFonts w:hint="default" w:ascii="Times New Roman" w:hAnsi="Times New Roman" w:eastAsia="宋体" w:cs="Times New Roman"/>
                <w:b w:val="0"/>
                <w:bCs/>
                <w:color w:val="auto"/>
                <w:kern w:val="2"/>
                <w:sz w:val="24"/>
                <w:szCs w:val="24"/>
                <w:lang w:val="en-US" w:eastAsia="zh-CN" w:bidi="ar"/>
              </w:rPr>
              <w:t>2</w:t>
            </w:r>
            <w:r>
              <w:rPr>
                <w:rFonts w:hint="eastAsia" w:cs="Times New Roman"/>
                <w:b w:val="0"/>
                <w:bCs/>
                <w:color w:val="auto"/>
                <w:kern w:val="2"/>
                <w:sz w:val="24"/>
                <w:szCs w:val="24"/>
                <w:lang w:val="en-US" w:eastAsia="zh-CN" w:bidi="ar"/>
              </w:rPr>
              <w:t>、</w:t>
            </w:r>
            <w:r>
              <w:rPr>
                <w:rFonts w:hint="eastAsia" w:ascii="宋体" w:hAnsi="宋体" w:eastAsia="宋体" w:cs="宋体"/>
                <w:b w:val="0"/>
                <w:bCs/>
                <w:color w:val="auto"/>
                <w:kern w:val="2"/>
                <w:sz w:val="24"/>
                <w:szCs w:val="24"/>
                <w:lang w:val="en-US" w:eastAsia="zh-CN" w:bidi="ar"/>
              </w:rPr>
              <w:t>环境空气质量现状调查及评价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Times New Roman" w:hAnsi="Times New Roman" w:eastAsia="宋体" w:cs="Times New Roman"/>
                <w:b w:val="0"/>
                <w:bCs w:val="0"/>
                <w:color w:val="auto"/>
                <w:kern w:val="2"/>
                <w:sz w:val="24"/>
                <w:szCs w:val="24"/>
                <w:vertAlign w:val="baseline"/>
                <w:lang w:val="en-US" w:eastAsia="zh-CN" w:bidi="ar"/>
              </w:rPr>
            </w:pPr>
            <w:r>
              <w:rPr>
                <w:rFonts w:hint="eastAsia" w:cs="Times New Roman"/>
                <w:b w:val="0"/>
                <w:bCs w:val="0"/>
                <w:color w:val="auto"/>
                <w:kern w:val="2"/>
                <w:sz w:val="24"/>
                <w:szCs w:val="24"/>
                <w:vertAlign w:val="baseline"/>
                <w:lang w:val="en-US" w:eastAsia="zh-CN" w:bidi="ar"/>
              </w:rPr>
              <w:t>（1）空气质量达标区判定</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vertAlign w:val="baseline"/>
                <w:lang w:val="en-US" w:eastAsia="zh-CN" w:bidi="ar"/>
              </w:rPr>
            </w:pPr>
            <w:r>
              <w:rPr>
                <w:rFonts w:hint="eastAsia" w:ascii="宋体" w:hAnsi="宋体" w:eastAsia="宋体" w:cs="宋体"/>
                <w:color w:val="auto"/>
                <w:kern w:val="2"/>
                <w:sz w:val="24"/>
                <w:szCs w:val="24"/>
                <w:vertAlign w:val="baseline"/>
                <w:lang w:val="en-US" w:eastAsia="zh-CN" w:bidi="ar"/>
              </w:rPr>
              <w:t>根据《建设项目环境影响报告表编制技术指南（污染影响类）（试行）》要求，选取距离本项目最近的和硕县环境空气质量自动监测站逐日监测数据，作为项目区域环境空气现状评价基本</w:t>
            </w:r>
            <w:r>
              <w:rPr>
                <w:rFonts w:hint="default" w:ascii="Times New Roman" w:hAnsi="Times New Roman" w:eastAsia="宋体" w:cs="Times New Roman"/>
                <w:color w:val="auto"/>
                <w:kern w:val="2"/>
                <w:sz w:val="24"/>
                <w:szCs w:val="24"/>
                <w:vertAlign w:val="baseline"/>
                <w:lang w:val="en-US" w:eastAsia="zh-CN" w:bidi="ar"/>
              </w:rPr>
              <w:t>污染物SO</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vertAlign w:val="baseline"/>
                <w:lang w:val="en-US" w:eastAsia="zh-CN" w:bidi="ar"/>
              </w:rPr>
              <w:t>、NO</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vertAlign w:val="baseline"/>
                <w:lang w:val="en-US" w:eastAsia="zh-CN" w:bidi="ar"/>
              </w:rPr>
              <w:t>、PM</w:t>
            </w:r>
            <w:r>
              <w:rPr>
                <w:rFonts w:hint="default" w:ascii="Times New Roman" w:hAnsi="Times New Roman" w:eastAsia="宋体" w:cs="Times New Roman"/>
                <w:color w:val="auto"/>
                <w:kern w:val="2"/>
                <w:sz w:val="24"/>
                <w:szCs w:val="24"/>
                <w:vertAlign w:val="subscript"/>
                <w:lang w:val="en-US" w:eastAsia="zh-CN" w:bidi="ar"/>
              </w:rPr>
              <w:t>10</w:t>
            </w:r>
            <w:r>
              <w:rPr>
                <w:rFonts w:hint="default" w:ascii="Times New Roman" w:hAnsi="Times New Roman" w:eastAsia="宋体" w:cs="Times New Roman"/>
                <w:color w:val="auto"/>
                <w:kern w:val="2"/>
                <w:sz w:val="24"/>
                <w:szCs w:val="24"/>
                <w:vertAlign w:val="baseline"/>
                <w:lang w:val="en-US" w:eastAsia="zh-CN" w:bidi="ar"/>
              </w:rPr>
              <w:t>、PM</w:t>
            </w:r>
            <w:r>
              <w:rPr>
                <w:rFonts w:hint="default" w:ascii="Times New Roman" w:hAnsi="Times New Roman" w:eastAsia="宋体" w:cs="Times New Roman"/>
                <w:color w:val="auto"/>
                <w:kern w:val="2"/>
                <w:sz w:val="24"/>
                <w:szCs w:val="24"/>
                <w:vertAlign w:val="subscript"/>
                <w:lang w:val="en-US" w:eastAsia="zh-CN" w:bidi="ar"/>
              </w:rPr>
              <w:t>2.5</w:t>
            </w:r>
            <w:r>
              <w:rPr>
                <w:rFonts w:hint="default" w:ascii="Times New Roman" w:hAnsi="Times New Roman" w:eastAsia="宋体" w:cs="Times New Roman"/>
                <w:color w:val="auto"/>
                <w:kern w:val="2"/>
                <w:sz w:val="24"/>
                <w:szCs w:val="24"/>
                <w:vertAlign w:val="baseline"/>
                <w:lang w:val="en-US" w:eastAsia="zh-CN" w:bidi="ar"/>
              </w:rPr>
              <w:t>、CO和O</w:t>
            </w:r>
            <w:r>
              <w:rPr>
                <w:rFonts w:hint="default" w:ascii="Times New Roman" w:hAnsi="Times New Roman" w:eastAsia="宋体" w:cs="Times New Roman"/>
                <w:color w:val="auto"/>
                <w:kern w:val="2"/>
                <w:sz w:val="24"/>
                <w:szCs w:val="24"/>
                <w:vertAlign w:val="subscript"/>
                <w:lang w:val="en-US" w:eastAsia="zh-CN" w:bidi="ar"/>
              </w:rPr>
              <w:t>3</w:t>
            </w:r>
            <w:r>
              <w:rPr>
                <w:rFonts w:hint="default" w:ascii="Times New Roman" w:hAnsi="Times New Roman" w:eastAsia="宋体" w:cs="Times New Roman"/>
                <w:color w:val="auto"/>
                <w:kern w:val="2"/>
                <w:sz w:val="24"/>
                <w:szCs w:val="24"/>
                <w:vertAlign w:val="baseline"/>
                <w:lang w:val="en-US" w:eastAsia="zh-CN" w:bidi="ar"/>
              </w:rPr>
              <w:t>的数据来源。</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cs="Times New Roman"/>
                <w:color w:val="auto"/>
                <w:kern w:val="2"/>
                <w:sz w:val="24"/>
                <w:szCs w:val="24"/>
                <w:vertAlign w:val="baseline"/>
              </w:rPr>
            </w:pPr>
            <w:r>
              <w:rPr>
                <w:rFonts w:hint="eastAsia" w:ascii="宋体" w:hAnsi="宋体" w:eastAsia="宋体" w:cs="宋体"/>
                <w:color w:val="auto"/>
                <w:kern w:val="2"/>
                <w:sz w:val="24"/>
                <w:szCs w:val="24"/>
                <w:vertAlign w:val="baseline"/>
                <w:lang w:val="en-US" w:eastAsia="zh-CN" w:bidi="ar"/>
              </w:rPr>
              <w:t>1）评价标准</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cs="Times New Roman"/>
                <w:color w:val="auto"/>
                <w:kern w:val="2"/>
                <w:sz w:val="24"/>
                <w:szCs w:val="24"/>
                <w:vertAlign w:val="baseline"/>
              </w:rPr>
            </w:pPr>
            <w:r>
              <w:rPr>
                <w:rFonts w:hint="eastAsia" w:ascii="宋体" w:hAnsi="宋体" w:eastAsia="宋体" w:cs="宋体"/>
                <w:color w:val="auto"/>
                <w:kern w:val="2"/>
                <w:sz w:val="24"/>
                <w:szCs w:val="24"/>
                <w:vertAlign w:val="baseline"/>
                <w:lang w:val="en-US" w:eastAsia="zh-CN" w:bidi="ar"/>
              </w:rPr>
              <w:t>基本污染物</w:t>
            </w:r>
            <w:r>
              <w:rPr>
                <w:rFonts w:hint="default" w:ascii="Times New Roman" w:hAnsi="Times New Roman" w:eastAsia="宋体" w:cs="Times New Roman"/>
                <w:color w:val="auto"/>
                <w:kern w:val="2"/>
                <w:sz w:val="24"/>
                <w:szCs w:val="24"/>
                <w:vertAlign w:val="baseline"/>
                <w:lang w:val="en-US" w:eastAsia="zh-CN" w:bidi="ar"/>
              </w:rPr>
              <w:t>SO</w:t>
            </w:r>
            <w:r>
              <w:rPr>
                <w:rFonts w:hint="default" w:ascii="Times New Roman" w:hAnsi="Times New Roman" w:eastAsia="宋体" w:cs="Times New Roman"/>
                <w:color w:val="auto"/>
                <w:kern w:val="2"/>
                <w:sz w:val="24"/>
                <w:szCs w:val="24"/>
                <w:vertAlign w:val="subscript"/>
                <w:lang w:val="en-US" w:eastAsia="zh-CN" w:bidi="ar"/>
              </w:rPr>
              <w:t>2</w:t>
            </w:r>
            <w:r>
              <w:rPr>
                <w:rFonts w:hint="eastAsia" w:ascii="宋体" w:hAnsi="宋体" w:eastAsia="宋体" w:cs="宋体"/>
                <w:color w:val="auto"/>
                <w:kern w:val="2"/>
                <w:sz w:val="24"/>
                <w:szCs w:val="24"/>
                <w:vertAlign w:val="baseline"/>
                <w:lang w:val="en-US" w:eastAsia="zh-CN" w:bidi="ar"/>
              </w:rPr>
              <w:t>、</w:t>
            </w:r>
            <w:r>
              <w:rPr>
                <w:rFonts w:hint="default" w:ascii="Times New Roman" w:hAnsi="Times New Roman" w:eastAsia="宋体" w:cs="Times New Roman"/>
                <w:color w:val="auto"/>
                <w:kern w:val="2"/>
                <w:sz w:val="24"/>
                <w:szCs w:val="24"/>
                <w:vertAlign w:val="baseline"/>
                <w:lang w:val="en-US" w:eastAsia="zh-CN" w:bidi="ar"/>
              </w:rPr>
              <w:t>NO</w:t>
            </w:r>
            <w:r>
              <w:rPr>
                <w:rFonts w:hint="default" w:ascii="Times New Roman" w:hAnsi="Times New Roman" w:eastAsia="宋体" w:cs="Times New Roman"/>
                <w:color w:val="auto"/>
                <w:kern w:val="2"/>
                <w:sz w:val="24"/>
                <w:szCs w:val="24"/>
                <w:vertAlign w:val="subscript"/>
                <w:lang w:val="en-US" w:eastAsia="zh-CN" w:bidi="ar"/>
              </w:rPr>
              <w:t>2</w:t>
            </w:r>
            <w:r>
              <w:rPr>
                <w:rFonts w:hint="eastAsia" w:ascii="宋体" w:hAnsi="宋体" w:eastAsia="宋体" w:cs="宋体"/>
                <w:color w:val="auto"/>
                <w:kern w:val="2"/>
                <w:sz w:val="24"/>
                <w:szCs w:val="24"/>
                <w:vertAlign w:val="baseline"/>
                <w:lang w:val="en-US" w:eastAsia="zh-CN" w:bidi="ar"/>
              </w:rPr>
              <w:t>、</w:t>
            </w:r>
            <w:r>
              <w:rPr>
                <w:rFonts w:hint="default" w:ascii="Times New Roman" w:hAnsi="Times New Roman" w:eastAsia="宋体" w:cs="Times New Roman"/>
                <w:color w:val="auto"/>
                <w:kern w:val="2"/>
                <w:sz w:val="24"/>
                <w:szCs w:val="24"/>
                <w:vertAlign w:val="baseline"/>
                <w:lang w:val="en-US" w:eastAsia="zh-CN" w:bidi="ar"/>
              </w:rPr>
              <w:t>PM</w:t>
            </w:r>
            <w:r>
              <w:rPr>
                <w:rFonts w:hint="default" w:ascii="Times New Roman" w:hAnsi="Times New Roman" w:eastAsia="宋体" w:cs="Times New Roman"/>
                <w:color w:val="auto"/>
                <w:kern w:val="2"/>
                <w:sz w:val="24"/>
                <w:szCs w:val="24"/>
                <w:vertAlign w:val="subscript"/>
                <w:lang w:val="en-US" w:eastAsia="zh-CN" w:bidi="ar"/>
              </w:rPr>
              <w:t>10</w:t>
            </w:r>
            <w:r>
              <w:rPr>
                <w:rFonts w:hint="eastAsia" w:ascii="宋体" w:hAnsi="宋体" w:eastAsia="宋体" w:cs="宋体"/>
                <w:color w:val="auto"/>
                <w:kern w:val="2"/>
                <w:sz w:val="24"/>
                <w:szCs w:val="24"/>
                <w:vertAlign w:val="baseline"/>
                <w:lang w:val="en-US" w:eastAsia="zh-CN" w:bidi="ar"/>
              </w:rPr>
              <w:t>、</w:t>
            </w:r>
            <w:r>
              <w:rPr>
                <w:rFonts w:hint="default" w:ascii="Times New Roman" w:hAnsi="Times New Roman" w:eastAsia="宋体" w:cs="Times New Roman"/>
                <w:color w:val="auto"/>
                <w:kern w:val="2"/>
                <w:sz w:val="24"/>
                <w:szCs w:val="24"/>
                <w:vertAlign w:val="baseline"/>
                <w:lang w:val="en-US" w:eastAsia="zh-CN" w:bidi="ar"/>
              </w:rPr>
              <w:t>PM</w:t>
            </w:r>
            <w:r>
              <w:rPr>
                <w:rFonts w:hint="default" w:ascii="Times New Roman" w:hAnsi="Times New Roman" w:eastAsia="宋体" w:cs="Times New Roman"/>
                <w:color w:val="auto"/>
                <w:kern w:val="2"/>
                <w:sz w:val="24"/>
                <w:szCs w:val="24"/>
                <w:vertAlign w:val="subscript"/>
                <w:lang w:val="en-US" w:eastAsia="zh-CN" w:bidi="ar"/>
              </w:rPr>
              <w:t>2.5</w:t>
            </w:r>
            <w:r>
              <w:rPr>
                <w:rFonts w:hint="eastAsia" w:ascii="宋体" w:hAnsi="宋体" w:eastAsia="宋体" w:cs="宋体"/>
                <w:color w:val="auto"/>
                <w:kern w:val="2"/>
                <w:sz w:val="24"/>
                <w:szCs w:val="24"/>
                <w:vertAlign w:val="baseline"/>
                <w:lang w:val="en-US" w:eastAsia="zh-CN" w:bidi="ar"/>
              </w:rPr>
              <w:t>、</w:t>
            </w:r>
            <w:r>
              <w:rPr>
                <w:rFonts w:hint="default" w:ascii="Times New Roman" w:hAnsi="Times New Roman" w:eastAsia="宋体" w:cs="Times New Roman"/>
                <w:color w:val="auto"/>
                <w:kern w:val="2"/>
                <w:sz w:val="24"/>
                <w:szCs w:val="24"/>
                <w:vertAlign w:val="baseline"/>
                <w:lang w:val="en-US" w:eastAsia="zh-CN" w:bidi="ar"/>
              </w:rPr>
              <w:t>CO</w:t>
            </w:r>
            <w:r>
              <w:rPr>
                <w:rFonts w:hint="eastAsia" w:ascii="宋体" w:hAnsi="宋体" w:eastAsia="宋体" w:cs="宋体"/>
                <w:color w:val="auto"/>
                <w:kern w:val="2"/>
                <w:sz w:val="24"/>
                <w:szCs w:val="24"/>
                <w:vertAlign w:val="baseline"/>
                <w:lang w:val="en-US" w:eastAsia="zh-CN" w:bidi="ar"/>
              </w:rPr>
              <w:t>和</w:t>
            </w:r>
            <w:r>
              <w:rPr>
                <w:rFonts w:hint="default" w:ascii="Times New Roman" w:hAnsi="Times New Roman" w:eastAsia="宋体" w:cs="Times New Roman"/>
                <w:color w:val="auto"/>
                <w:kern w:val="2"/>
                <w:sz w:val="24"/>
                <w:szCs w:val="24"/>
                <w:vertAlign w:val="baseline"/>
                <w:lang w:val="en-US" w:eastAsia="zh-CN" w:bidi="ar"/>
              </w:rPr>
              <w:t>O</w:t>
            </w:r>
            <w:r>
              <w:rPr>
                <w:rFonts w:hint="default" w:ascii="Times New Roman" w:hAnsi="Times New Roman" w:eastAsia="宋体" w:cs="Times New Roman"/>
                <w:color w:val="auto"/>
                <w:kern w:val="2"/>
                <w:sz w:val="24"/>
                <w:szCs w:val="24"/>
                <w:vertAlign w:val="subscript"/>
                <w:lang w:val="en-US" w:eastAsia="zh-CN" w:bidi="ar"/>
              </w:rPr>
              <w:t>3</w:t>
            </w:r>
            <w:r>
              <w:rPr>
                <w:rFonts w:hint="eastAsia" w:ascii="宋体" w:hAnsi="宋体" w:eastAsia="宋体" w:cs="宋体"/>
                <w:color w:val="auto"/>
                <w:kern w:val="2"/>
                <w:sz w:val="24"/>
                <w:szCs w:val="24"/>
                <w:vertAlign w:val="baseline"/>
                <w:lang w:val="en-US" w:eastAsia="zh-CN" w:bidi="ar"/>
              </w:rPr>
              <w:t>执行《环境空气质量标准》（</w:t>
            </w:r>
            <w:r>
              <w:rPr>
                <w:rFonts w:hint="default" w:ascii="Times New Roman" w:hAnsi="Times New Roman" w:eastAsia="宋体" w:cs="Times New Roman"/>
                <w:color w:val="auto"/>
                <w:kern w:val="2"/>
                <w:sz w:val="24"/>
                <w:szCs w:val="24"/>
                <w:vertAlign w:val="baseline"/>
                <w:lang w:val="en-US" w:eastAsia="zh-CN" w:bidi="ar"/>
              </w:rPr>
              <w:t>GB3095-2012</w:t>
            </w:r>
            <w:r>
              <w:rPr>
                <w:rFonts w:hint="eastAsia" w:ascii="宋体" w:hAnsi="宋体" w:eastAsia="宋体" w:cs="宋体"/>
                <w:color w:val="auto"/>
                <w:kern w:val="2"/>
                <w:sz w:val="24"/>
                <w:szCs w:val="24"/>
                <w:vertAlign w:val="baseline"/>
                <w:lang w:val="en-US" w:eastAsia="zh-CN" w:bidi="ar"/>
              </w:rPr>
              <w:t>）</w:t>
            </w:r>
            <w:r>
              <w:rPr>
                <w:rFonts w:hint="eastAsia" w:ascii="宋体" w:hAnsi="宋体" w:cs="宋体"/>
                <w:color w:val="auto"/>
                <w:kern w:val="2"/>
                <w:sz w:val="24"/>
                <w:szCs w:val="24"/>
                <w:vertAlign w:val="baseline"/>
                <w:lang w:val="en-US" w:eastAsia="zh-CN" w:bidi="ar"/>
              </w:rPr>
              <w:t>及其修改单</w:t>
            </w:r>
            <w:r>
              <w:rPr>
                <w:rFonts w:hint="eastAsia" w:ascii="宋体" w:hAnsi="宋体" w:eastAsia="宋体" w:cs="宋体"/>
                <w:color w:val="auto"/>
                <w:kern w:val="2"/>
                <w:sz w:val="24"/>
                <w:szCs w:val="24"/>
                <w:vertAlign w:val="baseline"/>
                <w:lang w:val="en-US" w:eastAsia="zh-CN" w:bidi="ar"/>
              </w:rPr>
              <w:t>中的二级标准。</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cs="Times New Roman"/>
                <w:color w:val="auto"/>
                <w:kern w:val="2"/>
                <w:sz w:val="24"/>
                <w:szCs w:val="24"/>
                <w:vertAlign w:val="baseline"/>
              </w:rPr>
            </w:pPr>
            <w:r>
              <w:rPr>
                <w:rFonts w:hint="eastAsia" w:ascii="宋体" w:hAnsi="宋体" w:eastAsia="宋体" w:cs="宋体"/>
                <w:color w:val="auto"/>
                <w:kern w:val="2"/>
                <w:sz w:val="24"/>
                <w:szCs w:val="24"/>
                <w:vertAlign w:val="baseline"/>
                <w:lang w:val="en-US" w:eastAsia="zh-CN" w:bidi="ar"/>
              </w:rPr>
              <w:t>2）评价方法</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cs="Times New Roman"/>
                <w:color w:val="auto"/>
                <w:kern w:val="2"/>
                <w:sz w:val="24"/>
                <w:szCs w:val="24"/>
                <w:vertAlign w:val="baseline"/>
              </w:rPr>
            </w:pPr>
            <w:r>
              <w:rPr>
                <w:rFonts w:hint="eastAsia" w:ascii="宋体" w:hAnsi="宋体" w:eastAsia="宋体" w:cs="宋体"/>
                <w:color w:val="auto"/>
                <w:kern w:val="2"/>
                <w:sz w:val="24"/>
                <w:szCs w:val="24"/>
                <w:vertAlign w:val="baseline"/>
                <w:lang w:val="en-US" w:eastAsia="zh-CN" w:bidi="ar"/>
              </w:rPr>
              <w:t>基本污染物按照《环境空气质量评价技术规范（试行）》（</w:t>
            </w:r>
            <w:r>
              <w:rPr>
                <w:rFonts w:hint="default" w:ascii="Times New Roman" w:hAnsi="Times New Roman" w:eastAsia="宋体" w:cs="Times New Roman"/>
                <w:color w:val="auto"/>
                <w:kern w:val="2"/>
                <w:sz w:val="24"/>
                <w:szCs w:val="24"/>
                <w:vertAlign w:val="baseline"/>
                <w:lang w:val="en-US" w:eastAsia="zh-CN" w:bidi="ar"/>
              </w:rPr>
              <w:t>HJ663-2013</w:t>
            </w:r>
            <w:r>
              <w:rPr>
                <w:rFonts w:hint="eastAsia" w:ascii="宋体" w:hAnsi="宋体" w:eastAsia="宋体" w:cs="宋体"/>
                <w:color w:val="auto"/>
                <w:kern w:val="2"/>
                <w:sz w:val="24"/>
                <w:szCs w:val="24"/>
                <w:vertAlign w:val="baseline"/>
                <w:lang w:val="en-US" w:eastAsia="zh-CN" w:bidi="ar"/>
              </w:rPr>
              <w:t>）中各评价项目的年评价指标进行判定。年评价指标中的年均浓度和相应百分位数</w:t>
            </w:r>
            <w:r>
              <w:rPr>
                <w:rFonts w:hint="default" w:ascii="Times New Roman" w:hAnsi="Times New Roman" w:eastAsia="宋体" w:cs="Times New Roman"/>
                <w:color w:val="auto"/>
                <w:kern w:val="2"/>
                <w:sz w:val="24"/>
                <w:szCs w:val="24"/>
                <w:vertAlign w:val="baseline"/>
                <w:lang w:val="en-US" w:eastAsia="zh-CN" w:bidi="ar"/>
              </w:rPr>
              <w:t>24h</w:t>
            </w:r>
            <w:r>
              <w:rPr>
                <w:rFonts w:hint="eastAsia" w:ascii="宋体" w:hAnsi="宋体" w:eastAsia="宋体" w:cs="宋体"/>
                <w:color w:val="auto"/>
                <w:kern w:val="2"/>
                <w:sz w:val="24"/>
                <w:szCs w:val="24"/>
                <w:vertAlign w:val="baseline"/>
                <w:lang w:val="en-US" w:eastAsia="zh-CN" w:bidi="ar"/>
              </w:rPr>
              <w:t>平均或</w:t>
            </w:r>
            <w:r>
              <w:rPr>
                <w:rFonts w:hint="default" w:ascii="Times New Roman" w:hAnsi="Times New Roman" w:eastAsia="宋体" w:cs="Times New Roman"/>
                <w:color w:val="auto"/>
                <w:kern w:val="2"/>
                <w:sz w:val="24"/>
                <w:szCs w:val="24"/>
                <w:vertAlign w:val="baseline"/>
                <w:lang w:val="en-US" w:eastAsia="zh-CN" w:bidi="ar"/>
              </w:rPr>
              <w:t>8h</w:t>
            </w:r>
            <w:r>
              <w:rPr>
                <w:rFonts w:hint="eastAsia" w:ascii="宋体" w:hAnsi="宋体" w:eastAsia="宋体" w:cs="宋体"/>
                <w:color w:val="auto"/>
                <w:kern w:val="2"/>
                <w:sz w:val="24"/>
                <w:szCs w:val="24"/>
                <w:vertAlign w:val="baseline"/>
                <w:lang w:val="en-US" w:eastAsia="zh-CN" w:bidi="ar"/>
              </w:rPr>
              <w:t>平均质量浓度满足《环境空气质量标准》（</w:t>
            </w:r>
            <w:r>
              <w:rPr>
                <w:rFonts w:hint="default" w:ascii="Times New Roman" w:hAnsi="Times New Roman" w:eastAsia="宋体" w:cs="Times New Roman"/>
                <w:color w:val="auto"/>
                <w:kern w:val="2"/>
                <w:sz w:val="24"/>
                <w:szCs w:val="24"/>
                <w:vertAlign w:val="baseline"/>
                <w:lang w:val="en-US" w:eastAsia="zh-CN" w:bidi="ar"/>
              </w:rPr>
              <w:t>GB3095-2012</w:t>
            </w:r>
            <w:r>
              <w:rPr>
                <w:rFonts w:hint="eastAsia" w:ascii="宋体" w:hAnsi="宋体" w:eastAsia="宋体" w:cs="宋体"/>
                <w:color w:val="auto"/>
                <w:kern w:val="2"/>
                <w:sz w:val="24"/>
                <w:szCs w:val="24"/>
                <w:vertAlign w:val="baseline"/>
                <w:lang w:val="en-US" w:eastAsia="zh-CN" w:bidi="ar"/>
              </w:rPr>
              <w:t>）及其修改单中浓度限值要求的即为达标。</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cs="Times New Roman"/>
                <w:color w:val="auto"/>
                <w:kern w:val="2"/>
                <w:sz w:val="24"/>
                <w:szCs w:val="24"/>
                <w:vertAlign w:val="baseline"/>
              </w:rPr>
            </w:pPr>
            <w:r>
              <w:rPr>
                <w:rFonts w:hint="eastAsia" w:ascii="宋体" w:hAnsi="宋体" w:eastAsia="宋体" w:cs="宋体"/>
                <w:color w:val="auto"/>
                <w:kern w:val="2"/>
                <w:sz w:val="24"/>
                <w:szCs w:val="24"/>
                <w:vertAlign w:val="baseline"/>
                <w:lang w:val="en-US" w:eastAsia="zh-CN" w:bidi="ar"/>
              </w:rPr>
              <w:t>3）达标区判定</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cs="Times New Roman"/>
                <w:color w:val="auto"/>
                <w:kern w:val="2"/>
                <w:sz w:val="24"/>
                <w:szCs w:val="24"/>
                <w:vertAlign w:val="baseline"/>
              </w:rPr>
            </w:pPr>
            <w:r>
              <w:rPr>
                <w:rFonts w:hint="eastAsia" w:ascii="宋体" w:hAnsi="宋体" w:eastAsia="宋体" w:cs="宋体"/>
                <w:color w:val="auto"/>
                <w:kern w:val="2"/>
                <w:sz w:val="24"/>
                <w:szCs w:val="24"/>
                <w:vertAlign w:val="baseline"/>
                <w:lang w:val="en-US" w:eastAsia="zh-CN" w:bidi="ar"/>
              </w:rPr>
              <w:t>项目所在区域基本污染物现状评价结果见</w:t>
            </w:r>
            <w:r>
              <w:rPr>
                <w:rFonts w:hint="eastAsia" w:ascii="宋体" w:hAnsi="宋体" w:cs="宋体"/>
                <w:color w:val="auto"/>
                <w:kern w:val="2"/>
                <w:sz w:val="24"/>
                <w:szCs w:val="24"/>
                <w:vertAlign w:val="baseline"/>
                <w:lang w:val="en-US" w:eastAsia="zh-CN" w:bidi="ar"/>
              </w:rPr>
              <w:t>下</w:t>
            </w:r>
            <w:r>
              <w:rPr>
                <w:rFonts w:hint="eastAsia" w:ascii="宋体" w:hAnsi="宋体" w:eastAsia="宋体" w:cs="宋体"/>
                <w:color w:val="auto"/>
                <w:kern w:val="2"/>
                <w:sz w:val="24"/>
                <w:szCs w:val="24"/>
                <w:vertAlign w:val="baseline"/>
                <w:lang w:val="en-US" w:eastAsia="zh-CN" w:bidi="ar"/>
              </w:rPr>
              <w:t>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lang w:val="en-US" w:eastAsia="zh-CN"/>
              </w:rPr>
            </w:pPr>
            <w:r>
              <w:rPr>
                <w:rFonts w:hint="eastAsia" w:ascii="Times New Roman" w:hAnsi="Times New Roman" w:eastAsia="宋体" w:cs="Times New Roman"/>
                <w:b/>
                <w:bCs/>
                <w:sz w:val="22"/>
                <w:szCs w:val="22"/>
                <w:lang w:val="en-US" w:eastAsia="zh-CN"/>
              </w:rPr>
              <w:t>表</w:t>
            </w:r>
            <w:r>
              <w:rPr>
                <w:rFonts w:hint="default" w:ascii="Times New Roman" w:hAnsi="Times New Roman" w:eastAsia="宋体" w:cs="Times New Roman"/>
                <w:b/>
                <w:bCs/>
                <w:sz w:val="22"/>
                <w:szCs w:val="22"/>
                <w:lang w:val="en-US" w:eastAsia="zh-CN"/>
              </w:rPr>
              <w:t>3-</w:t>
            </w:r>
            <w:r>
              <w:rPr>
                <w:rFonts w:hint="eastAsia" w:ascii="Times New Roman" w:hAnsi="Times New Roman" w:eastAsia="宋体" w:cs="Times New Roman"/>
                <w:b/>
                <w:bCs/>
                <w:sz w:val="22"/>
                <w:szCs w:val="22"/>
                <w:lang w:val="en-US" w:eastAsia="zh-CN"/>
              </w:rPr>
              <w:t xml:space="preserve">2   </w:t>
            </w:r>
            <w:r>
              <w:rPr>
                <w:rFonts w:hint="default" w:ascii="Times New Roman" w:hAnsi="Times New Roman" w:eastAsia="宋体" w:cs="Times New Roman"/>
                <w:b/>
                <w:bCs/>
                <w:sz w:val="22"/>
                <w:szCs w:val="22"/>
                <w:lang w:val="en-US" w:eastAsia="zh-CN"/>
              </w:rPr>
              <w:t>202</w:t>
            </w:r>
            <w:r>
              <w:rPr>
                <w:rFonts w:hint="eastAsia" w:ascii="Times New Roman" w:hAnsi="Times New Roman" w:eastAsia="宋体" w:cs="Times New Roman"/>
                <w:b/>
                <w:bCs/>
                <w:sz w:val="22"/>
                <w:szCs w:val="22"/>
                <w:lang w:val="en-US" w:eastAsia="zh-CN"/>
              </w:rPr>
              <w:t>3年和硕县基本污染物环境质量现状评价表</w:t>
            </w:r>
            <w:r>
              <w:rPr>
                <w:rFonts w:hint="default" w:ascii="Times New Roman" w:hAnsi="Times New Roman" w:eastAsia="宋体" w:cs="Times New Roman"/>
                <w:b/>
                <w:bCs/>
                <w:sz w:val="22"/>
                <w:szCs w:val="22"/>
                <w:lang w:val="en-US" w:eastAsia="zh-CN"/>
              </w:rPr>
              <w:t xml:space="preserve">  </w:t>
            </w:r>
            <w:r>
              <w:rPr>
                <w:rFonts w:hint="eastAsia" w:ascii="Times New Roman" w:hAnsi="Times New Roman" w:eastAsia="宋体" w:cs="Times New Roman"/>
                <w:b/>
                <w:bCs/>
                <w:sz w:val="22"/>
                <w:szCs w:val="22"/>
                <w:lang w:val="en-US" w:eastAsia="zh-CN"/>
              </w:rPr>
              <w:t>单位：</w:t>
            </w:r>
            <w:r>
              <w:rPr>
                <w:rFonts w:hint="default" w:ascii="Times New Roman" w:hAnsi="Times New Roman" w:eastAsia="宋体" w:cs="Times New Roman"/>
                <w:b/>
                <w:bCs/>
                <w:sz w:val="22"/>
                <w:szCs w:val="22"/>
                <w:lang w:val="en-US" w:eastAsia="zh-CN"/>
              </w:rPr>
              <w:t>μg/m</w:t>
            </w:r>
            <w:r>
              <w:rPr>
                <w:rFonts w:hint="default" w:ascii="Times New Roman" w:hAnsi="Times New Roman" w:eastAsia="宋体" w:cs="Times New Roman"/>
                <w:b/>
                <w:bCs/>
                <w:sz w:val="22"/>
                <w:szCs w:val="22"/>
                <w:vertAlign w:val="superscript"/>
                <w:lang w:val="en-US" w:eastAsia="zh-CN"/>
              </w:rPr>
              <w:t>3</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39"/>
              <w:gridCol w:w="2811"/>
              <w:gridCol w:w="1213"/>
              <w:gridCol w:w="1069"/>
              <w:gridCol w:w="1374"/>
              <w:gridCol w:w="11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1" w:hRule="atLeast"/>
                <w:jc w:val="center"/>
              </w:trPr>
              <w:tc>
                <w:tcPr>
                  <w:tcW w:w="4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项目</w:t>
                  </w:r>
                </w:p>
              </w:tc>
              <w:tc>
                <w:tcPr>
                  <w:tcW w:w="165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平均时段</w:t>
                  </w:r>
                </w:p>
              </w:tc>
              <w:tc>
                <w:tcPr>
                  <w:tcW w:w="71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现状浓度</w:t>
                  </w:r>
                </w:p>
              </w:tc>
              <w:tc>
                <w:tcPr>
                  <w:tcW w:w="6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标准值</w:t>
                  </w:r>
                </w:p>
              </w:tc>
              <w:tc>
                <w:tcPr>
                  <w:tcW w:w="8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占标率（</w:t>
                  </w:r>
                  <w:r>
                    <w:rPr>
                      <w:rFonts w:hint="default" w:ascii="Times New Roman" w:hAnsi="Times New Roman" w:eastAsia="宋体" w:cs="Times New Roman"/>
                      <w:b w:val="0"/>
                      <w:bCs w:val="0"/>
                      <w:color w:val="auto"/>
                      <w:kern w:val="2"/>
                      <w:sz w:val="21"/>
                      <w:szCs w:val="21"/>
                      <w:lang w:val="en-US" w:eastAsia="zh-CN" w:bidi="ar"/>
                    </w:rPr>
                    <w:t>%</w:t>
                  </w:r>
                  <w:r>
                    <w:rPr>
                      <w:rFonts w:hint="eastAsia" w:ascii="宋体" w:hAnsi="宋体" w:eastAsia="宋体" w:cs="宋体"/>
                      <w:b w:val="0"/>
                      <w:bCs w:val="0"/>
                      <w:color w:val="auto"/>
                      <w:kern w:val="2"/>
                      <w:sz w:val="21"/>
                      <w:szCs w:val="21"/>
                      <w:lang w:val="en-US" w:eastAsia="zh-CN" w:bidi="ar"/>
                    </w:rPr>
                    <w:t>）</w:t>
                  </w:r>
                </w:p>
              </w:tc>
              <w:tc>
                <w:tcPr>
                  <w:tcW w:w="6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rPr>
                  </w:pPr>
                  <w:r>
                    <w:rPr>
                      <w:rFonts w:hint="eastAsia" w:ascii="宋体" w:hAnsi="宋体" w:eastAsia="宋体" w:cs="宋体"/>
                      <w:b w:val="0"/>
                      <w:bCs w:val="0"/>
                      <w:color w:val="auto"/>
                      <w:kern w:val="2"/>
                      <w:sz w:val="21"/>
                      <w:szCs w:val="21"/>
                      <w:lang w:val="en-US" w:eastAsia="zh-CN" w:bidi="ar"/>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 w:hRule="atLeast"/>
                <w:jc w:val="center"/>
              </w:trPr>
              <w:tc>
                <w:tcPr>
                  <w:tcW w:w="4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SO</w:t>
                  </w:r>
                  <w:r>
                    <w:rPr>
                      <w:rFonts w:hint="default" w:ascii="Times New Roman" w:hAnsi="Times New Roman" w:eastAsia="宋体" w:cs="Times New Roman"/>
                      <w:color w:val="auto"/>
                      <w:kern w:val="2"/>
                      <w:sz w:val="21"/>
                      <w:szCs w:val="21"/>
                      <w:vertAlign w:val="subscript"/>
                      <w:lang w:val="en-US" w:eastAsia="zh-CN" w:bidi="ar"/>
                    </w:rPr>
                    <w:t>2</w:t>
                  </w:r>
                </w:p>
              </w:tc>
              <w:tc>
                <w:tcPr>
                  <w:tcW w:w="165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年平均</w:t>
                  </w:r>
                </w:p>
              </w:tc>
              <w:tc>
                <w:tcPr>
                  <w:tcW w:w="71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宋体"/>
                      <w:color w:val="auto"/>
                      <w:kern w:val="2"/>
                      <w:sz w:val="21"/>
                      <w:szCs w:val="21"/>
                      <w:lang w:val="en-US" w:eastAsia="zh-CN"/>
                    </w:rPr>
                  </w:pPr>
                  <w:r>
                    <w:rPr>
                      <w:rFonts w:hint="eastAsia" w:cs="宋体"/>
                      <w:color w:val="auto"/>
                      <w:kern w:val="2"/>
                      <w:sz w:val="21"/>
                      <w:szCs w:val="21"/>
                      <w:lang w:val="en-US" w:eastAsia="zh-CN"/>
                    </w:rPr>
                    <w:t>8</w:t>
                  </w:r>
                </w:p>
              </w:tc>
              <w:tc>
                <w:tcPr>
                  <w:tcW w:w="6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60</w:t>
                  </w:r>
                </w:p>
              </w:tc>
              <w:tc>
                <w:tcPr>
                  <w:tcW w:w="8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13.3</w:t>
                  </w:r>
                </w:p>
              </w:tc>
              <w:tc>
                <w:tcPr>
                  <w:tcW w:w="6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eastAsia="宋体" w:cs="Times New Roman"/>
                      <w:color w:val="auto"/>
                      <w:kern w:val="2"/>
                      <w:sz w:val="21"/>
                      <w:szCs w:val="21"/>
                      <w:vertAlign w:val="subscript"/>
                      <w:lang w:val="en-US" w:eastAsia="zh-CN" w:bidi="ar"/>
                    </w:rPr>
                    <w:t>2</w:t>
                  </w:r>
                </w:p>
              </w:tc>
              <w:tc>
                <w:tcPr>
                  <w:tcW w:w="165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年平均</w:t>
                  </w:r>
                </w:p>
              </w:tc>
              <w:tc>
                <w:tcPr>
                  <w:tcW w:w="71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21</w:t>
                  </w:r>
                </w:p>
              </w:tc>
              <w:tc>
                <w:tcPr>
                  <w:tcW w:w="6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40</w:t>
                  </w:r>
                </w:p>
              </w:tc>
              <w:tc>
                <w:tcPr>
                  <w:tcW w:w="8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52.5</w:t>
                  </w:r>
                </w:p>
              </w:tc>
              <w:tc>
                <w:tcPr>
                  <w:tcW w:w="6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 w:hRule="atLeast"/>
                <w:jc w:val="center"/>
              </w:trPr>
              <w:tc>
                <w:tcPr>
                  <w:tcW w:w="4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PM</w:t>
                  </w:r>
                  <w:r>
                    <w:rPr>
                      <w:rFonts w:hint="default" w:ascii="Times New Roman" w:hAnsi="Times New Roman" w:eastAsia="宋体" w:cs="Times New Roman"/>
                      <w:color w:val="auto"/>
                      <w:kern w:val="2"/>
                      <w:sz w:val="21"/>
                      <w:szCs w:val="21"/>
                      <w:vertAlign w:val="subscript"/>
                      <w:lang w:val="en-US" w:eastAsia="zh-CN" w:bidi="ar"/>
                    </w:rPr>
                    <w:t>10</w:t>
                  </w:r>
                </w:p>
              </w:tc>
              <w:tc>
                <w:tcPr>
                  <w:tcW w:w="165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年平均</w:t>
                  </w:r>
                </w:p>
              </w:tc>
              <w:tc>
                <w:tcPr>
                  <w:tcW w:w="71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110</w:t>
                  </w:r>
                </w:p>
              </w:tc>
              <w:tc>
                <w:tcPr>
                  <w:tcW w:w="6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70</w:t>
                  </w:r>
                </w:p>
              </w:tc>
              <w:tc>
                <w:tcPr>
                  <w:tcW w:w="8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157.1</w:t>
                  </w:r>
                </w:p>
              </w:tc>
              <w:tc>
                <w:tcPr>
                  <w:tcW w:w="686" w:type="pct"/>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不达标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 w:hRule="atLeast"/>
                <w:jc w:val="center"/>
              </w:trPr>
              <w:tc>
                <w:tcPr>
                  <w:tcW w:w="4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PM</w:t>
                  </w:r>
                  <w:r>
                    <w:rPr>
                      <w:rFonts w:hint="default" w:ascii="Times New Roman" w:hAnsi="Times New Roman" w:eastAsia="宋体" w:cs="Times New Roman"/>
                      <w:color w:val="auto"/>
                      <w:kern w:val="2"/>
                      <w:sz w:val="21"/>
                      <w:szCs w:val="21"/>
                      <w:vertAlign w:val="subscript"/>
                      <w:lang w:val="en-US" w:eastAsia="zh-CN" w:bidi="ar"/>
                    </w:rPr>
                    <w:t>2.5</w:t>
                  </w:r>
                </w:p>
              </w:tc>
              <w:tc>
                <w:tcPr>
                  <w:tcW w:w="165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年平均</w:t>
                  </w:r>
                </w:p>
              </w:tc>
              <w:tc>
                <w:tcPr>
                  <w:tcW w:w="71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39</w:t>
                  </w:r>
                </w:p>
              </w:tc>
              <w:tc>
                <w:tcPr>
                  <w:tcW w:w="6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35</w:t>
                  </w:r>
                </w:p>
              </w:tc>
              <w:tc>
                <w:tcPr>
                  <w:tcW w:w="8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111.4</w:t>
                  </w:r>
                </w:p>
              </w:tc>
              <w:tc>
                <w:tcPr>
                  <w:tcW w:w="686" w:type="pct"/>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不达标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 w:hRule="atLeast"/>
                <w:jc w:val="center"/>
              </w:trPr>
              <w:tc>
                <w:tcPr>
                  <w:tcW w:w="4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CO</w:t>
                  </w:r>
                </w:p>
              </w:tc>
              <w:tc>
                <w:tcPr>
                  <w:tcW w:w="165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24</w:t>
                  </w:r>
                  <w:r>
                    <w:rPr>
                      <w:rFonts w:hint="eastAsia" w:ascii="宋体" w:hAnsi="宋体" w:eastAsia="宋体" w:cs="宋体"/>
                      <w:color w:val="auto"/>
                      <w:kern w:val="2"/>
                      <w:sz w:val="21"/>
                      <w:szCs w:val="21"/>
                      <w:lang w:val="en-US" w:eastAsia="zh-CN" w:bidi="ar"/>
                    </w:rPr>
                    <w:t>小时平均第</w:t>
                  </w:r>
                  <w:r>
                    <w:rPr>
                      <w:rFonts w:hint="default" w:ascii="Times New Roman" w:hAnsi="Times New Roman" w:eastAsia="宋体" w:cs="Times New Roman"/>
                      <w:color w:val="auto"/>
                      <w:kern w:val="2"/>
                      <w:sz w:val="21"/>
                      <w:szCs w:val="21"/>
                      <w:lang w:val="en-US" w:eastAsia="zh-CN" w:bidi="ar"/>
                    </w:rPr>
                    <w:t>95</w:t>
                  </w:r>
                  <w:r>
                    <w:rPr>
                      <w:rFonts w:hint="eastAsia" w:ascii="宋体" w:hAnsi="宋体" w:eastAsia="宋体" w:cs="宋体"/>
                      <w:color w:val="auto"/>
                      <w:kern w:val="2"/>
                      <w:sz w:val="21"/>
                      <w:szCs w:val="21"/>
                      <w:lang w:val="en-US" w:eastAsia="zh-CN" w:bidi="ar"/>
                    </w:rPr>
                    <w:t>百分位数</w:t>
                  </w:r>
                </w:p>
              </w:tc>
              <w:tc>
                <w:tcPr>
                  <w:tcW w:w="71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1300</w:t>
                  </w:r>
                </w:p>
              </w:tc>
              <w:tc>
                <w:tcPr>
                  <w:tcW w:w="6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4000</w:t>
                  </w:r>
                </w:p>
              </w:tc>
              <w:tc>
                <w:tcPr>
                  <w:tcW w:w="8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32.5</w:t>
                  </w:r>
                </w:p>
              </w:tc>
              <w:tc>
                <w:tcPr>
                  <w:tcW w:w="6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0" w:hRule="atLeast"/>
                <w:jc w:val="center"/>
              </w:trPr>
              <w:tc>
                <w:tcPr>
                  <w:tcW w:w="4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O</w:t>
                  </w:r>
                  <w:r>
                    <w:rPr>
                      <w:rFonts w:hint="default" w:ascii="Times New Roman" w:hAnsi="Times New Roman" w:eastAsia="宋体" w:cs="Times New Roman"/>
                      <w:color w:val="auto"/>
                      <w:kern w:val="2"/>
                      <w:sz w:val="21"/>
                      <w:szCs w:val="21"/>
                      <w:vertAlign w:val="subscript"/>
                      <w:lang w:val="en-US" w:eastAsia="zh-CN" w:bidi="ar"/>
                    </w:rPr>
                    <w:t>3</w:t>
                  </w:r>
                </w:p>
              </w:tc>
              <w:tc>
                <w:tcPr>
                  <w:tcW w:w="165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w:t>
                  </w:r>
                  <w:r>
                    <w:rPr>
                      <w:rFonts w:hint="eastAsia" w:ascii="宋体" w:hAnsi="宋体" w:eastAsia="宋体" w:cs="宋体"/>
                      <w:color w:val="auto"/>
                      <w:kern w:val="2"/>
                      <w:sz w:val="21"/>
                      <w:szCs w:val="21"/>
                      <w:lang w:val="en-US" w:eastAsia="zh-CN" w:bidi="ar"/>
                    </w:rPr>
                    <w:t>小时平均第</w:t>
                  </w:r>
                  <w:r>
                    <w:rPr>
                      <w:rFonts w:hint="default" w:ascii="Times New Roman" w:hAnsi="Times New Roman" w:eastAsia="宋体" w:cs="Times New Roman"/>
                      <w:color w:val="auto"/>
                      <w:kern w:val="2"/>
                      <w:sz w:val="21"/>
                      <w:szCs w:val="21"/>
                      <w:lang w:val="en-US" w:eastAsia="zh-CN" w:bidi="ar"/>
                    </w:rPr>
                    <w:t>90</w:t>
                  </w:r>
                  <w:r>
                    <w:rPr>
                      <w:rFonts w:hint="eastAsia" w:ascii="宋体" w:hAnsi="宋体" w:eastAsia="宋体" w:cs="宋体"/>
                      <w:color w:val="auto"/>
                      <w:kern w:val="2"/>
                      <w:sz w:val="21"/>
                      <w:szCs w:val="21"/>
                      <w:lang w:val="en-US" w:eastAsia="zh-CN" w:bidi="ar"/>
                    </w:rPr>
                    <w:t>百分位数</w:t>
                  </w:r>
                </w:p>
              </w:tc>
              <w:tc>
                <w:tcPr>
                  <w:tcW w:w="71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128</w:t>
                  </w:r>
                </w:p>
              </w:tc>
              <w:tc>
                <w:tcPr>
                  <w:tcW w:w="6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160</w:t>
                  </w:r>
                </w:p>
              </w:tc>
              <w:tc>
                <w:tcPr>
                  <w:tcW w:w="8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80.0</w:t>
                  </w:r>
                </w:p>
              </w:tc>
              <w:tc>
                <w:tcPr>
                  <w:tcW w:w="6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达标</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auto"/>
                <w:kern w:val="2"/>
                <w:sz w:val="24"/>
                <w:szCs w:val="24"/>
                <w:vertAlign w:val="baseline"/>
                <w:lang w:val="en-US" w:eastAsia="zh-CN" w:bidi="ar"/>
              </w:rPr>
            </w:pPr>
            <w:r>
              <w:rPr>
                <w:rFonts w:hint="eastAsia" w:ascii="宋体" w:hAnsi="宋体" w:eastAsia="宋体" w:cs="宋体"/>
                <w:color w:val="auto"/>
                <w:kern w:val="2"/>
                <w:sz w:val="24"/>
                <w:szCs w:val="24"/>
                <w:vertAlign w:val="baseline"/>
                <w:lang w:val="en-US" w:eastAsia="zh-CN" w:bidi="ar"/>
              </w:rPr>
              <w:t>根据上表评价结果可知，</w:t>
            </w:r>
            <w:r>
              <w:rPr>
                <w:rFonts w:hint="default" w:ascii="Times New Roman" w:hAnsi="Times New Roman" w:eastAsia="宋体" w:cs="Times New Roman"/>
                <w:color w:val="auto"/>
                <w:kern w:val="2"/>
                <w:sz w:val="24"/>
                <w:szCs w:val="24"/>
                <w:vertAlign w:val="baseline"/>
                <w:lang w:val="en-US" w:eastAsia="zh-CN" w:bidi="ar"/>
              </w:rPr>
              <w:t>202</w:t>
            </w:r>
            <w:r>
              <w:rPr>
                <w:rFonts w:hint="eastAsia" w:cs="Times New Roman"/>
                <w:color w:val="auto"/>
                <w:kern w:val="2"/>
                <w:sz w:val="24"/>
                <w:szCs w:val="24"/>
                <w:vertAlign w:val="baseline"/>
                <w:lang w:val="en-US" w:eastAsia="zh-CN" w:bidi="ar"/>
              </w:rPr>
              <w:t>3</w:t>
            </w:r>
            <w:r>
              <w:rPr>
                <w:rFonts w:hint="default" w:ascii="Times New Roman" w:hAnsi="Times New Roman" w:eastAsia="宋体" w:cs="Times New Roman"/>
                <w:color w:val="auto"/>
                <w:kern w:val="2"/>
                <w:sz w:val="24"/>
                <w:szCs w:val="24"/>
                <w:vertAlign w:val="baseline"/>
                <w:lang w:val="en-US" w:eastAsia="zh-CN" w:bidi="ar"/>
              </w:rPr>
              <w:t>年</w:t>
            </w:r>
            <w:r>
              <w:rPr>
                <w:rFonts w:hint="eastAsia" w:cs="Times New Roman"/>
                <w:color w:val="auto"/>
                <w:kern w:val="2"/>
                <w:sz w:val="24"/>
                <w:szCs w:val="24"/>
                <w:vertAlign w:val="baseline"/>
                <w:lang w:val="en-US" w:eastAsia="zh-CN" w:bidi="ar"/>
              </w:rPr>
              <w:t>和硕县</w:t>
            </w:r>
            <w:r>
              <w:rPr>
                <w:rFonts w:hint="default" w:ascii="Times New Roman" w:hAnsi="Times New Roman" w:eastAsia="宋体" w:cs="Times New Roman"/>
                <w:color w:val="auto"/>
                <w:kern w:val="2"/>
                <w:sz w:val="24"/>
                <w:szCs w:val="24"/>
                <w:vertAlign w:val="baseline"/>
                <w:lang w:val="en-US" w:eastAsia="zh-CN" w:bidi="ar"/>
              </w:rPr>
              <w:t>PM</w:t>
            </w:r>
            <w:r>
              <w:rPr>
                <w:rFonts w:hint="eastAsia" w:cs="Times New Roman"/>
                <w:color w:val="auto"/>
                <w:kern w:val="2"/>
                <w:sz w:val="24"/>
                <w:szCs w:val="24"/>
                <w:vertAlign w:val="subscript"/>
                <w:lang w:val="en-US" w:eastAsia="zh-CN" w:bidi="ar"/>
              </w:rPr>
              <w:t>10</w:t>
            </w:r>
            <w:r>
              <w:rPr>
                <w:rFonts w:hint="eastAsia" w:cs="Times New Roman"/>
                <w:color w:val="auto"/>
                <w:kern w:val="2"/>
                <w:sz w:val="24"/>
                <w:szCs w:val="24"/>
                <w:vertAlign w:val="baseline"/>
                <w:lang w:val="en-US" w:eastAsia="zh-CN" w:bidi="ar"/>
              </w:rPr>
              <w:t>、</w:t>
            </w:r>
            <w:r>
              <w:rPr>
                <w:rFonts w:hint="default" w:ascii="Times New Roman" w:hAnsi="Times New Roman" w:eastAsia="宋体" w:cs="Times New Roman"/>
                <w:color w:val="auto"/>
                <w:kern w:val="2"/>
                <w:sz w:val="24"/>
                <w:szCs w:val="24"/>
                <w:vertAlign w:val="baseline"/>
                <w:lang w:val="en-US" w:eastAsia="zh-CN" w:bidi="ar"/>
              </w:rPr>
              <w:t>PM</w:t>
            </w:r>
            <w:r>
              <w:rPr>
                <w:rFonts w:hint="eastAsia" w:cs="Times New Roman"/>
                <w:color w:val="auto"/>
                <w:kern w:val="2"/>
                <w:sz w:val="24"/>
                <w:szCs w:val="24"/>
                <w:vertAlign w:val="subscript"/>
                <w:lang w:val="en-US" w:eastAsia="zh-CN" w:bidi="ar"/>
              </w:rPr>
              <w:t>2.5</w:t>
            </w:r>
            <w:r>
              <w:rPr>
                <w:rFonts w:hint="eastAsia" w:cs="Times New Roman"/>
                <w:color w:val="auto"/>
                <w:kern w:val="2"/>
                <w:sz w:val="24"/>
                <w:szCs w:val="24"/>
                <w:vertAlign w:val="baseline"/>
                <w:lang w:val="en-US" w:eastAsia="zh-CN" w:bidi="ar"/>
              </w:rPr>
              <w:t>年均值</w:t>
            </w:r>
            <w:r>
              <w:rPr>
                <w:rFonts w:hint="default" w:ascii="Times New Roman" w:hAnsi="Times New Roman" w:eastAsia="宋体" w:cs="Times New Roman"/>
                <w:color w:val="auto"/>
                <w:kern w:val="2"/>
                <w:sz w:val="24"/>
                <w:szCs w:val="24"/>
                <w:vertAlign w:val="baseline"/>
                <w:lang w:val="en-US" w:eastAsia="zh-CN" w:bidi="ar"/>
              </w:rPr>
              <w:t>不能满足《环境空气质量标准》（GB3095-2012）及其修改单</w:t>
            </w:r>
            <w:r>
              <w:rPr>
                <w:rFonts w:hint="eastAsia" w:cs="Times New Roman"/>
                <w:color w:val="auto"/>
                <w:kern w:val="2"/>
                <w:sz w:val="24"/>
                <w:szCs w:val="24"/>
                <w:vertAlign w:val="baseline"/>
                <w:lang w:val="en-US" w:eastAsia="zh-CN" w:bidi="ar"/>
              </w:rPr>
              <w:t>中</w:t>
            </w:r>
            <w:r>
              <w:rPr>
                <w:rFonts w:hint="default" w:ascii="Times New Roman" w:hAnsi="Times New Roman" w:eastAsia="宋体" w:cs="Times New Roman"/>
                <w:color w:val="auto"/>
                <w:kern w:val="2"/>
                <w:sz w:val="24"/>
                <w:szCs w:val="24"/>
                <w:vertAlign w:val="baseline"/>
                <w:lang w:val="en-US" w:eastAsia="zh-CN" w:bidi="ar"/>
              </w:rPr>
              <w:t>二级标准，NO</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vertAlign w:val="baseline"/>
                <w:lang w:val="en-US" w:eastAsia="zh-CN" w:bidi="ar"/>
              </w:rPr>
              <w:t>、O</w:t>
            </w:r>
            <w:r>
              <w:rPr>
                <w:rFonts w:hint="default" w:ascii="Times New Roman" w:hAnsi="Times New Roman" w:eastAsia="宋体" w:cs="Times New Roman"/>
                <w:color w:val="auto"/>
                <w:kern w:val="2"/>
                <w:sz w:val="24"/>
                <w:szCs w:val="24"/>
                <w:vertAlign w:val="subscript"/>
                <w:lang w:val="en-US" w:eastAsia="zh-CN" w:bidi="ar"/>
              </w:rPr>
              <w:t>3</w:t>
            </w:r>
            <w:r>
              <w:rPr>
                <w:rFonts w:hint="default" w:ascii="Times New Roman" w:hAnsi="Times New Roman" w:eastAsia="宋体" w:cs="Times New Roman"/>
                <w:color w:val="auto"/>
                <w:kern w:val="2"/>
                <w:sz w:val="24"/>
                <w:szCs w:val="24"/>
                <w:vertAlign w:val="baseline"/>
                <w:lang w:val="en-US" w:eastAsia="zh-CN" w:bidi="ar"/>
              </w:rPr>
              <w:t>、CO、SO</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vertAlign w:val="baseline"/>
                <w:lang w:val="en-US" w:eastAsia="zh-CN" w:bidi="ar"/>
              </w:rPr>
              <w:t>指标均符合《环境空气质量标准》（GB3095-2012）及其修改单</w:t>
            </w:r>
            <w:r>
              <w:rPr>
                <w:rFonts w:hint="eastAsia" w:cs="Times New Roman"/>
                <w:color w:val="auto"/>
                <w:kern w:val="2"/>
                <w:sz w:val="24"/>
                <w:szCs w:val="24"/>
                <w:vertAlign w:val="baseline"/>
                <w:lang w:val="en-US" w:eastAsia="zh-CN" w:bidi="ar"/>
              </w:rPr>
              <w:t>中</w:t>
            </w:r>
            <w:r>
              <w:rPr>
                <w:rFonts w:hint="default" w:ascii="Times New Roman" w:hAnsi="Times New Roman" w:eastAsia="宋体" w:cs="Times New Roman"/>
                <w:color w:val="auto"/>
                <w:kern w:val="2"/>
                <w:sz w:val="24"/>
                <w:szCs w:val="24"/>
                <w:vertAlign w:val="baseline"/>
                <w:lang w:val="en-US" w:eastAsia="zh-CN" w:bidi="ar"/>
              </w:rPr>
              <w:t>二级标准</w:t>
            </w:r>
            <w:r>
              <w:rPr>
                <w:rFonts w:hint="eastAsia" w:cs="Times New Roman"/>
                <w:color w:val="auto"/>
                <w:kern w:val="2"/>
                <w:sz w:val="24"/>
                <w:szCs w:val="24"/>
                <w:vertAlign w:val="baseline"/>
                <w:lang w:val="en-US" w:eastAsia="zh-CN" w:bidi="ar"/>
              </w:rPr>
              <w:t>，</w:t>
            </w:r>
            <w:r>
              <w:rPr>
                <w:rFonts w:hint="default" w:ascii="Times New Roman" w:hAnsi="Times New Roman" w:eastAsia="宋体" w:cs="Times New Roman"/>
                <w:color w:val="auto"/>
                <w:kern w:val="2"/>
                <w:sz w:val="24"/>
                <w:szCs w:val="24"/>
                <w:vertAlign w:val="baseline"/>
                <w:lang w:val="en-US" w:eastAsia="zh-CN" w:bidi="ar"/>
              </w:rPr>
              <w:t>判定项目区属于不达标区。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cs="Times New Roman"/>
                <w:b/>
                <w:bCs w:val="0"/>
                <w:color w:val="auto"/>
                <w:kern w:val="2"/>
                <w:sz w:val="24"/>
                <w:szCs w:val="24"/>
              </w:rPr>
            </w:pPr>
            <w:r>
              <w:rPr>
                <w:rFonts w:hint="eastAsia" w:ascii="宋体" w:hAnsi="宋体" w:eastAsia="宋体" w:cs="宋体"/>
                <w:color w:val="auto"/>
                <w:kern w:val="2"/>
                <w:sz w:val="24"/>
                <w:szCs w:val="24"/>
                <w:vertAlign w:val="baseline"/>
                <w:lang w:val="en-US" w:eastAsia="zh-CN" w:bidi="ar"/>
              </w:rPr>
              <w:t>超标主要原因是项目区处于沙漠边缘，背景值高。对于环境空气质量不达标区域需提交《大气环境不达标区域削减方案》，根据生态环境部办公厅出具的《关于将巴音郭楞蒙古自治州、吐鲁番市、哈密市纳入执</w:t>
            </w:r>
            <w:r>
              <w:rPr>
                <w:rFonts w:hint="eastAsia" w:ascii="宋体" w:hAnsi="宋体" w:cs="宋体"/>
                <w:color w:val="auto"/>
                <w:kern w:val="2"/>
                <w:sz w:val="24"/>
                <w:szCs w:val="24"/>
                <w:vertAlign w:val="baseline"/>
                <w:lang w:val="en-US" w:eastAsia="zh-CN" w:bidi="ar"/>
              </w:rPr>
              <w:t>〈</w:t>
            </w:r>
            <w:r>
              <w:rPr>
                <w:rFonts w:hint="eastAsia" w:ascii="宋体" w:hAnsi="宋体" w:eastAsia="宋体" w:cs="宋体"/>
                <w:color w:val="auto"/>
                <w:kern w:val="2"/>
                <w:sz w:val="24"/>
                <w:szCs w:val="24"/>
                <w:vertAlign w:val="baseline"/>
                <w:lang w:val="en-US" w:eastAsia="zh-CN" w:bidi="ar"/>
              </w:rPr>
              <w:t>环境影响评价技术导则</w:t>
            </w:r>
            <w:r>
              <w:rPr>
                <w:rFonts w:hint="eastAsia" w:ascii="宋体" w:hAnsi="宋体" w:cs="宋体"/>
                <w:color w:val="auto"/>
                <w:kern w:val="2"/>
                <w:sz w:val="24"/>
                <w:szCs w:val="24"/>
                <w:vertAlign w:val="baseline"/>
                <w:lang w:val="en-US" w:eastAsia="zh-CN" w:bidi="ar"/>
              </w:rPr>
              <w:t xml:space="preserve"> </w:t>
            </w:r>
            <w:r>
              <w:rPr>
                <w:rFonts w:hint="eastAsia" w:ascii="宋体" w:hAnsi="宋体" w:eastAsia="宋体" w:cs="宋体"/>
                <w:color w:val="auto"/>
                <w:kern w:val="2"/>
                <w:sz w:val="24"/>
                <w:szCs w:val="24"/>
                <w:vertAlign w:val="baseline"/>
                <w:lang w:val="en-US" w:eastAsia="zh-CN" w:bidi="ar"/>
              </w:rPr>
              <w:t>大气环境（</w:t>
            </w:r>
            <w:r>
              <w:rPr>
                <w:rFonts w:hint="default" w:ascii="Times New Roman" w:hAnsi="Times New Roman" w:eastAsia="宋体" w:cs="Times New Roman"/>
                <w:color w:val="auto"/>
                <w:kern w:val="2"/>
                <w:sz w:val="24"/>
                <w:szCs w:val="24"/>
                <w:vertAlign w:val="baseline"/>
                <w:lang w:val="en-US" w:eastAsia="zh-CN" w:bidi="ar"/>
              </w:rPr>
              <w:t>HJ2.2-2018</w:t>
            </w:r>
            <w:r>
              <w:rPr>
                <w:rFonts w:hint="eastAsia" w:ascii="宋体" w:hAnsi="宋体" w:eastAsia="宋体" w:cs="宋体"/>
                <w:color w:val="auto"/>
                <w:kern w:val="2"/>
                <w:sz w:val="24"/>
                <w:szCs w:val="24"/>
                <w:vertAlign w:val="baseline"/>
                <w:lang w:val="en-US" w:eastAsia="zh-CN" w:bidi="ar"/>
              </w:rPr>
              <w:t>）</w:t>
            </w:r>
            <w:r>
              <w:rPr>
                <w:rFonts w:hint="eastAsia" w:ascii="宋体" w:hAnsi="宋体" w:cs="宋体"/>
                <w:color w:val="auto"/>
                <w:kern w:val="2"/>
                <w:sz w:val="24"/>
                <w:szCs w:val="24"/>
                <w:vertAlign w:val="baseline"/>
                <w:lang w:val="en-US" w:eastAsia="zh-CN" w:bidi="ar"/>
              </w:rPr>
              <w:t>〉</w:t>
            </w:r>
            <w:r>
              <w:rPr>
                <w:rFonts w:hint="eastAsia" w:ascii="宋体" w:hAnsi="宋体" w:eastAsia="宋体" w:cs="宋体"/>
                <w:color w:val="auto"/>
                <w:kern w:val="2"/>
                <w:sz w:val="24"/>
                <w:szCs w:val="24"/>
                <w:vertAlign w:val="baseline"/>
                <w:lang w:val="en-US" w:eastAsia="zh-CN" w:bidi="ar"/>
              </w:rPr>
              <w:t>差别化政策范围的复函》（环办环评</w:t>
            </w:r>
            <w:r>
              <w:rPr>
                <w:rFonts w:hint="default" w:ascii="Times New Roman" w:hAnsi="Times New Roman" w:eastAsia="宋体" w:cs="Times New Roman"/>
                <w:color w:val="auto"/>
                <w:kern w:val="2"/>
                <w:sz w:val="24"/>
                <w:szCs w:val="24"/>
                <w:vertAlign w:val="baseline"/>
                <w:lang w:val="en-US" w:eastAsia="zh-CN" w:bidi="ar"/>
              </w:rPr>
              <w:t>函</w:t>
            </w:r>
            <w:r>
              <w:rPr>
                <w:rFonts w:hint="eastAsia" w:cs="Times New Roman"/>
                <w:color w:val="auto"/>
                <w:kern w:val="2"/>
                <w:sz w:val="24"/>
                <w:szCs w:val="24"/>
                <w:vertAlign w:val="baseline"/>
                <w:lang w:val="en-US" w:eastAsia="zh-CN" w:bidi="ar"/>
              </w:rPr>
              <w:t>〔</w:t>
            </w:r>
            <w:r>
              <w:rPr>
                <w:rFonts w:hint="default" w:ascii="Times New Roman" w:hAnsi="Times New Roman" w:eastAsia="宋体" w:cs="Times New Roman"/>
                <w:color w:val="auto"/>
                <w:kern w:val="2"/>
                <w:sz w:val="24"/>
                <w:szCs w:val="24"/>
                <w:vertAlign w:val="baseline"/>
                <w:lang w:val="en-US" w:eastAsia="zh-CN" w:bidi="ar"/>
              </w:rPr>
              <w:t>2020</w:t>
            </w:r>
            <w:r>
              <w:rPr>
                <w:rFonts w:hint="eastAsia" w:cs="Times New Roman"/>
                <w:color w:val="auto"/>
                <w:kern w:val="2"/>
                <w:sz w:val="24"/>
                <w:szCs w:val="24"/>
                <w:vertAlign w:val="baseline"/>
                <w:lang w:val="en-US" w:eastAsia="zh-CN" w:bidi="ar"/>
              </w:rPr>
              <w:t>〕</w:t>
            </w:r>
            <w:r>
              <w:rPr>
                <w:rFonts w:hint="default" w:ascii="Times New Roman" w:hAnsi="Times New Roman" w:eastAsia="宋体" w:cs="Times New Roman"/>
                <w:color w:val="auto"/>
                <w:kern w:val="2"/>
                <w:sz w:val="24"/>
                <w:szCs w:val="24"/>
                <w:vertAlign w:val="baseline"/>
                <w:lang w:val="en-US" w:eastAsia="zh-CN" w:bidi="ar"/>
              </w:rPr>
              <w:t>341号</w:t>
            </w:r>
            <w:r>
              <w:rPr>
                <w:rFonts w:hint="eastAsia" w:ascii="宋体" w:hAnsi="宋体" w:eastAsia="宋体" w:cs="宋体"/>
                <w:color w:val="auto"/>
                <w:kern w:val="2"/>
                <w:sz w:val="24"/>
                <w:szCs w:val="24"/>
                <w:vertAlign w:val="baseline"/>
                <w:lang w:val="en-US" w:eastAsia="zh-CN" w:bidi="ar"/>
              </w:rPr>
              <w:t>），同意对巴音郭楞蒙古自治州实施环境影响评价差别化政策，新建项目可不提供颗粒物区域削减方案</w:t>
            </w:r>
            <w:r>
              <w:rPr>
                <w:rFonts w:hint="eastAsia" w:ascii="宋体" w:hAnsi="宋体" w:cs="宋体"/>
                <w:color w:val="auto"/>
                <w:kern w:val="2"/>
                <w:sz w:val="24"/>
                <w:szCs w:val="24"/>
                <w:vertAlign w:val="baseline"/>
                <w:lang w:val="en-US" w:eastAsia="zh-CN" w:bidi="ar"/>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default" w:ascii="Times New Roman" w:hAnsi="Times New Roman" w:cs="Times New Roman"/>
                <w:b w:val="0"/>
                <w:bCs w:val="0"/>
                <w:color w:val="auto"/>
                <w:kern w:val="2"/>
                <w:sz w:val="24"/>
                <w:szCs w:val="24"/>
                <w:vertAlign w:val="baseline"/>
              </w:rPr>
            </w:pPr>
            <w:r>
              <w:rPr>
                <w:rFonts w:hint="eastAsia" w:cs="Times New Roman"/>
                <w:b w:val="0"/>
                <w:bCs w:val="0"/>
                <w:color w:val="auto"/>
                <w:kern w:val="2"/>
                <w:sz w:val="24"/>
                <w:szCs w:val="24"/>
                <w:vertAlign w:val="baseline"/>
                <w:lang w:val="en-US" w:eastAsia="zh-CN" w:bidi="ar"/>
              </w:rPr>
              <w:t>（2）</w:t>
            </w:r>
            <w:r>
              <w:rPr>
                <w:rFonts w:hint="eastAsia" w:ascii="宋体" w:hAnsi="宋体" w:eastAsia="宋体" w:cs="宋体"/>
                <w:b w:val="0"/>
                <w:bCs w:val="0"/>
                <w:color w:val="auto"/>
                <w:kern w:val="2"/>
                <w:sz w:val="24"/>
                <w:szCs w:val="24"/>
                <w:vertAlign w:val="baseline"/>
                <w:lang w:val="en-US" w:eastAsia="zh-CN" w:bidi="ar"/>
              </w:rPr>
              <w:t>环境质量现状补充监测</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ascii="宋体" w:hAnsi="宋体" w:eastAsia="宋体" w:cs="宋体"/>
                <w:color w:val="auto"/>
                <w:kern w:val="2"/>
                <w:sz w:val="24"/>
                <w:szCs w:val="24"/>
                <w:vertAlign w:val="baseline"/>
                <w:lang w:val="en-US" w:eastAsia="zh-CN" w:bidi="ar"/>
              </w:rPr>
            </w:pPr>
            <w:r>
              <w:rPr>
                <w:rFonts w:hint="eastAsia" w:ascii="宋体" w:hAnsi="宋体" w:eastAsia="宋体" w:cs="宋体"/>
                <w:color w:val="auto"/>
                <w:kern w:val="2"/>
                <w:sz w:val="24"/>
                <w:szCs w:val="24"/>
                <w:vertAlign w:val="baseline"/>
                <w:lang w:val="en-US" w:eastAsia="zh-CN" w:bidi="ar"/>
              </w:rPr>
              <w:t>本次大气环境质量现状由新疆中测测试有限责任公司于</w:t>
            </w:r>
            <w:r>
              <w:rPr>
                <w:rFonts w:hint="eastAsia" w:ascii="宋体" w:hAnsi="宋体" w:cs="宋体"/>
                <w:color w:val="auto"/>
                <w:kern w:val="2"/>
                <w:sz w:val="24"/>
                <w:szCs w:val="24"/>
                <w:vertAlign w:val="baseline"/>
                <w:lang w:val="en-US" w:eastAsia="zh-CN" w:bidi="ar"/>
              </w:rPr>
              <w:t>2025</w:t>
            </w:r>
            <w:r>
              <w:rPr>
                <w:rFonts w:hint="eastAsia" w:ascii="宋体" w:hAnsi="宋体" w:eastAsia="宋体" w:cs="宋体"/>
                <w:color w:val="auto"/>
                <w:kern w:val="2"/>
                <w:sz w:val="24"/>
                <w:szCs w:val="24"/>
                <w:vertAlign w:val="baseline"/>
                <w:lang w:val="en-US" w:eastAsia="zh-CN" w:bidi="ar"/>
              </w:rPr>
              <w:t>年</w:t>
            </w:r>
            <w:r>
              <w:rPr>
                <w:rFonts w:hint="eastAsia" w:ascii="宋体" w:hAnsi="宋体" w:cs="宋体"/>
                <w:color w:val="auto"/>
                <w:kern w:val="2"/>
                <w:sz w:val="24"/>
                <w:szCs w:val="24"/>
                <w:vertAlign w:val="baseline"/>
                <w:lang w:val="en-US" w:eastAsia="zh-CN" w:bidi="ar"/>
              </w:rPr>
              <w:t>5</w:t>
            </w:r>
            <w:r>
              <w:rPr>
                <w:rFonts w:hint="eastAsia" w:ascii="宋体" w:hAnsi="宋体" w:eastAsia="宋体" w:cs="宋体"/>
                <w:color w:val="auto"/>
                <w:kern w:val="2"/>
                <w:sz w:val="24"/>
                <w:szCs w:val="24"/>
                <w:vertAlign w:val="baseline"/>
                <w:lang w:val="en-US" w:eastAsia="zh-CN" w:bidi="ar"/>
              </w:rPr>
              <w:t>月</w:t>
            </w:r>
            <w:r>
              <w:rPr>
                <w:rFonts w:hint="eastAsia" w:ascii="宋体" w:hAnsi="宋体" w:cs="宋体"/>
                <w:color w:val="auto"/>
                <w:kern w:val="2"/>
                <w:sz w:val="24"/>
                <w:szCs w:val="24"/>
                <w:vertAlign w:val="baseline"/>
                <w:lang w:val="en-US" w:eastAsia="zh-CN" w:bidi="ar"/>
              </w:rPr>
              <w:t>15</w:t>
            </w:r>
            <w:r>
              <w:rPr>
                <w:rFonts w:hint="eastAsia" w:ascii="宋体" w:hAnsi="宋体" w:eastAsia="宋体" w:cs="宋体"/>
                <w:color w:val="auto"/>
                <w:kern w:val="2"/>
                <w:sz w:val="24"/>
                <w:szCs w:val="24"/>
                <w:vertAlign w:val="baseline"/>
                <w:lang w:val="en-US" w:eastAsia="zh-CN" w:bidi="ar"/>
              </w:rPr>
              <w:t>日至</w:t>
            </w:r>
            <w:r>
              <w:rPr>
                <w:rFonts w:hint="eastAsia" w:ascii="宋体" w:hAnsi="宋体" w:cs="宋体"/>
                <w:color w:val="auto"/>
                <w:kern w:val="2"/>
                <w:sz w:val="24"/>
                <w:szCs w:val="24"/>
                <w:vertAlign w:val="baseline"/>
                <w:lang w:val="en-US" w:eastAsia="zh-CN" w:bidi="ar"/>
              </w:rPr>
              <w:t>5</w:t>
            </w:r>
            <w:r>
              <w:rPr>
                <w:rFonts w:hint="eastAsia" w:ascii="宋体" w:hAnsi="宋体" w:eastAsia="宋体" w:cs="宋体"/>
                <w:color w:val="auto"/>
                <w:kern w:val="2"/>
                <w:sz w:val="24"/>
                <w:szCs w:val="24"/>
                <w:vertAlign w:val="baseline"/>
                <w:lang w:val="en-US" w:eastAsia="zh-CN" w:bidi="ar"/>
              </w:rPr>
              <w:t>月</w:t>
            </w:r>
            <w:r>
              <w:rPr>
                <w:rFonts w:hint="eastAsia" w:ascii="宋体" w:hAnsi="宋体" w:cs="宋体"/>
                <w:color w:val="auto"/>
                <w:kern w:val="2"/>
                <w:sz w:val="24"/>
                <w:szCs w:val="24"/>
                <w:vertAlign w:val="baseline"/>
                <w:lang w:val="en-US" w:eastAsia="zh-CN" w:bidi="ar"/>
              </w:rPr>
              <w:t>18</w:t>
            </w:r>
            <w:r>
              <w:rPr>
                <w:rFonts w:hint="eastAsia" w:ascii="宋体" w:hAnsi="宋体" w:eastAsia="宋体" w:cs="宋体"/>
                <w:color w:val="auto"/>
                <w:kern w:val="2"/>
                <w:sz w:val="24"/>
                <w:szCs w:val="24"/>
                <w:vertAlign w:val="baseline"/>
                <w:lang w:val="en-US" w:eastAsia="zh-CN" w:bidi="ar"/>
              </w:rPr>
              <w:t>日进行监测。</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ascii="宋体" w:hAnsi="宋体" w:eastAsia="宋体" w:cs="宋体"/>
                <w:color w:val="auto"/>
                <w:kern w:val="2"/>
                <w:sz w:val="24"/>
                <w:szCs w:val="24"/>
                <w:vertAlign w:val="baseline"/>
                <w:lang w:val="en-US" w:eastAsia="zh-CN" w:bidi="ar"/>
              </w:rPr>
            </w:pPr>
            <w:r>
              <w:rPr>
                <w:rFonts w:hint="eastAsia" w:ascii="宋体" w:hAnsi="宋体" w:cs="宋体"/>
                <w:color w:val="auto"/>
                <w:kern w:val="2"/>
                <w:sz w:val="24"/>
                <w:szCs w:val="24"/>
                <w:vertAlign w:val="baseline"/>
                <w:lang w:val="en-US" w:eastAsia="zh-CN" w:bidi="ar"/>
              </w:rPr>
              <w:t>1）</w:t>
            </w:r>
            <w:r>
              <w:rPr>
                <w:rFonts w:hint="eastAsia" w:ascii="宋体" w:hAnsi="宋体" w:eastAsia="宋体" w:cs="宋体"/>
                <w:color w:val="auto"/>
                <w:kern w:val="2"/>
                <w:sz w:val="24"/>
                <w:szCs w:val="24"/>
                <w:vertAlign w:val="baseline"/>
                <w:lang w:val="en-US" w:eastAsia="zh-CN" w:bidi="ar"/>
              </w:rPr>
              <w:t>监测因子</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ascii="宋体" w:hAnsi="宋体" w:eastAsia="宋体" w:cs="宋体"/>
                <w:color w:val="auto"/>
                <w:kern w:val="2"/>
                <w:sz w:val="24"/>
                <w:szCs w:val="24"/>
                <w:vertAlign w:val="baseline"/>
                <w:lang w:val="en-US" w:eastAsia="zh-CN" w:bidi="ar"/>
              </w:rPr>
            </w:pPr>
            <w:r>
              <w:rPr>
                <w:rFonts w:hint="eastAsia" w:ascii="宋体" w:hAnsi="宋体" w:eastAsia="宋体" w:cs="宋体"/>
                <w:color w:val="auto"/>
                <w:kern w:val="2"/>
                <w:sz w:val="24"/>
                <w:szCs w:val="24"/>
                <w:vertAlign w:val="baseline"/>
                <w:lang w:val="en-US" w:eastAsia="zh-CN" w:bidi="ar"/>
              </w:rPr>
              <w:t>本次环境空气监测因子为TSP。</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ascii="宋体" w:hAnsi="宋体" w:eastAsia="宋体" w:cs="宋体"/>
                <w:color w:val="auto"/>
                <w:kern w:val="2"/>
                <w:sz w:val="24"/>
                <w:szCs w:val="24"/>
                <w:vertAlign w:val="baseline"/>
                <w:lang w:val="en-US" w:eastAsia="zh-CN" w:bidi="ar"/>
              </w:rPr>
            </w:pPr>
            <w:r>
              <w:rPr>
                <w:rFonts w:hint="eastAsia" w:ascii="宋体" w:hAnsi="宋体" w:cs="宋体"/>
                <w:color w:val="auto"/>
                <w:kern w:val="2"/>
                <w:sz w:val="24"/>
                <w:szCs w:val="24"/>
                <w:vertAlign w:val="baseline"/>
                <w:lang w:val="en-US" w:eastAsia="zh-CN" w:bidi="ar"/>
              </w:rPr>
              <w:t>2）</w:t>
            </w:r>
            <w:r>
              <w:rPr>
                <w:rFonts w:hint="eastAsia" w:ascii="宋体" w:hAnsi="宋体" w:eastAsia="宋体" w:cs="宋体"/>
                <w:color w:val="auto"/>
                <w:kern w:val="2"/>
                <w:sz w:val="24"/>
                <w:szCs w:val="24"/>
                <w:vertAlign w:val="baseline"/>
                <w:lang w:val="en-US" w:eastAsia="zh-CN" w:bidi="ar"/>
              </w:rPr>
              <w:t>监测布点</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baseline"/>
              <w:rPr>
                <w:rFonts w:hint="eastAsia" w:ascii="宋体" w:hAnsi="宋体" w:eastAsia="宋体" w:cs="宋体"/>
                <w:color w:val="auto"/>
                <w:kern w:val="2"/>
                <w:sz w:val="24"/>
                <w:szCs w:val="24"/>
                <w:vertAlign w:val="baseline"/>
                <w:lang w:val="en-US" w:eastAsia="zh-CN" w:bidi="ar"/>
              </w:rPr>
            </w:pPr>
            <w:r>
              <w:rPr>
                <w:rFonts w:hint="eastAsia" w:ascii="宋体" w:hAnsi="宋体" w:eastAsia="宋体" w:cs="宋体"/>
                <w:color w:val="auto"/>
                <w:kern w:val="2"/>
                <w:sz w:val="24"/>
                <w:szCs w:val="24"/>
                <w:vertAlign w:val="baseline"/>
                <w:lang w:val="en-US" w:eastAsia="zh-CN" w:bidi="ar"/>
              </w:rPr>
              <w:t>监测布点情况见表</w:t>
            </w:r>
            <w:r>
              <w:rPr>
                <w:rFonts w:hint="default" w:ascii="Times New Roman" w:hAnsi="Times New Roman" w:cs="Times New Roman"/>
                <w:color w:val="auto"/>
                <w:kern w:val="2"/>
                <w:sz w:val="24"/>
                <w:szCs w:val="24"/>
                <w:vertAlign w:val="baseline"/>
                <w:lang w:val="en-US" w:eastAsia="zh-CN" w:bidi="ar"/>
              </w:rPr>
              <w:t>3-</w:t>
            </w:r>
            <w:r>
              <w:rPr>
                <w:rFonts w:hint="eastAsia" w:cs="Times New Roman"/>
                <w:color w:val="auto"/>
                <w:kern w:val="2"/>
                <w:sz w:val="24"/>
                <w:szCs w:val="24"/>
                <w:vertAlign w:val="baseline"/>
                <w:lang w:val="en-US" w:eastAsia="zh-CN" w:bidi="ar"/>
              </w:rPr>
              <w:t>3</w:t>
            </w:r>
            <w:r>
              <w:rPr>
                <w:rFonts w:hint="eastAsia" w:ascii="宋体" w:hAnsi="宋体" w:cs="宋体"/>
                <w:color w:val="auto"/>
                <w:kern w:val="2"/>
                <w:sz w:val="24"/>
                <w:szCs w:val="24"/>
                <w:vertAlign w:val="baseline"/>
                <w:lang w:val="en-US" w:eastAsia="zh-CN" w:bidi="ar"/>
              </w:rPr>
              <w:t>及附图</w:t>
            </w:r>
            <w:r>
              <w:rPr>
                <w:rFonts w:hint="eastAsia" w:ascii="宋体" w:hAnsi="宋体" w:eastAsia="宋体" w:cs="宋体"/>
                <w:color w:val="auto"/>
                <w:kern w:val="2"/>
                <w:sz w:val="24"/>
                <w:szCs w:val="24"/>
                <w:vertAlign w:val="baseline"/>
                <w:lang w:val="en-US" w:eastAsia="zh-CN" w:bidi="ar"/>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大气环境现状监测点位情况</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3"/>
              <w:gridCol w:w="1125"/>
              <w:gridCol w:w="3983"/>
              <w:gridCol w:w="17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监测项目</w:t>
                  </w:r>
                </w:p>
              </w:tc>
              <w:tc>
                <w:tcPr>
                  <w:tcW w:w="6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编号</w:t>
                  </w:r>
                </w:p>
              </w:tc>
              <w:tc>
                <w:tcPr>
                  <w:tcW w:w="23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坐标</w:t>
                  </w:r>
                </w:p>
              </w:tc>
              <w:tc>
                <w:tcPr>
                  <w:tcW w:w="10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监测时段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TSP</w:t>
                  </w:r>
                </w:p>
              </w:tc>
              <w:tc>
                <w:tcPr>
                  <w:tcW w:w="6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p>
              </w:tc>
              <w:tc>
                <w:tcPr>
                  <w:tcW w:w="23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b w:val="0"/>
                      <w:bCs w:val="0"/>
                      <w:color w:val="auto"/>
                      <w:sz w:val="21"/>
                      <w:szCs w:val="21"/>
                      <w:lang w:val="en-US"/>
                    </w:rPr>
                    <w:t>东经87°35′10.</w:t>
                  </w:r>
                  <w:r>
                    <w:rPr>
                      <w:rFonts w:hint="eastAsia" w:cs="Times New Roman"/>
                      <w:b w:val="0"/>
                      <w:bCs w:val="0"/>
                      <w:color w:val="auto"/>
                      <w:sz w:val="21"/>
                      <w:szCs w:val="21"/>
                      <w:lang w:val="en-US" w:eastAsia="zh-CN"/>
                    </w:rPr>
                    <w:t>001</w:t>
                  </w:r>
                  <w:r>
                    <w:rPr>
                      <w:rFonts w:hint="default" w:ascii="Times New Roman" w:hAnsi="Times New Roman" w:eastAsia="宋体" w:cs="Times New Roman"/>
                      <w:b w:val="0"/>
                      <w:bCs w:val="0"/>
                      <w:color w:val="auto"/>
                      <w:sz w:val="21"/>
                      <w:szCs w:val="21"/>
                      <w:lang w:val="en-US"/>
                    </w:rPr>
                    <w:t>″，北纬42°11′</w:t>
                  </w:r>
                  <w:r>
                    <w:rPr>
                      <w:rFonts w:hint="eastAsia" w:cs="Times New Roman"/>
                      <w:b w:val="0"/>
                      <w:bCs w:val="0"/>
                      <w:color w:val="auto"/>
                      <w:sz w:val="21"/>
                      <w:szCs w:val="21"/>
                      <w:lang w:val="en-US" w:eastAsia="zh-CN"/>
                    </w:rPr>
                    <w:t>25.002</w:t>
                  </w:r>
                  <w:r>
                    <w:rPr>
                      <w:rFonts w:hint="default" w:ascii="Times New Roman" w:hAnsi="Times New Roman" w:eastAsia="宋体" w:cs="Times New Roman"/>
                      <w:b w:val="0"/>
                      <w:bCs w:val="0"/>
                      <w:color w:val="auto"/>
                      <w:sz w:val="21"/>
                      <w:szCs w:val="21"/>
                      <w:lang w:val="en-US"/>
                    </w:rPr>
                    <w:t>″</w:t>
                  </w:r>
                </w:p>
              </w:tc>
              <w:tc>
                <w:tcPr>
                  <w:tcW w:w="10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夏季</w:t>
                  </w:r>
                </w:p>
              </w:tc>
            </w:tr>
          </w:tbl>
          <w:p>
            <w:pPr>
              <w:pStyle w:val="27"/>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3）监测时间及监测频次</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监测时间：202</w:t>
            </w:r>
            <w:r>
              <w:rPr>
                <w:rFonts w:hint="eastAsia" w:cs="Times New Roman"/>
                <w:color w:val="auto"/>
                <w:kern w:val="0"/>
                <w:sz w:val="24"/>
                <w:szCs w:val="20"/>
                <w:lang w:val="en-US" w:eastAsia="zh-CN" w:bidi="ar-SA"/>
              </w:rPr>
              <w:t>5</w:t>
            </w:r>
            <w:r>
              <w:rPr>
                <w:rFonts w:hint="default" w:ascii="Times New Roman" w:hAnsi="Times New Roman" w:eastAsia="宋体" w:cs="Times New Roman"/>
                <w:color w:val="auto"/>
                <w:kern w:val="0"/>
                <w:sz w:val="24"/>
                <w:szCs w:val="20"/>
                <w:lang w:val="en-US" w:eastAsia="zh-CN" w:bidi="ar-SA"/>
              </w:rPr>
              <w:t>年</w:t>
            </w:r>
            <w:r>
              <w:rPr>
                <w:rFonts w:hint="eastAsia" w:cs="Times New Roman"/>
                <w:color w:val="auto"/>
                <w:kern w:val="0"/>
                <w:sz w:val="24"/>
                <w:szCs w:val="20"/>
                <w:lang w:val="en-US" w:eastAsia="zh-CN" w:bidi="ar-SA"/>
              </w:rPr>
              <w:t>5</w:t>
            </w:r>
            <w:r>
              <w:rPr>
                <w:rFonts w:hint="default" w:ascii="Times New Roman" w:hAnsi="Times New Roman" w:eastAsia="宋体" w:cs="Times New Roman"/>
                <w:color w:val="auto"/>
                <w:kern w:val="0"/>
                <w:sz w:val="24"/>
                <w:szCs w:val="20"/>
                <w:lang w:val="en-US" w:eastAsia="zh-CN" w:bidi="ar-SA"/>
              </w:rPr>
              <w:t>月</w:t>
            </w:r>
            <w:r>
              <w:rPr>
                <w:rFonts w:hint="eastAsia" w:cs="Times New Roman"/>
                <w:color w:val="auto"/>
                <w:kern w:val="0"/>
                <w:sz w:val="24"/>
                <w:szCs w:val="20"/>
                <w:lang w:val="en-US" w:eastAsia="zh-CN" w:bidi="ar-SA"/>
              </w:rPr>
              <w:t>1</w:t>
            </w:r>
            <w:r>
              <w:rPr>
                <w:rFonts w:hint="default" w:ascii="Times New Roman" w:hAnsi="Times New Roman" w:eastAsia="宋体" w:cs="Times New Roman"/>
                <w:color w:val="auto"/>
                <w:kern w:val="0"/>
                <w:sz w:val="24"/>
                <w:szCs w:val="20"/>
                <w:lang w:val="en-US" w:eastAsia="zh-CN" w:bidi="ar-SA"/>
              </w:rPr>
              <w:t>5日至</w:t>
            </w:r>
            <w:r>
              <w:rPr>
                <w:rFonts w:hint="eastAsia" w:cs="Times New Roman"/>
                <w:color w:val="auto"/>
                <w:kern w:val="0"/>
                <w:sz w:val="24"/>
                <w:szCs w:val="20"/>
                <w:lang w:val="en-US" w:eastAsia="zh-CN" w:bidi="ar-SA"/>
              </w:rPr>
              <w:t>18</w:t>
            </w:r>
            <w:r>
              <w:rPr>
                <w:rFonts w:hint="default" w:ascii="Times New Roman" w:hAnsi="Times New Roman" w:eastAsia="宋体" w:cs="Times New Roman"/>
                <w:color w:val="auto"/>
                <w:kern w:val="0"/>
                <w:sz w:val="24"/>
                <w:szCs w:val="20"/>
                <w:lang w:val="en-US" w:eastAsia="zh-CN" w:bidi="ar-SA"/>
              </w:rPr>
              <w:t>日；</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0"/>
                <w:lang w:val="en-US" w:eastAsia="zh-CN" w:bidi="ar-SA"/>
              </w:rPr>
              <w:t>监测频次：为1次/天，24小时/次，监测3天。</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kern w:val="0"/>
                <w:sz w:val="24"/>
                <w:szCs w:val="20"/>
                <w:lang w:val="en-US" w:eastAsia="zh-CN" w:bidi="ar-SA"/>
              </w:rPr>
              <w:t>监测项目</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监测项目为</w:t>
            </w:r>
            <w:r>
              <w:rPr>
                <w:rFonts w:hint="default" w:ascii="Times New Roman" w:hAnsi="Times New Roman" w:eastAsia="宋体" w:cs="Times New Roman"/>
                <w:bCs/>
                <w:color w:val="auto"/>
                <w:kern w:val="0"/>
                <w:sz w:val="24"/>
                <w:szCs w:val="20"/>
                <w:lang w:val="en-US" w:eastAsia="zh-CN" w:bidi="ar-SA"/>
              </w:rPr>
              <w:t>TSP</w:t>
            </w:r>
            <w:r>
              <w:rPr>
                <w:rFonts w:hint="eastAsia" w:ascii="Times New Roman" w:hAnsi="Times New Roman" w:eastAsia="宋体" w:cs="Times New Roman"/>
                <w:color w:val="auto"/>
                <w:kern w:val="0"/>
                <w:sz w:val="24"/>
                <w:szCs w:val="20"/>
                <w:lang w:val="en-US" w:eastAsia="zh-CN" w:bidi="ar-SA"/>
              </w:rPr>
              <w:t>，</w:t>
            </w:r>
            <w:r>
              <w:rPr>
                <w:rFonts w:hint="default" w:ascii="Times New Roman" w:hAnsi="Times New Roman" w:eastAsia="宋体" w:cs="Times New Roman"/>
                <w:bCs/>
                <w:color w:val="auto"/>
                <w:kern w:val="0"/>
                <w:sz w:val="24"/>
                <w:szCs w:val="20"/>
                <w:lang w:val="en-US" w:eastAsia="zh-CN" w:bidi="ar-SA"/>
              </w:rPr>
              <w:t>TSP</w:t>
            </w:r>
            <w:r>
              <w:rPr>
                <w:rFonts w:hint="default" w:ascii="Times New Roman" w:hAnsi="Times New Roman" w:eastAsia="宋体" w:cs="Times New Roman"/>
                <w:color w:val="auto"/>
                <w:kern w:val="0"/>
                <w:sz w:val="24"/>
                <w:szCs w:val="20"/>
                <w:lang w:val="en-US" w:eastAsia="zh-CN" w:bidi="ar-SA"/>
              </w:rPr>
              <w:t>采样时间为24小时平均浓度，至少有24小时的采样时间。气象观测与大气采样时间同步进行，观测地面风向、风速、温度、气压。</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kern w:val="0"/>
                <w:sz w:val="24"/>
                <w:szCs w:val="20"/>
                <w:lang w:val="en-US" w:eastAsia="zh-CN" w:bidi="ar-SA"/>
              </w:rPr>
              <w:t>质量控制和质量保证</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检测仪器</w:t>
            </w:r>
            <w:r>
              <w:rPr>
                <w:rFonts w:hint="default" w:ascii="Times New Roman" w:hAnsi="Times New Roman" w:eastAsia="宋体" w:cs="Times New Roman"/>
                <w:color w:val="auto"/>
                <w:kern w:val="0"/>
                <w:sz w:val="24"/>
                <w:szCs w:val="20"/>
                <w:lang w:val="en-US" w:eastAsia="zh-CN" w:bidi="ar-SA"/>
              </w:rPr>
              <w:t>在监测前均用标准气体流量校准器进行流量校正。监测人员持证上岗，采样点、采样环境、采样高度和分析方法严格</w:t>
            </w:r>
            <w:r>
              <w:rPr>
                <w:rFonts w:hint="eastAsia" w:cs="Times New Roman"/>
                <w:color w:val="auto"/>
                <w:kern w:val="0"/>
                <w:sz w:val="24"/>
                <w:szCs w:val="20"/>
                <w:lang w:val="en-US" w:eastAsia="zh-CN" w:bidi="ar-SA"/>
              </w:rPr>
              <w:t>按照</w:t>
            </w:r>
            <w:r>
              <w:rPr>
                <w:rFonts w:hint="default" w:ascii="Times New Roman" w:hAnsi="Times New Roman" w:eastAsia="宋体" w:cs="Times New Roman"/>
                <w:color w:val="auto"/>
                <w:kern w:val="0"/>
                <w:sz w:val="24"/>
                <w:szCs w:val="20"/>
                <w:lang w:val="en-US" w:eastAsia="zh-CN" w:bidi="ar-SA"/>
              </w:rPr>
              <w:t>《环境空气质量标准》和《空气和废气监测分析方法》中有关规定执行。</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kern w:val="0"/>
                <w:sz w:val="24"/>
                <w:szCs w:val="20"/>
                <w:lang w:val="en-US" w:eastAsia="zh-CN" w:bidi="ar-SA"/>
              </w:rPr>
              <w:t>评价标准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0"/>
                <w:lang w:val="en-US" w:eastAsia="zh-CN" w:bidi="ar-SA"/>
              </w:rPr>
              <w:t>TSP执行《环境空气质量标准》（GB3095-2012）及其修改单二级标准。具体见表3-</w:t>
            </w:r>
            <w:r>
              <w:rPr>
                <w:rFonts w:hint="eastAsia" w:cs="Times New Roman"/>
                <w:color w:val="auto"/>
                <w:kern w:val="0"/>
                <w:sz w:val="24"/>
                <w:szCs w:val="20"/>
                <w:lang w:val="en-US" w:eastAsia="zh-CN" w:bidi="ar-SA"/>
              </w:rPr>
              <w:t>4</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评价标准一览表</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1360"/>
              <w:gridCol w:w="1180"/>
              <w:gridCol w:w="817"/>
              <w:gridCol w:w="38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污染物</w:t>
                  </w:r>
                </w:p>
              </w:tc>
              <w:tc>
                <w:tcPr>
                  <w:tcW w:w="80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取值时间</w:t>
                  </w:r>
                </w:p>
              </w:tc>
              <w:tc>
                <w:tcPr>
                  <w:tcW w:w="69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superscript"/>
                    </w:rPr>
                  </w:pPr>
                  <w:r>
                    <w:rPr>
                      <w:rFonts w:hint="default" w:ascii="Times New Roman" w:hAnsi="Times New Roman" w:eastAsia="宋体" w:cs="Times New Roman"/>
                      <w:b w:val="0"/>
                      <w:bCs w:val="0"/>
                      <w:color w:val="auto"/>
                      <w:sz w:val="21"/>
                      <w:szCs w:val="21"/>
                    </w:rPr>
                    <w:t>浓度限值</w:t>
                  </w:r>
                </w:p>
              </w:tc>
              <w:tc>
                <w:tcPr>
                  <w:tcW w:w="4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单位</w:t>
                  </w:r>
                </w:p>
              </w:tc>
              <w:tc>
                <w:tcPr>
                  <w:tcW w:w="229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TSP</w:t>
                  </w:r>
                </w:p>
              </w:tc>
              <w:tc>
                <w:tcPr>
                  <w:tcW w:w="80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24小时平均</w:t>
                  </w:r>
                </w:p>
              </w:tc>
              <w:tc>
                <w:tcPr>
                  <w:tcW w:w="69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300</w:t>
                  </w:r>
                </w:p>
              </w:tc>
              <w:tc>
                <w:tcPr>
                  <w:tcW w:w="4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ug/m</w:t>
                  </w:r>
                  <w:r>
                    <w:rPr>
                      <w:rFonts w:hint="default" w:ascii="Times New Roman" w:hAnsi="Times New Roman" w:eastAsia="宋体" w:cs="Times New Roman"/>
                      <w:color w:val="auto"/>
                      <w:sz w:val="21"/>
                      <w:szCs w:val="21"/>
                      <w:vertAlign w:val="superscript"/>
                      <w:lang w:val="en-US" w:eastAsia="zh-CN"/>
                    </w:rPr>
                    <w:t>3</w:t>
                  </w:r>
                </w:p>
              </w:tc>
              <w:tc>
                <w:tcPr>
                  <w:tcW w:w="229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《环境空气质量标准》（GB3095-2012）及其修改单</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kern w:val="0"/>
                <w:sz w:val="24"/>
                <w:szCs w:val="20"/>
                <w:lang w:val="en-US" w:eastAsia="zh-CN" w:bidi="ar-SA"/>
              </w:rPr>
              <w:t>环境空气质量监测结果与评价</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根据评价计算结果，得出各单项标准指数（Ii），依据Ii值的大小，分别确定其污染程度。监测结果见表3-</w:t>
            </w:r>
            <w:r>
              <w:rPr>
                <w:rFonts w:hint="eastAsia" w:cs="Times New Roman"/>
                <w:color w:val="auto"/>
                <w:kern w:val="0"/>
                <w:sz w:val="24"/>
                <w:szCs w:val="20"/>
                <w:lang w:val="en-US" w:eastAsia="zh-CN" w:bidi="ar-SA"/>
              </w:rPr>
              <w:t>5</w:t>
            </w:r>
            <w:r>
              <w:rPr>
                <w:rFonts w:hint="default" w:ascii="Times New Roman" w:hAnsi="Times New Roman" w:eastAsia="宋体" w:cs="Times New Roman"/>
                <w:color w:val="auto"/>
                <w:kern w:val="0"/>
                <w:sz w:val="24"/>
                <w:szCs w:val="20"/>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大气环境现状监测及评价结果</w:t>
            </w:r>
          </w:p>
          <w:tbl>
            <w:tblPr>
              <w:tblStyle w:val="23"/>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1495"/>
              <w:gridCol w:w="1413"/>
              <w:gridCol w:w="1162"/>
              <w:gridCol w:w="1660"/>
              <w:gridCol w:w="811"/>
              <w:gridCol w:w="6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1" w:type="dxa"/>
                  <w:tcBorders>
                    <w:tl2br w:val="nil"/>
                    <w:tr2bl w:val="nil"/>
                  </w:tcBorders>
                  <w:noWrap w:val="0"/>
                  <w:vAlign w:val="center"/>
                </w:tcPr>
                <w:p>
                  <w:pPr>
                    <w:pStyle w:val="21"/>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FF"/>
                      <w:sz w:val="21"/>
                      <w:szCs w:val="21"/>
                    </w:rPr>
                  </w:pPr>
                  <w:r>
                    <w:rPr>
                      <w:rFonts w:hint="eastAsia" w:ascii="宋体" w:hAnsi="宋体" w:eastAsia="宋体" w:cs="宋体"/>
                      <w:color w:val="auto"/>
                      <w:kern w:val="2"/>
                      <w:sz w:val="21"/>
                      <w:szCs w:val="21"/>
                      <w:lang w:val="en-US" w:eastAsia="zh-CN" w:bidi="ar"/>
                    </w:rPr>
                    <w:t>采样日期</w:t>
                  </w:r>
                </w:p>
              </w:tc>
              <w:tc>
                <w:tcPr>
                  <w:tcW w:w="1407" w:type="dxa"/>
                  <w:tcBorders>
                    <w:tl2br w:val="nil"/>
                    <w:tr2bl w:val="nil"/>
                  </w:tcBorders>
                  <w:noWrap w:val="0"/>
                  <w:vAlign w:val="center"/>
                </w:tcPr>
                <w:p>
                  <w:pPr>
                    <w:pStyle w:val="21"/>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FF"/>
                      <w:sz w:val="21"/>
                      <w:szCs w:val="21"/>
                      <w:lang w:val="en-US" w:eastAsia="zh-CN"/>
                    </w:rPr>
                  </w:pPr>
                  <w:r>
                    <w:rPr>
                      <w:rFonts w:hint="eastAsia" w:ascii="宋体" w:hAnsi="宋体" w:eastAsia="宋体" w:cs="宋体"/>
                      <w:color w:val="auto"/>
                      <w:kern w:val="2"/>
                      <w:sz w:val="21"/>
                      <w:szCs w:val="21"/>
                      <w:lang w:val="en-US" w:eastAsia="zh-CN" w:bidi="ar"/>
                    </w:rPr>
                    <w:t>监测点位</w:t>
                  </w:r>
                </w:p>
              </w:tc>
              <w:tc>
                <w:tcPr>
                  <w:tcW w:w="1330" w:type="dxa"/>
                  <w:tcBorders>
                    <w:tl2br w:val="nil"/>
                    <w:tr2bl w:val="nil"/>
                  </w:tcBorders>
                  <w:noWrap w:val="0"/>
                  <w:vAlign w:val="center"/>
                </w:tcPr>
                <w:p>
                  <w:pPr>
                    <w:pStyle w:val="21"/>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FF"/>
                      <w:sz w:val="21"/>
                      <w:szCs w:val="21"/>
                    </w:rPr>
                  </w:pPr>
                  <w:r>
                    <w:rPr>
                      <w:rFonts w:hint="eastAsia" w:ascii="宋体" w:hAnsi="宋体" w:eastAsia="宋体" w:cs="宋体"/>
                      <w:color w:val="auto"/>
                      <w:kern w:val="2"/>
                      <w:sz w:val="21"/>
                      <w:szCs w:val="21"/>
                      <w:lang w:val="en-US" w:eastAsia="zh-CN" w:bidi="ar"/>
                    </w:rPr>
                    <w:t>监测项目</w:t>
                  </w:r>
                </w:p>
              </w:tc>
              <w:tc>
                <w:tcPr>
                  <w:tcW w:w="1094" w:type="dxa"/>
                  <w:tcBorders>
                    <w:tl2br w:val="nil"/>
                    <w:tr2bl w:val="nil"/>
                  </w:tcBorders>
                  <w:noWrap w:val="0"/>
                  <w:vAlign w:val="center"/>
                </w:tcPr>
                <w:p>
                  <w:pPr>
                    <w:pStyle w:val="21"/>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FF"/>
                      <w:sz w:val="21"/>
                      <w:szCs w:val="21"/>
                    </w:rPr>
                  </w:pPr>
                  <w:r>
                    <w:rPr>
                      <w:rFonts w:hint="eastAsia" w:ascii="宋体" w:hAnsi="宋体" w:eastAsia="宋体" w:cs="宋体"/>
                      <w:color w:val="auto"/>
                      <w:kern w:val="2"/>
                      <w:sz w:val="21"/>
                      <w:szCs w:val="21"/>
                      <w:lang w:val="en-US" w:eastAsia="zh-CN" w:bidi="ar"/>
                    </w:rPr>
                    <w:t>监测结果</w:t>
                  </w:r>
                </w:p>
              </w:tc>
              <w:tc>
                <w:tcPr>
                  <w:tcW w:w="1563" w:type="dxa"/>
                  <w:tcBorders>
                    <w:tl2br w:val="nil"/>
                    <w:tr2bl w:val="nil"/>
                  </w:tcBorders>
                  <w:noWrap w:val="0"/>
                  <w:vAlign w:val="center"/>
                </w:tcPr>
                <w:p>
                  <w:pPr>
                    <w:pStyle w:val="21"/>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FF"/>
                      <w:sz w:val="21"/>
                      <w:szCs w:val="21"/>
                    </w:rPr>
                  </w:pPr>
                  <w:r>
                    <w:rPr>
                      <w:rFonts w:hint="eastAsia" w:ascii="宋体" w:hAnsi="宋体" w:eastAsia="宋体" w:cs="宋体"/>
                      <w:color w:val="auto"/>
                      <w:kern w:val="2"/>
                      <w:sz w:val="21"/>
                      <w:szCs w:val="21"/>
                      <w:lang w:val="en-US" w:eastAsia="zh-CN" w:bidi="ar"/>
                    </w:rPr>
                    <w:t>标准限值</w:t>
                  </w:r>
                </w:p>
              </w:tc>
              <w:tc>
                <w:tcPr>
                  <w:tcW w:w="763" w:type="dxa"/>
                  <w:tcBorders>
                    <w:tl2br w:val="nil"/>
                    <w:tr2bl w:val="nil"/>
                  </w:tcBorders>
                  <w:noWrap w:val="0"/>
                  <w:vAlign w:val="center"/>
                </w:tcPr>
                <w:p>
                  <w:pPr>
                    <w:pStyle w:val="21"/>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FF"/>
                      <w:sz w:val="21"/>
                      <w:szCs w:val="21"/>
                    </w:rPr>
                  </w:pPr>
                  <w:r>
                    <w:rPr>
                      <w:rFonts w:hint="eastAsia" w:cs="宋体"/>
                      <w:color w:val="auto"/>
                      <w:kern w:val="2"/>
                      <w:sz w:val="21"/>
                      <w:szCs w:val="21"/>
                      <w:lang w:val="en-US" w:eastAsia="zh-CN" w:bidi="ar"/>
                    </w:rPr>
                    <w:t>占标率</w:t>
                  </w:r>
                  <w:r>
                    <w:rPr>
                      <w:rFonts w:hint="default" w:ascii="Times New Roman" w:hAnsi="Times New Roman" w:cs="Times New Roman"/>
                      <w:color w:val="auto"/>
                      <w:kern w:val="2"/>
                      <w:sz w:val="21"/>
                      <w:szCs w:val="21"/>
                      <w:lang w:val="en-US" w:eastAsia="zh-CN" w:bidi="ar"/>
                    </w:rPr>
                    <w:t>%</w:t>
                  </w:r>
                </w:p>
              </w:tc>
              <w:tc>
                <w:tcPr>
                  <w:tcW w:w="650" w:type="dxa"/>
                  <w:tcBorders>
                    <w:tl2br w:val="nil"/>
                    <w:tr2bl w:val="nil"/>
                  </w:tcBorders>
                  <w:noWrap w:val="0"/>
                  <w:vAlign w:val="center"/>
                </w:tcPr>
                <w:p>
                  <w:pPr>
                    <w:pStyle w:val="21"/>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0000FF"/>
                      <w:sz w:val="21"/>
                      <w:szCs w:val="21"/>
                    </w:rPr>
                  </w:pPr>
                  <w:r>
                    <w:rPr>
                      <w:rFonts w:hint="eastAsia" w:cs="宋体"/>
                      <w:color w:val="auto"/>
                      <w:kern w:val="2"/>
                      <w:sz w:val="21"/>
                      <w:szCs w:val="21"/>
                      <w:lang w:val="en-US" w:eastAsia="zh-CN" w:bidi="ar"/>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cs="宋体"/>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月</w:t>
                  </w:r>
                  <w:r>
                    <w:rPr>
                      <w:rFonts w:hint="eastAsia" w:ascii="宋体" w:hAnsi="宋体" w:cs="宋体"/>
                      <w:color w:val="auto"/>
                      <w:kern w:val="0"/>
                      <w:sz w:val="21"/>
                      <w:szCs w:val="21"/>
                      <w:lang w:val="en-US" w:eastAsia="zh-CN" w:bidi="ar"/>
                    </w:rPr>
                    <w:t>15</w:t>
                  </w:r>
                  <w:r>
                    <w:rPr>
                      <w:rFonts w:hint="eastAsia" w:ascii="宋体" w:hAnsi="宋体" w:eastAsia="宋体" w:cs="宋体"/>
                      <w:color w:val="auto"/>
                      <w:kern w:val="0"/>
                      <w:sz w:val="21"/>
                      <w:szCs w:val="21"/>
                      <w:lang w:val="en-US" w:eastAsia="zh-CN" w:bidi="ar"/>
                    </w:rPr>
                    <w:t>日</w:t>
                  </w:r>
                </w:p>
              </w:tc>
              <w:tc>
                <w:tcPr>
                  <w:tcW w:w="1407" w:type="dxa"/>
                  <w:vMerge w:val="restart"/>
                  <w:tcBorders>
                    <w:tl2br w:val="nil"/>
                    <w:tr2bl w:val="nil"/>
                  </w:tcBorders>
                  <w:noWrap w:val="0"/>
                  <w:vAlign w:val="center"/>
                </w:tcPr>
                <w:p>
                  <w:pPr>
                    <w:pStyle w:val="21"/>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eastAsia" w:ascii="宋体" w:hAnsi="宋体" w:eastAsia="宋体" w:cs="宋体"/>
                      <w:color w:val="auto"/>
                      <w:kern w:val="2"/>
                      <w:sz w:val="21"/>
                      <w:szCs w:val="21"/>
                      <w:lang w:val="en-US" w:eastAsia="zh-CN" w:bidi="ar"/>
                    </w:rPr>
                    <w:t>项目区下风向</w:t>
                  </w:r>
                </w:p>
              </w:tc>
              <w:tc>
                <w:tcPr>
                  <w:tcW w:w="1330" w:type="dxa"/>
                  <w:vMerge w:val="restart"/>
                  <w:tcBorders>
                    <w:tl2br w:val="nil"/>
                    <w:tr2bl w:val="nil"/>
                  </w:tcBorders>
                  <w:noWrap w:val="0"/>
                  <w:vAlign w:val="center"/>
                </w:tcPr>
                <w:p>
                  <w:pPr>
                    <w:pStyle w:val="21"/>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color w:val="auto"/>
                      <w:kern w:val="2"/>
                      <w:sz w:val="21"/>
                      <w:szCs w:val="21"/>
                      <w:lang w:val="en-US" w:eastAsia="zh-CN" w:bidi="ar"/>
                    </w:rPr>
                    <w:t>TSP</w:t>
                  </w:r>
                </w:p>
              </w:tc>
              <w:tc>
                <w:tcPr>
                  <w:tcW w:w="1094"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lang w:val="en-US" w:eastAsia="zh-CN" w:bidi="ar"/>
                    </w:rPr>
                    <w:t>0.276</w:t>
                  </w:r>
                </w:p>
              </w:tc>
              <w:tc>
                <w:tcPr>
                  <w:tcW w:w="1563" w:type="dxa"/>
                  <w:vMerge w:val="restart"/>
                  <w:tcBorders>
                    <w:tl2br w:val="nil"/>
                    <w:tr2bl w:val="nil"/>
                  </w:tcBorders>
                  <w:noWrap w:val="0"/>
                  <w:vAlign w:val="center"/>
                </w:tcPr>
                <w:p>
                  <w:pPr>
                    <w:pStyle w:val="21"/>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2"/>
                      <w:sz w:val="21"/>
                      <w:szCs w:val="21"/>
                      <w:lang w:val="en-US" w:eastAsia="zh-CN" w:bidi="ar"/>
                    </w:rPr>
                    <w:t>0.300</w:t>
                  </w:r>
                </w:p>
              </w:tc>
              <w:tc>
                <w:tcPr>
                  <w:tcW w:w="763" w:type="dxa"/>
                  <w:tcBorders>
                    <w:tl2br w:val="nil"/>
                    <w:tr2bl w:val="nil"/>
                  </w:tcBorders>
                  <w:noWrap w:val="0"/>
                  <w:vAlign w:val="center"/>
                </w:tcPr>
                <w:p>
                  <w:pPr>
                    <w:pStyle w:val="21"/>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92</w:t>
                  </w:r>
                </w:p>
              </w:tc>
              <w:tc>
                <w:tcPr>
                  <w:tcW w:w="650" w:type="dxa"/>
                  <w:tcBorders>
                    <w:tl2br w:val="nil"/>
                    <w:tr2bl w:val="nil"/>
                  </w:tcBorders>
                  <w:noWrap w:val="0"/>
                  <w:vAlign w:val="center"/>
                </w:tcPr>
                <w:p>
                  <w:pPr>
                    <w:pStyle w:val="21"/>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kern w:val="2"/>
                      <w:sz w:val="21"/>
                      <w:szCs w:val="21"/>
                      <w:lang w:val="en-US" w:eastAsia="zh-CN"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ascii="宋体" w:hAnsi="宋体" w:cs="宋体"/>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月</w:t>
                  </w:r>
                  <w:r>
                    <w:rPr>
                      <w:rFonts w:hint="eastAsia" w:ascii="宋体" w:hAnsi="宋体" w:cs="宋体"/>
                      <w:color w:val="auto"/>
                      <w:kern w:val="0"/>
                      <w:sz w:val="21"/>
                      <w:szCs w:val="21"/>
                      <w:lang w:val="en-US" w:eastAsia="zh-CN" w:bidi="ar"/>
                    </w:rPr>
                    <w:t>16</w:t>
                  </w:r>
                  <w:r>
                    <w:rPr>
                      <w:rFonts w:hint="eastAsia" w:ascii="宋体" w:hAnsi="宋体" w:eastAsia="宋体" w:cs="宋体"/>
                      <w:color w:val="auto"/>
                      <w:kern w:val="0"/>
                      <w:sz w:val="21"/>
                      <w:szCs w:val="21"/>
                      <w:lang w:val="en-US" w:eastAsia="zh-CN" w:bidi="ar"/>
                    </w:rPr>
                    <w:t>日</w:t>
                  </w:r>
                </w:p>
              </w:tc>
              <w:tc>
                <w:tcPr>
                  <w:tcW w:w="1407"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auto"/>
                      <w:kern w:val="2"/>
                      <w:sz w:val="21"/>
                      <w:szCs w:val="21"/>
                      <w:lang w:val="en-US" w:eastAsia="zh-CN" w:bidi="ar-SA"/>
                    </w:rPr>
                  </w:pPr>
                </w:p>
              </w:tc>
              <w:tc>
                <w:tcPr>
                  <w:tcW w:w="1330"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p>
              </w:tc>
              <w:tc>
                <w:tcPr>
                  <w:tcW w:w="1094"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color w:val="auto"/>
                      <w:kern w:val="0"/>
                      <w:sz w:val="21"/>
                      <w:szCs w:val="21"/>
                      <w:lang w:val="en-US" w:eastAsia="zh-CN" w:bidi="ar"/>
                    </w:rPr>
                    <w:t>0.281</w:t>
                  </w:r>
                </w:p>
              </w:tc>
              <w:tc>
                <w:tcPr>
                  <w:tcW w:w="1563"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76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rPr>
                    <w:t>94</w:t>
                  </w:r>
                </w:p>
              </w:tc>
              <w:tc>
                <w:tcPr>
                  <w:tcW w:w="65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kern w:val="2"/>
                      <w:sz w:val="21"/>
                      <w:szCs w:val="21"/>
                      <w:lang w:val="en-US" w:eastAsia="zh-CN" w:bidi="ar"/>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kern w:val="0"/>
                      <w:sz w:val="21"/>
                      <w:szCs w:val="21"/>
                      <w:lang w:val="en-US" w:eastAsia="zh-CN" w:bidi="ar-SA"/>
                    </w:rPr>
                  </w:pPr>
                  <w:r>
                    <w:rPr>
                      <w:rFonts w:hint="eastAsia" w:ascii="宋体" w:hAnsi="宋体" w:cs="宋体"/>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月</w:t>
                  </w:r>
                  <w:r>
                    <w:rPr>
                      <w:rFonts w:hint="eastAsia" w:ascii="宋体" w:hAnsi="宋体" w:cs="宋体"/>
                      <w:color w:val="auto"/>
                      <w:kern w:val="0"/>
                      <w:sz w:val="21"/>
                      <w:szCs w:val="21"/>
                      <w:lang w:val="en-US" w:eastAsia="zh-CN" w:bidi="ar"/>
                    </w:rPr>
                    <w:t>17</w:t>
                  </w:r>
                  <w:r>
                    <w:rPr>
                      <w:rFonts w:hint="eastAsia" w:ascii="宋体" w:hAnsi="宋体" w:eastAsia="宋体" w:cs="宋体"/>
                      <w:color w:val="auto"/>
                      <w:kern w:val="0"/>
                      <w:sz w:val="21"/>
                      <w:szCs w:val="21"/>
                      <w:lang w:val="en-US" w:eastAsia="zh-CN" w:bidi="ar"/>
                    </w:rPr>
                    <w:t>日</w:t>
                  </w:r>
                </w:p>
              </w:tc>
              <w:tc>
                <w:tcPr>
                  <w:tcW w:w="140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2"/>
                      <w:sz w:val="21"/>
                      <w:szCs w:val="21"/>
                      <w:lang w:val="en-US" w:eastAsia="zh-CN" w:bidi="ar-SA"/>
                    </w:rPr>
                  </w:pPr>
                </w:p>
              </w:tc>
              <w:tc>
                <w:tcPr>
                  <w:tcW w:w="133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p>
              </w:tc>
              <w:tc>
                <w:tcPr>
                  <w:tcW w:w="109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0.265</w:t>
                  </w:r>
                </w:p>
              </w:tc>
              <w:tc>
                <w:tcPr>
                  <w:tcW w:w="156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76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88</w:t>
                  </w:r>
                </w:p>
              </w:tc>
              <w:tc>
                <w:tcPr>
                  <w:tcW w:w="65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kern w:val="2"/>
                      <w:sz w:val="21"/>
                      <w:szCs w:val="21"/>
                      <w:lang w:val="en-US" w:eastAsia="zh-CN" w:bidi="ar"/>
                    </w:rPr>
                    <w:t>达标</w:t>
                  </w:r>
                </w:p>
              </w:tc>
            </w:tr>
          </w:tbl>
          <w:p>
            <w:pPr>
              <w:keepNext w:val="0"/>
              <w:keepLines w:val="0"/>
              <w:pageBreakBefore w:val="0"/>
              <w:widowControl w:val="0"/>
              <w:tabs>
                <w:tab w:val="left" w:pos="3784"/>
              </w:tabs>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olor w:val="auto"/>
                <w:kern w:val="0"/>
                <w:sz w:val="24"/>
                <w:szCs w:val="20"/>
                <w:lang w:val="en-US" w:eastAsia="zh-CN" w:bidi="ar-SA"/>
              </w:rPr>
            </w:pPr>
            <w:r>
              <w:rPr>
                <w:rFonts w:hint="default" w:ascii="Times New Roman" w:hAnsi="Times New Roman" w:eastAsia="宋体" w:cs="Times New Roman"/>
                <w:b w:val="0"/>
                <w:bCs w:val="0"/>
                <w:color w:val="auto"/>
                <w:kern w:val="0"/>
                <w:sz w:val="24"/>
                <w:szCs w:val="20"/>
                <w:lang w:val="en-US" w:eastAsia="zh-CN" w:bidi="ar-SA"/>
              </w:rPr>
              <w:t>由上表可知，评价区域内监测点大气环境质量现状</w:t>
            </w:r>
            <w:r>
              <w:rPr>
                <w:rFonts w:hint="default" w:ascii="Times New Roman" w:hAnsi="Times New Roman" w:eastAsia="宋体" w:cs="Times New Roman"/>
                <w:color w:val="auto"/>
                <w:kern w:val="0"/>
                <w:sz w:val="24"/>
                <w:szCs w:val="20"/>
                <w:lang w:val="en-US" w:eastAsia="zh-CN" w:bidi="ar-SA"/>
              </w:rPr>
              <w:t>TSP</w:t>
            </w:r>
            <w:r>
              <w:rPr>
                <w:rFonts w:hint="default" w:ascii="Times New Roman" w:hAnsi="Times New Roman" w:eastAsia="宋体" w:cs="Times New Roman"/>
                <w:b w:val="0"/>
                <w:bCs w:val="0"/>
                <w:color w:val="auto"/>
                <w:kern w:val="0"/>
                <w:sz w:val="24"/>
                <w:szCs w:val="20"/>
                <w:lang w:val="en-US" w:eastAsia="zh-CN" w:bidi="ar-SA"/>
              </w:rPr>
              <w:t>日均</w:t>
            </w:r>
            <w:r>
              <w:rPr>
                <w:rFonts w:hint="default" w:ascii="Times New Roman" w:hAnsi="Times New Roman" w:eastAsia="宋体" w:cs="Times New Roman"/>
                <w:color w:val="auto"/>
                <w:kern w:val="0"/>
                <w:sz w:val="24"/>
                <w:szCs w:val="20"/>
                <w:lang w:val="en-US" w:eastAsia="zh-CN" w:bidi="ar-SA"/>
              </w:rPr>
              <w:t>浓度</w:t>
            </w:r>
            <w:r>
              <w:rPr>
                <w:rFonts w:hint="default" w:ascii="Times New Roman" w:hAnsi="Times New Roman" w:eastAsia="宋体" w:cs="Times New Roman"/>
                <w:b w:val="0"/>
                <w:bCs w:val="0"/>
                <w:color w:val="auto"/>
                <w:kern w:val="0"/>
                <w:sz w:val="24"/>
                <w:szCs w:val="20"/>
                <w:lang w:val="en-US" w:eastAsia="zh-CN" w:bidi="ar-SA"/>
              </w:rPr>
              <w:t>满足</w:t>
            </w:r>
            <w:r>
              <w:rPr>
                <w:rFonts w:hint="default" w:ascii="Times New Roman" w:hAnsi="Times New Roman" w:eastAsia="宋体" w:cs="Times New Roman"/>
                <w:color w:val="auto"/>
                <w:kern w:val="0"/>
                <w:sz w:val="24"/>
                <w:szCs w:val="20"/>
                <w:lang w:val="en-US" w:eastAsia="zh-CN" w:bidi="ar-SA"/>
              </w:rPr>
              <w:t>《环境空气质量标准》（GB3095-2012）及其修改单二级标准</w:t>
            </w:r>
            <w:r>
              <w:rPr>
                <w:rFonts w:hint="default" w:ascii="Times New Roman" w:hAnsi="Times New Roman" w:eastAsia="宋体" w:cs="Times New Roman"/>
                <w:b w:val="0"/>
                <w:bCs w:val="0"/>
                <w:color w:val="auto"/>
                <w:kern w:val="0"/>
                <w:sz w:val="24"/>
                <w:szCs w:val="20"/>
                <w:lang w:val="en-US" w:eastAsia="zh-CN" w:bidi="ar-SA"/>
              </w:rPr>
              <w:t>。</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color w:val="auto"/>
                <w:kern w:val="2"/>
                <w:sz w:val="24"/>
                <w:szCs w:val="24"/>
                <w:lang w:val="en-US" w:eastAsia="zh-CN" w:bidi="ar"/>
              </w:rPr>
            </w:pPr>
            <w:r>
              <w:rPr>
                <w:rFonts w:hint="eastAsia" w:ascii="Times New Roman" w:hAnsi="Times New Roman" w:eastAsia="宋体" w:cs="Times New Roman"/>
                <w:b w:val="0"/>
                <w:bCs/>
                <w:color w:val="auto"/>
                <w:kern w:val="2"/>
                <w:sz w:val="24"/>
                <w:szCs w:val="24"/>
                <w:lang w:val="en-US" w:eastAsia="zh-CN" w:bidi="ar"/>
              </w:rPr>
              <w:t>3、地表水环境质量现状调查及评价</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根据《2024年巴音郭楞蒙古自治州生态环境状况公报》可知：（一）地表水环境质量。2024年，巴州地表水监测的31个考核断面（点位）中，Ⅰ~Ⅲ类优良水质断面（点位）占90.3%，无Ⅳ类水质。6条主要河流19个监测断面中Ⅰ~Ⅲ类优良水质断面占100%，3个重要湖泊（水库）12个监测点位中Ⅰ~Ⅲ类优良水质点位占75%，无劣Ⅴ类水体，湖泊主要水质影响因子为化学需氧量。</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（二）集中式生活饮用水水源。2024年，巴州各县市城镇集中式饮用水源地水质良好，水质达标率为75%，2024年监测的14个农村千吨万人集中式饮用水水源均为地下水，水质全年均达标。</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yellow"/>
                <w:lang w:val="en-US" w:eastAsia="zh-CN" w:bidi="ar"/>
              </w:rPr>
            </w:pPr>
            <w:r>
              <w:rPr>
                <w:rFonts w:hint="eastAsia" w:ascii="宋体" w:hAnsi="宋体" w:eastAsia="宋体" w:cs="宋体"/>
                <w:color w:val="auto"/>
                <w:kern w:val="2"/>
                <w:sz w:val="24"/>
                <w:szCs w:val="24"/>
                <w:highlight w:val="none"/>
                <w:lang w:val="en-US" w:eastAsia="zh-CN" w:bidi="ar"/>
              </w:rPr>
              <w:t>本项目南侧</w:t>
            </w:r>
            <w:r>
              <w:rPr>
                <w:rFonts w:hint="eastAsia" w:ascii="宋体" w:hAnsi="宋体" w:cs="宋体"/>
                <w:color w:val="auto"/>
                <w:kern w:val="2"/>
                <w:sz w:val="24"/>
                <w:szCs w:val="24"/>
                <w:highlight w:val="none"/>
                <w:lang w:val="en-US" w:eastAsia="zh-CN" w:bidi="ar"/>
              </w:rPr>
              <w:t>24</w:t>
            </w:r>
            <w:r>
              <w:rPr>
                <w:rFonts w:hint="eastAsia" w:ascii="宋体" w:hAnsi="宋体" w:eastAsia="宋体" w:cs="宋体"/>
                <w:color w:val="auto"/>
                <w:kern w:val="2"/>
                <w:sz w:val="24"/>
                <w:szCs w:val="24"/>
                <w:highlight w:val="none"/>
                <w:lang w:val="en-US" w:eastAsia="zh-CN" w:bidi="ar"/>
              </w:rPr>
              <w:t>km乌什塔拉干渠，水源来乌什塔拉</w:t>
            </w:r>
            <w:r>
              <w:rPr>
                <w:rFonts w:hint="eastAsia" w:ascii="宋体" w:hAnsi="宋体" w:cs="宋体"/>
                <w:color w:val="auto"/>
                <w:kern w:val="2"/>
                <w:sz w:val="24"/>
                <w:szCs w:val="24"/>
                <w:highlight w:val="none"/>
                <w:lang w:val="en-US" w:eastAsia="zh-CN" w:bidi="ar"/>
              </w:rPr>
              <w:t>河</w:t>
            </w:r>
            <w:r>
              <w:rPr>
                <w:rFonts w:hint="eastAsia" w:ascii="宋体" w:hAnsi="宋体" w:eastAsia="宋体" w:cs="宋体"/>
                <w:color w:val="auto"/>
                <w:kern w:val="2"/>
                <w:sz w:val="24"/>
                <w:szCs w:val="24"/>
                <w:highlight w:val="none"/>
                <w:lang w:val="en-US" w:eastAsia="zh-CN" w:bidi="ar"/>
              </w:rPr>
              <w:t>，</w:t>
            </w:r>
            <w:r>
              <w:rPr>
                <w:rFonts w:hint="eastAsia" w:ascii="宋体" w:hAnsi="宋体" w:cs="宋体"/>
                <w:color w:val="auto"/>
                <w:kern w:val="2"/>
                <w:sz w:val="24"/>
                <w:szCs w:val="24"/>
                <w:highlight w:val="none"/>
                <w:lang w:val="en-US" w:eastAsia="zh-CN" w:bidi="ar"/>
              </w:rPr>
              <w:t>该河</w:t>
            </w:r>
            <w:r>
              <w:rPr>
                <w:rFonts w:hint="eastAsia" w:ascii="宋体" w:hAnsi="宋体" w:eastAsia="宋体" w:cs="宋体"/>
                <w:color w:val="auto"/>
                <w:kern w:val="2"/>
                <w:sz w:val="24"/>
                <w:szCs w:val="24"/>
                <w:highlight w:val="none"/>
                <w:lang w:val="en-US" w:eastAsia="zh-CN" w:bidi="ar"/>
              </w:rPr>
              <w:t>发源于哈依都他乌山系南麓冰川区</w:t>
            </w:r>
            <w:r>
              <w:rPr>
                <w:rFonts w:hint="eastAsia" w:ascii="宋体" w:hAnsi="宋体" w:cs="宋体"/>
                <w:color w:val="auto"/>
                <w:kern w:val="2"/>
                <w:sz w:val="24"/>
                <w:szCs w:val="24"/>
                <w:highlight w:val="none"/>
                <w:lang w:val="en-US" w:eastAsia="zh-CN" w:bidi="ar"/>
              </w:rPr>
              <w:t>，以降水补给为主,冰川冰雪融化水补给为辅的山溪性河流。</w:t>
            </w:r>
            <w:r>
              <w:rPr>
                <w:rFonts w:hint="eastAsia" w:ascii="宋体" w:hAnsi="宋体" w:eastAsia="宋体" w:cs="宋体"/>
                <w:color w:val="auto"/>
                <w:kern w:val="2"/>
                <w:sz w:val="24"/>
                <w:szCs w:val="24"/>
                <w:highlight w:val="none"/>
                <w:lang w:val="en-US" w:eastAsia="zh-CN" w:bidi="ar"/>
              </w:rPr>
              <w:t>执行《地表水环境质量标准》（GB3838-2002）Ⅲ类标准。</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color w:val="auto"/>
                <w:kern w:val="2"/>
                <w:sz w:val="24"/>
                <w:szCs w:val="24"/>
                <w:lang w:val="en-US" w:eastAsia="zh-CN" w:bidi="ar"/>
              </w:rPr>
            </w:pPr>
            <w:r>
              <w:rPr>
                <w:rFonts w:hint="eastAsia" w:ascii="Times New Roman" w:hAnsi="Times New Roman" w:eastAsia="宋体" w:cs="Times New Roman"/>
                <w:b w:val="0"/>
                <w:bCs/>
                <w:color w:val="auto"/>
                <w:kern w:val="2"/>
                <w:sz w:val="24"/>
                <w:szCs w:val="24"/>
                <w:lang w:val="en-US" w:eastAsia="zh-CN" w:bidi="ar"/>
              </w:rPr>
              <w:t>4、</w:t>
            </w:r>
            <w:r>
              <w:rPr>
                <w:rFonts w:hint="default" w:ascii="Times New Roman" w:hAnsi="Times New Roman" w:eastAsia="宋体" w:cs="Times New Roman"/>
                <w:b w:val="0"/>
                <w:bCs/>
                <w:color w:val="auto"/>
                <w:kern w:val="2"/>
                <w:sz w:val="24"/>
                <w:szCs w:val="24"/>
                <w:lang w:val="en-US" w:eastAsia="zh-CN" w:bidi="ar"/>
              </w:rPr>
              <w:t>地下水环境质量现状监测及评价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宋体" w:hAnsi="宋体" w:eastAsia="宋体" w:cs="宋体"/>
                <w:color w:val="auto"/>
                <w:kern w:val="2"/>
                <w:sz w:val="24"/>
                <w:szCs w:val="24"/>
                <w:lang w:val="en-US" w:eastAsia="zh-CN" w:bidi="ar"/>
              </w:rPr>
              <w:t>本项目属于</w:t>
            </w:r>
            <w:r>
              <w:rPr>
                <w:rFonts w:hint="eastAsia" w:ascii="宋体" w:hAnsi="宋体" w:cs="宋体"/>
                <w:color w:val="auto"/>
                <w:kern w:val="2"/>
                <w:sz w:val="24"/>
                <w:szCs w:val="24"/>
                <w:lang w:val="en-US" w:eastAsia="zh-CN" w:bidi="ar"/>
              </w:rPr>
              <w:t>花岗岩</w:t>
            </w:r>
            <w:r>
              <w:rPr>
                <w:rFonts w:hint="default" w:ascii="宋体" w:hAnsi="宋体" w:eastAsia="宋体" w:cs="宋体"/>
                <w:color w:val="auto"/>
                <w:kern w:val="2"/>
                <w:sz w:val="24"/>
                <w:szCs w:val="24"/>
                <w:lang w:val="en-US" w:eastAsia="zh-CN" w:bidi="ar"/>
              </w:rPr>
              <w:t>矿开采项目，根据《环境影响评价技术导则 地下水</w:t>
            </w:r>
            <w:r>
              <w:rPr>
                <w:rFonts w:hint="default" w:ascii="Times New Roman" w:hAnsi="Times New Roman" w:eastAsia="宋体" w:cs="Times New Roman"/>
                <w:color w:val="auto"/>
                <w:kern w:val="2"/>
                <w:sz w:val="24"/>
                <w:szCs w:val="24"/>
                <w:lang w:val="en-US" w:eastAsia="zh-CN" w:bidi="ar"/>
              </w:rPr>
              <w:t>环境》（HJ610-2016）附录A地下水环境影响评价行业分类表，确定该类项目属于地下水环境影响评价项目类别中的Ⅳ类，Ⅳ类项目可不开展地下水环境影响评价。</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color w:val="auto"/>
                <w:kern w:val="2"/>
                <w:sz w:val="24"/>
                <w:szCs w:val="24"/>
                <w:lang w:val="en-US" w:eastAsia="zh-CN" w:bidi="ar"/>
              </w:rPr>
            </w:pPr>
            <w:r>
              <w:rPr>
                <w:rFonts w:hint="eastAsia" w:ascii="Times New Roman" w:hAnsi="Times New Roman" w:eastAsia="宋体" w:cs="Times New Roman"/>
                <w:b w:val="0"/>
                <w:bCs/>
                <w:color w:val="auto"/>
                <w:kern w:val="2"/>
                <w:sz w:val="24"/>
                <w:szCs w:val="24"/>
                <w:lang w:val="en-US" w:eastAsia="zh-CN" w:bidi="ar"/>
              </w:rPr>
              <w:t>5、声环境质量现状监测及评价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参照《建设项目环境影响报告表编制技术指南（污染影响类）（试行）》，项目区外周边50m范围内不存在声环境保护目标，本项目不开展声环境质量现状评价。</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color w:val="auto"/>
                <w:kern w:val="2"/>
                <w:sz w:val="24"/>
                <w:szCs w:val="24"/>
                <w:lang w:val="en-US" w:eastAsia="zh-CN" w:bidi="ar"/>
              </w:rPr>
            </w:pPr>
            <w:r>
              <w:rPr>
                <w:rFonts w:hint="eastAsia" w:ascii="Times New Roman" w:hAnsi="Times New Roman" w:eastAsia="宋体" w:cs="Times New Roman"/>
                <w:b w:val="0"/>
                <w:bCs/>
                <w:color w:val="auto"/>
                <w:kern w:val="2"/>
                <w:sz w:val="24"/>
                <w:szCs w:val="24"/>
                <w:lang w:val="en-US" w:eastAsia="zh-CN" w:bidi="ar"/>
              </w:rPr>
              <w:t>6、土壤环境质量现状监测及评价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根据《环境影响评价技术导则</w:t>
            </w:r>
            <w:r>
              <w:rPr>
                <w:rFonts w:hint="default" w:ascii="Times New Roman" w:hAnsi="Times New Roman" w:eastAsia="宋体" w:cs="Times New Roman"/>
                <w:color w:val="auto"/>
                <w:kern w:val="2"/>
                <w:sz w:val="24"/>
                <w:szCs w:val="24"/>
                <w:lang w:val="en-US" w:eastAsia="zh-CN" w:bidi="ar"/>
              </w:rPr>
              <w:t xml:space="preserve"> </w:t>
            </w:r>
            <w:r>
              <w:rPr>
                <w:rFonts w:hint="eastAsia" w:ascii="宋体" w:hAnsi="宋体" w:eastAsia="宋体" w:cs="宋体"/>
                <w:color w:val="auto"/>
                <w:kern w:val="2"/>
                <w:sz w:val="24"/>
                <w:szCs w:val="24"/>
                <w:lang w:val="en-US" w:eastAsia="zh-CN" w:bidi="ar"/>
              </w:rPr>
              <w:t>土壤环境（试行）》（</w:t>
            </w:r>
            <w:r>
              <w:rPr>
                <w:rFonts w:hint="default" w:ascii="Times New Roman" w:hAnsi="Times New Roman" w:eastAsia="宋体" w:cs="Times New Roman"/>
                <w:color w:val="auto"/>
                <w:kern w:val="2"/>
                <w:sz w:val="24"/>
                <w:szCs w:val="24"/>
                <w:lang w:val="en-US" w:eastAsia="zh-CN" w:bidi="ar"/>
              </w:rPr>
              <w:t>HJ964-2018</w:t>
            </w:r>
            <w:r>
              <w:rPr>
                <w:rFonts w:hint="eastAsia" w:ascii="宋体" w:hAnsi="宋体" w:eastAsia="宋体" w:cs="宋体"/>
                <w:color w:val="auto"/>
                <w:kern w:val="2"/>
                <w:sz w:val="24"/>
                <w:szCs w:val="24"/>
                <w:lang w:val="en-US" w:eastAsia="zh-CN" w:bidi="ar"/>
              </w:rPr>
              <w:t>）附录</w:t>
            </w:r>
            <w:r>
              <w:rPr>
                <w:rFonts w:hint="default" w:ascii="Times New Roman" w:hAnsi="Times New Roman" w:eastAsia="宋体" w:cs="Times New Roman"/>
                <w:color w:val="auto"/>
                <w:kern w:val="2"/>
                <w:sz w:val="24"/>
                <w:szCs w:val="24"/>
                <w:lang w:val="en-US" w:eastAsia="zh-CN" w:bidi="ar"/>
              </w:rPr>
              <w:t>B</w:t>
            </w:r>
            <w:r>
              <w:rPr>
                <w:rFonts w:hint="eastAsia" w:ascii="宋体" w:hAnsi="宋体" w:eastAsia="宋体" w:cs="宋体"/>
                <w:color w:val="auto"/>
                <w:kern w:val="2"/>
                <w:sz w:val="24"/>
                <w:szCs w:val="24"/>
                <w:lang w:val="en-US" w:eastAsia="zh-CN" w:bidi="ar"/>
              </w:rPr>
              <w:t>表</w:t>
            </w:r>
            <w:r>
              <w:rPr>
                <w:rFonts w:hint="default" w:ascii="Times New Roman" w:hAnsi="Times New Roman" w:eastAsia="宋体" w:cs="Times New Roman"/>
                <w:color w:val="auto"/>
                <w:kern w:val="2"/>
                <w:sz w:val="24"/>
                <w:szCs w:val="24"/>
                <w:lang w:val="en-US" w:eastAsia="zh-CN" w:bidi="ar"/>
              </w:rPr>
              <w:t>B.1</w:t>
            </w:r>
            <w:r>
              <w:rPr>
                <w:rFonts w:hint="eastAsia" w:ascii="宋体" w:hAnsi="宋体" w:eastAsia="宋体" w:cs="宋体"/>
                <w:color w:val="auto"/>
                <w:kern w:val="2"/>
                <w:sz w:val="24"/>
                <w:szCs w:val="24"/>
                <w:lang w:val="en-US" w:eastAsia="zh-CN" w:bidi="ar"/>
              </w:rPr>
              <w:t>识别，采</w:t>
            </w:r>
            <w:r>
              <w:rPr>
                <w:rFonts w:hint="eastAsia" w:ascii="宋体" w:hAnsi="宋体" w:cs="宋体"/>
                <w:color w:val="auto"/>
                <w:kern w:val="2"/>
                <w:sz w:val="24"/>
                <w:szCs w:val="24"/>
                <w:lang w:val="en-US" w:eastAsia="zh-CN" w:bidi="ar"/>
              </w:rPr>
              <w:t>矿</w:t>
            </w:r>
            <w:r>
              <w:rPr>
                <w:rFonts w:hint="eastAsia" w:ascii="宋体" w:hAnsi="宋体" w:eastAsia="宋体" w:cs="宋体"/>
                <w:color w:val="auto"/>
                <w:kern w:val="2"/>
                <w:sz w:val="24"/>
                <w:szCs w:val="24"/>
                <w:lang w:val="en-US" w:eastAsia="zh-CN" w:bidi="ar"/>
              </w:rPr>
              <w:t>场区识别为生态影响型，进行生态影响型评价工作等级划分；工业场地为污染影响型，进行污染影响型评价工作等级划分。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0"/>
                <w:sz w:val="24"/>
                <w:szCs w:val="24"/>
                <w:lang w:val="en-US" w:eastAsia="zh-CN" w:bidi="ar"/>
              </w:rPr>
            </w:pPr>
            <w:r>
              <w:rPr>
                <w:rFonts w:hint="default" w:ascii="Times New Roman" w:hAnsi="Times New Roman" w:eastAsia="宋体" w:cs="Times New Roman"/>
                <w:bCs/>
                <w:color w:val="auto"/>
                <w:kern w:val="0"/>
                <w:sz w:val="24"/>
                <w:szCs w:val="24"/>
                <w:lang w:val="en-US" w:eastAsia="zh-CN" w:bidi="ar"/>
              </w:rPr>
              <w:t>根据《和硕恒达石业有限公司新疆和硕县爱盖尔其西饰面石材花岗岩矿矿产资源开发利用与生态保护修复方案》前期地质勘察资料，本项目周围表层土壤pH值在</w:t>
            </w:r>
            <w:r>
              <w:rPr>
                <w:rFonts w:hint="eastAsia" w:cs="Times New Roman"/>
                <w:bCs/>
                <w:color w:val="auto"/>
                <w:kern w:val="0"/>
                <w:sz w:val="24"/>
                <w:szCs w:val="24"/>
                <w:lang w:val="en-US" w:eastAsia="zh-CN" w:bidi="ar"/>
              </w:rPr>
              <w:t>7.77-7.87左右</w:t>
            </w:r>
            <w:r>
              <w:rPr>
                <w:rFonts w:hint="default" w:ascii="Times New Roman" w:hAnsi="Times New Roman" w:eastAsia="宋体" w:cs="Times New Roman"/>
                <w:bCs/>
                <w:color w:val="auto"/>
                <w:kern w:val="0"/>
                <w:sz w:val="24"/>
                <w:szCs w:val="24"/>
                <w:lang w:val="en-US" w:eastAsia="zh-CN" w:bidi="ar"/>
              </w:rPr>
              <w:t>，属于5.5≤pH＜8.5，建设项目所在地干燥度＞2.5且常年地下水位埋深＞</w:t>
            </w:r>
            <w:r>
              <w:rPr>
                <w:rFonts w:hint="eastAsia" w:cs="Times New Roman"/>
                <w:bCs/>
                <w:color w:val="auto"/>
                <w:kern w:val="0"/>
                <w:sz w:val="24"/>
                <w:szCs w:val="24"/>
                <w:lang w:val="en-US" w:eastAsia="zh-CN" w:bidi="ar"/>
              </w:rPr>
              <w:t>10</w:t>
            </w:r>
            <w:r>
              <w:rPr>
                <w:rFonts w:hint="default" w:ascii="Times New Roman" w:hAnsi="Times New Roman" w:eastAsia="宋体" w:cs="Times New Roman"/>
                <w:bCs/>
                <w:color w:val="auto"/>
                <w:kern w:val="0"/>
                <w:sz w:val="24"/>
                <w:szCs w:val="24"/>
                <w:lang w:val="en-US" w:eastAsia="zh-CN" w:bidi="ar"/>
              </w:rPr>
              <w:t>m。详见生态影响型敏感程度分级表。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w:t>
            </w:r>
            <w:r>
              <w:rPr>
                <w:rFonts w:hint="default" w:ascii="Times New Roman" w:hAnsi="Times New Roman" w:eastAsia="宋体" w:cs="Times New Roman"/>
                <w:b/>
                <w:bCs/>
                <w:color w:val="auto"/>
                <w:sz w:val="22"/>
                <w:szCs w:val="22"/>
                <w:lang w:val="en-US" w:eastAsia="zh-CN"/>
              </w:rPr>
              <w:t>3-</w:t>
            </w:r>
            <w:r>
              <w:rPr>
                <w:rFonts w:hint="eastAsia" w:cs="Times New Roman"/>
                <w:b/>
                <w:bCs/>
                <w:color w:val="auto"/>
                <w:sz w:val="22"/>
                <w:szCs w:val="22"/>
                <w:lang w:val="en-US" w:eastAsia="zh-CN"/>
              </w:rPr>
              <w:t>6</w:t>
            </w:r>
            <w:r>
              <w:rPr>
                <w:rFonts w:hint="eastAsia" w:ascii="Times New Roman" w:hAnsi="Times New Roman" w:eastAsia="宋体" w:cs="Times New Roman"/>
                <w:b/>
                <w:bCs/>
                <w:color w:val="auto"/>
                <w:sz w:val="22"/>
                <w:szCs w:val="22"/>
                <w:lang w:val="en-US" w:eastAsia="zh-CN"/>
              </w:rPr>
              <w:t xml:space="preserve">  土壤环境影响评价行业分类表（节选）</w:t>
            </w:r>
          </w:p>
          <w:tbl>
            <w:tblPr>
              <w:tblStyle w:val="2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17"/>
              <w:gridCol w:w="1606"/>
              <w:gridCol w:w="5098"/>
              <w:gridCol w:w="523"/>
              <w:gridCol w:w="5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jc w:val="center"/>
              </w:trPr>
              <w:tc>
                <w:tcPr>
                  <w:tcW w:w="0" w:type="auto"/>
                  <w:vMerge w:val="restart"/>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行业类别</w:t>
                  </w:r>
                </w:p>
              </w:tc>
              <w:tc>
                <w:tcPr>
                  <w:tcW w:w="0" w:type="auto"/>
                  <w:gridSpan w:val="4"/>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项目类别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12" w:hRule="atLeast"/>
                <w:jc w:val="center"/>
              </w:trPr>
              <w:tc>
                <w:tcPr>
                  <w:tcW w:w="0" w:type="auto"/>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Ⅰ</w:t>
                  </w:r>
                  <w:r>
                    <w:rPr>
                      <w:rFonts w:hint="eastAsia" w:ascii="宋体" w:hAnsi="宋体" w:eastAsia="宋体" w:cs="宋体"/>
                      <w:color w:val="auto"/>
                      <w:kern w:val="2"/>
                      <w:sz w:val="21"/>
                      <w:szCs w:val="21"/>
                      <w:lang w:val="en-US" w:eastAsia="zh-CN" w:bidi="ar"/>
                    </w:rPr>
                    <w:t>类</w:t>
                  </w: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Ⅱ</w:t>
                  </w:r>
                  <w:r>
                    <w:rPr>
                      <w:rFonts w:hint="eastAsia" w:ascii="宋体" w:hAnsi="宋体" w:eastAsia="宋体" w:cs="宋体"/>
                      <w:color w:val="auto"/>
                      <w:kern w:val="2"/>
                      <w:sz w:val="21"/>
                      <w:szCs w:val="21"/>
                      <w:lang w:val="en-US" w:eastAsia="zh-CN" w:bidi="ar"/>
                    </w:rPr>
                    <w:t>类</w:t>
                  </w: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Ⅲ</w:t>
                  </w:r>
                  <w:r>
                    <w:rPr>
                      <w:rFonts w:hint="eastAsia" w:ascii="宋体" w:hAnsi="宋体" w:eastAsia="宋体" w:cs="宋体"/>
                      <w:color w:val="auto"/>
                      <w:kern w:val="2"/>
                      <w:sz w:val="21"/>
                      <w:szCs w:val="21"/>
                      <w:lang w:val="en-US" w:eastAsia="zh-CN" w:bidi="ar"/>
                    </w:rPr>
                    <w:t>类</w:t>
                  </w: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Ⅳ</w:t>
                  </w:r>
                  <w:r>
                    <w:rPr>
                      <w:rFonts w:hint="eastAsia" w:ascii="宋体" w:hAnsi="宋体" w:eastAsia="宋体" w:cs="宋体"/>
                      <w:color w:val="auto"/>
                      <w:kern w:val="2"/>
                      <w:sz w:val="21"/>
                      <w:szCs w:val="21"/>
                      <w:lang w:val="en-US" w:eastAsia="zh-CN" w:bidi="ar"/>
                    </w:rPr>
                    <w:t>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4" w:hRule="atLeast"/>
                <w:jc w:val="center"/>
              </w:trPr>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采矿业</w:t>
                  </w: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金属矿、石油、页岩油开采</w:t>
                  </w: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化学矿采选；石棉矿采选；煤矿采选、天然气开采、页岩气开采、砂岩气开采、煤层气开采</w:t>
                  </w:r>
                  <w:r>
                    <w:rPr>
                      <w:rFonts w:hint="eastAsia" w:cs="Times New Roman"/>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含净化、液化</w:t>
                  </w:r>
                  <w:r>
                    <w:rPr>
                      <w:rFonts w:hint="eastAsia" w:cs="Times New Roman"/>
                      <w:color w:val="auto"/>
                      <w:kern w:val="2"/>
                      <w:sz w:val="21"/>
                      <w:szCs w:val="21"/>
                      <w:lang w:val="en-US" w:eastAsia="zh-CN" w:bidi="ar"/>
                    </w:rPr>
                    <w:t>）</w:t>
                  </w: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其他</w:t>
                  </w: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2"/>
                <w:szCs w:val="2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w:t>
            </w:r>
            <w:r>
              <w:rPr>
                <w:rFonts w:hint="default" w:ascii="Times New Roman" w:hAnsi="Times New Roman" w:eastAsia="宋体" w:cs="Times New Roman"/>
                <w:b/>
                <w:bCs/>
                <w:color w:val="auto"/>
                <w:sz w:val="22"/>
                <w:szCs w:val="22"/>
                <w:lang w:val="en-US" w:eastAsia="zh-CN"/>
              </w:rPr>
              <w:t>3-</w:t>
            </w:r>
            <w:r>
              <w:rPr>
                <w:rFonts w:hint="eastAsia" w:cs="Times New Roman"/>
                <w:b/>
                <w:bCs/>
                <w:color w:val="auto"/>
                <w:sz w:val="22"/>
                <w:szCs w:val="22"/>
                <w:lang w:val="en-US" w:eastAsia="zh-CN"/>
              </w:rPr>
              <w:t>7</w:t>
            </w:r>
            <w:r>
              <w:rPr>
                <w:rFonts w:hint="eastAsia" w:ascii="Times New Roman" w:hAnsi="Times New Roman" w:eastAsia="宋体" w:cs="Times New Roman"/>
                <w:b/>
                <w:bCs/>
                <w:color w:val="auto"/>
                <w:sz w:val="22"/>
                <w:szCs w:val="22"/>
                <w:lang w:val="en-US" w:eastAsia="zh-CN"/>
              </w:rPr>
              <w:t xml:space="preserve">  生态影响型敏感程度分级表</w:t>
            </w:r>
          </w:p>
          <w:tbl>
            <w:tblPr>
              <w:tblStyle w:val="2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75"/>
              <w:gridCol w:w="5949"/>
              <w:gridCol w:w="985"/>
              <w:gridCol w:w="9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PrEx>
              <w:trPr>
                <w:trHeight w:val="340" w:hRule="atLeast"/>
                <w:jc w:val="center"/>
              </w:trPr>
              <w:tc>
                <w:tcPr>
                  <w:tcW w:w="0" w:type="auto"/>
                  <w:vMerge w:val="restart"/>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敏感程度</w:t>
                  </w:r>
                </w:p>
              </w:tc>
              <w:tc>
                <w:tcPr>
                  <w:tcW w:w="0" w:type="auto"/>
                  <w:gridSpan w:val="3"/>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判别依据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1"/>
                    </w:rPr>
                  </w:pP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盐化</w:t>
                  </w: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酸化</w:t>
                  </w: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碱化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敏感</w:t>
                  </w: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建设项目所在地干燥度</w:t>
                  </w:r>
                  <w:r>
                    <w:rPr>
                      <w:rFonts w:hint="default" w:ascii="Times New Roman" w:hAnsi="Times New Roman" w:eastAsia="宋体" w:cs="Times New Roman"/>
                      <w:color w:val="auto"/>
                      <w:kern w:val="2"/>
                      <w:sz w:val="21"/>
                      <w:szCs w:val="21"/>
                      <w:lang w:val="en-US" w:eastAsia="zh-CN" w:bidi="ar"/>
                    </w:rPr>
                    <w:t>a</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2.5</w:t>
                  </w:r>
                  <w:r>
                    <w:rPr>
                      <w:rFonts w:hint="eastAsia" w:ascii="宋体" w:hAnsi="宋体" w:eastAsia="宋体" w:cs="宋体"/>
                      <w:color w:val="auto"/>
                      <w:kern w:val="2"/>
                      <w:sz w:val="21"/>
                      <w:szCs w:val="21"/>
                      <w:lang w:val="en-US" w:eastAsia="zh-CN" w:bidi="ar"/>
                    </w:rPr>
                    <w:t>且常年地下水位平均埋深＜</w:t>
                  </w:r>
                  <w:r>
                    <w:rPr>
                      <w:rFonts w:hint="default" w:ascii="Times New Roman" w:hAnsi="Times New Roman" w:eastAsia="宋体" w:cs="Times New Roman"/>
                      <w:color w:val="auto"/>
                      <w:kern w:val="2"/>
                      <w:sz w:val="21"/>
                      <w:szCs w:val="21"/>
                      <w:lang w:val="en-US" w:eastAsia="zh-CN" w:bidi="ar"/>
                    </w:rPr>
                    <w:t>1.5m</w:t>
                  </w:r>
                  <w:r>
                    <w:rPr>
                      <w:rFonts w:hint="eastAsia" w:ascii="宋体" w:hAnsi="宋体" w:eastAsia="宋体" w:cs="宋体"/>
                      <w:color w:val="auto"/>
                      <w:kern w:val="2"/>
                      <w:sz w:val="21"/>
                      <w:szCs w:val="21"/>
                      <w:lang w:val="en-US" w:eastAsia="zh-CN" w:bidi="ar"/>
                    </w:rPr>
                    <w:t>的地势平坦区域；或土壤含盐量＞</w:t>
                  </w:r>
                  <w:r>
                    <w:rPr>
                      <w:rFonts w:hint="default" w:ascii="Times New Roman" w:hAnsi="Times New Roman" w:eastAsia="宋体" w:cs="Times New Roman"/>
                      <w:color w:val="auto"/>
                      <w:kern w:val="2"/>
                      <w:sz w:val="21"/>
                      <w:szCs w:val="21"/>
                      <w:lang w:val="en-US" w:eastAsia="zh-CN" w:bidi="ar"/>
                    </w:rPr>
                    <w:t>4g/kg</w:t>
                  </w:r>
                  <w:r>
                    <w:rPr>
                      <w:rFonts w:hint="eastAsia" w:ascii="宋体" w:hAnsi="宋体" w:eastAsia="宋体" w:cs="宋体"/>
                      <w:color w:val="auto"/>
                      <w:kern w:val="2"/>
                      <w:sz w:val="21"/>
                      <w:szCs w:val="21"/>
                      <w:lang w:val="en-US" w:eastAsia="zh-CN" w:bidi="ar"/>
                    </w:rPr>
                    <w:t>的区域</w:t>
                  </w: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pH≤4.5</w:t>
                  </w: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pH≥9.0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较敏感</w:t>
                  </w: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建设项目所在地干燥度＞</w:t>
                  </w:r>
                  <w:r>
                    <w:rPr>
                      <w:rFonts w:hint="default" w:ascii="Times New Roman" w:hAnsi="Times New Roman" w:eastAsia="宋体" w:cs="Times New Roman"/>
                      <w:color w:val="auto"/>
                      <w:kern w:val="2"/>
                      <w:sz w:val="21"/>
                      <w:szCs w:val="21"/>
                      <w:lang w:val="en-US" w:eastAsia="zh-CN" w:bidi="ar"/>
                    </w:rPr>
                    <w:t>2.5</w:t>
                  </w:r>
                  <w:r>
                    <w:rPr>
                      <w:rFonts w:hint="eastAsia" w:ascii="宋体" w:hAnsi="宋体" w:eastAsia="宋体" w:cs="宋体"/>
                      <w:color w:val="auto"/>
                      <w:kern w:val="2"/>
                      <w:sz w:val="21"/>
                      <w:szCs w:val="21"/>
                      <w:lang w:val="en-US" w:eastAsia="zh-CN" w:bidi="ar"/>
                    </w:rPr>
                    <w:t>且常年地下水位平均埋深≥</w:t>
                  </w:r>
                  <w:r>
                    <w:rPr>
                      <w:rFonts w:hint="default" w:ascii="Times New Roman" w:hAnsi="Times New Roman" w:eastAsia="宋体" w:cs="Times New Roman"/>
                      <w:color w:val="auto"/>
                      <w:kern w:val="2"/>
                      <w:sz w:val="21"/>
                      <w:szCs w:val="21"/>
                      <w:lang w:val="en-US" w:eastAsia="zh-CN" w:bidi="ar"/>
                    </w:rPr>
                    <w:t>1.5m</w:t>
                  </w:r>
                  <w:r>
                    <w:rPr>
                      <w:rFonts w:hint="eastAsia" w:ascii="宋体" w:hAnsi="宋体" w:eastAsia="宋体" w:cs="宋体"/>
                      <w:color w:val="auto"/>
                      <w:kern w:val="2"/>
                      <w:sz w:val="21"/>
                      <w:szCs w:val="21"/>
                      <w:lang w:val="en-US" w:eastAsia="zh-CN" w:bidi="ar"/>
                    </w:rPr>
                    <w:t>的，或</w:t>
                  </w:r>
                  <w:r>
                    <w:rPr>
                      <w:rFonts w:hint="default" w:ascii="Times New Roman" w:hAnsi="Times New Roman" w:eastAsia="宋体" w:cs="Times New Roman"/>
                      <w:color w:val="auto"/>
                      <w:kern w:val="2"/>
                      <w:sz w:val="21"/>
                      <w:szCs w:val="21"/>
                      <w:lang w:val="en-US" w:eastAsia="zh-CN" w:bidi="ar"/>
                    </w:rPr>
                    <w:t>1.8</w:t>
                  </w:r>
                  <w:r>
                    <w:rPr>
                      <w:rFonts w:hint="eastAsia" w:ascii="宋体" w:hAnsi="宋体" w:eastAsia="宋体" w:cs="宋体"/>
                      <w:color w:val="auto"/>
                      <w:kern w:val="2"/>
                      <w:sz w:val="21"/>
                      <w:szCs w:val="21"/>
                      <w:lang w:val="en-US" w:eastAsia="zh-CN" w:bidi="ar"/>
                    </w:rPr>
                    <w:t>＜干燥度≤</w:t>
                  </w:r>
                  <w:r>
                    <w:rPr>
                      <w:rFonts w:hint="default" w:ascii="Times New Roman" w:hAnsi="Times New Roman" w:eastAsia="宋体" w:cs="Times New Roman"/>
                      <w:color w:val="auto"/>
                      <w:kern w:val="2"/>
                      <w:sz w:val="21"/>
                      <w:szCs w:val="21"/>
                      <w:lang w:val="en-US" w:eastAsia="zh-CN" w:bidi="ar"/>
                    </w:rPr>
                    <w:t>2.5</w:t>
                  </w:r>
                  <w:r>
                    <w:rPr>
                      <w:rFonts w:hint="eastAsia" w:ascii="宋体" w:hAnsi="宋体" w:eastAsia="宋体" w:cs="宋体"/>
                      <w:color w:val="auto"/>
                      <w:kern w:val="2"/>
                      <w:sz w:val="21"/>
                      <w:szCs w:val="21"/>
                      <w:lang w:val="en-US" w:eastAsia="zh-CN" w:bidi="ar"/>
                    </w:rPr>
                    <w:t>且常年地下水位平均埋深＜</w:t>
                  </w:r>
                  <w:r>
                    <w:rPr>
                      <w:rFonts w:hint="default" w:ascii="Times New Roman" w:hAnsi="Times New Roman" w:eastAsia="宋体" w:cs="Times New Roman"/>
                      <w:color w:val="auto"/>
                      <w:kern w:val="2"/>
                      <w:sz w:val="21"/>
                      <w:szCs w:val="21"/>
                      <w:lang w:val="en-US" w:eastAsia="zh-CN" w:bidi="ar"/>
                    </w:rPr>
                    <w:t>1.8m</w:t>
                  </w:r>
                  <w:r>
                    <w:rPr>
                      <w:rFonts w:hint="eastAsia" w:ascii="宋体" w:hAnsi="宋体" w:eastAsia="宋体" w:cs="宋体"/>
                      <w:color w:val="auto"/>
                      <w:kern w:val="2"/>
                      <w:sz w:val="21"/>
                      <w:szCs w:val="21"/>
                      <w:lang w:val="en-US" w:eastAsia="zh-CN" w:bidi="ar"/>
                    </w:rPr>
                    <w:t>的地势平坦区域；建设项目所在地干燥度＞</w:t>
                  </w:r>
                  <w:r>
                    <w:rPr>
                      <w:rFonts w:hint="default" w:ascii="Times New Roman" w:hAnsi="Times New Roman" w:eastAsia="宋体" w:cs="Times New Roman"/>
                      <w:color w:val="auto"/>
                      <w:kern w:val="2"/>
                      <w:sz w:val="21"/>
                      <w:szCs w:val="21"/>
                      <w:lang w:val="en-US" w:eastAsia="zh-CN" w:bidi="ar"/>
                    </w:rPr>
                    <w:t>2.5</w:t>
                  </w:r>
                  <w:r>
                    <w:rPr>
                      <w:rFonts w:hint="eastAsia" w:ascii="宋体" w:hAnsi="宋体" w:eastAsia="宋体" w:cs="宋体"/>
                      <w:color w:val="auto"/>
                      <w:kern w:val="2"/>
                      <w:sz w:val="21"/>
                      <w:szCs w:val="21"/>
                      <w:lang w:val="en-US" w:eastAsia="zh-CN" w:bidi="ar"/>
                    </w:rPr>
                    <w:t>或常年地下水位平均埋深＜</w:t>
                  </w:r>
                  <w:r>
                    <w:rPr>
                      <w:rFonts w:hint="default" w:ascii="Times New Roman" w:hAnsi="Times New Roman" w:eastAsia="宋体" w:cs="Times New Roman"/>
                      <w:color w:val="auto"/>
                      <w:kern w:val="2"/>
                      <w:sz w:val="21"/>
                      <w:szCs w:val="21"/>
                      <w:lang w:val="en-US" w:eastAsia="zh-CN" w:bidi="ar"/>
                    </w:rPr>
                    <w:t>1.5m</w:t>
                  </w:r>
                  <w:r>
                    <w:rPr>
                      <w:rFonts w:hint="eastAsia" w:ascii="宋体" w:hAnsi="宋体" w:eastAsia="宋体" w:cs="宋体"/>
                      <w:color w:val="auto"/>
                      <w:kern w:val="2"/>
                      <w:sz w:val="21"/>
                      <w:szCs w:val="21"/>
                      <w:lang w:val="en-US" w:eastAsia="zh-CN" w:bidi="ar"/>
                    </w:rPr>
                    <w:t>的平原区；或</w:t>
                  </w:r>
                  <w:r>
                    <w:rPr>
                      <w:rFonts w:hint="default" w:ascii="Times New Roman" w:hAnsi="Times New Roman" w:eastAsia="宋体" w:cs="Times New Roman"/>
                      <w:color w:val="auto"/>
                      <w:kern w:val="2"/>
                      <w:sz w:val="21"/>
                      <w:szCs w:val="21"/>
                      <w:lang w:val="en-US" w:eastAsia="zh-CN" w:bidi="ar"/>
                    </w:rPr>
                    <w:t>2g/kg</w:t>
                  </w:r>
                  <w:r>
                    <w:rPr>
                      <w:rFonts w:hint="eastAsia" w:ascii="宋体" w:hAnsi="宋体" w:eastAsia="宋体" w:cs="宋体"/>
                      <w:color w:val="auto"/>
                      <w:kern w:val="2"/>
                      <w:sz w:val="21"/>
                      <w:szCs w:val="21"/>
                      <w:lang w:val="en-US" w:eastAsia="zh-CN" w:bidi="ar"/>
                    </w:rPr>
                    <w:t>＜土壤含盐量≤</w:t>
                  </w:r>
                  <w:r>
                    <w:rPr>
                      <w:rFonts w:hint="default" w:ascii="Times New Roman" w:hAnsi="Times New Roman" w:eastAsia="宋体" w:cs="Times New Roman"/>
                      <w:color w:val="auto"/>
                      <w:kern w:val="2"/>
                      <w:sz w:val="21"/>
                      <w:szCs w:val="21"/>
                      <w:lang w:val="en-US" w:eastAsia="zh-CN" w:bidi="ar"/>
                    </w:rPr>
                    <w:t>4g/kg</w:t>
                  </w:r>
                  <w:r>
                    <w:rPr>
                      <w:rFonts w:hint="eastAsia" w:ascii="宋体" w:hAnsi="宋体" w:eastAsia="宋体" w:cs="宋体"/>
                      <w:color w:val="auto"/>
                      <w:kern w:val="2"/>
                      <w:sz w:val="21"/>
                      <w:szCs w:val="21"/>
                      <w:lang w:val="en-US" w:eastAsia="zh-CN" w:bidi="ar"/>
                    </w:rPr>
                    <w:t>的区域</w:t>
                  </w: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4.5</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pH</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5.5</w:t>
                  </w: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8.5≤pH</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不敏感</w:t>
                  </w:r>
                </w:p>
              </w:tc>
              <w:tc>
                <w:tcPr>
                  <w:tcW w:w="0" w:type="auto"/>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其他</w:t>
                  </w:r>
                </w:p>
              </w:tc>
              <w:tc>
                <w:tcPr>
                  <w:tcW w:w="0" w:type="auto"/>
                  <w:gridSpan w:val="2"/>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5.5</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pH</w:t>
                  </w:r>
                  <w:r>
                    <w:rPr>
                      <w:rFonts w:hint="eastAsia" w:ascii="宋体" w:hAnsi="宋体" w:eastAsia="宋体" w:cs="宋体"/>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0" w:type="auto"/>
                  <w:gridSpan w:val="4"/>
                  <w:tcBorders>
                    <w:tl2br w:val="nil"/>
                    <w:tr2bl w:val="nil"/>
                  </w:tcBorders>
                  <w:shd w:val="clear" w:color="auto" w:fill="auto"/>
                  <w:vAlign w:val="center"/>
                </w:tcPr>
                <w:p>
                  <w:pPr>
                    <w:keepNext w:val="0"/>
                    <w:keepLines w:val="0"/>
                    <w:widowControl w:val="0"/>
                    <w:suppressLineNumbers w:val="0"/>
                    <w:snapToGrid w:val="0"/>
                    <w:spacing w:before="0" w:beforeLines="0" w:beforeAutospacing="0" w:after="0" w:afterLines="0" w:afterAutospacing="0" w:line="240" w:lineRule="atLeast"/>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a</w:t>
                  </w:r>
                  <w:r>
                    <w:rPr>
                      <w:rFonts w:hint="eastAsia" w:ascii="宋体" w:hAnsi="宋体" w:eastAsia="宋体" w:cs="宋体"/>
                      <w:color w:val="auto"/>
                      <w:kern w:val="2"/>
                      <w:sz w:val="21"/>
                      <w:szCs w:val="21"/>
                      <w:lang w:val="en-US" w:eastAsia="zh-CN" w:bidi="ar"/>
                    </w:rPr>
                    <w:t>是指采用</w:t>
                  </w:r>
                  <w:r>
                    <w:rPr>
                      <w:rFonts w:hint="default" w:ascii="Times New Roman" w:hAnsi="Times New Roman" w:eastAsia="宋体" w:cs="Times New Roman"/>
                      <w:color w:val="auto"/>
                      <w:kern w:val="2"/>
                      <w:sz w:val="21"/>
                      <w:szCs w:val="21"/>
                      <w:lang w:val="en-US" w:eastAsia="zh-CN" w:bidi="ar"/>
                    </w:rPr>
                    <w:t>E601</w:t>
                  </w:r>
                  <w:r>
                    <w:rPr>
                      <w:rFonts w:hint="eastAsia" w:ascii="宋体" w:hAnsi="宋体" w:eastAsia="宋体" w:cs="宋体"/>
                      <w:color w:val="auto"/>
                      <w:kern w:val="2"/>
                      <w:sz w:val="21"/>
                      <w:szCs w:val="21"/>
                      <w:lang w:val="en-US" w:eastAsia="zh-CN" w:bidi="ar"/>
                    </w:rPr>
                    <w:t>观测的多年平均水面蒸发量与降水量的比值，即蒸降比值。</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2"/>
                <w:szCs w:val="2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w:t>
            </w:r>
            <w:r>
              <w:rPr>
                <w:rFonts w:hint="default" w:ascii="Times New Roman" w:hAnsi="Times New Roman" w:eastAsia="宋体" w:cs="Times New Roman"/>
                <w:b/>
                <w:bCs/>
                <w:color w:val="auto"/>
                <w:sz w:val="22"/>
                <w:szCs w:val="22"/>
                <w:lang w:val="en-US" w:eastAsia="zh-CN"/>
              </w:rPr>
              <w:t>3-</w:t>
            </w:r>
            <w:r>
              <w:rPr>
                <w:rFonts w:hint="eastAsia" w:cs="Times New Roman"/>
                <w:b/>
                <w:bCs/>
                <w:color w:val="auto"/>
                <w:sz w:val="22"/>
                <w:szCs w:val="22"/>
                <w:lang w:val="en-US" w:eastAsia="zh-CN"/>
              </w:rPr>
              <w:t>8</w:t>
            </w:r>
            <w:r>
              <w:rPr>
                <w:rFonts w:hint="eastAsia" w:ascii="Times New Roman" w:hAnsi="Times New Roman" w:eastAsia="宋体" w:cs="Times New Roman"/>
                <w:b/>
                <w:bCs/>
                <w:color w:val="auto"/>
                <w:sz w:val="22"/>
                <w:szCs w:val="22"/>
                <w:lang w:val="en-US" w:eastAsia="zh-CN"/>
              </w:rPr>
              <w:t xml:space="preserve">  生态影响型评价工作等级划分表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159"/>
              <w:gridCol w:w="2070"/>
              <w:gridCol w:w="2109"/>
              <w:gridCol w:w="21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82" w:hRule="atLeast"/>
                <w:jc w:val="center"/>
              </w:trPr>
              <w:tc>
                <w:tcPr>
                  <w:tcW w:w="1275"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both"/>
                    <w:rPr>
                      <w:rFonts w:hint="default" w:ascii="Times New Roman" w:hAnsi="Times New Roman" w:eastAsia="宋体" w:cs="Times New Roman"/>
                      <w:color w:val="auto"/>
                      <w:kern w:val="2"/>
                      <w:sz w:val="21"/>
                      <w:szCs w:val="21"/>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360680</wp:posOffset>
                            </wp:positionH>
                            <wp:positionV relativeFrom="paragraph">
                              <wp:posOffset>23495</wp:posOffset>
                            </wp:positionV>
                            <wp:extent cx="848360" cy="1108075"/>
                            <wp:effectExtent l="3810" t="3175" r="5080" b="12700"/>
                            <wp:wrapNone/>
                            <wp:docPr id="6" name="直接连接符 6"/>
                            <wp:cNvGraphicFramePr/>
                            <a:graphic xmlns:a="http://schemas.openxmlformats.org/drawingml/2006/main">
                              <a:graphicData uri="http://schemas.microsoft.com/office/word/2010/wordprocessingShape">
                                <wps:wsp>
                                  <wps:cNvCnPr/>
                                  <wps:spPr>
                                    <a:xfrm>
                                      <a:off x="0" y="0"/>
                                      <a:ext cx="848360" cy="1108075"/>
                                    </a:xfrm>
                                    <a:prstGeom prst="line">
                                      <a:avLst/>
                                    </a:prstGeom>
                                    <a:ln w="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4pt;margin-top:1.85pt;height:87.25pt;width:66.8pt;z-index:251661312;mso-width-relative:page;mso-height-relative:page;" filled="f" stroked="t" coordsize="21600,21600" o:gfxdata="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24dEtUAAAAIAQAA&#10;DwAAAAAAAAABACAAAAAiAAAAZHJzL2Rvd25yZXYueG1sUEsBAhQAFAAAAAgAh07iQG1ddBzjAQAA&#10;swMAAA4AAAAAAAAAAQAgAAAAJAEAAGRycy9lMm9Eb2MueG1sUEsFBgAAAAAGAAYAWQEAAHkFAAAA&#10;AA==&#10;">
                            <v:fill on="f" focussize="0,0"/>
                            <v:stroke weight="0pt" color="#000000 [3213]" miterlimit="8" joinstyle="miter"/>
                            <v:imagedata o:title=""/>
                            <o:lock v:ext="edit" aspectratio="f"/>
                          </v:line>
                        </w:pict>
                      </mc:Fallback>
                    </mc:AlternateContent>
                  </w:r>
                  <w:r>
                    <w:rPr>
                      <w:rFonts w:hint="default" w:ascii="Times New Roman" w:hAnsi="Times New Roman" w:eastAsia="宋体" w:cs="Times New Roman"/>
                      <w:color w:val="auto"/>
                      <w:kern w:val="2"/>
                      <w:sz w:val="21"/>
                      <w:szCs w:val="21"/>
                      <w:lang w:val="en-US" w:eastAsia="zh-CN" w:bidi="ar"/>
                    </w:rPr>
                    <w:t xml:space="preserve">        </w:t>
                  </w:r>
                  <w:r>
                    <w:rPr>
                      <w:rFonts w:hint="eastAsia" w:ascii="宋体" w:hAnsi="宋体" w:eastAsia="宋体" w:cs="宋体"/>
                      <w:color w:val="auto"/>
                      <w:kern w:val="2"/>
                      <w:sz w:val="21"/>
                      <w:szCs w:val="21"/>
                      <w:lang w:val="en-US" w:eastAsia="zh-CN" w:bidi="ar"/>
                    </w:rPr>
                    <w:t>占地规模</w:t>
                  </w:r>
                </w:p>
                <w:p>
                  <w:pPr>
                    <w:keepNext w:val="0"/>
                    <w:keepLines w:val="0"/>
                    <w:widowControl w:val="0"/>
                    <w:suppressLineNumbers w:val="0"/>
                    <w:snapToGrid w:val="0"/>
                    <w:spacing w:before="0" w:beforeAutospacing="0" w:after="0" w:afterAutospacing="0" w:line="240" w:lineRule="atLeast"/>
                    <w:ind w:left="0" w:right="0"/>
                    <w:jc w:val="both"/>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评价工</w:t>
                  </w:r>
                </w:p>
                <w:p>
                  <w:pPr>
                    <w:keepNext w:val="0"/>
                    <w:keepLines w:val="0"/>
                    <w:widowControl w:val="0"/>
                    <w:suppressLineNumbers w:val="0"/>
                    <w:snapToGrid w:val="0"/>
                    <w:spacing w:before="0" w:beforeAutospacing="0" w:after="0" w:afterAutospacing="0" w:line="240" w:lineRule="atLeast"/>
                    <w:ind w:left="0" w:right="0"/>
                    <w:jc w:val="both"/>
                    <w:rPr>
                      <w:rFonts w:hint="eastAsia" w:ascii="宋体" w:hAnsi="宋体" w:eastAsia="宋体" w:cs="宋体"/>
                      <w:color w:val="auto"/>
                      <w:kern w:val="2"/>
                      <w:sz w:val="21"/>
                      <w:szCs w:val="21"/>
                      <w:lang w:val="en-US" w:eastAsia="zh-CN" w:bidi="ar"/>
                    </w:rPr>
                  </w:pP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-76835</wp:posOffset>
                            </wp:positionH>
                            <wp:positionV relativeFrom="paragraph">
                              <wp:posOffset>161925</wp:posOffset>
                            </wp:positionV>
                            <wp:extent cx="1297940" cy="641985"/>
                            <wp:effectExtent l="1905" t="4445" r="14605" b="20320"/>
                            <wp:wrapNone/>
                            <wp:docPr id="7" name="直接连接符 7"/>
                            <wp:cNvGraphicFramePr/>
                            <a:graphic xmlns:a="http://schemas.openxmlformats.org/drawingml/2006/main">
                              <a:graphicData uri="http://schemas.microsoft.com/office/word/2010/wordprocessingShape">
                                <wps:wsp>
                                  <wps:cNvCnPr/>
                                  <wps:spPr>
                                    <a:xfrm>
                                      <a:off x="1403985" y="1678305"/>
                                      <a:ext cx="1297940" cy="641985"/>
                                    </a:xfrm>
                                    <a:prstGeom prst="line">
                                      <a:avLst/>
                                    </a:prstGeom>
                                    <a:ln w="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05pt;margin-top:12.75pt;height:50.55pt;width:102.2pt;z-index:251660288;mso-width-relative:page;mso-height-relative:page;" filled="f" stroked="t" coordsize="21600,21600" o:gfxdata="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bG/x9cAAAAKAQAADwAAAAAAAAABACAAAAAiAAAAZHJzL2Rvd25yZXYueG1sUEsBAhQAFAAA&#10;AAgAh07iQFP6jAfwAQAAvwMAAA4AAAAAAAAAAQAgAAAAJgEAAGRycy9lMm9Eb2MueG1sUEsFBgAA&#10;AAAGAAYAWQEAAIgFAAAAAA==&#10;">
                            <v:fill on="f" focussize="0,0"/>
                            <v:stroke weight="0pt" color="#000000 [3213]" miterlimit="8" joinstyle="miter"/>
                            <v:imagedata o:title=""/>
                            <o:lock v:ext="edit" aspectratio="f"/>
                          </v:line>
                        </w:pict>
                      </mc:Fallback>
                    </mc:AlternateContent>
                  </w:r>
                  <w:r>
                    <w:rPr>
                      <w:rFonts w:hint="eastAsia" w:ascii="宋体" w:hAnsi="宋体" w:eastAsia="宋体" w:cs="宋体"/>
                      <w:color w:val="auto"/>
                      <w:kern w:val="2"/>
                      <w:sz w:val="21"/>
                      <w:szCs w:val="21"/>
                      <w:lang w:val="en-US" w:eastAsia="zh-CN" w:bidi="ar"/>
                    </w:rPr>
                    <w:t>作等级</w:t>
                  </w:r>
                </w:p>
                <w:p>
                  <w:pPr>
                    <w:keepNext w:val="0"/>
                    <w:keepLines w:val="0"/>
                    <w:widowControl w:val="0"/>
                    <w:suppressLineNumbers w:val="0"/>
                    <w:snapToGrid w:val="0"/>
                    <w:spacing w:before="0" w:beforeAutospacing="0" w:after="0" w:afterAutospacing="0" w:line="240" w:lineRule="atLeast"/>
                    <w:ind w:left="0" w:right="0"/>
                    <w:jc w:val="both"/>
                    <w:rPr>
                      <w:rFonts w:hint="eastAsia" w:ascii="宋体" w:hAnsi="宋体" w:eastAsia="宋体" w:cs="宋体"/>
                      <w:color w:val="auto"/>
                      <w:kern w:val="2"/>
                      <w:sz w:val="21"/>
                      <w:szCs w:val="21"/>
                      <w:lang w:val="en-US" w:eastAsia="zh-CN" w:bidi="ar"/>
                    </w:rPr>
                  </w:pPr>
                </w:p>
                <w:p>
                  <w:pPr>
                    <w:keepNext w:val="0"/>
                    <w:keepLines w:val="0"/>
                    <w:widowControl w:val="0"/>
                    <w:suppressLineNumbers w:val="0"/>
                    <w:snapToGrid w:val="0"/>
                    <w:spacing w:before="0" w:beforeAutospacing="0" w:after="0" w:afterAutospacing="0" w:line="240" w:lineRule="atLeast"/>
                    <w:ind w:left="0" w:right="0"/>
                    <w:jc w:val="both"/>
                    <w:rPr>
                      <w:rFonts w:hint="eastAsia" w:ascii="宋体" w:hAnsi="宋体" w:eastAsia="宋体" w:cs="宋体"/>
                      <w:color w:val="auto"/>
                      <w:kern w:val="2"/>
                      <w:sz w:val="21"/>
                      <w:szCs w:val="21"/>
                      <w:lang w:val="en-US" w:eastAsia="zh-CN" w:bidi="ar"/>
                    </w:rPr>
                  </w:pPr>
                </w:p>
                <w:p>
                  <w:pPr>
                    <w:keepNext w:val="0"/>
                    <w:keepLines w:val="0"/>
                    <w:widowControl w:val="0"/>
                    <w:suppressLineNumbers w:val="0"/>
                    <w:snapToGrid w:val="0"/>
                    <w:spacing w:before="0" w:beforeAutospacing="0" w:after="0" w:afterAutospacing="0" w:line="240" w:lineRule="atLeast"/>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敏感程度</w:t>
                  </w:r>
                </w:p>
              </w:tc>
              <w:tc>
                <w:tcPr>
                  <w:tcW w:w="1222"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I</w:t>
                  </w:r>
                  <w:r>
                    <w:rPr>
                      <w:rFonts w:hint="eastAsia" w:ascii="宋体" w:hAnsi="宋体" w:eastAsia="宋体" w:cs="宋体"/>
                      <w:color w:val="auto"/>
                      <w:kern w:val="2"/>
                      <w:sz w:val="21"/>
                      <w:szCs w:val="21"/>
                      <w:lang w:val="en-US" w:eastAsia="zh-CN" w:bidi="ar"/>
                    </w:rPr>
                    <w:t>类</w:t>
                  </w:r>
                </w:p>
              </w:tc>
              <w:tc>
                <w:tcPr>
                  <w:tcW w:w="1245"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cs="Times New Roman"/>
                      <w:color w:val="auto"/>
                      <w:kern w:val="2"/>
                      <w:sz w:val="21"/>
                      <w:szCs w:val="21"/>
                      <w:lang w:val="en-US" w:eastAsia="zh-CN" w:bidi="ar"/>
                    </w:rPr>
                    <w:t>Ⅱ类</w:t>
                  </w:r>
                </w:p>
              </w:tc>
              <w:tc>
                <w:tcPr>
                  <w:tcW w:w="1257"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III</w:t>
                  </w:r>
                  <w:r>
                    <w:rPr>
                      <w:rFonts w:hint="eastAsia" w:ascii="宋体" w:hAnsi="宋体" w:eastAsia="宋体" w:cs="宋体"/>
                      <w:color w:val="auto"/>
                      <w:kern w:val="2"/>
                      <w:sz w:val="21"/>
                      <w:szCs w:val="21"/>
                      <w:lang w:val="en-US" w:eastAsia="zh-CN" w:bidi="ar"/>
                    </w:rPr>
                    <w:t>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5"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敏感</w:t>
                  </w:r>
                </w:p>
              </w:tc>
              <w:tc>
                <w:tcPr>
                  <w:tcW w:w="1222"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一级</w:t>
                  </w:r>
                </w:p>
              </w:tc>
              <w:tc>
                <w:tcPr>
                  <w:tcW w:w="1245"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二级</w:t>
                  </w:r>
                </w:p>
              </w:tc>
              <w:tc>
                <w:tcPr>
                  <w:tcW w:w="1257"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三级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5"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较敏感</w:t>
                  </w:r>
                </w:p>
              </w:tc>
              <w:tc>
                <w:tcPr>
                  <w:tcW w:w="1222"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二级</w:t>
                  </w:r>
                </w:p>
              </w:tc>
              <w:tc>
                <w:tcPr>
                  <w:tcW w:w="1245"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二级</w:t>
                  </w:r>
                </w:p>
              </w:tc>
              <w:tc>
                <w:tcPr>
                  <w:tcW w:w="1257"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center"/>
                    <w:rPr>
                      <w:rFonts w:hint="eastAsia" w:ascii="Times New Roman" w:hAnsi="Times New Roman" w:eastAsia="宋体" w:cs="宋体"/>
                      <w:color w:val="auto"/>
                      <w:kern w:val="2"/>
                      <w:sz w:val="21"/>
                      <w:szCs w:val="21"/>
                    </w:rPr>
                  </w:pPr>
                  <w:r>
                    <w:rPr>
                      <w:rFonts w:hint="eastAsia" w:ascii="宋体" w:hAnsi="宋体" w:eastAsia="宋体" w:cs="宋体"/>
                      <w:color w:val="auto"/>
                      <w:kern w:val="2"/>
                      <w:sz w:val="21"/>
                      <w:szCs w:val="21"/>
                      <w:lang w:val="en-US" w:eastAsia="zh-CN" w:bidi="ar"/>
                    </w:rPr>
                    <w:t>三级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5"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不敏感</w:t>
                  </w:r>
                </w:p>
              </w:tc>
              <w:tc>
                <w:tcPr>
                  <w:tcW w:w="1222"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二级</w:t>
                  </w:r>
                </w:p>
              </w:tc>
              <w:tc>
                <w:tcPr>
                  <w:tcW w:w="1245"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三级</w:t>
                  </w:r>
                </w:p>
              </w:tc>
              <w:tc>
                <w:tcPr>
                  <w:tcW w:w="1257"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line="240" w:lineRule="atLeast"/>
                    <w:ind w:left="0" w:right="0"/>
                    <w:jc w:val="both"/>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注：</w:t>
                  </w:r>
                  <w:r>
                    <w:rPr>
                      <w:rFonts w:hint="default" w:ascii="Times New Roman" w:hAnsi="Times New Roman" w:eastAsia="宋体" w:cs="Times New Roman"/>
                      <w:color w:val="auto"/>
                      <w:kern w:val="2"/>
                      <w:sz w:val="21"/>
                      <w:szCs w:val="21"/>
                      <w:lang w:val="en-US" w:eastAsia="zh-CN" w:bidi="ar"/>
                    </w:rPr>
                    <w:t>“</w:t>
                  </w:r>
                  <w:r>
                    <w:rPr>
                      <w:rFonts w:hint="eastAsia"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表示可不开展土壤环境影响评价工作</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val="en-US" w:eastAsia="zh-CN" w:bidi="ar"/>
              </w:rPr>
              <w:t>按照上表生态影响型评价工作等级划分表，本项目属于“采矿业-其他”，土壤环境影响评价行业分类属于</w:t>
            </w:r>
            <w:r>
              <w:rPr>
                <w:rFonts w:hint="default" w:ascii="Times New Roman" w:hAnsi="Times New Roman" w:eastAsia="宋体" w:cs="Times New Roman"/>
                <w:color w:val="auto"/>
                <w:kern w:val="2"/>
                <w:sz w:val="24"/>
                <w:szCs w:val="24"/>
                <w:lang w:val="en-US" w:eastAsia="zh-CN" w:bidi="ar"/>
              </w:rPr>
              <w:t>III</w:t>
            </w:r>
            <w:r>
              <w:rPr>
                <w:rFonts w:hint="eastAsia" w:ascii="宋体" w:hAnsi="宋体" w:eastAsia="宋体" w:cs="宋体"/>
                <w:bCs/>
                <w:color w:val="auto"/>
                <w:kern w:val="0"/>
                <w:sz w:val="24"/>
                <w:szCs w:val="24"/>
                <w:lang w:val="en-US" w:eastAsia="zh-CN" w:bidi="ar"/>
              </w:rPr>
              <w:t>类</w:t>
            </w:r>
            <w:r>
              <w:rPr>
                <w:rFonts w:hint="eastAsia" w:ascii="宋体" w:hAnsi="宋体" w:cs="宋体"/>
                <w:bCs/>
                <w:color w:val="auto"/>
                <w:kern w:val="0"/>
                <w:sz w:val="24"/>
                <w:szCs w:val="24"/>
                <w:lang w:val="en-US" w:eastAsia="zh-CN" w:bidi="ar"/>
              </w:rPr>
              <w:t>-其他</w:t>
            </w:r>
            <w:r>
              <w:rPr>
                <w:rFonts w:hint="eastAsia" w:ascii="宋体" w:hAnsi="宋体" w:eastAsia="宋体" w:cs="宋体"/>
                <w:bCs/>
                <w:color w:val="auto"/>
                <w:kern w:val="0"/>
                <w:sz w:val="24"/>
                <w:szCs w:val="24"/>
                <w:lang w:val="en-US" w:eastAsia="zh-CN" w:bidi="ar"/>
              </w:rPr>
              <w:t>。生态影响型敏感程度为不敏感，生态影响型评价工作等级</w:t>
            </w:r>
            <w:r>
              <w:rPr>
                <w:rFonts w:hint="eastAsia" w:ascii="宋体" w:hAnsi="宋体" w:cs="宋体"/>
                <w:bCs/>
                <w:color w:val="auto"/>
                <w:kern w:val="0"/>
                <w:sz w:val="24"/>
                <w:szCs w:val="24"/>
                <w:lang w:val="en-US" w:eastAsia="zh-CN" w:bidi="ar"/>
              </w:rPr>
              <w:t>为</w:t>
            </w:r>
            <w:r>
              <w:rPr>
                <w:rFonts w:hint="default" w:ascii="Times New Roman" w:hAnsi="Times New Roman" w:eastAsia="宋体" w:cs="Times New Roman"/>
                <w:color w:val="auto"/>
                <w:kern w:val="2"/>
                <w:sz w:val="24"/>
                <w:szCs w:val="24"/>
                <w:lang w:val="en-US" w:eastAsia="zh-CN" w:bidi="ar"/>
              </w:rPr>
              <w:t>III</w:t>
            </w:r>
            <w:r>
              <w:rPr>
                <w:rFonts w:hint="eastAsia" w:ascii="宋体" w:hAnsi="宋体" w:eastAsia="宋体" w:cs="宋体"/>
                <w:bCs/>
                <w:color w:val="auto"/>
                <w:kern w:val="0"/>
                <w:sz w:val="24"/>
                <w:szCs w:val="24"/>
                <w:lang w:val="en-US" w:eastAsia="zh-CN" w:bidi="ar"/>
              </w:rPr>
              <w:t>类“-”，故</w:t>
            </w:r>
            <w:r>
              <w:rPr>
                <w:rFonts w:hint="eastAsia" w:ascii="宋体" w:hAnsi="宋体" w:cs="宋体"/>
                <w:bCs/>
                <w:color w:val="auto"/>
                <w:kern w:val="0"/>
                <w:sz w:val="24"/>
                <w:szCs w:val="24"/>
                <w:lang w:val="en-US" w:eastAsia="zh-CN" w:bidi="ar"/>
              </w:rPr>
              <w:t>本项目</w:t>
            </w:r>
            <w:r>
              <w:rPr>
                <w:rFonts w:hint="eastAsia" w:ascii="宋体" w:hAnsi="宋体" w:eastAsia="宋体" w:cs="宋体"/>
                <w:bCs/>
                <w:color w:val="auto"/>
                <w:kern w:val="0"/>
                <w:sz w:val="24"/>
                <w:szCs w:val="24"/>
                <w:lang w:val="en-US" w:eastAsia="zh-CN" w:bidi="ar"/>
              </w:rPr>
              <w:t>可不开展土壤环境影响评价工作。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项目已进行分区防渗处理，不存在土壤污染途径，项目周围无地下水及土壤保护目标，不涉及地下水及土壤环境污染途径，根据《建设项目环境影响报告表编制技术指南（污染影响类）（试行）》，因此不开展地下水及土壤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404" w:type="pct"/>
            <w:noWrap w:val="0"/>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bCs/>
                <w:color w:val="auto"/>
                <w:sz w:val="24"/>
                <w:szCs w:val="24"/>
              </w:rPr>
              <w:t>与项目有关的原有环境污染和生态破坏问题</w:t>
            </w:r>
          </w:p>
        </w:tc>
        <w:tc>
          <w:tcPr>
            <w:tcW w:w="459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Cs/>
                <w:color w:val="auto"/>
                <w:kern w:val="0"/>
                <w:sz w:val="24"/>
                <w:szCs w:val="24"/>
                <w:highlight w:val="none"/>
                <w:lang w:val="en-US" w:eastAsia="zh-CN" w:bidi="ar"/>
              </w:rPr>
            </w:pPr>
            <w:r>
              <w:rPr>
                <w:rFonts w:hint="default" w:ascii="Times New Roman" w:hAnsi="Times New Roman" w:cs="Times New Roman"/>
                <w:color w:val="auto"/>
                <w:sz w:val="24"/>
                <w:szCs w:val="24"/>
                <w:highlight w:val="none"/>
                <w:lang w:val="en-US" w:eastAsia="zh-CN"/>
              </w:rPr>
              <w:t>（1）</w:t>
            </w:r>
            <w:r>
              <w:rPr>
                <w:rFonts w:hint="default" w:ascii="Times New Roman" w:hAnsi="Times New Roman" w:eastAsia="宋体" w:cs="Times New Roman"/>
                <w:bCs/>
                <w:color w:val="auto"/>
                <w:kern w:val="0"/>
                <w:sz w:val="24"/>
                <w:szCs w:val="24"/>
                <w:highlight w:val="none"/>
                <w:lang w:val="en-US" w:eastAsia="zh-CN" w:bidi="ar"/>
              </w:rPr>
              <w:t>与项目有关的原有环境污染和生态破坏问题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kern w:val="0"/>
                <w:sz w:val="24"/>
                <w:szCs w:val="24"/>
                <w:highlight w:val="none"/>
                <w:lang w:val="en-US" w:eastAsia="zh-CN" w:bidi="ar"/>
              </w:rPr>
            </w:pPr>
            <w:r>
              <w:rPr>
                <w:rFonts w:hint="eastAsia" w:ascii="Times New Roman" w:hAnsi="Times New Roman" w:eastAsia="宋体" w:cs="Times New Roman"/>
                <w:bCs/>
                <w:color w:val="auto"/>
                <w:kern w:val="0"/>
                <w:sz w:val="24"/>
                <w:szCs w:val="24"/>
                <w:highlight w:val="none"/>
                <w:lang w:val="en-US" w:eastAsia="zh-CN" w:bidi="ar"/>
              </w:rPr>
              <w:t>和硕恒达石业有限公司于2024年7月30日通过招拍挂方式成功取得了新疆和硕县爱盖尔其西花岗岩矿的探矿权，用于新建矿山。经实地调查和深入了解，发现该矿区</w:t>
            </w:r>
            <w:r>
              <w:rPr>
                <w:rFonts w:hint="eastAsia" w:ascii="Times New Roman" w:hAnsi="Times New Roman" w:cs="Times New Roman"/>
                <w:bCs/>
                <w:color w:val="auto"/>
                <w:kern w:val="0"/>
                <w:sz w:val="24"/>
                <w:szCs w:val="24"/>
                <w:highlight w:val="none"/>
                <w:lang w:val="en-US" w:eastAsia="zh-CN" w:bidi="ar"/>
              </w:rPr>
              <w:t>此前已被开采，</w:t>
            </w:r>
            <w:r>
              <w:rPr>
                <w:rFonts w:hint="eastAsia" w:cs="Times New Roman"/>
                <w:bCs/>
                <w:color w:val="auto"/>
                <w:kern w:val="0"/>
                <w:sz w:val="24"/>
                <w:szCs w:val="24"/>
                <w:highlight w:val="none"/>
                <w:lang w:val="en-US" w:eastAsia="zh-CN" w:bidi="ar"/>
              </w:rPr>
              <w:t>采坑长度约600</w:t>
            </w:r>
            <w:r>
              <w:rPr>
                <w:rFonts w:hint="eastAsia" w:ascii="Times New Roman" w:hAnsi="Times New Roman" w:eastAsia="宋体" w:cs="Times New Roman"/>
                <w:bCs/>
                <w:color w:val="auto"/>
                <w:kern w:val="0"/>
                <w:sz w:val="24"/>
                <w:szCs w:val="24"/>
                <w:highlight w:val="none"/>
                <w:lang w:val="en-US" w:eastAsia="zh-CN" w:bidi="ar"/>
              </w:rPr>
              <w:t>米，宽</w:t>
            </w:r>
            <w:r>
              <w:rPr>
                <w:rFonts w:hint="eastAsia" w:cs="Times New Roman"/>
                <w:bCs/>
                <w:color w:val="auto"/>
                <w:kern w:val="0"/>
                <w:sz w:val="24"/>
                <w:szCs w:val="24"/>
                <w:highlight w:val="none"/>
                <w:lang w:val="en-US" w:eastAsia="zh-CN" w:bidi="ar"/>
              </w:rPr>
              <w:t>500米，现场除废石外无其他设施，堆放废石约900立方米，</w:t>
            </w:r>
            <w:r>
              <w:rPr>
                <w:rFonts w:hint="eastAsia" w:ascii="Times New Roman" w:hAnsi="Times New Roman" w:eastAsia="宋体" w:cs="Times New Roman"/>
                <w:bCs/>
                <w:color w:val="auto"/>
                <w:kern w:val="0"/>
                <w:sz w:val="24"/>
                <w:szCs w:val="24"/>
                <w:highlight w:val="none"/>
                <w:lang w:val="en-US" w:eastAsia="zh-CN" w:bidi="ar"/>
              </w:rPr>
              <w:t>最低开采标高已</w:t>
            </w:r>
            <w:r>
              <w:rPr>
                <w:rFonts w:hint="eastAsia" w:ascii="Times New Roman" w:hAnsi="Times New Roman" w:cs="Times New Roman"/>
                <w:bCs/>
                <w:color w:val="auto"/>
                <w:kern w:val="0"/>
                <w:sz w:val="24"/>
                <w:szCs w:val="24"/>
                <w:highlight w:val="none"/>
                <w:lang w:val="en-US" w:eastAsia="zh-CN" w:bidi="ar"/>
              </w:rPr>
              <w:t>达1225</w:t>
            </w:r>
            <w:r>
              <w:rPr>
                <w:rFonts w:hint="eastAsia" w:ascii="Times New Roman" w:hAnsi="Times New Roman" w:eastAsia="宋体" w:cs="Times New Roman"/>
                <w:bCs/>
                <w:color w:val="auto"/>
                <w:kern w:val="0"/>
                <w:sz w:val="24"/>
                <w:szCs w:val="24"/>
                <w:highlight w:val="none"/>
                <w:lang w:val="en-US" w:eastAsia="zh-CN" w:bidi="ar"/>
              </w:rPr>
              <w:t>米，目前</w:t>
            </w:r>
            <w:r>
              <w:rPr>
                <w:rFonts w:hint="eastAsia" w:cs="Times New Roman"/>
                <w:bCs/>
                <w:color w:val="auto"/>
                <w:kern w:val="0"/>
                <w:sz w:val="24"/>
                <w:szCs w:val="24"/>
                <w:highlight w:val="none"/>
                <w:lang w:val="en-US" w:eastAsia="zh-CN" w:bidi="ar"/>
              </w:rPr>
              <w:t>尚未</w:t>
            </w:r>
            <w:r>
              <w:rPr>
                <w:rFonts w:hint="eastAsia" w:ascii="Times New Roman" w:hAnsi="Times New Roman" w:eastAsia="宋体" w:cs="Times New Roman"/>
                <w:bCs/>
                <w:color w:val="auto"/>
                <w:kern w:val="0"/>
                <w:sz w:val="24"/>
                <w:szCs w:val="24"/>
                <w:highlight w:val="none"/>
                <w:lang w:val="en-US" w:eastAsia="zh-CN" w:bidi="ar"/>
              </w:rPr>
              <w:t>进行土地复垦工作，废石无序堆放。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Cs/>
                <w:color w:val="auto"/>
                <w:kern w:val="0"/>
                <w:sz w:val="24"/>
                <w:szCs w:val="24"/>
                <w:highlight w:val="none"/>
                <w:lang w:val="en-US" w:eastAsia="zh-CN" w:bidi="ar"/>
              </w:rPr>
            </w:pPr>
            <w:r>
              <w:rPr>
                <w:rFonts w:hint="default" w:ascii="Times New Roman" w:hAnsi="Times New Roman" w:eastAsia="宋体" w:cs="Times New Roman"/>
                <w:bCs/>
                <w:color w:val="auto"/>
                <w:kern w:val="0"/>
                <w:sz w:val="24"/>
                <w:szCs w:val="24"/>
                <w:highlight w:val="none"/>
                <w:lang w:val="en-US" w:eastAsia="zh-CN" w:bidi="ar"/>
              </w:rPr>
              <w:t>（2）整改措施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lang w:val="en-US" w:eastAsia="zh-CN"/>
              </w:rPr>
            </w:pPr>
            <w:r>
              <w:rPr>
                <w:rFonts w:hint="default" w:ascii="Times New Roman" w:hAnsi="Times New Roman" w:eastAsia="宋体" w:cs="Times New Roman"/>
                <w:bCs/>
                <w:color w:val="auto"/>
                <w:kern w:val="0"/>
                <w:sz w:val="24"/>
                <w:szCs w:val="24"/>
                <w:highlight w:val="none"/>
                <w:lang w:val="en-US" w:eastAsia="zh-CN" w:bidi="ar"/>
              </w:rPr>
              <w:t>项目建设期间</w:t>
            </w:r>
            <w:r>
              <w:rPr>
                <w:rFonts w:hint="eastAsia" w:cs="Times New Roman"/>
                <w:bCs/>
                <w:color w:val="auto"/>
                <w:kern w:val="0"/>
                <w:sz w:val="24"/>
                <w:szCs w:val="24"/>
                <w:highlight w:val="none"/>
                <w:lang w:val="en-US" w:eastAsia="zh-CN" w:bidi="ar"/>
              </w:rPr>
              <w:t>会</w:t>
            </w:r>
            <w:r>
              <w:rPr>
                <w:rFonts w:hint="default" w:ascii="Times New Roman" w:hAnsi="Times New Roman" w:eastAsia="宋体" w:cs="Times New Roman"/>
                <w:bCs/>
                <w:color w:val="auto"/>
                <w:kern w:val="0"/>
                <w:sz w:val="24"/>
                <w:szCs w:val="24"/>
                <w:highlight w:val="none"/>
                <w:lang w:val="en-US" w:eastAsia="zh-CN" w:bidi="ar"/>
              </w:rPr>
              <w:t>将废石</w:t>
            </w:r>
            <w:r>
              <w:rPr>
                <w:rFonts w:hint="eastAsia" w:cs="Times New Roman"/>
                <w:bCs/>
                <w:color w:val="auto"/>
                <w:kern w:val="0"/>
                <w:sz w:val="24"/>
                <w:szCs w:val="24"/>
                <w:highlight w:val="none"/>
                <w:lang w:val="en-US" w:eastAsia="zh-CN" w:bidi="ar"/>
              </w:rPr>
              <w:t>综合利用，不能综合利用的将规范堆置于排土场，根据开采进度回填采坑</w:t>
            </w:r>
            <w:r>
              <w:rPr>
                <w:rFonts w:hint="default" w:ascii="Times New Roman" w:hAnsi="Times New Roman" w:eastAsia="宋体" w:cs="Times New Roman"/>
                <w:bCs/>
                <w:color w:val="auto"/>
                <w:kern w:val="0"/>
                <w:sz w:val="24"/>
                <w:szCs w:val="24"/>
                <w:highlight w:val="none"/>
                <w:lang w:val="en-US" w:eastAsia="zh-CN" w:bidi="ar"/>
              </w:rPr>
              <w:t>，一同进行土地复垦工</w:t>
            </w:r>
            <w:r>
              <w:rPr>
                <w:rFonts w:hint="default" w:ascii="宋体" w:hAnsi="宋体" w:eastAsia="宋体" w:cs="宋体"/>
                <w:bCs/>
                <w:color w:val="auto"/>
                <w:kern w:val="0"/>
                <w:sz w:val="24"/>
                <w:szCs w:val="24"/>
                <w:highlight w:val="none"/>
                <w:lang w:val="en-US" w:eastAsia="zh-CN" w:bidi="ar"/>
              </w:rPr>
              <w:t>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pct"/>
            <w:noWrap w:val="0"/>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生态环境保护目标</w:t>
            </w:r>
          </w:p>
        </w:tc>
        <w:tc>
          <w:tcPr>
            <w:tcW w:w="4595" w:type="pct"/>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根据对项目区周边现场踏勘、资料收集，项目区不涉及自然保护区，风景名胜区、居住区、文化和农村地区中人群集中的区域等保护目标</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项目区厂界外50</w:t>
            </w:r>
            <w:r>
              <w:rPr>
                <w:rFonts w:hint="eastAsia" w:ascii="Times New Roman" w:hAnsi="Times New Roman" w:eastAsia="宋体" w:cs="Times New Roman"/>
                <w:b w:val="0"/>
                <w:bCs w:val="0"/>
                <w:color w:val="auto"/>
                <w:kern w:val="0"/>
                <w:sz w:val="24"/>
                <w:szCs w:val="24"/>
                <w:lang w:val="en-US" w:eastAsia="zh-CN" w:bidi="ar"/>
              </w:rPr>
              <w:t>m</w:t>
            </w:r>
            <w:r>
              <w:rPr>
                <w:rFonts w:hint="default" w:ascii="Times New Roman" w:hAnsi="Times New Roman" w:eastAsia="宋体" w:cs="Times New Roman"/>
                <w:b w:val="0"/>
                <w:bCs w:val="0"/>
                <w:color w:val="auto"/>
                <w:kern w:val="0"/>
                <w:sz w:val="24"/>
                <w:szCs w:val="24"/>
                <w:lang w:val="en-US" w:eastAsia="zh-CN" w:bidi="ar"/>
              </w:rPr>
              <w:t>范围内无声环境保护目标</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本项目不涉及地质公园，重要湿地，饮用水水源保护区等。环境保护目标主要为矿区范围内及矿界周边的生态环境，详见环境保护目标</w:t>
            </w:r>
            <w:r>
              <w:rPr>
                <w:rFonts w:hint="eastAsia" w:ascii="Times New Roman" w:hAnsi="Times New Roman" w:eastAsia="宋体" w:cs="Times New Roman"/>
                <w:b w:val="0"/>
                <w:bCs w:val="0"/>
                <w:color w:val="auto"/>
                <w:kern w:val="0"/>
                <w:sz w:val="24"/>
                <w:szCs w:val="24"/>
                <w:lang w:val="en-US" w:eastAsia="zh-CN" w:bidi="ar"/>
              </w:rPr>
              <w:t>详见下</w:t>
            </w:r>
            <w:r>
              <w:rPr>
                <w:rFonts w:hint="default" w:ascii="Times New Roman" w:hAnsi="Times New Roman" w:eastAsia="宋体" w:cs="Times New Roman"/>
                <w:b w:val="0"/>
                <w:bCs w:val="0"/>
                <w:color w:val="auto"/>
                <w:kern w:val="0"/>
                <w:sz w:val="24"/>
                <w:szCs w:val="24"/>
                <w:lang w:val="en-US" w:eastAsia="zh-CN" w:bidi="ar"/>
              </w:rPr>
              <w:t>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sz w:val="22"/>
                <w:szCs w:val="22"/>
                <w:lang w:val="en-US" w:eastAsia="zh-CN"/>
              </w:rPr>
            </w:pPr>
            <w:r>
              <w:rPr>
                <w:rFonts w:hint="eastAsia" w:ascii="Times New Roman" w:hAnsi="Times New Roman" w:eastAsia="宋体" w:cs="Times New Roman"/>
                <w:b/>
                <w:bCs/>
                <w:sz w:val="22"/>
                <w:szCs w:val="22"/>
                <w:lang w:val="en-US" w:eastAsia="zh-CN"/>
              </w:rPr>
              <w:t>表3-10  主要环境保护目标</w:t>
            </w:r>
          </w:p>
          <w:tbl>
            <w:tblPr>
              <w:tblStyle w:val="24"/>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196"/>
              <w:gridCol w:w="1411"/>
              <w:gridCol w:w="1235"/>
              <w:gridCol w:w="1263"/>
              <w:gridCol w:w="24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706" w:type="pc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环境要素</w:t>
                  </w:r>
                </w:p>
              </w:tc>
              <w:tc>
                <w:tcPr>
                  <w:tcW w:w="833" w:type="pc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保护对象</w:t>
                  </w:r>
                </w:p>
              </w:tc>
              <w:tc>
                <w:tcPr>
                  <w:tcW w:w="729" w:type="pc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方位</w:t>
                  </w:r>
                </w:p>
              </w:tc>
              <w:tc>
                <w:tcPr>
                  <w:tcW w:w="744" w:type="pc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范围</w:t>
                  </w:r>
                </w:p>
              </w:tc>
              <w:tc>
                <w:tcPr>
                  <w:tcW w:w="1466" w:type="pc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功能区域标准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706" w:type="pc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生态环境</w:t>
                  </w:r>
                </w:p>
              </w:tc>
              <w:tc>
                <w:tcPr>
                  <w:tcW w:w="2307" w:type="pct"/>
                  <w:gridSpan w:val="3"/>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矿区范围内及矿界周边土地资源、生物多样性、植被、野生动物、景观格局等</w:t>
                  </w:r>
                </w:p>
              </w:tc>
              <w:tc>
                <w:tcPr>
                  <w:tcW w:w="1466" w:type="pc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生态环境保护</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故环境保护目标确定为保护项目所在区域的大气、水及声环境，不因该项目的建设受到大的影响。本次评价确定主要污染控制目标为</w:t>
            </w:r>
            <w:r>
              <w:rPr>
                <w:rFonts w:hint="eastAsia" w:cs="Times New Roman"/>
                <w:b w:val="0"/>
                <w:bCs w:val="0"/>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1</w:t>
            </w:r>
            <w:r>
              <w:rPr>
                <w:rFonts w:hint="eastAsia" w:ascii="Times New Roman" w:hAnsi="Times New Roman" w:eastAsia="宋体" w:cs="Times New Roman"/>
                <w:b w:val="0"/>
                <w:bCs w:val="0"/>
                <w:color w:val="auto"/>
                <w:kern w:val="0"/>
                <w:sz w:val="24"/>
                <w:szCs w:val="24"/>
                <w:lang w:val="en-US" w:eastAsia="zh-CN" w:bidi="ar"/>
              </w:rPr>
              <w:t>）空气环境：保护项目区所在地区域环境空气质量，保持在现有水平；不因该项目的建设而降低空气质量级别；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（2）声环境：运营期噪声控制在《声环境质量标准》（</w:t>
            </w:r>
            <w:r>
              <w:rPr>
                <w:rFonts w:hint="default" w:ascii="Times New Roman" w:hAnsi="Times New Roman" w:eastAsia="宋体" w:cs="Times New Roman"/>
                <w:b w:val="0"/>
                <w:bCs w:val="0"/>
                <w:color w:val="auto"/>
                <w:kern w:val="0"/>
                <w:sz w:val="24"/>
                <w:szCs w:val="24"/>
                <w:lang w:val="en-US" w:eastAsia="zh-CN" w:bidi="ar"/>
              </w:rPr>
              <w:t>GB3096-2008</w:t>
            </w:r>
            <w:r>
              <w:rPr>
                <w:rFonts w:hint="eastAsia" w:ascii="Times New Roman" w:hAnsi="Times New Roman" w:eastAsia="宋体" w:cs="Times New Roman"/>
                <w:b w:val="0"/>
                <w:bCs w:val="0"/>
                <w:color w:val="auto"/>
                <w:kern w:val="0"/>
                <w:sz w:val="24"/>
                <w:szCs w:val="24"/>
                <w:lang w:val="en-US" w:eastAsia="zh-CN" w:bidi="ar"/>
              </w:rPr>
              <w:t>）中2类标准内，不降低厂界周围声环境质量，厂界外声环境质量基本不受项目生产影响；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（3）固体废物：本项目产生的固体废物应做到合理有效地处置，确保区域环境卫生不受影响；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b w:val="0"/>
                <w:bCs w:val="0"/>
                <w:color w:val="auto"/>
                <w:kern w:val="0"/>
                <w:sz w:val="24"/>
                <w:szCs w:val="24"/>
                <w:lang w:val="en-US" w:eastAsia="zh-CN" w:bidi="ar"/>
              </w:rPr>
              <w:t>（4）景观、生态环境：新建工程建筑景观符合与其功能区划相适应的景观、环境美学要求。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04" w:type="pct"/>
            <w:noWrap w:val="0"/>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评价标准</w:t>
            </w:r>
          </w:p>
        </w:tc>
        <w:tc>
          <w:tcPr>
            <w:tcW w:w="4595" w:type="pct"/>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1</w:t>
            </w:r>
            <w:r>
              <w:rPr>
                <w:rFonts w:hint="eastAsia" w:ascii="Times New Roman" w:hAnsi="Times New Roman" w:eastAsia="宋体" w:cs="Times New Roman"/>
                <w:b w:val="0"/>
                <w:bCs w:val="0"/>
                <w:color w:val="auto"/>
                <w:kern w:val="0"/>
                <w:sz w:val="24"/>
                <w:szCs w:val="24"/>
                <w:lang w:val="en-US" w:eastAsia="zh-CN" w:bidi="ar"/>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施工期：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施工期大气污染物主要为颗粒物，执行《大气污染物综合排放标准》（</w:t>
            </w:r>
            <w:r>
              <w:rPr>
                <w:rFonts w:hint="default" w:ascii="Times New Roman" w:hAnsi="Times New Roman" w:eastAsia="宋体" w:cs="Times New Roman"/>
                <w:b w:val="0"/>
                <w:bCs w:val="0"/>
                <w:color w:val="auto"/>
                <w:kern w:val="0"/>
                <w:sz w:val="24"/>
                <w:szCs w:val="24"/>
                <w:lang w:val="en-US" w:eastAsia="zh-CN" w:bidi="ar"/>
              </w:rPr>
              <w:t>GB16297-1996</w:t>
            </w:r>
            <w:r>
              <w:rPr>
                <w:rFonts w:hint="eastAsia" w:ascii="Times New Roman" w:hAnsi="Times New Roman" w:eastAsia="宋体" w:cs="Times New Roman"/>
                <w:b w:val="0"/>
                <w:bCs w:val="0"/>
                <w:color w:val="auto"/>
                <w:kern w:val="0"/>
                <w:sz w:val="24"/>
                <w:szCs w:val="24"/>
                <w:lang w:val="en-US" w:eastAsia="zh-CN" w:bidi="ar"/>
              </w:rPr>
              <w:t>）表2中颗粒物无组织排放浓度限值要求；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运营期：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运营期</w:t>
            </w:r>
            <w:r>
              <w:rPr>
                <w:rFonts w:hint="default" w:ascii="Times New Roman" w:hAnsi="Times New Roman" w:eastAsia="宋体" w:cs="Times New Roman"/>
                <w:b w:val="0"/>
                <w:bCs w:val="0"/>
                <w:color w:val="auto"/>
                <w:kern w:val="0"/>
                <w:sz w:val="24"/>
                <w:szCs w:val="24"/>
                <w:lang w:val="en-US" w:eastAsia="zh-CN" w:bidi="ar"/>
              </w:rPr>
              <w:t>废气污染物主要为颗粒物，废气排放浓度执行《大气污染物综合排放标准》（GB16297-1996）中</w:t>
            </w:r>
            <w:r>
              <w:rPr>
                <w:rFonts w:hint="eastAsia" w:ascii="Times New Roman" w:hAnsi="Times New Roman" w:eastAsia="宋体" w:cs="Times New Roman"/>
                <w:b w:val="0"/>
                <w:bCs w:val="0"/>
                <w:color w:val="auto"/>
                <w:kern w:val="0"/>
                <w:sz w:val="24"/>
                <w:szCs w:val="24"/>
                <w:lang w:val="en-US" w:eastAsia="zh-CN" w:bidi="ar"/>
              </w:rPr>
              <w:t>颗粒物的排放浓度限值要求。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lang w:val="en-US" w:eastAsia="zh-CN"/>
              </w:rPr>
            </w:pPr>
            <w:r>
              <w:rPr>
                <w:rFonts w:hint="eastAsia" w:ascii="Times New Roman" w:hAnsi="Times New Roman" w:eastAsia="宋体" w:cs="Times New Roman"/>
                <w:b/>
                <w:bCs/>
                <w:sz w:val="22"/>
                <w:szCs w:val="22"/>
                <w:lang w:val="en-US" w:eastAsia="zh-CN"/>
              </w:rPr>
              <w:t>表3-11     大气污染执行标准</w:t>
            </w:r>
          </w:p>
          <w:tbl>
            <w:tblPr>
              <w:tblStyle w:val="24"/>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784"/>
              <w:gridCol w:w="877"/>
              <w:gridCol w:w="923"/>
              <w:gridCol w:w="1195"/>
              <w:gridCol w:w="1466"/>
              <w:gridCol w:w="19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Pr>
              <w:tc>
                <w:tcPr>
                  <w:tcW w:w="1135"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产生源</w:t>
                  </w:r>
                </w:p>
              </w:tc>
              <w:tc>
                <w:tcPr>
                  <w:tcW w:w="784"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排放方式</w:t>
                  </w:r>
                </w:p>
              </w:tc>
              <w:tc>
                <w:tcPr>
                  <w:tcW w:w="877"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cs="Times New Roman"/>
                      <w:bCs/>
                      <w:szCs w:val="21"/>
                      <w:lang w:val="en-US" w:eastAsia="zh-CN"/>
                    </w:rPr>
                    <w:t>排气筒高度</w:t>
                  </w:r>
                </w:p>
              </w:tc>
              <w:tc>
                <w:tcPr>
                  <w:tcW w:w="923"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污染物项目</w:t>
                  </w:r>
                </w:p>
              </w:tc>
              <w:tc>
                <w:tcPr>
                  <w:tcW w:w="1096"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排放限值（mg/m</w:t>
                  </w:r>
                  <w:r>
                    <w:rPr>
                      <w:rFonts w:hint="eastAsia" w:ascii="Times New Roman" w:hAnsi="Times New Roman" w:eastAsia="宋体" w:cs="Times New Roman"/>
                      <w:bCs/>
                      <w:szCs w:val="21"/>
                      <w:vertAlign w:val="superscript"/>
                      <w:lang w:val="en-US" w:eastAsia="zh-CN"/>
                    </w:rPr>
                    <w:t>3</w:t>
                  </w:r>
                  <w:r>
                    <w:rPr>
                      <w:rFonts w:hint="eastAsia" w:ascii="Times New Roman" w:hAnsi="Times New Roman" w:eastAsia="宋体" w:cs="Times New Roman"/>
                      <w:bCs/>
                      <w:szCs w:val="21"/>
                      <w:lang w:val="en-US" w:eastAsia="zh-CN"/>
                    </w:rPr>
                    <w:t>）</w:t>
                  </w:r>
                </w:p>
              </w:tc>
              <w:tc>
                <w:tcPr>
                  <w:tcW w:w="1466"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最高允许排放速率（kg/h）</w:t>
                  </w:r>
                </w:p>
              </w:tc>
              <w:tc>
                <w:tcPr>
                  <w:tcW w:w="1558"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1135"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厂界</w:t>
                  </w:r>
                </w:p>
              </w:tc>
              <w:tc>
                <w:tcPr>
                  <w:tcW w:w="784"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无组织</w:t>
                  </w:r>
                </w:p>
              </w:tc>
              <w:tc>
                <w:tcPr>
                  <w:tcW w:w="877"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ascii="Times New Roman" w:hAnsi="Times New Roman" w:cs="Times New Roman"/>
                      <w:bCs/>
                      <w:szCs w:val="21"/>
                      <w:lang w:val="en-US" w:eastAsia="zh-CN"/>
                    </w:rPr>
                  </w:pPr>
                  <w:r>
                    <w:rPr>
                      <w:rFonts w:hint="eastAsia" w:cs="Times New Roman"/>
                      <w:bCs/>
                      <w:szCs w:val="21"/>
                      <w:lang w:val="en-US" w:eastAsia="zh-CN"/>
                    </w:rPr>
                    <w:t>/</w:t>
                  </w:r>
                </w:p>
              </w:tc>
              <w:tc>
                <w:tcPr>
                  <w:tcW w:w="923"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szCs w:val="21"/>
                      <w:lang w:val="en-US" w:eastAsia="zh-CN"/>
                    </w:rPr>
                  </w:pPr>
                  <w:r>
                    <w:rPr>
                      <w:rFonts w:hint="eastAsia" w:ascii="Times New Roman" w:hAnsi="Times New Roman" w:cs="Times New Roman"/>
                      <w:bCs/>
                      <w:szCs w:val="21"/>
                      <w:lang w:val="en-US" w:eastAsia="zh-CN"/>
                    </w:rPr>
                    <w:t>颗粒物</w:t>
                  </w:r>
                </w:p>
              </w:tc>
              <w:tc>
                <w:tcPr>
                  <w:tcW w:w="1096"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eastAsia" w:ascii="Times New Roman" w:hAnsi="Times New Roman" w:cs="Times New Roman"/>
                      <w:bCs/>
                      <w:szCs w:val="21"/>
                      <w:lang w:val="en-US" w:eastAsia="zh-CN"/>
                    </w:rPr>
                  </w:pPr>
                  <w:r>
                    <w:rPr>
                      <w:rFonts w:hint="eastAsia" w:ascii="Times New Roman" w:hAnsi="Times New Roman" w:cs="Times New Roman"/>
                      <w:bCs/>
                      <w:szCs w:val="21"/>
                      <w:lang w:val="en-US" w:eastAsia="zh-CN"/>
                    </w:rPr>
                    <w:t>1.0</w:t>
                  </w:r>
                </w:p>
              </w:tc>
              <w:tc>
                <w:tcPr>
                  <w:tcW w:w="1466"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w:t>
                  </w:r>
                </w:p>
              </w:tc>
              <w:tc>
                <w:tcPr>
                  <w:tcW w:w="1558" w:type="dxa"/>
                  <w:vMerge w:val="restart"/>
                  <w:tcBorders>
                    <w:tl2br w:val="nil"/>
                    <w:tr2bl w:val="nil"/>
                  </w:tcBorders>
                  <w:noWrap w:val="0"/>
                  <w:vAlign w:val="center"/>
                </w:tcPr>
                <w:p>
                  <w:pPr>
                    <w:keepLines w:val="0"/>
                    <w:pageBreakBefore w:val="0"/>
                    <w:kinsoku/>
                    <w:topLinePunct w:val="0"/>
                    <w:bidi w:val="0"/>
                    <w:adjustRightInd w:val="0"/>
                    <w:snapToGrid w:val="0"/>
                    <w:jc w:val="center"/>
                    <w:textAlignment w:val="auto"/>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《大气污染物综合排放标准》（GB16297-1996）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8" w:hRule="atLeast"/>
              </w:trPr>
              <w:tc>
                <w:tcPr>
                  <w:tcW w:w="1135"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lang w:val="en-US" w:eastAsia="zh-CN"/>
                    </w:rPr>
                  </w:pPr>
                  <w:r>
                    <w:rPr>
                      <w:rFonts w:hint="eastAsia" w:ascii="Times New Roman" w:hAnsi="Times New Roman" w:cs="Times New Roman"/>
                      <w:bCs/>
                      <w:szCs w:val="21"/>
                      <w:lang w:val="en-US" w:eastAsia="zh-CN"/>
                    </w:rPr>
                    <w:t>工业场地喷砂废气</w:t>
                  </w:r>
                </w:p>
              </w:tc>
              <w:tc>
                <w:tcPr>
                  <w:tcW w:w="784"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lang w:val="en-US" w:eastAsia="zh-CN"/>
                    </w:rPr>
                  </w:pPr>
                  <w:r>
                    <w:rPr>
                      <w:rFonts w:hint="eastAsia" w:ascii="Times New Roman" w:hAnsi="Times New Roman" w:cs="Times New Roman"/>
                      <w:bCs/>
                      <w:szCs w:val="21"/>
                      <w:lang w:val="en-US" w:eastAsia="zh-CN"/>
                    </w:rPr>
                    <w:t>有组织</w:t>
                  </w:r>
                </w:p>
              </w:tc>
              <w:tc>
                <w:tcPr>
                  <w:tcW w:w="877"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lang w:val="en-US" w:eastAsia="zh-CN"/>
                    </w:rPr>
                  </w:pPr>
                  <w:r>
                    <w:rPr>
                      <w:rFonts w:hint="eastAsia" w:cs="Times New Roman"/>
                      <w:bCs/>
                      <w:szCs w:val="21"/>
                      <w:lang w:val="en-US" w:eastAsia="zh-CN"/>
                    </w:rPr>
                    <w:t>15m</w:t>
                  </w:r>
                </w:p>
              </w:tc>
              <w:tc>
                <w:tcPr>
                  <w:tcW w:w="923"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lang w:val="en-US" w:eastAsia="zh-CN"/>
                    </w:rPr>
                  </w:pPr>
                  <w:r>
                    <w:rPr>
                      <w:rFonts w:hint="eastAsia" w:ascii="Times New Roman" w:hAnsi="Times New Roman" w:cs="Times New Roman"/>
                      <w:bCs/>
                      <w:szCs w:val="21"/>
                      <w:lang w:val="en-US" w:eastAsia="zh-CN"/>
                    </w:rPr>
                    <w:t>颗粒物</w:t>
                  </w:r>
                </w:p>
              </w:tc>
              <w:tc>
                <w:tcPr>
                  <w:tcW w:w="1096"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eastAsia" w:ascii="Times New Roman" w:hAnsi="Times New Roman" w:cs="Times New Roman"/>
                      <w:bCs/>
                      <w:szCs w:val="21"/>
                      <w:lang w:val="en-US" w:eastAsia="zh-CN"/>
                    </w:rPr>
                  </w:pPr>
                  <w:r>
                    <w:rPr>
                      <w:rFonts w:hint="eastAsia" w:ascii="Times New Roman" w:hAnsi="Times New Roman" w:cs="Times New Roman"/>
                      <w:bCs/>
                      <w:szCs w:val="21"/>
                      <w:lang w:val="en-US" w:eastAsia="zh-CN"/>
                    </w:rPr>
                    <w:t>120</w:t>
                  </w:r>
                </w:p>
              </w:tc>
              <w:tc>
                <w:tcPr>
                  <w:tcW w:w="1466" w:type="dxa"/>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color w:val="auto"/>
                      <w:lang w:val="en-US" w:eastAsia="zh-CN"/>
                    </w:rPr>
                  </w:pPr>
                  <w:r>
                    <w:rPr>
                      <w:rFonts w:hint="eastAsia"/>
                      <w:color w:val="auto"/>
                      <w:lang w:val="en-US" w:eastAsia="zh-CN"/>
                    </w:rPr>
                    <w:t>3.5</w:t>
                  </w:r>
                </w:p>
              </w:tc>
              <w:tc>
                <w:tcPr>
                  <w:tcW w:w="1558" w:type="dxa"/>
                  <w:vMerge w:val="continue"/>
                  <w:tcBorders>
                    <w:tl2br w:val="nil"/>
                    <w:tr2bl w:val="nil"/>
                  </w:tcBorders>
                  <w:noWrap w:val="0"/>
                  <w:vAlign w:val="center"/>
                </w:tcPr>
                <w:p>
                  <w:pPr>
                    <w:keepLines w:val="0"/>
                    <w:pageBreakBefore w:val="0"/>
                    <w:kinsoku/>
                    <w:topLinePunct w:val="0"/>
                    <w:bidi w:val="0"/>
                    <w:adjustRightInd w:val="0"/>
                    <w:snapToGrid w:val="0"/>
                    <w:jc w:val="center"/>
                    <w:textAlignment w:val="auto"/>
                    <w:rPr>
                      <w:rFonts w:hint="default"/>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职工厨房烹饪产生的油烟执行《饮食行业油烟排放标准（试行）》（GB18483-2001）中的有关规定，即最高允许排放浓度为2.0mg/m</w:t>
            </w:r>
            <w:r>
              <w:rPr>
                <w:rFonts w:hint="default" w:ascii="Times New Roman" w:hAnsi="Times New Roman" w:eastAsia="宋体" w:cs="Times New Roman"/>
                <w:color w:val="auto"/>
                <w:sz w:val="24"/>
                <w:vertAlign w:val="superscript"/>
                <w:lang w:eastAsia="zh-CN"/>
              </w:rPr>
              <w:t>3</w:t>
            </w:r>
            <w:r>
              <w:rPr>
                <w:rFonts w:hint="default" w:ascii="Times New Roman" w:hAnsi="Times New Roman" w:eastAsia="宋体" w:cs="Times New Roman"/>
                <w:color w:val="auto"/>
                <w:sz w:val="24"/>
                <w:lang w:eastAsia="zh-CN"/>
              </w:rPr>
              <w:t>。标准值见表3-</w:t>
            </w:r>
            <w:r>
              <w:rPr>
                <w:rFonts w:hint="default" w:ascii="Times New Roman" w:hAnsi="Times New Roman" w:eastAsia="宋体" w:cs="Times New Roman"/>
                <w:color w:val="auto"/>
                <w:sz w:val="24"/>
                <w:lang w:val="en-US" w:eastAsia="zh-CN"/>
              </w:rPr>
              <w:t>1</w:t>
            </w:r>
            <w:r>
              <w:rPr>
                <w:rFonts w:hint="eastAsia" w:cs="Times New Roman"/>
                <w:color w:val="auto"/>
                <w:sz w:val="24"/>
                <w:lang w:val="en-US" w:eastAsia="zh-CN"/>
              </w:rPr>
              <w:t>2</w:t>
            </w:r>
            <w:r>
              <w:rPr>
                <w:rFonts w:hint="default"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表3-</w:t>
            </w:r>
            <w:r>
              <w:rPr>
                <w:rFonts w:hint="eastAsia" w:cs="Times New Roman"/>
                <w:b/>
                <w:bCs/>
                <w:color w:val="auto"/>
                <w:sz w:val="21"/>
                <w:szCs w:val="21"/>
                <w:lang w:val="en-US" w:eastAsia="zh-CN"/>
              </w:rPr>
              <w:t>12</w:t>
            </w:r>
            <w:r>
              <w:rPr>
                <w:rFonts w:hint="default" w:ascii="Times New Roman" w:hAnsi="Times New Roman" w:eastAsia="宋体" w:cs="Times New Roman"/>
                <w:b/>
                <w:bCs/>
                <w:color w:val="auto"/>
                <w:sz w:val="21"/>
                <w:szCs w:val="21"/>
                <w:lang w:eastAsia="zh-CN"/>
              </w:rPr>
              <w:t xml:space="preserve">    饮食业油烟排放标准</w:t>
            </w:r>
          </w:p>
          <w:tbl>
            <w:tblPr>
              <w:tblStyle w:val="2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19"/>
              <w:gridCol w:w="1542"/>
              <w:gridCol w:w="1735"/>
              <w:gridCol w:w="147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21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规模</w:t>
                  </w:r>
                </w:p>
              </w:tc>
              <w:tc>
                <w:tcPr>
                  <w:tcW w:w="9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小型</w:t>
                  </w:r>
                </w:p>
              </w:tc>
              <w:tc>
                <w:tcPr>
                  <w:tcW w:w="10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中型</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最高允许排放浓度（mg/m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10" w:type="pct"/>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21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净化设施最低去除效率（%）</w:t>
                  </w:r>
                </w:p>
              </w:tc>
              <w:tc>
                <w:tcPr>
                  <w:tcW w:w="9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0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r>
          </w:tbl>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contextualSpacing/>
              <w:jc w:val="left"/>
              <w:textAlignment w:val="auto"/>
              <w:rPr>
                <w:rFonts w:hint="eastAsia"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color w:val="auto"/>
                <w:sz w:val="24"/>
                <w:lang w:eastAsia="zh-CN"/>
              </w:rPr>
              <w:t>施工机械尾气排放浓度须满足《非道路移动机械用柴油机排气污染物排放限值及测量方法（中国第三、四阶段）》（GB20891-2014）修改单及《非道路柴油移动机械排气烟度限值及测量方法》）（GB36886-2018）限值要求。</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contextualSpacing/>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（2）废水</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contextualSpacing/>
              <w:jc w:val="left"/>
              <w:textAlignment w:val="auto"/>
              <w:rPr>
                <w:rFonts w:hint="default" w:eastAsia="宋体"/>
                <w:sz w:val="24"/>
                <w:lang w:val="en-US" w:eastAsia="zh-CN"/>
              </w:rPr>
            </w:pPr>
            <w:r>
              <w:rPr>
                <w:rFonts w:hint="eastAsia"/>
                <w:color w:val="000000"/>
                <w:kern w:val="0"/>
                <w:sz w:val="24"/>
              </w:rPr>
              <w:t>职工生活产生的生活污水经处理</w:t>
            </w:r>
            <w:r>
              <w:rPr>
                <w:rFonts w:hint="eastAsia" w:cs="Times New Roman"/>
                <w:color w:val="auto"/>
                <w:sz w:val="24"/>
                <w:szCs w:val="32"/>
                <w:highlight w:val="none"/>
                <w:lang w:val="en-US" w:eastAsia="zh-CN"/>
              </w:rPr>
              <w:t>满足《农村生活污水处理排放标准》（DB654575-2019）C级标准（COD</w:t>
            </w:r>
            <w:r>
              <w:rPr>
                <w:rFonts w:hint="eastAsia" w:cs="Times New Roman"/>
                <w:color w:val="auto"/>
                <w:sz w:val="24"/>
                <w:szCs w:val="32"/>
                <w:highlight w:val="none"/>
                <w:vertAlign w:val="subscript"/>
                <w:lang w:val="en-US" w:eastAsia="zh-CN"/>
              </w:rPr>
              <w:t>Cr</w:t>
            </w:r>
            <w:r>
              <w:rPr>
                <w:rFonts w:hint="eastAsia" w:cs="Times New Roman"/>
                <w:color w:val="auto"/>
                <w:sz w:val="24"/>
                <w:szCs w:val="32"/>
                <w:highlight w:val="none"/>
                <w:lang w:val="en-US" w:eastAsia="zh-CN"/>
              </w:rPr>
              <w:t>：200mg/L、SS：100mg/L），用于项目区周边荒漠生态恢复的灌溉。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（3）噪声</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contextualSpacing/>
              <w:textAlignment w:val="auto"/>
              <w:rPr>
                <w:sz w:val="24"/>
              </w:rPr>
            </w:pPr>
            <w:r>
              <w:rPr>
                <w:sz w:val="24"/>
              </w:rPr>
              <w:t>运营期项目区厂界噪声执行</w:t>
            </w:r>
            <w:bookmarkStart w:id="5" w:name="OLE_LINK4"/>
            <w:r>
              <w:rPr>
                <w:sz w:val="24"/>
              </w:rPr>
              <w:t>《工业企业厂界环境噪声排放标准》（GB12348-2008）</w:t>
            </w:r>
            <w:bookmarkEnd w:id="5"/>
            <w:r>
              <w:rPr>
                <w:sz w:val="24"/>
              </w:rPr>
              <w:t>中</w:t>
            </w:r>
            <w:r>
              <w:rPr>
                <w:rFonts w:hint="eastAsia"/>
                <w:sz w:val="24"/>
                <w:lang w:val="en-US" w:eastAsia="zh-CN"/>
              </w:rPr>
              <w:t>2</w:t>
            </w:r>
            <w:r>
              <w:rPr>
                <w:rFonts w:hint="eastAsia"/>
                <w:sz w:val="24"/>
              </w:rPr>
              <w:t>类</w:t>
            </w:r>
            <w:r>
              <w:rPr>
                <w:sz w:val="24"/>
              </w:rPr>
              <w:t>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sz w:val="22"/>
                <w:szCs w:val="22"/>
                <w:lang w:val="en-US" w:eastAsia="zh-CN"/>
              </w:rPr>
            </w:pPr>
            <w:r>
              <w:rPr>
                <w:rFonts w:hint="eastAsia" w:ascii="Times New Roman" w:hAnsi="Times New Roman" w:eastAsia="宋体" w:cs="Times New Roman"/>
                <w:b/>
                <w:bCs/>
                <w:sz w:val="22"/>
                <w:szCs w:val="22"/>
                <w:lang w:val="en-US" w:eastAsia="zh-CN"/>
              </w:rPr>
              <w:t>表3-1</w:t>
            </w:r>
            <w:r>
              <w:rPr>
                <w:rFonts w:hint="eastAsia" w:cs="Times New Roman"/>
                <w:b/>
                <w:bCs/>
                <w:sz w:val="22"/>
                <w:szCs w:val="22"/>
                <w:lang w:val="en-US" w:eastAsia="zh-CN"/>
              </w:rPr>
              <w:t>3</w:t>
            </w:r>
            <w:r>
              <w:rPr>
                <w:rFonts w:hint="eastAsia" w:ascii="Times New Roman" w:hAnsi="Times New Roman" w:eastAsia="宋体" w:cs="Times New Roman"/>
                <w:b/>
                <w:bCs/>
                <w:sz w:val="22"/>
                <w:szCs w:val="22"/>
                <w:lang w:val="en-US" w:eastAsia="zh-CN"/>
              </w:rPr>
              <w:t xml:space="preserve">    工业企业厂界环境噪声排放标准</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16"/>
              <w:gridCol w:w="2119"/>
              <w:gridCol w:w="2117"/>
              <w:gridCol w:w="21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249" w:type="pct"/>
                  <w:tcBorders>
                    <w:tl2br w:val="nil"/>
                    <w:tr2bl w:val="nil"/>
                  </w:tcBorders>
                  <w:noWrap w:val="0"/>
                  <w:vAlign w:val="center"/>
                </w:tcPr>
                <w:p>
                  <w:pPr>
                    <w:keepLines w:val="0"/>
                    <w:pageBreakBefore w:val="0"/>
                    <w:widowControl/>
                    <w:kinsoku/>
                    <w:topLinePunct w:val="0"/>
                    <w:bidi w:val="0"/>
                    <w:jc w:val="center"/>
                    <w:textAlignment w:val="auto"/>
                    <w:rPr>
                      <w:kern w:val="0"/>
                      <w:szCs w:val="21"/>
                    </w:rPr>
                  </w:pPr>
                  <w:r>
                    <w:rPr>
                      <w:rFonts w:hint="eastAsia"/>
                      <w:kern w:val="0"/>
                      <w:szCs w:val="21"/>
                    </w:rPr>
                    <w:t>类别</w:t>
                  </w:r>
                </w:p>
              </w:tc>
              <w:tc>
                <w:tcPr>
                  <w:tcW w:w="1250" w:type="pct"/>
                  <w:tcBorders>
                    <w:tl2br w:val="nil"/>
                    <w:tr2bl w:val="nil"/>
                  </w:tcBorders>
                  <w:noWrap w:val="0"/>
                  <w:vAlign w:val="center"/>
                </w:tcPr>
                <w:p>
                  <w:pPr>
                    <w:keepLines w:val="0"/>
                    <w:pageBreakBefore w:val="0"/>
                    <w:widowControl/>
                    <w:kinsoku/>
                    <w:topLinePunct w:val="0"/>
                    <w:bidi w:val="0"/>
                    <w:jc w:val="center"/>
                    <w:textAlignment w:val="auto"/>
                    <w:rPr>
                      <w:kern w:val="0"/>
                      <w:szCs w:val="21"/>
                    </w:rPr>
                  </w:pPr>
                  <w:r>
                    <w:rPr>
                      <w:rFonts w:hint="eastAsia"/>
                      <w:kern w:val="0"/>
                      <w:szCs w:val="21"/>
                    </w:rPr>
                    <w:t>单位</w:t>
                  </w:r>
                </w:p>
              </w:tc>
              <w:tc>
                <w:tcPr>
                  <w:tcW w:w="1249" w:type="pct"/>
                  <w:tcBorders>
                    <w:tl2br w:val="nil"/>
                    <w:tr2bl w:val="nil"/>
                  </w:tcBorders>
                  <w:noWrap w:val="0"/>
                  <w:vAlign w:val="center"/>
                </w:tcPr>
                <w:p>
                  <w:pPr>
                    <w:keepLines w:val="0"/>
                    <w:pageBreakBefore w:val="0"/>
                    <w:widowControl/>
                    <w:kinsoku/>
                    <w:topLinePunct w:val="0"/>
                    <w:bidi w:val="0"/>
                    <w:jc w:val="center"/>
                    <w:textAlignment w:val="auto"/>
                    <w:rPr>
                      <w:kern w:val="0"/>
                      <w:szCs w:val="21"/>
                    </w:rPr>
                  </w:pPr>
                  <w:r>
                    <w:rPr>
                      <w:rFonts w:hint="eastAsia"/>
                      <w:kern w:val="0"/>
                      <w:szCs w:val="21"/>
                    </w:rPr>
                    <w:t>昼间</w:t>
                  </w:r>
                </w:p>
              </w:tc>
              <w:tc>
                <w:tcPr>
                  <w:tcW w:w="1249" w:type="pct"/>
                  <w:tcBorders>
                    <w:tl2br w:val="nil"/>
                    <w:tr2bl w:val="nil"/>
                  </w:tcBorders>
                  <w:noWrap w:val="0"/>
                  <w:vAlign w:val="center"/>
                </w:tcPr>
                <w:p>
                  <w:pPr>
                    <w:keepLines w:val="0"/>
                    <w:pageBreakBefore w:val="0"/>
                    <w:widowControl/>
                    <w:kinsoku/>
                    <w:topLinePunct w:val="0"/>
                    <w:bidi w:val="0"/>
                    <w:jc w:val="center"/>
                    <w:textAlignment w:val="auto"/>
                    <w:rPr>
                      <w:kern w:val="0"/>
                      <w:szCs w:val="21"/>
                    </w:rPr>
                  </w:pPr>
                  <w:r>
                    <w:rPr>
                      <w:rFonts w:hint="eastAsia"/>
                      <w:kern w:val="0"/>
                      <w:szCs w:val="21"/>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49" w:type="pct"/>
                  <w:tcBorders>
                    <w:tl2br w:val="nil"/>
                    <w:tr2bl w:val="nil"/>
                  </w:tcBorders>
                  <w:noWrap w:val="0"/>
                  <w:vAlign w:val="center"/>
                </w:tcPr>
                <w:p>
                  <w:pPr>
                    <w:keepLines w:val="0"/>
                    <w:pageBreakBefore w:val="0"/>
                    <w:widowControl/>
                    <w:kinsoku/>
                    <w:topLinePunct w:val="0"/>
                    <w:bidi w:val="0"/>
                    <w:jc w:val="center"/>
                    <w:textAlignment w:val="auto"/>
                    <w:rPr>
                      <w:kern w:val="0"/>
                      <w:szCs w:val="21"/>
                    </w:rPr>
                  </w:pPr>
                  <w:r>
                    <w:rPr>
                      <w:rFonts w:hint="eastAsia"/>
                      <w:kern w:val="0"/>
                      <w:szCs w:val="21"/>
                      <w:lang w:val="en-US" w:eastAsia="zh-CN"/>
                    </w:rPr>
                    <w:t>2</w:t>
                  </w:r>
                  <w:r>
                    <w:rPr>
                      <w:rFonts w:hint="eastAsia"/>
                      <w:kern w:val="0"/>
                      <w:szCs w:val="21"/>
                    </w:rPr>
                    <w:t>类</w:t>
                  </w:r>
                </w:p>
              </w:tc>
              <w:tc>
                <w:tcPr>
                  <w:tcW w:w="1250" w:type="pct"/>
                  <w:tcBorders>
                    <w:tl2br w:val="nil"/>
                    <w:tr2bl w:val="nil"/>
                  </w:tcBorders>
                  <w:noWrap w:val="0"/>
                  <w:vAlign w:val="center"/>
                </w:tcPr>
                <w:p>
                  <w:pPr>
                    <w:keepLines w:val="0"/>
                    <w:pageBreakBefore w:val="0"/>
                    <w:widowControl/>
                    <w:kinsoku/>
                    <w:topLinePunct w:val="0"/>
                    <w:bidi w:val="0"/>
                    <w:jc w:val="center"/>
                    <w:textAlignment w:val="auto"/>
                    <w:rPr>
                      <w:kern w:val="0"/>
                      <w:szCs w:val="21"/>
                    </w:rPr>
                  </w:pPr>
                  <w:r>
                    <w:rPr>
                      <w:rFonts w:hint="eastAsia"/>
                      <w:kern w:val="0"/>
                      <w:szCs w:val="21"/>
                    </w:rPr>
                    <w:t>dB（A）</w:t>
                  </w:r>
                </w:p>
              </w:tc>
              <w:tc>
                <w:tcPr>
                  <w:tcW w:w="1249" w:type="pct"/>
                  <w:tcBorders>
                    <w:tl2br w:val="nil"/>
                    <w:tr2bl w:val="nil"/>
                  </w:tcBorders>
                  <w:noWrap w:val="0"/>
                  <w:vAlign w:val="center"/>
                </w:tcPr>
                <w:p>
                  <w:pPr>
                    <w:keepLines w:val="0"/>
                    <w:pageBreakBefore w:val="0"/>
                    <w:widowControl/>
                    <w:kinsoku/>
                    <w:topLinePunct w:val="0"/>
                    <w:bidi w:val="0"/>
                    <w:jc w:val="center"/>
                    <w:textAlignment w:val="auto"/>
                    <w:rPr>
                      <w:rFonts w:hint="default" w:eastAsia="宋体"/>
                      <w:kern w:val="0"/>
                      <w:szCs w:val="21"/>
                      <w:lang w:val="en-US" w:eastAsia="zh-CN"/>
                    </w:rPr>
                  </w:pPr>
                  <w:r>
                    <w:rPr>
                      <w:rFonts w:hint="eastAsia" w:eastAsia="宋体"/>
                      <w:kern w:val="0"/>
                      <w:szCs w:val="21"/>
                      <w:lang w:val="en-US" w:eastAsia="zh-CN"/>
                    </w:rPr>
                    <w:t>6</w:t>
                  </w:r>
                  <w:r>
                    <w:rPr>
                      <w:rFonts w:hint="eastAsia"/>
                      <w:kern w:val="0"/>
                      <w:szCs w:val="21"/>
                      <w:lang w:val="en-US" w:eastAsia="zh-CN"/>
                    </w:rPr>
                    <w:t>0</w:t>
                  </w:r>
                </w:p>
              </w:tc>
              <w:tc>
                <w:tcPr>
                  <w:tcW w:w="1249" w:type="pct"/>
                  <w:tcBorders>
                    <w:tl2br w:val="nil"/>
                    <w:tr2bl w:val="nil"/>
                  </w:tcBorders>
                  <w:noWrap w:val="0"/>
                  <w:vAlign w:val="center"/>
                </w:tcPr>
                <w:p>
                  <w:pPr>
                    <w:keepLines w:val="0"/>
                    <w:pageBreakBefore w:val="0"/>
                    <w:widowControl/>
                    <w:kinsoku/>
                    <w:topLinePunct w:val="0"/>
                    <w:bidi w:val="0"/>
                    <w:jc w:val="center"/>
                    <w:textAlignment w:val="auto"/>
                    <w:rPr>
                      <w:rFonts w:hint="default" w:eastAsia="宋体"/>
                      <w:kern w:val="0"/>
                      <w:szCs w:val="21"/>
                      <w:lang w:val="en-US" w:eastAsia="zh-CN"/>
                    </w:rPr>
                  </w:pPr>
                  <w:r>
                    <w:rPr>
                      <w:rFonts w:hint="eastAsia" w:eastAsia="宋体"/>
                      <w:kern w:val="0"/>
                      <w:szCs w:val="21"/>
                      <w:lang w:val="en-US" w:eastAsia="zh-CN"/>
                    </w:rPr>
                    <w:t>5</w:t>
                  </w:r>
                  <w:r>
                    <w:rPr>
                      <w:rFonts w:hint="eastAsia"/>
                      <w:kern w:val="0"/>
                      <w:szCs w:val="21"/>
                      <w:lang w:val="en-US" w:eastAsia="zh-CN"/>
                    </w:rPr>
                    <w:t>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（4）固体废物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color w:val="000000"/>
                <w:sz w:val="24"/>
              </w:rPr>
              <w:t>本项目</w:t>
            </w:r>
            <w:r>
              <w:rPr>
                <w:rFonts w:hint="eastAsia"/>
                <w:color w:val="000000"/>
                <w:sz w:val="24"/>
              </w:rPr>
              <w:t>一般工业固体</w:t>
            </w:r>
            <w:r>
              <w:rPr>
                <w:rFonts w:hint="eastAsia"/>
                <w:color w:val="000000"/>
                <w:sz w:val="24"/>
                <w:lang w:val="en-US" w:eastAsia="zh-CN"/>
              </w:rPr>
              <w:t>废</w:t>
            </w:r>
            <w:r>
              <w:rPr>
                <w:rFonts w:hint="eastAsia"/>
                <w:color w:val="auto"/>
                <w:sz w:val="24"/>
                <w:lang w:val="en-US" w:eastAsia="zh-CN"/>
              </w:rPr>
              <w:t>物</w:t>
            </w:r>
            <w:r>
              <w:rPr>
                <w:rFonts w:hint="eastAsia"/>
                <w:color w:val="auto"/>
                <w:sz w:val="24"/>
              </w:rPr>
              <w:t>贮存执行</w:t>
            </w:r>
            <w:r>
              <w:rPr>
                <w:rFonts w:hint="eastAsia" w:ascii="Times New Roman" w:hAnsi="Times New Roman" w:eastAsia="宋体" w:cs="Times New Roman"/>
                <w:b w:val="0"/>
                <w:bCs w:val="0"/>
                <w:color w:val="auto"/>
                <w:kern w:val="0"/>
                <w:sz w:val="24"/>
                <w:szCs w:val="24"/>
                <w:lang w:val="en-US" w:eastAsia="zh-CN" w:bidi="ar"/>
              </w:rPr>
              <w:t>《一般工业固体废物贮存和填埋污染控制标准》（</w:t>
            </w:r>
            <w:r>
              <w:rPr>
                <w:rFonts w:hint="default" w:ascii="Times New Roman" w:hAnsi="Times New Roman" w:eastAsia="宋体" w:cs="Times New Roman"/>
                <w:b w:val="0"/>
                <w:bCs w:val="0"/>
                <w:color w:val="auto"/>
                <w:kern w:val="0"/>
                <w:sz w:val="24"/>
                <w:szCs w:val="24"/>
                <w:lang w:val="en-US" w:eastAsia="zh-CN" w:bidi="ar"/>
              </w:rPr>
              <w:t>GB18599-2020</w:t>
            </w:r>
            <w:r>
              <w:rPr>
                <w:rFonts w:hint="eastAsia" w:ascii="Times New Roman" w:hAnsi="Times New Roman" w:eastAsia="宋体" w:cs="Times New Roman"/>
                <w:b w:val="0"/>
                <w:bCs w:val="0"/>
                <w:color w:val="auto"/>
                <w:kern w:val="0"/>
                <w:sz w:val="24"/>
                <w:szCs w:val="24"/>
                <w:lang w:val="en-US" w:eastAsia="zh-CN" w:bidi="ar"/>
              </w:rPr>
              <w:t>）中相关标准。</w:t>
            </w:r>
            <w:r>
              <w:rPr>
                <w:color w:val="auto"/>
                <w:sz w:val="24"/>
              </w:rPr>
              <w:t>危险废物</w:t>
            </w:r>
            <w:r>
              <w:rPr>
                <w:rFonts w:hint="eastAsia"/>
                <w:color w:val="auto"/>
                <w:sz w:val="24"/>
                <w:lang w:val="en-US" w:eastAsia="zh-CN"/>
              </w:rPr>
              <w:t>贮存</w:t>
            </w:r>
            <w:r>
              <w:rPr>
                <w:color w:val="auto"/>
                <w:sz w:val="24"/>
              </w:rPr>
              <w:t>执行《危险废物贮存污染控制标准》（GB18597-20</w:t>
            </w:r>
            <w:r>
              <w:rPr>
                <w:rFonts w:hint="eastAsia"/>
                <w:color w:val="auto"/>
                <w:sz w:val="24"/>
                <w:lang w:val="en-US" w:eastAsia="zh-CN"/>
              </w:rPr>
              <w:t>23</w:t>
            </w:r>
            <w:r>
              <w:rPr>
                <w:color w:val="auto"/>
                <w:sz w:val="24"/>
              </w:rPr>
              <w:t>）</w:t>
            </w:r>
            <w:r>
              <w:rPr>
                <w:rFonts w:hint="eastAsia"/>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pct"/>
            <w:noWrap w:val="0"/>
            <w:vAlign w:val="center"/>
          </w:tcPr>
          <w:p>
            <w:pPr>
              <w:adjustRightInd w:val="0"/>
              <w:snapToGrid w:val="0"/>
              <w:jc w:val="center"/>
              <w:rPr>
                <w:rFonts w:hint="eastAsia"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其他</w:t>
            </w:r>
          </w:p>
        </w:tc>
        <w:tc>
          <w:tcPr>
            <w:tcW w:w="45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cs="Times New Roman"/>
                <w:b w:val="0"/>
                <w:bCs w:val="0"/>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cs="Times New Roman"/>
                <w:b w:val="0"/>
                <w:bCs w:val="0"/>
                <w:color w:val="auto"/>
                <w:kern w:val="0"/>
                <w:sz w:val="24"/>
                <w:szCs w:val="24"/>
                <w:lang w:val="en-US" w:eastAsia="zh-CN" w:bidi="ar"/>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cs="Times New Roman"/>
                <w:b w:val="0"/>
                <w:bCs w:val="0"/>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cs="Times New Roman"/>
                <w:b w:val="0"/>
                <w:bCs w:val="0"/>
                <w:color w:val="auto"/>
                <w:kern w:val="0"/>
                <w:sz w:val="24"/>
                <w:szCs w:val="24"/>
                <w:lang w:val="en-US" w:eastAsia="zh-CN" w:bidi="ar"/>
              </w:rPr>
            </w:pPr>
            <w:r>
              <w:rPr>
                <w:rFonts w:hint="eastAsia" w:cs="Times New Roman"/>
                <w:b w:val="0"/>
                <w:bCs w:val="0"/>
                <w:color w:val="auto"/>
                <w:kern w:val="0"/>
                <w:sz w:val="24"/>
                <w:szCs w:val="24"/>
                <w:lang w:val="en-US" w:eastAsia="zh-CN" w:bidi="ar"/>
              </w:rPr>
              <w:t>无</w:t>
            </w:r>
          </w:p>
          <w:p>
            <w:pPr>
              <w:pStyle w:val="3"/>
              <w:ind w:left="0" w:leftChars="0" w:firstLine="0" w:firstLineChars="0"/>
              <w:rPr>
                <w:rFonts w:hint="eastAsia"/>
                <w:lang w:val="en-US" w:eastAsia="zh-CN"/>
              </w:rPr>
            </w:pPr>
          </w:p>
          <w:p>
            <w:pPr>
              <w:pStyle w:val="4"/>
              <w:rPr>
                <w:rFonts w:hint="eastAsia"/>
                <w:lang w:val="en-US" w:eastAsia="zh-CN"/>
              </w:rPr>
            </w:pPr>
          </w:p>
          <w:p>
            <w:pPr>
              <w:pStyle w:val="4"/>
              <w:rPr>
                <w:rFonts w:hint="eastAsia"/>
                <w:lang w:val="en-US" w:eastAsia="zh-CN"/>
              </w:rPr>
            </w:pPr>
          </w:p>
          <w:p>
            <w:pPr>
              <w:rPr>
                <w:rFonts w:hint="eastAsia"/>
                <w:lang w:val="en-US" w:eastAsia="zh-CN"/>
              </w:rPr>
            </w:pPr>
          </w:p>
          <w:p>
            <w:pPr>
              <w:pStyle w:val="2"/>
              <w:rPr>
                <w:rFonts w:hint="eastAsia"/>
                <w:lang w:val="en-US" w:eastAsia="zh-CN"/>
              </w:rPr>
            </w:pPr>
          </w:p>
          <w:p>
            <w:pPr>
              <w:pStyle w:val="3"/>
              <w:rPr>
                <w:rFonts w:hint="eastAsia"/>
                <w:lang w:val="en-US" w:eastAsia="zh-CN"/>
              </w:rPr>
            </w:pPr>
          </w:p>
          <w:p>
            <w:pPr>
              <w:pStyle w:val="2"/>
              <w:ind w:left="0" w:leftChars="0" w:firstLine="0" w:firstLineChars="0"/>
              <w:rPr>
                <w:rFonts w:hint="default"/>
                <w:lang w:val="en-US" w:eastAsia="zh-CN"/>
              </w:rPr>
            </w:pPr>
          </w:p>
        </w:tc>
      </w:tr>
    </w:tbl>
    <w:p>
      <w:pPr>
        <w:pStyle w:val="21"/>
        <w:jc w:val="center"/>
        <w:outlineLvl w:val="0"/>
        <w:rPr>
          <w:rFonts w:ascii="黑体" w:hAnsi="黑体" w:eastAsia="黑体"/>
          <w:snapToGrid w:val="0"/>
          <w:sz w:val="30"/>
          <w:szCs w:val="30"/>
        </w:rPr>
      </w:pPr>
      <w:r>
        <w:rPr>
          <w:rFonts w:ascii="黑体" w:hAnsi="黑体" w:eastAsia="黑体"/>
          <w:snapToGrid w:val="0"/>
          <w:kern w:val="2"/>
          <w:sz w:val="36"/>
          <w:szCs w:val="36"/>
        </w:rPr>
        <w:br w:type="page"/>
      </w:r>
      <w:r>
        <w:rPr>
          <w:rFonts w:hint="eastAsia" w:ascii="黑体" w:hAnsi="黑体" w:eastAsia="黑体"/>
          <w:snapToGrid w:val="0"/>
          <w:sz w:val="30"/>
          <w:szCs w:val="30"/>
        </w:rPr>
        <w:t>四、生态环境影响分析</w:t>
      </w:r>
    </w:p>
    <w:tbl>
      <w:tblPr>
        <w:tblStyle w:val="23"/>
        <w:tblW w:w="508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3"/>
        <w:gridCol w:w="87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16" w:type="pct"/>
            <w:noWrap w:val="0"/>
            <w:tcMar>
              <w:left w:w="28" w:type="dxa"/>
              <w:right w:w="28" w:type="dxa"/>
            </w:tcMar>
            <w:vAlign w:val="center"/>
          </w:tcPr>
          <w:p>
            <w:pPr>
              <w:pStyle w:val="21"/>
              <w:pageBreakBefore w:val="0"/>
              <w:kinsoku/>
              <w:wordWrap/>
              <w:overflowPunct/>
              <w:topLinePunct w:val="0"/>
              <w:autoSpaceDE/>
              <w:autoSpaceDN/>
              <w:bidi w:val="0"/>
              <w:adjustRightInd w:val="0"/>
              <w:snapToGrid w:val="0"/>
              <w:spacing w:before="0" w:beforeAutospacing="0" w:after="0" w:afterAutospacing="0"/>
              <w:jc w:val="center"/>
              <w:textAlignment w:val="auto"/>
              <w:rPr>
                <w:rFonts w:cs="宋体"/>
                <w:bCs/>
                <w:color w:val="auto"/>
                <w:kern w:val="2"/>
                <w:sz w:val="24"/>
                <w:szCs w:val="24"/>
              </w:rPr>
            </w:pPr>
            <w:bookmarkStart w:id="6" w:name="_Hlk49796138"/>
            <w:r>
              <w:rPr>
                <w:rFonts w:hint="eastAsia" w:cs="宋体"/>
                <w:bCs/>
                <w:color w:val="auto"/>
                <w:spacing w:val="10"/>
                <w:kern w:val="2"/>
                <w:sz w:val="24"/>
                <w:szCs w:val="24"/>
              </w:rPr>
              <w:t>施工期生态环境影响分析</w:t>
            </w:r>
            <w:bookmarkEnd w:id="6"/>
          </w:p>
        </w:tc>
        <w:tc>
          <w:tcPr>
            <w:tcW w:w="4583" w:type="pct"/>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2"/>
              <w:rPr>
                <w:rFonts w:hint="eastAsia" w:eastAsia="宋体"/>
                <w:b/>
                <w:color w:val="auto"/>
                <w:sz w:val="24"/>
                <w:lang w:val="en-US" w:eastAsia="zh-CN"/>
              </w:rPr>
            </w:pPr>
            <w:r>
              <w:rPr>
                <w:rFonts w:hint="default" w:ascii="宋体" w:hAnsi="宋体" w:cs="宋体"/>
                <w:bCs/>
                <w:color w:val="auto"/>
                <w:sz w:val="24"/>
                <w:szCs w:val="24"/>
              </w:rPr>
              <w:t>本项目为新建矿山，项目主要</w:t>
            </w:r>
            <w:r>
              <w:rPr>
                <w:rFonts w:hint="eastAsia" w:ascii="宋体" w:hAnsi="宋体" w:cs="宋体"/>
                <w:bCs/>
                <w:color w:val="auto"/>
                <w:sz w:val="24"/>
                <w:szCs w:val="24"/>
                <w:lang w:val="en-US" w:eastAsia="zh-CN"/>
              </w:rPr>
              <w:t>建设</w:t>
            </w:r>
            <w:r>
              <w:rPr>
                <w:rFonts w:hint="default" w:ascii="宋体" w:hAnsi="宋体" w:cs="宋体"/>
                <w:bCs/>
                <w:color w:val="auto"/>
                <w:sz w:val="24"/>
                <w:szCs w:val="24"/>
              </w:rPr>
              <w:t>办公生活区</w:t>
            </w:r>
            <w:r>
              <w:rPr>
                <w:rFonts w:hint="eastAsia" w:ascii="宋体" w:hAnsi="宋体" w:cs="宋体"/>
                <w:bCs/>
                <w:color w:val="auto"/>
                <w:sz w:val="24"/>
                <w:szCs w:val="24"/>
                <w:lang w:val="en-US" w:eastAsia="zh-CN"/>
              </w:rPr>
              <w:t>和生产车间</w:t>
            </w:r>
            <w:r>
              <w:rPr>
                <w:rFonts w:hint="default" w:ascii="宋体" w:hAnsi="宋体" w:cs="宋体"/>
                <w:bCs/>
                <w:color w:val="auto"/>
                <w:sz w:val="24"/>
                <w:szCs w:val="24"/>
              </w:rPr>
              <w:t>。项目土建施工期约</w:t>
            </w:r>
            <w:r>
              <w:rPr>
                <w:rFonts w:hint="eastAsia" w:ascii="宋体" w:hAnsi="宋体" w:cs="宋体"/>
                <w:bCs/>
                <w:color w:val="auto"/>
                <w:sz w:val="24"/>
                <w:szCs w:val="24"/>
                <w:lang w:val="en-US" w:eastAsia="zh-CN"/>
              </w:rPr>
              <w:t>12</w:t>
            </w:r>
            <w:r>
              <w:rPr>
                <w:rFonts w:hint="default" w:ascii="宋体" w:hAnsi="宋体" w:cs="宋体"/>
                <w:bCs/>
                <w:color w:val="auto"/>
                <w:sz w:val="24"/>
                <w:szCs w:val="24"/>
              </w:rPr>
              <w:t>个月，</w:t>
            </w:r>
            <w:r>
              <w:rPr>
                <w:rFonts w:hint="eastAsia" w:ascii="宋体" w:hAnsi="宋体" w:cs="宋体"/>
                <w:bCs/>
                <w:color w:val="auto"/>
                <w:sz w:val="24"/>
                <w:szCs w:val="24"/>
                <w:lang w:eastAsia="zh-CN"/>
              </w:rPr>
              <w:t>在施工过程中会有</w:t>
            </w:r>
            <w:r>
              <w:rPr>
                <w:rFonts w:hint="default" w:ascii="宋体" w:hAnsi="宋体" w:cs="宋体"/>
                <w:bCs/>
                <w:color w:val="auto"/>
                <w:sz w:val="24"/>
                <w:szCs w:val="24"/>
              </w:rPr>
              <w:t>施工废气、施工扬尘、施工噪声</w:t>
            </w: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开挖土石方</w:t>
            </w:r>
            <w:r>
              <w:rPr>
                <w:rFonts w:hint="default" w:ascii="宋体" w:hAnsi="宋体" w:cs="宋体"/>
                <w:bCs/>
                <w:color w:val="auto"/>
                <w:sz w:val="24"/>
                <w:szCs w:val="24"/>
              </w:rPr>
              <w:t>等</w:t>
            </w:r>
            <w:r>
              <w:rPr>
                <w:rFonts w:hint="eastAsia" w:ascii="宋体" w:hAnsi="宋体" w:cs="宋体"/>
                <w:bCs/>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1、生态环境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（1）项目建设占地对生态的影响分析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本矿山为</w:t>
            </w:r>
            <w:r>
              <w:rPr>
                <w:rFonts w:hint="eastAsia" w:cs="Times New Roman"/>
                <w:color w:val="auto"/>
                <w:sz w:val="24"/>
                <w:szCs w:val="24"/>
                <w:lang w:val="en-US" w:eastAsia="zh-CN"/>
              </w:rPr>
              <w:t>新</w:t>
            </w:r>
            <w:r>
              <w:rPr>
                <w:rFonts w:hint="default" w:ascii="Times New Roman" w:hAnsi="Times New Roman" w:cs="Times New Roman"/>
                <w:color w:val="auto"/>
                <w:sz w:val="24"/>
                <w:szCs w:val="24"/>
              </w:rPr>
              <w:t>矿山。</w:t>
            </w:r>
            <w:r>
              <w:rPr>
                <w:rFonts w:hint="eastAsia" w:cs="Times New Roman"/>
                <w:color w:val="auto"/>
                <w:sz w:val="24"/>
                <w:szCs w:val="24"/>
                <w:lang w:val="en-US" w:eastAsia="zh-CN"/>
              </w:rPr>
              <w:t>本项目矿区总占地面积为</w:t>
            </w:r>
            <w:r>
              <w:rPr>
                <w:rFonts w:hint="eastAsia" w:cs="Arial"/>
                <w:b w:val="0"/>
                <w:bCs w:val="0"/>
                <w:color w:val="auto"/>
                <w:sz w:val="24"/>
                <w:lang w:val="en-US" w:eastAsia="zh-CN"/>
              </w:rPr>
              <w:t>0.9817平方公里</w:t>
            </w:r>
            <w:r>
              <w:rPr>
                <w:rFonts w:hint="default" w:ascii="Times New Roman" w:hAnsi="Times New Roman" w:cs="Times New Roman"/>
                <w:color w:val="auto"/>
                <w:sz w:val="24"/>
                <w:szCs w:val="24"/>
                <w:lang w:val="en-US" w:eastAsia="zh-CN"/>
              </w:rPr>
              <w:t>。本项目在施工过程中施工人员活动，施工机械碾轧，施工材料堆放，施工临时设施建设，施工场地平整所占用的土地。其影响主要表现在三个方面：一是取土或弃土、弃渣等造成对地表形态的影响；二是留下的临时设施既不利用又不拆除，影响景观的恢复，临时占地的影响性质是暂时性的，采取一定的措施和随着时间的推移，破坏的土地能够得以恢复，它未改变土地的利用形式，属可逆影响。但不采取文明施工和一定的恢复措施，对生态环境所造成的破坏，则往往需要很长时间才能恢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Arial"/>
                <w:b w:val="0"/>
                <w:bCs w:val="0"/>
                <w:color w:val="auto"/>
                <w:sz w:val="24"/>
                <w:lang w:val="en-US" w:eastAsia="zh-CN"/>
              </w:rPr>
            </w:pPr>
            <w:r>
              <w:rPr>
                <w:rFonts w:hint="eastAsia" w:cs="Arial"/>
                <w:b w:val="0"/>
                <w:bCs w:val="0"/>
                <w:color w:val="auto"/>
                <w:sz w:val="24"/>
                <w:lang w:val="en-US" w:eastAsia="zh-CN"/>
              </w:rPr>
              <w:t>（2）植被影响分析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Arial"/>
                <w:b w:val="0"/>
                <w:bCs w:val="0"/>
                <w:color w:val="auto"/>
                <w:sz w:val="24"/>
                <w:lang w:val="en-US" w:eastAsia="zh-CN"/>
              </w:rPr>
            </w:pPr>
            <w:r>
              <w:rPr>
                <w:rFonts w:hint="eastAsia" w:ascii="Times New Roman" w:hAnsi="Times New Roman" w:eastAsia="宋体" w:cs="Arial"/>
                <w:b w:val="0"/>
                <w:bCs w:val="0"/>
                <w:color w:val="auto"/>
                <w:sz w:val="24"/>
                <w:lang w:val="en-US" w:eastAsia="zh-CN"/>
              </w:rPr>
              <w:t>矿区天然植被以</w:t>
            </w:r>
            <w:r>
              <w:rPr>
                <w:rFonts w:hint="default" w:ascii="Times New Roman" w:hAnsi="Times New Roman" w:eastAsia="宋体" w:cs="Times New Roman"/>
                <w:color w:val="auto"/>
                <w:kern w:val="2"/>
                <w:sz w:val="24"/>
                <w:szCs w:val="24"/>
                <w:lang w:val="en-US" w:eastAsia="zh-CN" w:bidi="ar"/>
              </w:rPr>
              <w:t>芨芨草，骆驼刺</w:t>
            </w:r>
            <w:r>
              <w:rPr>
                <w:rFonts w:hint="eastAsia" w:ascii="Times New Roman" w:hAnsi="Times New Roman" w:eastAsia="宋体" w:cs="Arial"/>
                <w:b w:val="0"/>
                <w:bCs w:val="0"/>
                <w:color w:val="auto"/>
                <w:sz w:val="24"/>
                <w:lang w:val="en-US" w:eastAsia="zh-CN"/>
              </w:rPr>
              <w:t>等植物为主，分布不均匀，群落单一，多呈点状分布，矿区总体植被覆盖度小于</w:t>
            </w:r>
            <w:r>
              <w:rPr>
                <w:rFonts w:hint="eastAsia" w:cs="Arial"/>
                <w:b w:val="0"/>
                <w:bCs w:val="0"/>
                <w:color w:val="auto"/>
                <w:sz w:val="24"/>
                <w:lang w:val="en-US" w:eastAsia="zh-CN"/>
              </w:rPr>
              <w:t>1</w:t>
            </w:r>
            <w:r>
              <w:rPr>
                <w:rFonts w:hint="eastAsia" w:ascii="Times New Roman" w:hAnsi="Times New Roman" w:eastAsia="宋体" w:cs="Arial"/>
                <w:b w:val="0"/>
                <w:bCs w:val="0"/>
                <w:color w:val="auto"/>
                <w:sz w:val="24"/>
                <w:lang w:val="en-US" w:eastAsia="zh-CN"/>
              </w:rPr>
              <w:t>%，植物高度多小于30厘米</w:t>
            </w:r>
            <w:r>
              <w:rPr>
                <w:rFonts w:hint="eastAsia" w:cs="Arial"/>
                <w:b w:val="0"/>
                <w:bCs w:val="0"/>
                <w:color w:val="auto"/>
                <w:sz w:val="24"/>
                <w:lang w:val="en-US" w:eastAsia="zh-CN"/>
              </w:rPr>
              <w:t>。</w:t>
            </w:r>
            <w:r>
              <w:rPr>
                <w:rFonts w:hint="default" w:ascii="Times New Roman" w:hAnsi="Times New Roman" w:eastAsia="宋体" w:cs="Times New Roman"/>
                <w:b w:val="0"/>
                <w:bCs w:val="0"/>
                <w:color w:val="auto"/>
                <w:sz w:val="24"/>
                <w:szCs w:val="24"/>
                <w:highlight w:val="none"/>
              </w:rPr>
              <w:t>工程在施工过程中，施工机械的碾压、建筑材料的占压、施工人员踩踏以及建筑物基础等都将不可避免对占地区域植被造成破坏性的影响。施工活动致使项目区转化为人工裸地，导致植被生产能力下降，植被覆盖度降低。</w:t>
            </w:r>
            <w:r>
              <w:rPr>
                <w:rFonts w:hint="eastAsia" w:ascii="Times New Roman" w:hAnsi="Times New Roman" w:eastAsia="宋体" w:cs="Arial"/>
                <w:b w:val="0"/>
                <w:bCs w:val="0"/>
                <w:color w:val="auto"/>
                <w:sz w:val="24"/>
                <w:lang w:val="en-US" w:eastAsia="zh-CN"/>
              </w:rPr>
              <w:t>因此项目的开工建设应做好植被保护工作，剥离表土堆放</w:t>
            </w:r>
            <w:r>
              <w:rPr>
                <w:rFonts w:hint="eastAsia" w:cs="Arial"/>
                <w:b w:val="0"/>
                <w:bCs w:val="0"/>
                <w:color w:val="auto"/>
                <w:sz w:val="24"/>
                <w:lang w:val="en-US" w:eastAsia="zh-CN"/>
              </w:rPr>
              <w:t>至排土场</w:t>
            </w:r>
            <w:r>
              <w:rPr>
                <w:rFonts w:hint="eastAsia" w:ascii="Times New Roman" w:hAnsi="Times New Roman" w:eastAsia="宋体" w:cs="Arial"/>
                <w:b w:val="0"/>
                <w:bCs w:val="0"/>
                <w:color w:val="auto"/>
                <w:sz w:val="24"/>
                <w:lang w:val="en-US" w:eastAsia="zh-CN"/>
              </w:rPr>
              <w:t>，用作后期复垦期覆土土源。</w:t>
            </w:r>
            <w:r>
              <w:rPr>
                <w:rFonts w:hint="default" w:ascii="Times New Roman" w:hAnsi="Times New Roman" w:eastAsia="宋体" w:cs="Times New Roman"/>
                <w:b w:val="0"/>
                <w:bCs w:val="0"/>
                <w:color w:val="auto"/>
                <w:sz w:val="24"/>
                <w:szCs w:val="24"/>
                <w:highlight w:val="none"/>
                <w:lang w:val="en-US" w:eastAsia="zh-CN"/>
              </w:rPr>
              <w:t>施工期间弃土等的临时堆放会对植被产生一定的负面影响，工程建设将造成地表植被和植被土层的破坏，工程建设区和临时占用土地区域应尽量减少和避免工程区域内植被的人为破坏</w:t>
            </w:r>
            <w:r>
              <w:rPr>
                <w:rFonts w:hint="default" w:ascii="Times New Roman" w:hAnsi="Times New Roman" w:cs="Times New Roman"/>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Arial"/>
                <w:b w:val="0"/>
                <w:bCs w:val="0"/>
                <w:color w:val="auto"/>
                <w:sz w:val="24"/>
                <w:lang w:val="en-US" w:eastAsia="zh-CN"/>
              </w:rPr>
            </w:pPr>
            <w:r>
              <w:rPr>
                <w:rFonts w:hint="eastAsia" w:cs="Arial"/>
                <w:b w:val="0"/>
                <w:bCs w:val="0"/>
                <w:color w:val="auto"/>
                <w:sz w:val="24"/>
                <w:lang w:val="en-US" w:eastAsia="zh-CN"/>
              </w:rPr>
              <w:t>（3）</w:t>
            </w:r>
            <w:r>
              <w:rPr>
                <w:rFonts w:hint="eastAsia" w:ascii="Times New Roman" w:hAnsi="Times New Roman" w:eastAsia="宋体" w:cs="Arial"/>
                <w:b w:val="0"/>
                <w:bCs w:val="0"/>
                <w:color w:val="auto"/>
                <w:sz w:val="24"/>
                <w:lang w:val="en-US" w:eastAsia="zh-CN"/>
              </w:rPr>
              <w:t>对动物的影响</w:t>
            </w:r>
          </w:p>
          <w:p>
            <w:pPr>
              <w:pStyle w:val="35"/>
              <w:keepNext w:val="0"/>
              <w:keepLines w:val="0"/>
              <w:pageBreakBefore w:val="0"/>
              <w:widowControl w:val="0"/>
              <w:kinsoku/>
              <w:wordWrap/>
              <w:overflowPunct/>
              <w:topLinePunct w:val="0"/>
              <w:autoSpaceDE/>
              <w:autoSpaceDN/>
              <w:bidi w:val="0"/>
              <w:snapToGrid/>
              <w:spacing w:line="360" w:lineRule="auto"/>
              <w:ind w:left="0" w:firstLine="482"/>
              <w:jc w:val="both"/>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color w:val="auto"/>
                <w:kern w:val="0"/>
                <w:sz w:val="24"/>
                <w:szCs w:val="24"/>
                <w:lang w:val="en-US" w:eastAsia="zh-CN"/>
              </w:rPr>
              <w:t>施工期活动会对所在区域动物栖息环境产生扰动，迫使动物离开原有栖息环境迁移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施工过程中各类机械运转、人员活动等产生的噪声会使</w:t>
            </w:r>
            <w:r>
              <w:rPr>
                <w:rFonts w:hint="eastAsia" w:ascii="Times New Roman" w:hAnsi="Times New Roman" w:eastAsia="宋体" w:cs="Times New Roman"/>
                <w:color w:val="auto"/>
                <w:sz w:val="24"/>
                <w:szCs w:val="24"/>
                <w:highlight w:val="none"/>
                <w:lang w:val="en-US" w:eastAsia="zh-CN"/>
              </w:rPr>
              <w:t>施工所在区域</w:t>
            </w:r>
            <w:r>
              <w:rPr>
                <w:rFonts w:hint="default" w:ascii="Times New Roman" w:hAnsi="Times New Roman" w:eastAsia="宋体" w:cs="Times New Roman"/>
                <w:color w:val="auto"/>
                <w:sz w:val="24"/>
                <w:szCs w:val="24"/>
                <w:highlight w:val="none"/>
              </w:rPr>
              <w:t>动物的正常生活受到暂时的轻微干扰，将会使区域内少量动物出现迁徙</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使矿区生物量降低，分布、数量、生物多样性发生变化。</w:t>
            </w:r>
            <w:r>
              <w:rPr>
                <w:rFonts w:hint="eastAsia" w:ascii="Times New Roman" w:hAnsi="Times New Roman" w:eastAsia="宋体" w:cs="Arial"/>
                <w:snapToGrid w:val="0"/>
                <w:color w:val="auto"/>
                <w:spacing w:val="0"/>
                <w:kern w:val="0"/>
                <w:sz w:val="24"/>
                <w:szCs w:val="24"/>
                <w:highlight w:val="none"/>
                <w:lang w:val="en-US" w:eastAsia="zh-CN" w:bidi="ar-SA"/>
              </w:rPr>
              <w:t>施工</w:t>
            </w:r>
            <w:r>
              <w:rPr>
                <w:rFonts w:hint="default" w:ascii="Times New Roman" w:hAnsi="Times New Roman" w:eastAsia="宋体" w:cs="Arial"/>
                <w:snapToGrid w:val="0"/>
                <w:color w:val="auto"/>
                <w:spacing w:val="0"/>
                <w:kern w:val="0"/>
                <w:sz w:val="24"/>
                <w:szCs w:val="24"/>
                <w:highlight w:val="none"/>
                <w:lang w:val="en-US" w:eastAsia="zh-CN" w:bidi="ar-SA"/>
              </w:rPr>
              <w:t>时</w:t>
            </w:r>
            <w:r>
              <w:rPr>
                <w:rFonts w:hint="eastAsia" w:ascii="Times New Roman" w:hAnsi="Times New Roman" w:eastAsia="宋体" w:cs="Arial"/>
                <w:snapToGrid w:val="0"/>
                <w:color w:val="auto"/>
                <w:spacing w:val="0"/>
                <w:kern w:val="0"/>
                <w:sz w:val="24"/>
                <w:szCs w:val="24"/>
                <w:highlight w:val="none"/>
                <w:lang w:val="en-US" w:eastAsia="zh-CN" w:bidi="ar-SA"/>
              </w:rPr>
              <w:t>尽量</w:t>
            </w:r>
            <w:r>
              <w:rPr>
                <w:rFonts w:hint="default" w:ascii="Times New Roman" w:hAnsi="Times New Roman" w:eastAsia="宋体" w:cs="Arial"/>
                <w:snapToGrid w:val="0"/>
                <w:color w:val="auto"/>
                <w:spacing w:val="0"/>
                <w:kern w:val="0"/>
                <w:sz w:val="24"/>
                <w:szCs w:val="24"/>
                <w:highlight w:val="none"/>
                <w:lang w:val="en-US" w:eastAsia="zh-CN" w:bidi="ar-SA"/>
              </w:rPr>
              <w:t>避让野生动物，不追逐，不惊吓</w:t>
            </w:r>
            <w:r>
              <w:rPr>
                <w:rFonts w:hint="eastAsia" w:ascii="Times New Roman" w:hAnsi="Times New Roman" w:eastAsia="宋体" w:cs="Arial"/>
                <w:snapToGrid w:val="0"/>
                <w:color w:val="auto"/>
                <w:spacing w:val="0"/>
                <w:kern w:val="0"/>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rPr>
              <w:t>施工影响的范围局限在离中心线位一定范围内，故工程建设对陆生野生动物等影响在时间和空间维度上都是较为有限的。故项目建设对野生动物生存环境的影响是局部和有限的。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Arial"/>
                <w:b w:val="0"/>
                <w:bCs w:val="0"/>
                <w:color w:val="auto"/>
                <w:sz w:val="24"/>
                <w:highlight w:val="none"/>
                <w:lang w:val="en-US" w:eastAsia="zh-CN"/>
              </w:rPr>
            </w:pPr>
            <w:r>
              <w:rPr>
                <w:rFonts w:hint="eastAsia" w:cs="Arial"/>
                <w:b w:val="0"/>
                <w:bCs w:val="0"/>
                <w:color w:val="auto"/>
                <w:sz w:val="24"/>
                <w:highlight w:val="none"/>
                <w:lang w:val="en-US" w:eastAsia="zh-CN"/>
              </w:rPr>
              <w:t>（4）生物损失量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Arial"/>
                <w:b w:val="0"/>
                <w:bCs w:val="0"/>
                <w:color w:val="auto"/>
                <w:sz w:val="24"/>
                <w:highlight w:val="none"/>
                <w:lang w:val="en-US" w:eastAsia="zh-CN"/>
              </w:rPr>
            </w:pPr>
            <w:r>
              <w:rPr>
                <w:rFonts w:hint="eastAsia" w:cs="Arial"/>
                <w:b w:val="0"/>
                <w:bCs w:val="0"/>
                <w:color w:val="auto"/>
                <w:sz w:val="24"/>
                <w:highlight w:val="none"/>
                <w:lang w:val="en-US" w:eastAsia="zh-CN"/>
              </w:rPr>
              <w:t>矿区总占地0.9817平方公里，破坏土地主要用于矿部生活区、排土场、露天采场和矿区道路建设。矿区内的植被覆盖率比较低，大致为6%，以野生杂草为主，拟建工程的生物损失量约2.8t。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Arial"/>
                <w:b w:val="0"/>
                <w:bCs w:val="0"/>
                <w:color w:val="auto"/>
                <w:sz w:val="24"/>
                <w:lang w:val="en-US" w:eastAsia="zh-CN"/>
              </w:rPr>
            </w:pPr>
            <w:r>
              <w:rPr>
                <w:rFonts w:hint="eastAsia" w:cs="Arial"/>
                <w:b w:val="0"/>
                <w:bCs w:val="0"/>
                <w:color w:val="auto"/>
                <w:sz w:val="24"/>
                <w:lang w:val="en-US" w:eastAsia="zh-CN"/>
              </w:rPr>
              <w:t>（5）对土地利用影响分析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Arial"/>
                <w:b w:val="0"/>
                <w:bCs w:val="0"/>
                <w:color w:val="auto"/>
                <w:sz w:val="24"/>
                <w:lang w:val="en-US" w:eastAsia="zh-CN"/>
              </w:rPr>
            </w:pPr>
            <w:r>
              <w:rPr>
                <w:rFonts w:hint="eastAsia" w:cs="Arial"/>
                <w:b w:val="0"/>
                <w:bCs w:val="0"/>
                <w:color w:val="auto"/>
                <w:sz w:val="24"/>
                <w:lang w:val="en-US" w:eastAsia="zh-CN"/>
              </w:rPr>
              <w:t>项目占地使区域土地利用结构与功能发生改变，裸岩石砾地通过压占或清除受到破坏，使土地利用类型改变成采矿用地。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Arial"/>
                <w:b w:val="0"/>
                <w:bCs w:val="0"/>
                <w:color w:val="auto"/>
                <w:sz w:val="24"/>
                <w:lang w:val="en-US" w:eastAsia="zh-CN"/>
              </w:rPr>
            </w:pPr>
            <w:r>
              <w:rPr>
                <w:rFonts w:hint="eastAsia" w:cs="Arial"/>
                <w:b w:val="0"/>
                <w:bCs w:val="0"/>
                <w:color w:val="auto"/>
                <w:sz w:val="24"/>
                <w:lang w:val="en-US" w:eastAsia="zh-CN"/>
              </w:rPr>
              <w:t>矿山服务期满将进行土地复垦，能够在较大程度上补偿项目区的土地利用结构与功能。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Arial"/>
                <w:b w:val="0"/>
                <w:bCs w:val="0"/>
                <w:color w:val="auto"/>
                <w:sz w:val="24"/>
                <w:lang w:val="en-US" w:eastAsia="zh-CN"/>
              </w:rPr>
            </w:pPr>
            <w:r>
              <w:rPr>
                <w:rFonts w:hint="eastAsia" w:cs="Arial"/>
                <w:b w:val="0"/>
                <w:bCs w:val="0"/>
                <w:color w:val="auto"/>
                <w:sz w:val="24"/>
                <w:lang w:val="en-US" w:eastAsia="zh-CN"/>
              </w:rPr>
              <w:t>综上所述，本项目对生态环境的影响较小，随着土地复垦工程的实施，能够在较大程度恢复项目区生态环境。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Arial"/>
                <w:b w:val="0"/>
                <w:bCs w:val="0"/>
                <w:color w:val="auto"/>
                <w:sz w:val="24"/>
                <w:lang w:val="en-US" w:eastAsia="zh-CN"/>
              </w:rPr>
            </w:pPr>
            <w:r>
              <w:rPr>
                <w:rFonts w:hint="eastAsia" w:cs="Arial"/>
                <w:b w:val="0"/>
                <w:bCs w:val="0"/>
                <w:color w:val="auto"/>
                <w:sz w:val="24"/>
                <w:lang w:val="en-US" w:eastAsia="zh-CN"/>
              </w:rPr>
              <w:t>（6）</w:t>
            </w:r>
            <w:r>
              <w:rPr>
                <w:rFonts w:hint="eastAsia" w:ascii="Times New Roman" w:hAnsi="Times New Roman" w:eastAsia="宋体" w:cs="Arial"/>
                <w:b w:val="0"/>
                <w:bCs w:val="0"/>
                <w:color w:val="auto"/>
                <w:sz w:val="24"/>
                <w:lang w:val="en-US" w:eastAsia="zh-CN"/>
              </w:rPr>
              <w:t>土壤环境的影响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Arial"/>
                <w:b/>
                <w:bCs/>
                <w:color w:val="auto"/>
                <w:sz w:val="24"/>
                <w:lang w:val="en-US" w:eastAsia="zh-CN"/>
              </w:rPr>
            </w:pPr>
            <w:r>
              <w:rPr>
                <w:rFonts w:hint="default" w:ascii="Times New Roman" w:hAnsi="Times New Roman" w:eastAsia="宋体" w:cs="Times New Roman"/>
                <w:color w:val="auto"/>
                <w:sz w:val="24"/>
                <w:szCs w:val="24"/>
                <w:lang w:val="en-US" w:eastAsia="zh-CN"/>
              </w:rPr>
              <w:t>工程建设临时压占土地，主要是使这些土地失去原有的生物生产功能和生态服务功能，会对局部的土地利用产生一定的影响。</w:t>
            </w:r>
            <w:r>
              <w:rPr>
                <w:rFonts w:hint="eastAsia" w:ascii="Times New Roman" w:hAnsi="Times New Roman" w:eastAsia="宋体" w:cs="Times New Roman"/>
                <w:color w:val="auto"/>
                <w:sz w:val="24"/>
                <w:szCs w:val="24"/>
                <w:lang w:eastAsia="zh-CN"/>
              </w:rPr>
              <w:t>工程施工过程中的土方开挖、回填、机械碾压对土壤的理化性质和土壤肥力会产生一定不利影响</w:t>
            </w:r>
            <w:r>
              <w:rPr>
                <w:rFonts w:hint="default" w:ascii="Times New Roman" w:hAnsi="Times New Roman" w:eastAsia="宋体" w:cs="Times New Roman"/>
                <w:color w:val="auto"/>
                <w:sz w:val="24"/>
                <w:szCs w:val="24"/>
                <w:lang w:val="en-US" w:eastAsia="zh-CN"/>
              </w:rPr>
              <w:t>，不会彻底改变土地利用结构和功能，对区域生态系统的影响有限。</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eastAsia" w:cs="Times New Roman"/>
                <w:b w:val="0"/>
                <w:bCs w:val="0"/>
                <w:color w:val="auto"/>
                <w:sz w:val="24"/>
                <w:szCs w:val="24"/>
                <w:highlight w:val="none"/>
                <w:lang w:val="en-US" w:eastAsia="zh-CN"/>
              </w:rPr>
              <w:t>（7）</w:t>
            </w:r>
            <w:r>
              <w:rPr>
                <w:rFonts w:hint="default" w:ascii="Times New Roman" w:hAnsi="Times New Roman" w:eastAsia="宋体" w:cs="Times New Roman"/>
                <w:b w:val="0"/>
                <w:bCs w:val="0"/>
                <w:color w:val="auto"/>
                <w:sz w:val="24"/>
                <w:szCs w:val="24"/>
                <w:highlight w:val="none"/>
                <w:lang w:val="en-US" w:eastAsia="zh-CN"/>
              </w:rPr>
              <w:t>对</w:t>
            </w:r>
            <w:r>
              <w:rPr>
                <w:rFonts w:hint="default" w:ascii="Times New Roman" w:hAnsi="Times New Roman" w:eastAsia="宋体" w:cs="Times New Roman"/>
                <w:b w:val="0"/>
                <w:bCs w:val="0"/>
                <w:color w:val="auto"/>
                <w:sz w:val="24"/>
                <w:szCs w:val="24"/>
                <w:highlight w:val="none"/>
              </w:rPr>
              <w:t>区域景观的影响</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Arial"/>
                <w:b/>
                <w:bCs/>
                <w:color w:val="auto"/>
                <w:sz w:val="24"/>
                <w:lang w:val="en-US" w:eastAsia="zh-CN"/>
              </w:rPr>
            </w:pPr>
            <w:r>
              <w:rPr>
                <w:rFonts w:hint="default" w:ascii="Times New Roman" w:hAnsi="Times New Roman" w:eastAsia="宋体" w:cs="Times New Roman"/>
                <w:color w:val="auto"/>
                <w:sz w:val="24"/>
                <w:szCs w:val="24"/>
                <w:highlight w:val="none"/>
              </w:rPr>
              <w:t>由于项目施工开挖等活动，</w:t>
            </w:r>
            <w:r>
              <w:rPr>
                <w:rFonts w:hint="default" w:ascii="Times New Roman" w:hAnsi="Times New Roman" w:eastAsia="宋体" w:cs="Times New Roman"/>
                <w:color w:val="auto"/>
                <w:sz w:val="24"/>
                <w:szCs w:val="24"/>
                <w:highlight w:val="none"/>
                <w:lang w:val="zh-CN"/>
              </w:rPr>
              <w:t>会因为地表植被不同程度的破坏，在短期内成为与原有生态景观不协调的</w:t>
            </w:r>
            <w:r>
              <w:rPr>
                <w:rFonts w:hint="eastAsia"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裸地</w:t>
            </w:r>
            <w:r>
              <w:rPr>
                <w:rFonts w:hint="eastAsia"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或</w:t>
            </w:r>
            <w:r>
              <w:rPr>
                <w:rFonts w:hint="eastAsia"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疮疤</w:t>
            </w:r>
            <w:r>
              <w:rPr>
                <w:rFonts w:hint="eastAsia"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斑块，</w:t>
            </w:r>
            <w:r>
              <w:rPr>
                <w:rFonts w:hint="default" w:ascii="Times New Roman" w:hAnsi="Times New Roman" w:eastAsia="宋体" w:cs="Times New Roman"/>
                <w:color w:val="auto"/>
                <w:sz w:val="24"/>
                <w:szCs w:val="24"/>
                <w:highlight w:val="none"/>
              </w:rPr>
              <w:t>另外施工现场的暴露、建筑垃圾的堆存也影响区域景观，</w:t>
            </w:r>
            <w:r>
              <w:rPr>
                <w:rFonts w:hint="default" w:ascii="Times New Roman" w:hAnsi="Times New Roman" w:eastAsia="宋体" w:cs="Times New Roman"/>
                <w:color w:val="auto"/>
                <w:sz w:val="24"/>
                <w:szCs w:val="24"/>
                <w:highlight w:val="none"/>
                <w:lang w:val="zh-CN"/>
              </w:rPr>
              <w:t>对整体生态景观形成不和谐的视觉效果，造成较为明显的不利影响</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Arial"/>
                <w:b w:val="0"/>
                <w:bCs w:val="0"/>
                <w:color w:val="auto"/>
                <w:sz w:val="24"/>
                <w:lang w:val="en-US" w:eastAsia="zh-CN"/>
              </w:rPr>
            </w:pPr>
            <w:r>
              <w:rPr>
                <w:rFonts w:hint="eastAsia" w:cs="Arial"/>
                <w:b w:val="0"/>
                <w:bCs w:val="0"/>
                <w:color w:val="auto"/>
                <w:sz w:val="24"/>
                <w:lang w:val="en-US" w:eastAsia="zh-CN"/>
              </w:rPr>
              <w:t>（8）</w:t>
            </w:r>
            <w:r>
              <w:rPr>
                <w:rFonts w:hint="eastAsia" w:ascii="Times New Roman" w:hAnsi="Times New Roman" w:eastAsia="宋体" w:cs="Arial"/>
                <w:b w:val="0"/>
                <w:bCs w:val="0"/>
                <w:color w:val="auto"/>
                <w:sz w:val="24"/>
                <w:lang w:val="en-US" w:eastAsia="zh-CN"/>
              </w:rPr>
              <w:t>水土流失</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Arial"/>
                <w:b/>
                <w:bCs/>
                <w:color w:val="auto"/>
                <w:sz w:val="24"/>
                <w:lang w:val="en-US" w:eastAsia="zh-CN"/>
              </w:rPr>
            </w:pPr>
            <w:r>
              <w:rPr>
                <w:rFonts w:hint="eastAsia" w:ascii="Times New Roman" w:hAnsi="Times New Roman" w:eastAsia="宋体" w:cs="Times New Roman"/>
                <w:color w:val="auto"/>
                <w:sz w:val="24"/>
                <w:szCs w:val="24"/>
                <w:highlight w:val="none"/>
                <w:lang w:val="en-US" w:eastAsia="zh-CN"/>
              </w:rPr>
              <w:t>本项目施工作业会对土地进行开挖或耕翻，表土剥离将不可避免地破坏自然植被和原来相对稳定的地表，使土壤变得疏松，产生一定面积的裸露地面，有可能引起土壤侵蚀、水土流失等生态问题。不过这种影响待施工结束后基本能够清除，而且随着复垦工作的进行，还能使原来的土壤侵蚀得到遏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Arial"/>
                <w:b w:val="0"/>
                <w:bCs w:val="0"/>
                <w:color w:val="auto"/>
                <w:sz w:val="24"/>
                <w:lang w:val="en-US" w:eastAsia="zh-CN"/>
              </w:rPr>
            </w:pPr>
            <w:r>
              <w:rPr>
                <w:rFonts w:hint="eastAsia" w:cs="Arial"/>
                <w:b w:val="0"/>
                <w:bCs w:val="0"/>
                <w:color w:val="auto"/>
                <w:sz w:val="24"/>
                <w:lang w:val="en-US" w:eastAsia="zh-CN"/>
              </w:rPr>
              <w:t>（9）</w:t>
            </w:r>
            <w:r>
              <w:rPr>
                <w:rFonts w:hint="eastAsia" w:ascii="Times New Roman" w:hAnsi="Times New Roman" w:eastAsia="宋体" w:cs="Arial"/>
                <w:b w:val="0"/>
                <w:bCs w:val="0"/>
                <w:color w:val="auto"/>
                <w:sz w:val="24"/>
                <w:lang w:val="en-US" w:eastAsia="zh-CN"/>
              </w:rPr>
              <w:t>土地沙化影响</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施工过程中，各项工程活动将破坏地表植被，破坏原生地貌，形成裸露疏松的表土，加剧土壤侵蚀，矿区周边及其他区域临时占地范围内土壤受到侵蚀，肥力减退，破坏土地、植被等生态系统要素。若不采取有效措施将使土地生产力下降甚至丧失，导致水土流失的加剧，加速土地沙化。</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eastAsia" w:cs="Times New Roman"/>
                <w:snapToGrid/>
                <w:color w:val="auto"/>
                <w:kern w:val="2"/>
                <w:sz w:val="24"/>
                <w:szCs w:val="24"/>
                <w:lang w:val="en-US" w:eastAsia="zh-CN" w:bidi="ar-SA"/>
              </w:rPr>
              <w:t>2</w:t>
            </w:r>
            <w:r>
              <w:rPr>
                <w:rFonts w:hint="eastAsia" w:ascii="Times New Roman" w:hAnsi="Times New Roman" w:eastAsia="宋体" w:cs="Times New Roman"/>
                <w:snapToGrid/>
                <w:color w:val="auto"/>
                <w:kern w:val="2"/>
                <w:sz w:val="24"/>
                <w:szCs w:val="24"/>
                <w:lang w:val="en-US" w:eastAsia="zh-CN" w:bidi="ar-SA"/>
              </w:rPr>
              <w:t>、大气污染物影响分析</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本项目施工期废气主要为场地平整、表土及风化层剥离、物料装卸、物料堆放和运输过程中产生的施工扬尘以及施工机械和运输车辆排放的尾气。</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（1）施工扬尘</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扬尘按起尘的原因可分为风力起尘和动力起尘，其中风力起尘主要是由于露天堆放的物料（如表土、剥离物等）及裸露的施工区表层浮尘因天气干燥及大风产生风起扬尘，而动力起尘主要是在物料的运输、装卸过程中，由于外力而产生的尘粒再悬浮而造成。</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①施工扬尘</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期间产生的粉尘主要为场地平整、表土及风化层剥离、土石方等物料堆放、物料装卸所产生的扬尘，特别是在干旱和有风的情况下，会导致施工现场尘土飞扬，使空气中颗粒物含量升高，其扬尘可按堆场起尘的经验公式计算</w:t>
            </w:r>
          </w:p>
          <w:p>
            <w:pPr>
              <w:keepLines w:val="0"/>
              <w:pageBreakBefore w:val="0"/>
              <w:kinsoku/>
              <w:wordWrap/>
              <w:overflowPunct/>
              <w:topLinePunct w:val="0"/>
              <w:autoSpaceDE/>
              <w:autoSpaceDN/>
              <w:bidi w:val="0"/>
              <w:adjustRightInd w:val="0"/>
              <w:snapToGrid w:val="0"/>
              <w:spacing w:line="360" w:lineRule="auto"/>
              <w:ind w:left="0" w:right="0" w:firstLine="420" w:firstLineChars="200"/>
              <w:jc w:val="left"/>
              <w:textAlignment w:val="auto"/>
              <w:rPr>
                <w:rFonts w:hint="eastAsia" w:ascii="Times New Roman" w:hAnsi="Times New Roman" w:eastAsia="宋体" w:cs="Times New Roman"/>
                <w:color w:val="auto"/>
                <w:sz w:val="24"/>
                <w:szCs w:val="24"/>
                <w:highlight w:val="none"/>
                <w:lang w:val="en-US" w:eastAsia="zh-CN"/>
              </w:rPr>
            </w:pPr>
            <w:r>
              <w:rPr>
                <w:color w:val="auto"/>
              </w:rPr>
              <w:drawing>
                <wp:inline distT="0" distB="0" distL="114300" distR="114300">
                  <wp:extent cx="2212975" cy="348615"/>
                  <wp:effectExtent l="0" t="0" r="15875" b="1333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3"/>
                          <a:stretch>
                            <a:fillRect/>
                          </a:stretch>
                        </pic:blipFill>
                        <pic:spPr>
                          <a:xfrm>
                            <a:off x="0" y="0"/>
                            <a:ext cx="2212975" cy="348615"/>
                          </a:xfrm>
                          <a:prstGeom prst="rect">
                            <a:avLst/>
                          </a:prstGeom>
                          <a:noFill/>
                          <a:ln>
                            <a:noFill/>
                          </a:ln>
                        </pic:spPr>
                      </pic:pic>
                    </a:graphicData>
                  </a:graphic>
                </wp:inline>
              </w:drawing>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式中：</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Q—起尘量，kg/t·年；</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V</w:t>
            </w:r>
            <w:r>
              <w:rPr>
                <w:rFonts w:hint="eastAsia" w:ascii="Times New Roman" w:hAnsi="Times New Roman" w:eastAsia="宋体" w:cs="Times New Roman"/>
                <w:color w:val="auto"/>
                <w:sz w:val="24"/>
                <w:szCs w:val="24"/>
                <w:highlight w:val="none"/>
                <w:vertAlign w:val="subscript"/>
                <w:lang w:val="en-US" w:eastAsia="zh-CN"/>
              </w:rPr>
              <w:t>50</w:t>
            </w:r>
            <w:r>
              <w:rPr>
                <w:rFonts w:hint="eastAsia" w:ascii="Times New Roman" w:hAnsi="Times New Roman" w:eastAsia="宋体" w:cs="Times New Roman"/>
                <w:color w:val="auto"/>
                <w:sz w:val="24"/>
                <w:szCs w:val="24"/>
                <w:highlight w:val="none"/>
                <w:lang w:val="en-US" w:eastAsia="zh-CN"/>
              </w:rPr>
              <w:t>—距地面50m处风速，m/s；</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V</w:t>
            </w:r>
            <w:r>
              <w:rPr>
                <w:rFonts w:hint="eastAsia" w:ascii="Times New Roman" w:hAnsi="Times New Roman" w:eastAsia="宋体" w:cs="Times New Roman"/>
                <w:color w:val="auto"/>
                <w:sz w:val="24"/>
                <w:szCs w:val="24"/>
                <w:highlight w:val="none"/>
                <w:vertAlign w:val="subscript"/>
                <w:lang w:val="en-US" w:eastAsia="zh-CN"/>
              </w:rPr>
              <w:t>0</w:t>
            </w:r>
            <w:r>
              <w:rPr>
                <w:rFonts w:hint="eastAsia" w:ascii="Times New Roman" w:hAnsi="Times New Roman" w:eastAsia="宋体" w:cs="Times New Roman"/>
                <w:color w:val="auto"/>
                <w:sz w:val="24"/>
                <w:szCs w:val="24"/>
                <w:highlight w:val="none"/>
                <w:lang w:val="en-US" w:eastAsia="zh-CN"/>
              </w:rPr>
              <w:t>—起尘风速，m/s；</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W—尘粒的含水率，%。</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V0与粒径和含水率有关，因此，减少露天堆放和保证一定的含水率及减少裸露地面是减少风力起尘的有效手段。尘粒在空气中的传播扩散情况与风速等气象条件有关，也与尘粒本身的沉降速度有关。以沙尘为例，不同粒径的尘粒的沉降速度见</w:t>
            </w:r>
            <w:r>
              <w:rPr>
                <w:rFonts w:hint="eastAsia" w:cs="Times New Roman"/>
                <w:color w:val="auto"/>
                <w:sz w:val="24"/>
                <w:szCs w:val="24"/>
                <w:highlight w:val="none"/>
                <w:lang w:val="en-US" w:eastAsia="zh-CN"/>
              </w:rPr>
              <w:t>4-1。</w:t>
            </w:r>
          </w:p>
          <w:p>
            <w:pPr>
              <w:pStyle w:val="27"/>
              <w:rPr>
                <w:rFonts w:hint="default"/>
                <w:color w:val="auto"/>
                <w:lang w:val="en-US" w:eastAsia="zh-CN"/>
              </w:rPr>
            </w:pPr>
            <w:r>
              <w:rPr>
                <w:rFonts w:hint="eastAsia" w:ascii="Times New Roman" w:hAnsi="Times New Roman" w:eastAsia="宋体" w:cs="Times New Roman"/>
                <w:b/>
                <w:bCs/>
                <w:color w:val="auto"/>
                <w:sz w:val="22"/>
                <w:szCs w:val="22"/>
                <w:lang w:val="en-US" w:eastAsia="zh-CN"/>
              </w:rPr>
              <w:t>表4-1    工业企业厂界环境噪声排放标准</w:t>
            </w:r>
          </w:p>
          <w:tbl>
            <w:tblPr>
              <w:tblStyle w:val="24"/>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970"/>
              <w:gridCol w:w="970"/>
              <w:gridCol w:w="970"/>
              <w:gridCol w:w="970"/>
              <w:gridCol w:w="970"/>
              <w:gridCol w:w="970"/>
              <w:gridCol w:w="9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4" w:type="pct"/>
                  <w:tcBorders>
                    <w:tl2br w:val="nil"/>
                    <w:tr2bl w:val="nil"/>
                  </w:tcBorders>
                  <w:vAlign w:val="center"/>
                </w:tcPr>
                <w:p>
                  <w:pPr>
                    <w:keepLines w:val="0"/>
                    <w:pageBreakBefore w:val="0"/>
                    <w:widowControl/>
                    <w:kinsoku/>
                    <w:topLinePunct w:val="0"/>
                    <w:bidi w:val="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粒径，</w:t>
                  </w:r>
                  <w:r>
                    <w:rPr>
                      <w:rFonts w:hint="eastAsia" w:ascii="微软雅黑" w:hAnsi="微软雅黑" w:eastAsia="微软雅黑" w:cs="微软雅黑"/>
                      <w:color w:val="auto"/>
                      <w:kern w:val="0"/>
                      <w:szCs w:val="21"/>
                      <w:lang w:val="en-US" w:eastAsia="zh-CN"/>
                    </w:rPr>
                    <w:t>μm</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60</w:t>
                  </w:r>
                </w:p>
              </w:tc>
              <w:tc>
                <w:tcPr>
                  <w:tcW w:w="57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4" w:type="pct"/>
                  <w:tcBorders>
                    <w:tl2br w:val="nil"/>
                    <w:tr2bl w:val="nil"/>
                  </w:tcBorders>
                  <w:vAlign w:val="center"/>
                </w:tcPr>
                <w:p>
                  <w:pPr>
                    <w:keepLines w:val="0"/>
                    <w:pageBreakBefore w:val="0"/>
                    <w:widowControl/>
                    <w:kinsoku/>
                    <w:topLinePunct w:val="0"/>
                    <w:bidi w:val="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沉降速度，m/s</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0.003</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0.012</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0.027</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0.048</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0.075</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0.108</w:t>
                  </w:r>
                </w:p>
              </w:tc>
              <w:tc>
                <w:tcPr>
                  <w:tcW w:w="57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0.147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4" w:type="pct"/>
                  <w:tcBorders>
                    <w:tl2br w:val="nil"/>
                    <w:tr2bl w:val="nil"/>
                  </w:tcBorders>
                  <w:vAlign w:val="center"/>
                </w:tcPr>
                <w:p>
                  <w:pPr>
                    <w:keepLines w:val="0"/>
                    <w:pageBreakBefore w:val="0"/>
                    <w:widowControl/>
                    <w:kinsoku/>
                    <w:topLinePunct w:val="0"/>
                    <w:bidi w:val="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粒径，</w:t>
                  </w:r>
                  <w:r>
                    <w:rPr>
                      <w:rFonts w:hint="eastAsia" w:ascii="微软雅黑" w:hAnsi="微软雅黑" w:eastAsia="微软雅黑" w:cs="微软雅黑"/>
                      <w:color w:val="auto"/>
                      <w:kern w:val="0"/>
                      <w:szCs w:val="21"/>
                      <w:lang w:val="en-US" w:eastAsia="zh-CN"/>
                    </w:rPr>
                    <w:t>μm</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80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90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110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120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130</w:t>
                  </w:r>
                </w:p>
              </w:tc>
              <w:tc>
                <w:tcPr>
                  <w:tcW w:w="57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4" w:type="pct"/>
                  <w:tcBorders>
                    <w:tl2br w:val="nil"/>
                    <w:tr2bl w:val="nil"/>
                  </w:tcBorders>
                  <w:vAlign w:val="center"/>
                </w:tcPr>
                <w:p>
                  <w:pPr>
                    <w:keepLines w:val="0"/>
                    <w:pageBreakBefore w:val="0"/>
                    <w:widowControl/>
                    <w:kinsoku/>
                    <w:topLinePunct w:val="0"/>
                    <w:bidi w:val="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沉降速度，m/s</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0.158</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0.170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0.182</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0.239</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0.804</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1.005</w:t>
                  </w:r>
                </w:p>
              </w:tc>
              <w:tc>
                <w:tcPr>
                  <w:tcW w:w="57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1.829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4" w:type="pct"/>
                  <w:tcBorders>
                    <w:tl2br w:val="nil"/>
                    <w:tr2bl w:val="nil"/>
                  </w:tcBorders>
                  <w:vAlign w:val="center"/>
                </w:tcPr>
                <w:p>
                  <w:pPr>
                    <w:keepLines w:val="0"/>
                    <w:pageBreakBefore w:val="0"/>
                    <w:widowControl/>
                    <w:kinsoku/>
                    <w:topLinePunct w:val="0"/>
                    <w:bidi w:val="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粒径，</w:t>
                  </w:r>
                  <w:r>
                    <w:rPr>
                      <w:rFonts w:hint="eastAsia" w:ascii="微软雅黑" w:hAnsi="微软雅黑" w:eastAsia="微软雅黑" w:cs="微软雅黑"/>
                      <w:color w:val="auto"/>
                      <w:kern w:val="0"/>
                      <w:szCs w:val="21"/>
                      <w:lang w:val="en-US" w:eastAsia="zh-CN"/>
                    </w:rPr>
                    <w:t>μm</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150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160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170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180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190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200</w:t>
                  </w:r>
                </w:p>
              </w:tc>
              <w:tc>
                <w:tcPr>
                  <w:tcW w:w="57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4" w:type="pct"/>
                  <w:tcBorders>
                    <w:tl2br w:val="nil"/>
                    <w:tr2bl w:val="nil"/>
                  </w:tcBorders>
                  <w:vAlign w:val="center"/>
                </w:tcPr>
                <w:p>
                  <w:pPr>
                    <w:keepLines w:val="0"/>
                    <w:pageBreakBefore w:val="0"/>
                    <w:widowControl/>
                    <w:kinsoku/>
                    <w:topLinePunct w:val="0"/>
                    <w:bidi w:val="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沉降速度，m/s</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2.211</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2.614</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3.016</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3.418</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3.820</w:t>
                  </w:r>
                </w:p>
              </w:tc>
              <w:tc>
                <w:tcPr>
                  <w:tcW w:w="568"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4.222</w:t>
                  </w:r>
                </w:p>
              </w:tc>
              <w:tc>
                <w:tcPr>
                  <w:tcW w:w="57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4.624</w:t>
                  </w:r>
                </w:p>
              </w:tc>
            </w:tr>
          </w:tbl>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由上表可知，尘粒的沉降速度随粒径的增大而迅速增大。当粒径较大时，主要影响范围在扬尘点下风向近距离范围内，而真正对外环境产生影响的是一些微小尘粒。根据现场的气候情况不同，其影响范围也有所不同。</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期间，若不采取措施，扬尘势必对该区域环境产生一定影响。尤其是在雨水偏少的大风时期，扬尘现象较为严重。因此本工程施工期应特别注意防尘的问题，制定必要的抑尘措施，以减少施工扬尘对周围环境的影响。</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本工程施工过程中扬尘的影响范围进行类比分析。其施工扬尘随距离增加浓度衰减结果见表</w:t>
            </w:r>
            <w:r>
              <w:rPr>
                <w:rFonts w:hint="eastAsia" w:cs="Times New Roman"/>
                <w:color w:val="auto"/>
                <w:sz w:val="24"/>
                <w:szCs w:val="24"/>
                <w:highlight w:val="none"/>
                <w:lang w:val="en-US" w:eastAsia="zh-CN"/>
              </w:rPr>
              <w:t>4-2。</w:t>
            </w:r>
          </w:p>
          <w:p>
            <w:pPr>
              <w:pStyle w:val="27"/>
              <w:rPr>
                <w:rFonts w:hint="default"/>
                <w:color w:val="auto"/>
                <w:lang w:val="en-US" w:eastAsia="zh-CN"/>
              </w:rPr>
            </w:pPr>
            <w:r>
              <w:rPr>
                <w:rFonts w:hint="eastAsia" w:ascii="Times New Roman" w:hAnsi="Times New Roman" w:eastAsia="宋体" w:cs="Times New Roman"/>
                <w:b/>
                <w:bCs/>
                <w:color w:val="auto"/>
                <w:sz w:val="22"/>
                <w:szCs w:val="22"/>
                <w:lang w:val="en-US" w:eastAsia="zh-CN"/>
              </w:rPr>
              <w:t>表4-2  建筑施工工地扬尘随距离增加浓度衰减结果     单位：mg/m</w:t>
            </w:r>
            <w:r>
              <w:rPr>
                <w:rFonts w:hint="eastAsia" w:ascii="Times New Roman" w:hAnsi="Times New Roman" w:eastAsia="宋体" w:cs="Times New Roman"/>
                <w:b/>
                <w:bCs/>
                <w:color w:val="auto"/>
                <w:sz w:val="22"/>
                <w:szCs w:val="22"/>
                <w:vertAlign w:val="superscript"/>
                <w:lang w:val="en-US" w:eastAsia="zh-CN"/>
              </w:rPr>
              <w:t>3</w:t>
            </w:r>
          </w:p>
          <w:tbl>
            <w:tblPr>
              <w:tblStyle w:val="24"/>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1093"/>
              <w:gridCol w:w="1095"/>
              <w:gridCol w:w="1095"/>
              <w:gridCol w:w="1095"/>
              <w:gridCol w:w="1095"/>
              <w:gridCol w:w="10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pct"/>
                  <w:tcBorders>
                    <w:tl2br w:val="nil"/>
                    <w:tr2bl w:val="nil"/>
                  </w:tcBorders>
                  <w:vAlign w:val="center"/>
                </w:tcPr>
                <w:p>
                  <w:pPr>
                    <w:keepLines w:val="0"/>
                    <w:pageBreakBefore w:val="0"/>
                    <w:widowControl/>
                    <w:kinsoku/>
                    <w:topLinePunct w:val="0"/>
                    <w:bidi w:val="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距离（m）</w:t>
                  </w:r>
                </w:p>
              </w:tc>
              <w:tc>
                <w:tcPr>
                  <w:tcW w:w="641"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50</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100</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150</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200</w:t>
                  </w:r>
                </w:p>
              </w:tc>
              <w:tc>
                <w:tcPr>
                  <w:tcW w:w="643"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TSP浓度</w:t>
                  </w:r>
                </w:p>
              </w:tc>
              <w:tc>
                <w:tcPr>
                  <w:tcW w:w="641" w:type="pct"/>
                  <w:tcBorders>
                    <w:tl2br w:val="nil"/>
                    <w:tr2bl w:val="nil"/>
                  </w:tcBorders>
                  <w:vAlign w:val="center"/>
                </w:tcPr>
                <w:p>
                  <w:pPr>
                    <w:keepLines w:val="0"/>
                    <w:pageBreakBefore w:val="0"/>
                    <w:widowControl/>
                    <w:kinsoku/>
                    <w:topLinePunct w:val="0"/>
                    <w:bidi w:val="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1.503</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0.922</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0.602</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0.519</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0.512</w:t>
                  </w:r>
                </w:p>
              </w:tc>
              <w:tc>
                <w:tcPr>
                  <w:tcW w:w="643"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0.4506</w:t>
                  </w:r>
                </w:p>
              </w:tc>
            </w:tr>
          </w:tbl>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从上表可以看出，施工场地下风向50m处TSP浓度低于《大气污染物综合排放标准》（GB16297-1996）中规定的颗粒物无组织排放监控浓度限值（1.0mg/m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现场扬尘污染强弱还与施工现场条件、施工方式、施工设备及施工季节、气象条件、土质类型等诸多因素有关。实践表明，当施工场地采取洒水抑尘措施后，可有效降低施工区域扬尘浓度，减轻施工扬尘的环境污染。</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项目所在地常年主导风向为东北风，受施工扬尘影响的区域主要集中在施工场地的下风向。本项目施工区建设内容主要为露天采矿场、办公生活、荒料堆放场、排土场和</w:t>
            </w:r>
            <w:r>
              <w:rPr>
                <w:rFonts w:hint="eastAsia" w:cs="Times New Roman"/>
                <w:color w:val="auto"/>
                <w:sz w:val="24"/>
                <w:szCs w:val="24"/>
                <w:highlight w:val="none"/>
                <w:lang w:val="en-US" w:eastAsia="zh-CN"/>
              </w:rPr>
              <w:t>矿区</w:t>
            </w:r>
            <w:r>
              <w:rPr>
                <w:rFonts w:hint="eastAsia" w:ascii="Times New Roman" w:hAnsi="Times New Roman" w:eastAsia="宋体" w:cs="Times New Roman"/>
                <w:color w:val="auto"/>
                <w:sz w:val="24"/>
                <w:szCs w:val="24"/>
                <w:highlight w:val="none"/>
                <w:lang w:val="en-US" w:eastAsia="zh-CN"/>
              </w:rPr>
              <w:t>道路建设，项目周边1000m范围内没有居民区等敏感点，施工扬尘的影响不大。</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评价要求建设单位在土方开挖、运输和填筑等施工过程，晴天时应辅以洒水降尘措施，增加物料含水率，减少无组织施工扬尘产生量，每日洒水降尘次数不少于2次。采取洒水降尘措施，施工期扬尘对周围大气环境的影响可大为减小，并将随施工期的结束而结束。</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现场扬尘污染强弱还与施工现场条件、施工方式、施工设备及施工季节、气象条件、土质类型等诸多因素有关。实践表明，通过洒水、围挡施工、大风天气禁止施工情况下，工地扬尘量可减少70%～80%。可大大减少工地扬尘对周围空气环境的影响。</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②运输扬尘</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据有关文献资料介绍，车辆行驶产生的扬尘占总扬尘的60%以上。车辆行驶产生的扬尘，在完全干燥情况下，可按下列经验公式计算：</w:t>
            </w:r>
          </w:p>
          <w:p>
            <w:pPr>
              <w:keepLines w:val="0"/>
              <w:pageBreakBefore w:val="0"/>
              <w:kinsoku/>
              <w:wordWrap/>
              <w:overflowPunct/>
              <w:topLinePunct w:val="0"/>
              <w:autoSpaceDE/>
              <w:autoSpaceDN/>
              <w:bidi w:val="0"/>
              <w:adjustRightInd w:val="0"/>
              <w:snapToGrid w:val="0"/>
              <w:spacing w:line="360" w:lineRule="auto"/>
              <w:ind w:left="0" w:right="0" w:firstLine="420" w:firstLineChars="200"/>
              <w:jc w:val="left"/>
              <w:textAlignment w:val="auto"/>
              <w:rPr>
                <w:rFonts w:hint="eastAsia" w:ascii="Times New Roman" w:hAnsi="Times New Roman" w:eastAsia="宋体" w:cs="Times New Roman"/>
                <w:color w:val="auto"/>
                <w:sz w:val="24"/>
                <w:szCs w:val="24"/>
                <w:highlight w:val="none"/>
                <w:lang w:val="en-US" w:eastAsia="zh-CN"/>
              </w:rPr>
            </w:pPr>
            <w:r>
              <w:rPr>
                <w:color w:val="auto"/>
              </w:rPr>
              <w:drawing>
                <wp:inline distT="0" distB="0" distL="114300" distR="114300">
                  <wp:extent cx="1793875" cy="402590"/>
                  <wp:effectExtent l="0" t="0" r="15875" b="165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stretch>
                            <a:fillRect/>
                          </a:stretch>
                        </pic:blipFill>
                        <pic:spPr>
                          <a:xfrm>
                            <a:off x="0" y="0"/>
                            <a:ext cx="1793875" cy="402590"/>
                          </a:xfrm>
                          <a:prstGeom prst="rect">
                            <a:avLst/>
                          </a:prstGeom>
                          <a:noFill/>
                          <a:ln>
                            <a:noFill/>
                          </a:ln>
                        </pic:spPr>
                      </pic:pic>
                    </a:graphicData>
                  </a:graphic>
                </wp:inline>
              </w:drawing>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式中：</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Q—每辆汽车行驶扬尘量，kg/km·辆；</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V—汽车速度，km/h；</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W—汽车重量，t；</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P—道路表面粉尘量，kg/m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对于一辆20t载重汽车，通过一段路面时，不同路面清洁程度、不同行驶速度情况下的扬尘量见表</w:t>
            </w:r>
            <w:r>
              <w:rPr>
                <w:rFonts w:hint="eastAsia" w:cs="Times New Roman"/>
                <w:color w:val="auto"/>
                <w:sz w:val="24"/>
                <w:szCs w:val="24"/>
                <w:highlight w:val="none"/>
                <w:lang w:val="en-US" w:eastAsia="zh-CN"/>
              </w:rPr>
              <w:t>4-3。</w:t>
            </w:r>
          </w:p>
          <w:p>
            <w:pPr>
              <w:pStyle w:val="27"/>
              <w:rPr>
                <w:rFonts w:hint="default"/>
                <w:color w:val="auto"/>
                <w:lang w:val="en-US" w:eastAsia="zh-CN"/>
              </w:rPr>
            </w:pPr>
            <w:r>
              <w:rPr>
                <w:rFonts w:hint="eastAsia" w:ascii="Times New Roman" w:hAnsi="Times New Roman" w:eastAsia="宋体" w:cs="Times New Roman"/>
                <w:b/>
                <w:bCs/>
                <w:color w:val="auto"/>
                <w:sz w:val="22"/>
                <w:szCs w:val="22"/>
                <w:lang w:val="en-US" w:eastAsia="zh-CN"/>
              </w:rPr>
              <w:t>表4-3  在不同车速和地面清洁程度的汽车扬尘    单位：kg/辆·km</w:t>
            </w:r>
          </w:p>
          <w:tbl>
            <w:tblPr>
              <w:tblStyle w:val="24"/>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1092"/>
              <w:gridCol w:w="1095"/>
              <w:gridCol w:w="1095"/>
              <w:gridCol w:w="1095"/>
              <w:gridCol w:w="1095"/>
              <w:gridCol w:w="10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6" w:type="pct"/>
                  <w:tcBorders>
                    <w:tl2br w:val="nil"/>
                    <w:tr2bl w:val="nil"/>
                  </w:tcBorders>
                  <w:vAlign w:val="center"/>
                </w:tcPr>
                <w:p>
                  <w:pPr>
                    <w:keepLines w:val="0"/>
                    <w:pageBreakBefore w:val="0"/>
                    <w:widowControl/>
                    <w:kinsoku/>
                    <w:topLinePunct w:val="0"/>
                    <w:bidi w:val="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P 车速</w:t>
                  </w:r>
                </w:p>
              </w:tc>
              <w:tc>
                <w:tcPr>
                  <w:tcW w:w="641"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0.1kg/m</w:t>
                  </w:r>
                  <w:r>
                    <w:rPr>
                      <w:rFonts w:hint="default" w:ascii="Times New Roman" w:hAnsi="Times New Roman" w:eastAsia="宋体" w:cs="Times New Roman"/>
                      <w:color w:val="auto"/>
                      <w:kern w:val="0"/>
                      <w:szCs w:val="21"/>
                      <w:vertAlign w:val="superscript"/>
                      <w:lang w:val="en-US" w:eastAsia="zh-CN"/>
                    </w:rPr>
                    <w:t>2</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0.2</w:t>
                  </w:r>
                  <w:r>
                    <w:rPr>
                      <w:rFonts w:hint="default" w:ascii="Times New Roman" w:hAnsi="Times New Roman" w:eastAsia="宋体" w:cs="Times New Roman"/>
                      <w:color w:val="auto"/>
                      <w:kern w:val="0"/>
                      <w:szCs w:val="21"/>
                      <w:lang w:val="en-US" w:eastAsia="zh-CN"/>
                    </w:rPr>
                    <w:t>kg/m</w:t>
                  </w:r>
                  <w:r>
                    <w:rPr>
                      <w:rFonts w:hint="default" w:ascii="Times New Roman" w:hAnsi="Times New Roman" w:eastAsia="宋体" w:cs="Times New Roman"/>
                      <w:color w:val="auto"/>
                      <w:kern w:val="0"/>
                      <w:szCs w:val="21"/>
                      <w:vertAlign w:val="superscript"/>
                      <w:lang w:val="en-US" w:eastAsia="zh-CN"/>
                    </w:rPr>
                    <w:t>2</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0.3</w:t>
                  </w:r>
                  <w:r>
                    <w:rPr>
                      <w:rFonts w:hint="default" w:ascii="Times New Roman" w:hAnsi="Times New Roman" w:eastAsia="宋体" w:cs="Times New Roman"/>
                      <w:color w:val="auto"/>
                      <w:kern w:val="0"/>
                      <w:szCs w:val="21"/>
                      <w:lang w:val="en-US" w:eastAsia="zh-CN"/>
                    </w:rPr>
                    <w:t>kg/m</w:t>
                  </w:r>
                  <w:r>
                    <w:rPr>
                      <w:rFonts w:hint="default" w:ascii="Times New Roman" w:hAnsi="Times New Roman" w:eastAsia="宋体" w:cs="Times New Roman"/>
                      <w:color w:val="auto"/>
                      <w:kern w:val="0"/>
                      <w:szCs w:val="21"/>
                      <w:vertAlign w:val="superscript"/>
                      <w:lang w:val="en-US" w:eastAsia="zh-CN"/>
                    </w:rPr>
                    <w:t>2</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0.4</w:t>
                  </w:r>
                  <w:r>
                    <w:rPr>
                      <w:rFonts w:hint="default" w:ascii="Times New Roman" w:hAnsi="Times New Roman" w:eastAsia="宋体" w:cs="Times New Roman"/>
                      <w:color w:val="auto"/>
                      <w:kern w:val="0"/>
                      <w:szCs w:val="21"/>
                      <w:lang w:val="en-US" w:eastAsia="zh-CN"/>
                    </w:rPr>
                    <w:t>kg/m</w:t>
                  </w:r>
                  <w:r>
                    <w:rPr>
                      <w:rFonts w:hint="default" w:ascii="Times New Roman" w:hAnsi="Times New Roman" w:eastAsia="宋体" w:cs="Times New Roman"/>
                      <w:color w:val="auto"/>
                      <w:kern w:val="0"/>
                      <w:szCs w:val="21"/>
                      <w:vertAlign w:val="superscript"/>
                      <w:lang w:val="en-US" w:eastAsia="zh-CN"/>
                    </w:rPr>
                    <w:t>2</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0.5</w:t>
                  </w:r>
                  <w:r>
                    <w:rPr>
                      <w:rFonts w:hint="default" w:ascii="Times New Roman" w:hAnsi="Times New Roman" w:eastAsia="宋体" w:cs="Times New Roman"/>
                      <w:color w:val="auto"/>
                      <w:kern w:val="0"/>
                      <w:szCs w:val="21"/>
                      <w:lang w:val="en-US" w:eastAsia="zh-CN"/>
                    </w:rPr>
                    <w:t>kg/m</w:t>
                  </w:r>
                  <w:r>
                    <w:rPr>
                      <w:rFonts w:hint="default" w:ascii="Times New Roman" w:hAnsi="Times New Roman" w:eastAsia="宋体" w:cs="Times New Roman"/>
                      <w:color w:val="auto"/>
                      <w:kern w:val="0"/>
                      <w:szCs w:val="21"/>
                      <w:vertAlign w:val="superscript"/>
                      <w:lang w:val="en-US" w:eastAsia="zh-CN"/>
                    </w:rPr>
                    <w:t>2</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w:t>
                  </w:r>
                  <w:r>
                    <w:rPr>
                      <w:rFonts w:hint="default" w:ascii="Times New Roman" w:hAnsi="Times New Roman" w:eastAsia="宋体" w:cs="Times New Roman"/>
                      <w:color w:val="auto"/>
                      <w:kern w:val="0"/>
                      <w:szCs w:val="21"/>
                      <w:lang w:val="en-US" w:eastAsia="zh-CN"/>
                    </w:rPr>
                    <w:t>kg/m</w:t>
                  </w:r>
                  <w:r>
                    <w:rPr>
                      <w:rFonts w:hint="default" w:ascii="Times New Roman" w:hAnsi="Times New Roman" w:eastAsia="宋体" w:cs="Times New Roman"/>
                      <w:color w:val="auto"/>
                      <w:kern w:val="0"/>
                      <w:szCs w:val="21"/>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6"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5km/h</w:t>
                  </w:r>
                </w:p>
              </w:tc>
              <w:tc>
                <w:tcPr>
                  <w:tcW w:w="641"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0.381</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0.628</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0.814</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1.035</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1.215</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6"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10</w:t>
                  </w:r>
                  <w:r>
                    <w:rPr>
                      <w:rFonts w:hint="default" w:ascii="Times New Roman" w:hAnsi="Times New Roman" w:eastAsia="宋体" w:cs="Times New Roman"/>
                      <w:color w:val="auto"/>
                      <w:kern w:val="0"/>
                      <w:szCs w:val="21"/>
                      <w:lang w:val="en-US" w:eastAsia="zh-CN"/>
                    </w:rPr>
                    <w:t>km/h</w:t>
                  </w:r>
                </w:p>
              </w:tc>
              <w:tc>
                <w:tcPr>
                  <w:tcW w:w="641"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0.763</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1.257</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1.683</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2.070</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2.431</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4.004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6"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15</w:t>
                  </w:r>
                  <w:r>
                    <w:rPr>
                      <w:rFonts w:hint="default" w:ascii="Times New Roman" w:hAnsi="Times New Roman" w:eastAsia="宋体" w:cs="Times New Roman"/>
                      <w:color w:val="auto"/>
                      <w:kern w:val="0"/>
                      <w:szCs w:val="21"/>
                      <w:lang w:val="en-US" w:eastAsia="zh-CN"/>
                    </w:rPr>
                    <w:t>km/h</w:t>
                  </w:r>
                </w:p>
              </w:tc>
              <w:tc>
                <w:tcPr>
                  <w:tcW w:w="641"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1.144</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1.885</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2.524</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3.105</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3.646</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6.006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6"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w:t>
                  </w:r>
                  <w:r>
                    <w:rPr>
                      <w:rFonts w:hint="default" w:ascii="Times New Roman" w:hAnsi="Times New Roman" w:eastAsia="宋体" w:cs="Times New Roman"/>
                      <w:color w:val="auto"/>
                      <w:kern w:val="0"/>
                      <w:szCs w:val="21"/>
                      <w:lang w:val="en-US" w:eastAsia="zh-CN"/>
                    </w:rPr>
                    <w:t>km/h</w:t>
                  </w:r>
                </w:p>
              </w:tc>
              <w:tc>
                <w:tcPr>
                  <w:tcW w:w="641"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1.526</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2.513</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3.365</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4.140</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4.861</w:t>
                  </w:r>
                </w:p>
              </w:tc>
              <w:tc>
                <w:tcPr>
                  <w:tcW w:w="642" w:type="pct"/>
                  <w:tcBorders>
                    <w:tl2br w:val="nil"/>
                    <w:tr2bl w:val="nil"/>
                  </w:tcBorders>
                  <w:vAlign w:val="center"/>
                </w:tcPr>
                <w:p>
                  <w:pPr>
                    <w:keepLines w:val="0"/>
                    <w:pageBreakBefore w:val="0"/>
                    <w:widowControl/>
                    <w:kinsoku/>
                    <w:topLinePunct w:val="0"/>
                    <w:bidi w:val="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8.008</w:t>
                  </w:r>
                </w:p>
              </w:tc>
            </w:tr>
          </w:tbl>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由此可见，在同样路面清洁程度条件下，车速越快，扬尘量越大；而在同样车速情况下，路面越脏，则扬尘量越大。因此限速行驶及保持路面湿润清洁是减少汽车扬尘的有效手段。</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其他工程现场实测情况，类似路面交通运输产生的扬尘影响范围一般在宽10～50m、高4～5m的空间内，几分钟后较大颗粒即可沉降至地面，微细颗粒在空中停留时间较长，但是在扬尘中所占比重较小，因此影响也较小。</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如果在施工期间车辆行驶的路面实施洒水抑尘，保持路面湿润，可使扬尘减少70%以上，并且扬尘造成的TSP污染距离可缩小到20～50m范围内。当根据现场调查情况，施工期运输道路附近居民点均距离施工道路50m以外，在工程采取洒水降尘及车辆限速等措施后，对周边居民点的影响不大。</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（2）施工机械废气</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施工期燃油污染物主要来自施工机械、运输车辆在运行过程中废气排放，运输车辆和施工机械动力源主要为柴油，主要污染物为NO</w:t>
            </w:r>
            <w:r>
              <w:rPr>
                <w:rFonts w:hint="eastAsia" w:ascii="Times New Roman" w:hAnsi="Times New Roman" w:eastAsia="宋体" w:cs="Times New Roman"/>
                <w:color w:val="auto"/>
                <w:sz w:val="24"/>
                <w:szCs w:val="24"/>
                <w:highlight w:val="none"/>
                <w:vertAlign w:val="subscript"/>
                <w:lang w:val="en-US" w:eastAsia="zh-CN"/>
              </w:rPr>
              <w:t>X</w:t>
            </w:r>
            <w:r>
              <w:rPr>
                <w:rFonts w:hint="eastAsia" w:ascii="Times New Roman" w:hAnsi="Times New Roman" w:eastAsia="宋体" w:cs="Times New Roman"/>
                <w:color w:val="auto"/>
                <w:sz w:val="24"/>
                <w:szCs w:val="24"/>
                <w:highlight w:val="none"/>
                <w:lang w:val="en-US" w:eastAsia="zh-CN"/>
              </w:rPr>
              <w:t>、CO、THC等，其特点是排放量小，属间断性排放。由于本工程全部机械并非同时使用，而是根据施工进度，分时段分区域</w:t>
            </w:r>
            <w:r>
              <w:rPr>
                <w:rFonts w:hint="eastAsia" w:cs="Times New Roman"/>
                <w:color w:val="auto"/>
                <w:sz w:val="24"/>
                <w:szCs w:val="24"/>
                <w:highlight w:val="none"/>
                <w:lang w:val="en-US" w:eastAsia="zh-CN"/>
              </w:rPr>
              <w:t>地</w:t>
            </w:r>
            <w:r>
              <w:rPr>
                <w:rFonts w:hint="eastAsia" w:ascii="Times New Roman" w:hAnsi="Times New Roman" w:eastAsia="宋体" w:cs="Times New Roman"/>
                <w:color w:val="auto"/>
                <w:sz w:val="24"/>
                <w:szCs w:val="24"/>
                <w:highlight w:val="none"/>
                <w:lang w:val="en-US" w:eastAsia="zh-CN"/>
              </w:rPr>
              <w:t>开展施工作业。施工区域周边大气扩散条件较好，有利于污染物的扩散。</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单位必须使用污染物排放符合国家标准的运输车辆，加强对车辆的保养，使车辆处于良好的工作状态，严禁使用报废车辆，以减少施工车辆尾气对周围环境的影响。项目施工期废气对区域环境空气影响不大，且施工结束后，施</w:t>
            </w:r>
            <w:r>
              <w:rPr>
                <w:rFonts w:hint="eastAsia"/>
                <w:b w:val="0"/>
                <w:bCs/>
                <w:color w:val="auto"/>
                <w:sz w:val="24"/>
                <w:lang w:val="en-US" w:eastAsia="zh-CN"/>
              </w:rPr>
              <w:t>工机械设备</w:t>
            </w:r>
            <w:r>
              <w:rPr>
                <w:rFonts w:hint="eastAsia" w:ascii="Times New Roman" w:hAnsi="Times New Roman" w:eastAsia="宋体" w:cs="Times New Roman"/>
                <w:color w:val="auto"/>
                <w:sz w:val="24"/>
                <w:szCs w:val="24"/>
                <w:highlight w:val="none"/>
                <w:lang w:val="en-US" w:eastAsia="zh-CN"/>
              </w:rPr>
              <w:t>排放污染物会随施工活动停止而停止。</w:t>
            </w:r>
          </w:p>
          <w:p>
            <w:pPr>
              <w:keepLines w:val="0"/>
              <w:pageBreakBefore w:val="0"/>
              <w:kinsoku/>
              <w:wordWrap/>
              <w:overflowPunct/>
              <w:topLinePunct w:val="0"/>
              <w:autoSpaceDE/>
              <w:autoSpaceDN/>
              <w:bidi w:val="0"/>
              <w:adjustRightInd w:val="0"/>
              <w:snapToGrid w:val="0"/>
              <w:spacing w:line="360" w:lineRule="auto"/>
              <w:ind w:left="0" w:right="0" w:firstLine="480" w:firstLineChars="200"/>
              <w:jc w:val="left"/>
              <w:textAlignment w:val="auto"/>
              <w:rPr>
                <w:b w:val="0"/>
                <w:bCs/>
                <w:color w:val="auto"/>
              </w:rPr>
            </w:pPr>
            <w:r>
              <w:rPr>
                <w:rFonts w:hint="eastAsia" w:ascii="Times New Roman" w:hAnsi="Times New Roman" w:eastAsia="宋体" w:cs="Times New Roman"/>
                <w:color w:val="auto"/>
                <w:sz w:val="24"/>
                <w:szCs w:val="24"/>
                <w:highlight w:val="none"/>
                <w:lang w:val="en-US" w:eastAsia="zh-CN"/>
              </w:rPr>
              <w:t>2、</w:t>
            </w:r>
            <w:r>
              <w:rPr>
                <w:rFonts w:hint="eastAsia"/>
                <w:b w:val="0"/>
                <w:bCs/>
                <w:color w:val="auto"/>
                <w:sz w:val="24"/>
              </w:rPr>
              <w:t>废水</w:t>
            </w:r>
            <w:r>
              <w:rPr>
                <w:rFonts w:hint="eastAsia"/>
                <w:b w:val="0"/>
                <w:bCs/>
                <w:color w:val="auto"/>
                <w:sz w:val="24"/>
                <w:lang w:val="en-US" w:eastAsia="zh-CN"/>
              </w:rPr>
              <w:t>污染物</w:t>
            </w:r>
            <w:r>
              <w:rPr>
                <w:rFonts w:hint="eastAsia"/>
                <w:b w:val="0"/>
                <w:bCs/>
                <w:color w:val="auto"/>
                <w:sz w:val="24"/>
              </w:rPr>
              <w:t>影响分析</w:t>
            </w:r>
          </w:p>
          <w:p>
            <w:pPr>
              <w:pStyle w:val="35"/>
              <w:keepNext w:val="0"/>
              <w:keepLines w:val="0"/>
              <w:pageBreakBefore w:val="0"/>
              <w:widowControl w:val="0"/>
              <w:kinsoku/>
              <w:wordWrap/>
              <w:overflowPunct/>
              <w:topLinePunct w:val="0"/>
              <w:autoSpaceDE/>
              <w:autoSpaceDN/>
              <w:bidi w:val="0"/>
              <w:snapToGrid/>
              <w:spacing w:line="360" w:lineRule="auto"/>
              <w:ind w:left="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本项目施工期产生的废水主要为施工人员生活污水。</w:t>
            </w:r>
          </w:p>
          <w:p>
            <w:pPr>
              <w:pStyle w:val="35"/>
              <w:keepNext w:val="0"/>
              <w:keepLines w:val="0"/>
              <w:pageBreakBefore w:val="0"/>
              <w:widowControl w:val="0"/>
              <w:kinsoku/>
              <w:wordWrap/>
              <w:overflowPunct/>
              <w:topLinePunct w:val="0"/>
              <w:autoSpaceDE/>
              <w:autoSpaceDN/>
              <w:bidi w:val="0"/>
              <w:snapToGrid/>
              <w:spacing w:line="360" w:lineRule="auto"/>
              <w:ind w:left="0"/>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污水排放量采用单位人口排污系数法计算，本项目设置1个施工营地，配置施工人员10人。根据《室外给水设计规范》（GB50013-2006），用水定额按150L/(人·d)计，排污系数取0.8，则生活污水产生量约为1.2m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/d。</w:t>
            </w:r>
          </w:p>
          <w:p>
            <w:pPr>
              <w:pStyle w:val="35"/>
              <w:keepNext w:val="0"/>
              <w:keepLines w:val="0"/>
              <w:pageBreakBefore w:val="0"/>
              <w:widowControl w:val="0"/>
              <w:kinsoku/>
              <w:wordWrap/>
              <w:overflowPunct/>
              <w:topLinePunct w:val="0"/>
              <w:autoSpaceDE/>
              <w:autoSpaceDN/>
              <w:bidi w:val="0"/>
              <w:snapToGrid/>
              <w:spacing w:line="360" w:lineRule="auto"/>
              <w:ind w:left="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施工人员生活污水主要为餐饮、粪便、洗漱等污水，污水成分较为简单，污染物浓度也较低。若直接排入附近水体，将对水质造成污染。本项目生活污水用于绿化，生活污水处理后的水质满足《农村生活污水处理排放标准》(DB654275-2019)</w:t>
            </w:r>
            <w:r>
              <w:rPr>
                <w:rFonts w:hint="eastAsia" w:cs="Times New Roman"/>
                <w:color w:val="auto"/>
                <w:lang w:val="en-US" w:eastAsia="zh-CN"/>
              </w:rPr>
              <w:t>C</w:t>
            </w:r>
            <w:r>
              <w:rPr>
                <w:rFonts w:hint="eastAsia" w:ascii="Times New Roman" w:hAnsi="Times New Roman" w:eastAsia="宋体" w:cs="Times New Roman"/>
                <w:color w:val="auto"/>
                <w:lang w:val="en-US" w:eastAsia="zh-CN"/>
              </w:rPr>
              <w:t>级标准限值后，用于项目区周边荒漠生态恢复的灌溉。</w:t>
            </w:r>
          </w:p>
          <w:p>
            <w:pPr>
              <w:pStyle w:val="35"/>
              <w:keepNext w:val="0"/>
              <w:keepLines w:val="0"/>
              <w:pageBreakBefore w:val="0"/>
              <w:widowControl w:val="0"/>
              <w:kinsoku/>
              <w:wordWrap/>
              <w:overflowPunct/>
              <w:topLinePunct w:val="0"/>
              <w:autoSpaceDE/>
              <w:autoSpaceDN/>
              <w:bidi w:val="0"/>
              <w:snapToGrid/>
              <w:spacing w:line="360" w:lineRule="auto"/>
              <w:ind w:left="0"/>
              <w:jc w:val="both"/>
              <w:textAlignment w:val="auto"/>
              <w:rPr>
                <w:rFonts w:hint="eastAsia"/>
                <w:b/>
                <w:color w:val="auto"/>
                <w:lang w:val="en-US" w:eastAsia="zh-CN"/>
              </w:rPr>
            </w:pPr>
            <w:r>
              <w:rPr>
                <w:rFonts w:hint="eastAsia" w:ascii="Times New Roman" w:hAnsi="Times New Roman" w:eastAsia="宋体" w:cs="Times New Roman"/>
                <w:color w:val="auto"/>
                <w:lang w:val="en-US" w:eastAsia="zh-CN"/>
              </w:rPr>
              <w:t>在采取相应的措施后，本工程施工对周边水体的环境影响较小。</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b w:val="0"/>
                <w:bCs/>
                <w:color w:val="auto"/>
              </w:rPr>
            </w:pPr>
            <w:r>
              <w:rPr>
                <w:rFonts w:hint="eastAsia"/>
                <w:b w:val="0"/>
                <w:bCs/>
                <w:color w:val="auto"/>
                <w:lang w:val="en-US" w:eastAsia="zh-CN"/>
              </w:rPr>
              <w:t>3、</w:t>
            </w:r>
            <w:r>
              <w:rPr>
                <w:rFonts w:hint="eastAsia"/>
                <w:b w:val="0"/>
                <w:bCs/>
                <w:color w:val="auto"/>
              </w:rPr>
              <w:t>噪声</w:t>
            </w:r>
            <w:r>
              <w:rPr>
                <w:rFonts w:hint="eastAsia"/>
                <w:b w:val="0"/>
                <w:bCs/>
                <w:color w:val="auto"/>
                <w:lang w:val="en-US" w:eastAsia="zh-CN"/>
              </w:rPr>
              <w:t>污染物</w:t>
            </w:r>
            <w:r>
              <w:rPr>
                <w:rFonts w:hint="eastAsia"/>
                <w:b w:val="0"/>
                <w:bCs/>
                <w:color w:val="auto"/>
                <w:sz w:val="24"/>
              </w:rPr>
              <w:t>影响分析</w:t>
            </w:r>
          </w:p>
          <w:p>
            <w:pPr>
              <w:keepNext w:val="0"/>
              <w:keepLines w:val="0"/>
              <w:pageBreakBefore w:val="0"/>
              <w:widowControl w:val="0"/>
              <w:kinsoku/>
              <w:wordWrap/>
              <w:overflowPunct/>
              <w:topLinePunct w:val="0"/>
              <w:autoSpaceDE/>
              <w:autoSpaceDN/>
              <w:bidi w:val="0"/>
              <w:snapToGrid/>
              <w:spacing w:line="360" w:lineRule="auto"/>
              <w:ind w:left="0" w:firstLine="480" w:firstLineChars="200"/>
              <w:textAlignment w:val="auto"/>
              <w:rPr>
                <w:bCs/>
                <w:color w:val="auto"/>
                <w:sz w:val="24"/>
              </w:rPr>
            </w:pPr>
            <w:r>
              <w:rPr>
                <w:rFonts w:hint="eastAsia"/>
                <w:bCs/>
                <w:color w:val="auto"/>
                <w:sz w:val="24"/>
              </w:rPr>
              <w:t>施工期噪声主要可分为施工作业噪声、机械噪声和施工车辆噪声。施工作业噪声主要指一些施工中的敲打声、装卸过程建材的撞击声等，多为瞬间噪声；机械噪声主要由施工机械产生，多为间歇噪声；施工车辆噪声属于交通噪声。在这些施工噪声中对声环境影响最大的是机械噪声。</w:t>
            </w:r>
          </w:p>
          <w:p>
            <w:pPr>
              <w:pageBreakBefore w:val="0"/>
              <w:kinsoku/>
              <w:wordWrap/>
              <w:overflowPunct/>
              <w:topLinePunct w:val="0"/>
              <w:autoSpaceDE/>
              <w:autoSpaceDN/>
              <w:bidi w:val="0"/>
              <w:spacing w:line="360" w:lineRule="auto"/>
              <w:ind w:firstLine="480" w:firstLineChars="200"/>
              <w:textAlignment w:val="auto"/>
              <w:rPr>
                <w:rFonts w:hint="eastAsia"/>
                <w:color w:val="auto"/>
                <w:sz w:val="24"/>
                <w:highlight w:val="none"/>
              </w:rPr>
            </w:pPr>
            <w:r>
              <w:rPr>
                <w:rFonts w:hint="eastAsia"/>
                <w:color w:val="auto"/>
                <w:sz w:val="24"/>
                <w:highlight w:val="none"/>
              </w:rPr>
              <w:t>本项目噪声的来源包括运输车辆噪声、发电机噪声，噪声源强约85-95dB（A）</w:t>
            </w:r>
            <w:r>
              <w:rPr>
                <w:rFonts w:hint="eastAsia"/>
                <w:color w:val="auto"/>
                <w:sz w:val="24"/>
                <w:highlight w:val="none"/>
                <w:lang w:eastAsia="zh-CN"/>
              </w:rPr>
              <w:t>，</w:t>
            </w:r>
            <w:r>
              <w:rPr>
                <w:rFonts w:hint="eastAsia"/>
                <w:color w:val="auto"/>
                <w:sz w:val="24"/>
                <w:highlight w:val="none"/>
                <w:lang w:val="en-US" w:eastAsia="zh-CN"/>
              </w:rPr>
              <w:t>周边无环境敏感目标，对环境影响较小</w:t>
            </w:r>
            <w:r>
              <w:rPr>
                <w:rFonts w:hint="eastAsia"/>
                <w:color w:val="auto"/>
                <w:sz w:val="24"/>
                <w:highlight w:val="none"/>
              </w:rPr>
              <w:t>。</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施工噪声预测</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color w:val="auto"/>
                <w:sz w:val="24"/>
                <w:szCs w:val="24"/>
                <w:highlight w:val="none"/>
              </w:rPr>
            </w:pPr>
            <w:r>
              <w:rPr>
                <w:rFonts w:hint="eastAsia"/>
                <w:color w:val="auto"/>
                <w:sz w:val="24"/>
                <w:szCs w:val="24"/>
                <w:highlight w:val="none"/>
              </w:rPr>
              <w:t>施工噪声可近似视为点声源处理，其衰减模式如下：</w:t>
            </w:r>
          </w:p>
          <w:p>
            <w:pPr>
              <w:pStyle w:val="35"/>
              <w:keepNext w:val="0"/>
              <w:keepLines w:val="0"/>
              <w:pageBreakBefore w:val="0"/>
              <w:kinsoku/>
              <w:wordWrap/>
              <w:overflowPunct/>
              <w:topLinePunct w:val="0"/>
              <w:autoSpaceDE/>
              <w:autoSpaceDN/>
              <w:bidi w:val="0"/>
              <w:adjustRightInd/>
              <w:snapToGrid/>
              <w:spacing w:line="360" w:lineRule="auto"/>
              <w:ind w:left="0"/>
              <w:jc w:val="center"/>
              <w:textAlignment w:val="auto"/>
              <w:rPr>
                <w:color w:val="auto"/>
                <w:sz w:val="24"/>
                <w:szCs w:val="24"/>
                <w:highlight w:val="none"/>
              </w:rPr>
            </w:pPr>
            <w:r>
              <w:rPr>
                <w:rFonts w:hint="eastAsia"/>
                <w:color w:val="auto"/>
                <w:sz w:val="24"/>
                <w:szCs w:val="24"/>
                <w:highlight w:val="none"/>
              </w:rPr>
              <w:t>Lp=Lpo-20Lg(r/ro)－△L</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color w:val="auto"/>
                <w:sz w:val="24"/>
                <w:szCs w:val="24"/>
                <w:highlight w:val="none"/>
              </w:rPr>
            </w:pPr>
            <w:r>
              <w:rPr>
                <w:rFonts w:hint="eastAsia"/>
                <w:color w:val="auto"/>
                <w:sz w:val="24"/>
                <w:szCs w:val="24"/>
                <w:highlight w:val="none"/>
              </w:rPr>
              <w:t>式中：Lp——距声源rm处的施工噪声预测值，dB(A)；</w:t>
            </w:r>
          </w:p>
          <w:p>
            <w:pPr>
              <w:pStyle w:val="35"/>
              <w:keepNext w:val="0"/>
              <w:keepLines w:val="0"/>
              <w:pageBreakBefore w:val="0"/>
              <w:kinsoku/>
              <w:wordWrap/>
              <w:overflowPunct/>
              <w:topLinePunct w:val="0"/>
              <w:autoSpaceDE/>
              <w:autoSpaceDN/>
              <w:bidi w:val="0"/>
              <w:adjustRightInd/>
              <w:snapToGrid/>
              <w:spacing w:line="360" w:lineRule="auto"/>
              <w:ind w:left="0" w:firstLine="1200" w:firstLineChars="500"/>
              <w:textAlignment w:val="auto"/>
              <w:rPr>
                <w:color w:val="auto"/>
                <w:sz w:val="24"/>
                <w:szCs w:val="24"/>
                <w:highlight w:val="none"/>
              </w:rPr>
            </w:pPr>
            <w:r>
              <w:rPr>
                <w:rFonts w:hint="eastAsia"/>
                <w:color w:val="auto"/>
                <w:sz w:val="24"/>
                <w:szCs w:val="24"/>
                <w:highlight w:val="none"/>
              </w:rPr>
              <w:t>Lpo——距声源rom处的参考声级，dB(A)；</w:t>
            </w:r>
          </w:p>
          <w:p>
            <w:pPr>
              <w:pStyle w:val="35"/>
              <w:keepNext w:val="0"/>
              <w:keepLines w:val="0"/>
              <w:pageBreakBefore w:val="0"/>
              <w:kinsoku/>
              <w:wordWrap/>
              <w:overflowPunct/>
              <w:topLinePunct w:val="0"/>
              <w:autoSpaceDE/>
              <w:autoSpaceDN/>
              <w:bidi w:val="0"/>
              <w:adjustRightInd/>
              <w:snapToGrid/>
              <w:spacing w:line="360" w:lineRule="auto"/>
              <w:ind w:left="0" w:firstLine="1200" w:firstLineChars="500"/>
              <w:textAlignment w:val="auto"/>
              <w:rPr>
                <w:color w:val="auto"/>
                <w:sz w:val="24"/>
                <w:szCs w:val="24"/>
                <w:highlight w:val="none"/>
              </w:rPr>
            </w:pPr>
            <w:r>
              <w:rPr>
                <w:rFonts w:hint="eastAsia"/>
                <w:color w:val="auto"/>
                <w:sz w:val="24"/>
                <w:szCs w:val="24"/>
                <w:highlight w:val="none"/>
              </w:rPr>
              <w:t>ro——Lpo噪声的测点距离（1m），m。</w:t>
            </w:r>
          </w:p>
          <w:p>
            <w:pPr>
              <w:pStyle w:val="35"/>
              <w:keepNext w:val="0"/>
              <w:keepLines w:val="0"/>
              <w:pageBreakBefore w:val="0"/>
              <w:kinsoku/>
              <w:wordWrap/>
              <w:overflowPunct/>
              <w:topLinePunct w:val="0"/>
              <w:autoSpaceDE/>
              <w:autoSpaceDN/>
              <w:bidi w:val="0"/>
              <w:adjustRightInd/>
              <w:snapToGrid/>
              <w:spacing w:line="360" w:lineRule="auto"/>
              <w:ind w:left="0" w:firstLine="1200" w:firstLineChars="500"/>
              <w:textAlignment w:val="auto"/>
              <w:rPr>
                <w:color w:val="auto"/>
                <w:sz w:val="24"/>
                <w:szCs w:val="24"/>
                <w:highlight w:val="none"/>
              </w:rPr>
            </w:pPr>
            <w:r>
              <w:rPr>
                <w:rFonts w:hint="eastAsia"/>
                <w:color w:val="auto"/>
                <w:sz w:val="24"/>
                <w:szCs w:val="24"/>
                <w:highlight w:val="none"/>
              </w:rPr>
              <w:t>△L——采取各种措施后的噪声衰减量，dB(A)。</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color w:val="auto"/>
                <w:sz w:val="24"/>
                <w:szCs w:val="24"/>
                <w:highlight w:val="none"/>
              </w:rPr>
            </w:pPr>
            <w:r>
              <w:rPr>
                <w:rFonts w:hint="eastAsia"/>
                <w:color w:val="auto"/>
                <w:sz w:val="24"/>
                <w:szCs w:val="24"/>
                <w:highlight w:val="none"/>
              </w:rPr>
              <w:t>施工期主要噪声源主要为</w:t>
            </w:r>
            <w:r>
              <w:rPr>
                <w:rFonts w:hint="eastAsia"/>
                <w:color w:val="auto"/>
                <w:sz w:val="24"/>
                <w:szCs w:val="24"/>
                <w:highlight w:val="none"/>
                <w:lang w:val="en-US" w:eastAsia="zh-CN"/>
              </w:rPr>
              <w:t>道路修建以及生活营地建设过程中</w:t>
            </w:r>
            <w:r>
              <w:rPr>
                <w:rFonts w:hint="eastAsia"/>
                <w:color w:val="auto"/>
                <w:sz w:val="24"/>
                <w:szCs w:val="24"/>
                <w:highlight w:val="none"/>
              </w:rPr>
              <w:t>施工机械产生的噪声。</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rPr>
              <w:t>2</w:t>
            </w:r>
            <w:r>
              <w:rPr>
                <w:rFonts w:hint="eastAsia"/>
                <w:color w:val="auto"/>
                <w:sz w:val="24"/>
                <w:szCs w:val="24"/>
                <w:highlight w:val="none"/>
                <w:lang w:eastAsia="zh-CN"/>
              </w:rPr>
              <w:t>）</w:t>
            </w:r>
            <w:r>
              <w:rPr>
                <w:rFonts w:hint="eastAsia"/>
                <w:color w:val="auto"/>
                <w:sz w:val="24"/>
                <w:szCs w:val="24"/>
                <w:highlight w:val="none"/>
              </w:rPr>
              <w:t>施工噪声预测结果及分析</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①预测结果</w:t>
            </w:r>
          </w:p>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运用上式对施工中施工机械噪声的环境影响进行预测计算，其结果如表</w:t>
            </w:r>
            <w:r>
              <w:rPr>
                <w:rFonts w:hint="default" w:ascii="Times New Roman" w:hAnsi="Times New Roman" w:cs="Times New Roman"/>
                <w:color w:val="auto"/>
                <w:sz w:val="24"/>
                <w:szCs w:val="24"/>
                <w:highlight w:val="none"/>
                <w:lang w:val="en-US" w:eastAsia="zh-CN"/>
              </w:rPr>
              <w:t>4-</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所示。</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表4-</w:t>
            </w:r>
            <w:r>
              <w:rPr>
                <w:rFonts w:hint="eastAsia" w:cs="Times New Roman"/>
                <w:b/>
                <w:bCs/>
                <w:color w:val="auto"/>
                <w:sz w:val="22"/>
                <w:szCs w:val="22"/>
                <w:lang w:val="en-US" w:eastAsia="zh-CN"/>
              </w:rPr>
              <w:t>4</w:t>
            </w:r>
            <w:r>
              <w:rPr>
                <w:rFonts w:hint="eastAsia" w:ascii="Times New Roman" w:hAnsi="Times New Roman" w:eastAsia="宋体" w:cs="Times New Roman"/>
                <w:b/>
                <w:bCs/>
                <w:color w:val="auto"/>
                <w:sz w:val="22"/>
                <w:szCs w:val="22"/>
                <w:lang w:val="en-US" w:eastAsia="zh-CN"/>
              </w:rPr>
              <w:t xml:space="preserve">   项目主要施工机械在不同距离处的噪声预测值</w:t>
            </w:r>
          </w:p>
          <w:tbl>
            <w:tblPr>
              <w:tblStyle w:val="23"/>
              <w:tblW w:w="4999"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544"/>
              <w:gridCol w:w="667"/>
              <w:gridCol w:w="669"/>
              <w:gridCol w:w="669"/>
              <w:gridCol w:w="713"/>
              <w:gridCol w:w="791"/>
              <w:gridCol w:w="791"/>
              <w:gridCol w:w="791"/>
              <w:gridCol w:w="793"/>
              <w:gridCol w:w="8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机械类型</w:t>
                  </w:r>
                </w:p>
              </w:tc>
              <w:tc>
                <w:tcPr>
                  <w:tcW w:w="4242" w:type="pct"/>
                  <w:gridSpan w:val="10"/>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噪声预测值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5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p>
              </w:tc>
              <w:tc>
                <w:tcPr>
                  <w:tcW w:w="3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5m</w:t>
                  </w:r>
                </w:p>
              </w:tc>
              <w:tc>
                <w:tcPr>
                  <w:tcW w:w="3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10m</w:t>
                  </w:r>
                </w:p>
              </w:tc>
              <w:tc>
                <w:tcPr>
                  <w:tcW w:w="39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20m</w:t>
                  </w:r>
                </w:p>
              </w:tc>
              <w:tc>
                <w:tcPr>
                  <w:tcW w:w="39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50m</w:t>
                  </w:r>
                </w:p>
              </w:tc>
              <w:tc>
                <w:tcPr>
                  <w:tcW w:w="41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60m</w:t>
                  </w:r>
                </w:p>
              </w:tc>
              <w:tc>
                <w:tcPr>
                  <w:tcW w:w="4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100m</w:t>
                  </w:r>
                </w:p>
              </w:tc>
              <w:tc>
                <w:tcPr>
                  <w:tcW w:w="4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150m</w:t>
                  </w:r>
                </w:p>
              </w:tc>
              <w:tc>
                <w:tcPr>
                  <w:tcW w:w="4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200m</w:t>
                  </w:r>
                </w:p>
              </w:tc>
              <w:tc>
                <w:tcPr>
                  <w:tcW w:w="46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300m</w:t>
                  </w:r>
                </w:p>
              </w:tc>
              <w:tc>
                <w:tcPr>
                  <w:tcW w:w="46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挖掘机</w:t>
                  </w:r>
                </w:p>
              </w:tc>
              <w:tc>
                <w:tcPr>
                  <w:tcW w:w="3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81</w:t>
                  </w:r>
                </w:p>
              </w:tc>
              <w:tc>
                <w:tcPr>
                  <w:tcW w:w="3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w:t>
                  </w:r>
                </w:p>
              </w:tc>
              <w:tc>
                <w:tcPr>
                  <w:tcW w:w="39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w:t>
                  </w:r>
                </w:p>
              </w:tc>
              <w:tc>
                <w:tcPr>
                  <w:tcW w:w="39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61</w:t>
                  </w:r>
                </w:p>
              </w:tc>
              <w:tc>
                <w:tcPr>
                  <w:tcW w:w="41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59.4</w:t>
                  </w:r>
                </w:p>
              </w:tc>
              <w:tc>
                <w:tcPr>
                  <w:tcW w:w="4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c>
                <w:tcPr>
                  <w:tcW w:w="4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51.5</w:t>
                  </w:r>
                </w:p>
              </w:tc>
              <w:tc>
                <w:tcPr>
                  <w:tcW w:w="4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49</w:t>
                  </w:r>
                </w:p>
              </w:tc>
              <w:tc>
                <w:tcPr>
                  <w:tcW w:w="46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45.4</w:t>
                  </w:r>
                </w:p>
              </w:tc>
              <w:tc>
                <w:tcPr>
                  <w:tcW w:w="46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切割机</w:t>
                  </w:r>
                </w:p>
              </w:tc>
              <w:tc>
                <w:tcPr>
                  <w:tcW w:w="3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85</w:t>
                  </w:r>
                </w:p>
              </w:tc>
              <w:tc>
                <w:tcPr>
                  <w:tcW w:w="3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79</w:t>
                  </w:r>
                </w:p>
              </w:tc>
              <w:tc>
                <w:tcPr>
                  <w:tcW w:w="39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73</w:t>
                  </w:r>
                </w:p>
              </w:tc>
              <w:tc>
                <w:tcPr>
                  <w:tcW w:w="39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41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63.4</w:t>
                  </w:r>
                </w:p>
              </w:tc>
              <w:tc>
                <w:tcPr>
                  <w:tcW w:w="4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59</w:t>
                  </w:r>
                </w:p>
              </w:tc>
              <w:tc>
                <w:tcPr>
                  <w:tcW w:w="4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55.5</w:t>
                  </w:r>
                </w:p>
              </w:tc>
              <w:tc>
                <w:tcPr>
                  <w:tcW w:w="4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53</w:t>
                  </w:r>
                </w:p>
              </w:tc>
              <w:tc>
                <w:tcPr>
                  <w:tcW w:w="46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49.4</w:t>
                  </w:r>
                </w:p>
              </w:tc>
              <w:tc>
                <w:tcPr>
                  <w:tcW w:w="46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焊接机</w:t>
                  </w:r>
                </w:p>
              </w:tc>
              <w:tc>
                <w:tcPr>
                  <w:tcW w:w="3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72</w:t>
                  </w:r>
                </w:p>
              </w:tc>
              <w:tc>
                <w:tcPr>
                  <w:tcW w:w="3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66</w:t>
                  </w:r>
                </w:p>
              </w:tc>
              <w:tc>
                <w:tcPr>
                  <w:tcW w:w="39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39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w:t>
                  </w:r>
                </w:p>
              </w:tc>
              <w:tc>
                <w:tcPr>
                  <w:tcW w:w="41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50.4</w:t>
                  </w:r>
                </w:p>
              </w:tc>
              <w:tc>
                <w:tcPr>
                  <w:tcW w:w="4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w:t>
                  </w:r>
                </w:p>
              </w:tc>
              <w:tc>
                <w:tcPr>
                  <w:tcW w:w="4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42.5</w:t>
                  </w:r>
                </w:p>
              </w:tc>
              <w:tc>
                <w:tcPr>
                  <w:tcW w:w="4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46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35.4</w:t>
                  </w:r>
                </w:p>
              </w:tc>
              <w:tc>
                <w:tcPr>
                  <w:tcW w:w="46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30" w:hRule="atLeast"/>
              </w:trPr>
              <w:tc>
                <w:tcPr>
                  <w:tcW w:w="7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运输车辆</w:t>
                  </w:r>
                </w:p>
              </w:tc>
              <w:tc>
                <w:tcPr>
                  <w:tcW w:w="3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p>
              </w:tc>
              <w:tc>
                <w:tcPr>
                  <w:tcW w:w="3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w:t>
                  </w:r>
                </w:p>
              </w:tc>
              <w:tc>
                <w:tcPr>
                  <w:tcW w:w="39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68</w:t>
                  </w:r>
                </w:p>
              </w:tc>
              <w:tc>
                <w:tcPr>
                  <w:tcW w:w="39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41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58.4</w:t>
                  </w:r>
                </w:p>
              </w:tc>
              <w:tc>
                <w:tcPr>
                  <w:tcW w:w="4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w:t>
                  </w:r>
                </w:p>
              </w:tc>
              <w:tc>
                <w:tcPr>
                  <w:tcW w:w="4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50.5</w:t>
                  </w:r>
                </w:p>
              </w:tc>
              <w:tc>
                <w:tcPr>
                  <w:tcW w:w="4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w:t>
                  </w:r>
                </w:p>
              </w:tc>
              <w:tc>
                <w:tcPr>
                  <w:tcW w:w="46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43.4</w:t>
                  </w:r>
                </w:p>
              </w:tc>
              <w:tc>
                <w:tcPr>
                  <w:tcW w:w="46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5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各类压路机</w:t>
                  </w:r>
                </w:p>
              </w:tc>
              <w:tc>
                <w:tcPr>
                  <w:tcW w:w="3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39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86</w:t>
                  </w:r>
                </w:p>
              </w:tc>
              <w:tc>
                <w:tcPr>
                  <w:tcW w:w="39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w:t>
                  </w:r>
                </w:p>
              </w:tc>
              <w:tc>
                <w:tcPr>
                  <w:tcW w:w="61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6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64</w:t>
                  </w:r>
                </w:p>
              </w:tc>
              <w:tc>
                <w:tcPr>
                  <w:tcW w:w="7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7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7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w:t>
                  </w:r>
                </w:p>
              </w:tc>
              <w:tc>
                <w:tcPr>
                  <w:tcW w:w="73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w:t>
                  </w:r>
                </w:p>
              </w:tc>
              <w:tc>
                <w:tcPr>
                  <w:tcW w:w="7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52</w:t>
                  </w:r>
                </w:p>
              </w:tc>
            </w:tr>
          </w:tbl>
          <w:p>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b/>
                <w:bCs/>
                <w:color w:val="auto"/>
                <w:sz w:val="24"/>
                <w:lang w:val="en-US" w:eastAsia="zh-CN"/>
              </w:rPr>
            </w:pPr>
            <w:r>
              <w:rPr>
                <w:rFonts w:hint="default" w:ascii="Times New Roman" w:hAnsi="Times New Roman" w:cs="Times New Roman"/>
                <w:color w:val="auto"/>
                <w:sz w:val="24"/>
                <w:szCs w:val="24"/>
                <w:highlight w:val="none"/>
              </w:rPr>
              <w:t>本项目夜间不进行施工，因此距场界50m处，昼间施工噪声均达到</w:t>
            </w:r>
            <w:r>
              <w:rPr>
                <w:rFonts w:hint="default" w:ascii="Times New Roman" w:hAnsi="Times New Roman" w:cs="Times New Roman"/>
                <w:color w:val="auto"/>
                <w:kern w:val="0"/>
                <w:sz w:val="24"/>
                <w:szCs w:val="24"/>
                <w:highlight w:val="none"/>
              </w:rPr>
              <w:t>《建筑施工场界环境噪声排放标准》（GB12523-2011）排放限值。</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 w:val="0"/>
                <w:bCs/>
                <w:color w:val="auto"/>
                <w:sz w:val="24"/>
              </w:rPr>
            </w:pPr>
            <w:r>
              <w:rPr>
                <w:rFonts w:hint="eastAsia" w:cs="Times New Roman"/>
                <w:b w:val="0"/>
                <w:bCs/>
                <w:color w:val="auto"/>
                <w:kern w:val="2"/>
                <w:sz w:val="24"/>
                <w:szCs w:val="24"/>
                <w:lang w:val="en-US" w:eastAsia="zh-CN" w:bidi="ar-SA"/>
              </w:rPr>
              <w:t>4、</w:t>
            </w:r>
            <w:r>
              <w:rPr>
                <w:rFonts w:hint="eastAsia"/>
                <w:b w:val="0"/>
                <w:bCs/>
                <w:color w:val="auto"/>
                <w:sz w:val="24"/>
              </w:rPr>
              <w:t>固废影响分析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lang w:val="en-US" w:eastAsia="zh-CN"/>
              </w:rPr>
            </w:pPr>
            <w:r>
              <w:rPr>
                <w:rFonts w:hint="eastAsia"/>
                <w:bCs/>
                <w:color w:val="auto"/>
                <w:sz w:val="24"/>
                <w:lang w:val="en-US" w:eastAsia="zh-CN"/>
              </w:rPr>
              <w:t>（1）固体废物处理处置的环境影响分析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lang w:val="en-US" w:eastAsia="zh-CN"/>
              </w:rPr>
            </w:pPr>
            <w:r>
              <w:rPr>
                <w:rFonts w:hint="eastAsia"/>
                <w:bCs/>
                <w:color w:val="auto"/>
                <w:sz w:val="24"/>
                <w:lang w:val="en-US" w:eastAsia="zh-CN"/>
              </w:rPr>
              <w:t>①废弃土方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lang w:val="en-US" w:eastAsia="zh-CN"/>
              </w:rPr>
            </w:pPr>
            <w:r>
              <w:rPr>
                <w:rFonts w:hint="eastAsia"/>
                <w:bCs/>
                <w:color w:val="auto"/>
                <w:sz w:val="24"/>
              </w:rPr>
              <w:t>施工期固体废物来自施工过程中</w:t>
            </w:r>
            <w:r>
              <w:rPr>
                <w:rFonts w:hint="eastAsia"/>
                <w:bCs/>
                <w:color w:val="auto"/>
                <w:sz w:val="24"/>
                <w:lang w:val="en-US" w:eastAsia="zh-CN"/>
              </w:rPr>
              <w:t>开挖</w:t>
            </w:r>
            <w:r>
              <w:rPr>
                <w:rFonts w:hint="eastAsia"/>
                <w:bCs/>
                <w:color w:val="auto"/>
                <w:sz w:val="24"/>
              </w:rPr>
              <w:t>的</w:t>
            </w:r>
            <w:r>
              <w:rPr>
                <w:rFonts w:hint="eastAsia"/>
                <w:bCs/>
                <w:color w:val="auto"/>
                <w:sz w:val="24"/>
                <w:lang w:val="en-US" w:eastAsia="zh-CN"/>
              </w:rPr>
              <w:t>土石方，将开挖的土石用于工程回填、路基建设，恢复原有地貌</w:t>
            </w:r>
            <w:r>
              <w:rPr>
                <w:rFonts w:hint="eastAsia"/>
                <w:bCs/>
                <w:color w:val="auto"/>
                <w:sz w:val="24"/>
              </w:rPr>
              <w:t>。</w:t>
            </w:r>
            <w:r>
              <w:rPr>
                <w:rFonts w:hint="eastAsia"/>
                <w:bCs/>
                <w:color w:val="auto"/>
                <w:sz w:val="24"/>
                <w:lang w:val="en-US" w:eastAsia="zh-CN"/>
              </w:rPr>
              <w:t>项目施工期开挖土石方基本做到场地内土石方平衡，废弃土石方全部用去项目区周边土地平整。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lang w:val="en-US" w:eastAsia="zh-CN"/>
              </w:rPr>
            </w:pPr>
            <w:r>
              <w:rPr>
                <w:rFonts w:hint="eastAsia"/>
                <w:bCs/>
                <w:color w:val="auto"/>
                <w:sz w:val="24"/>
                <w:lang w:val="en-US" w:eastAsia="zh-CN"/>
              </w:rPr>
              <w:t>②施工人员生活垃圾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lang w:val="en-US" w:eastAsia="zh-CN"/>
              </w:rPr>
            </w:pPr>
            <w:r>
              <w:rPr>
                <w:rFonts w:hint="eastAsia"/>
                <w:bCs/>
                <w:color w:val="auto"/>
                <w:sz w:val="24"/>
                <w:lang w:val="en-US" w:eastAsia="zh-CN"/>
              </w:rPr>
              <w:t>施工人员产生的生活垃圾以人均每天产生0.5kg计算，施工期最大施工人数10人，产生量为5kg/d。施工期生活垃圾统一收集后清运至硕县垃圾填埋场。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lang w:val="en-US" w:eastAsia="zh-CN"/>
              </w:rPr>
            </w:pPr>
            <w:r>
              <w:rPr>
                <w:rFonts w:hint="eastAsia"/>
                <w:bCs/>
                <w:color w:val="auto"/>
                <w:sz w:val="24"/>
                <w:lang w:val="en-US" w:eastAsia="zh-CN"/>
              </w:rPr>
              <w:t>（2）固体废物贮运环节的环境影响分析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lang w:val="en-US" w:eastAsia="zh-CN"/>
              </w:rPr>
            </w:pPr>
            <w:r>
              <w:rPr>
                <w:rFonts w:hint="eastAsia"/>
                <w:bCs/>
                <w:color w:val="auto"/>
                <w:sz w:val="24"/>
                <w:lang w:val="en-US" w:eastAsia="zh-CN"/>
              </w:rPr>
              <w:t>本项目固体废物的贮运环节主要包括临时堆场的堆存以及固体废物在施工现场和临时堆场之间的运输。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lang w:val="en-US" w:eastAsia="zh-CN"/>
              </w:rPr>
            </w:pPr>
            <w:r>
              <w:rPr>
                <w:rFonts w:hint="eastAsia"/>
                <w:bCs/>
                <w:color w:val="auto"/>
                <w:sz w:val="24"/>
                <w:lang w:val="en-US" w:eastAsia="zh-CN"/>
              </w:rPr>
              <w:t>临时堆场的环境影响主要是扬尘和水土流失。临时堆场设置在施工道路的两侧，堆土场四周设置围挡防风阻尘。固体废物的运输以卡车运输为主，环境影响主要是运输扬尘和抛洒滴漏。运输车辆应配备顶棚或遮盖物，装运过程中应对装载物进行适量洒水，采取湿法操作；运输车辆应具有较好的密封性，不得有渗漏现象。采取上述措施后，可以有效减少扬尘，防治水土流失，固体废物运输的环境影响可以处于可接受的程度。</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color w:val="auto"/>
                <w:lang w:eastAsia="zh-CN"/>
              </w:rPr>
            </w:pPr>
            <w:r>
              <w:rPr>
                <w:rFonts w:hint="eastAsia" w:ascii="Times New Roman" w:hAnsi="Times New Roman" w:eastAsia="宋体" w:cs="Times New Roman"/>
                <w:bCs/>
                <w:snapToGrid/>
                <w:color w:val="auto"/>
                <w:spacing w:val="0"/>
                <w:kern w:val="2"/>
                <w:sz w:val="24"/>
                <w:szCs w:val="24"/>
                <w:lang w:val="en-US" w:eastAsia="zh-CN" w:bidi="ar-SA"/>
              </w:rPr>
              <w:t>综上，在对项目各项固体废物采取以上措施处理后，项目施工期固体废物不会对项目所在区域环境产生明显影响。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2" w:hRule="atLeast"/>
          <w:jc w:val="center"/>
        </w:trPr>
        <w:tc>
          <w:tcPr>
            <w:tcW w:w="416" w:type="pct"/>
            <w:noWrap w:val="0"/>
            <w:tcMar>
              <w:left w:w="28" w:type="dxa"/>
              <w:right w:w="28" w:type="dxa"/>
            </w:tcMar>
            <w:vAlign w:val="center"/>
          </w:tcPr>
          <w:p>
            <w:pPr>
              <w:pStyle w:val="21"/>
              <w:pageBreakBefore w:val="0"/>
              <w:kinsoku/>
              <w:wordWrap/>
              <w:overflowPunct/>
              <w:topLinePunct w:val="0"/>
              <w:autoSpaceDE/>
              <w:autoSpaceDN/>
              <w:bidi w:val="0"/>
              <w:adjustRightInd w:val="0"/>
              <w:snapToGrid w:val="0"/>
              <w:spacing w:before="0" w:beforeAutospacing="0" w:after="0" w:afterAutospacing="0"/>
              <w:jc w:val="center"/>
              <w:textAlignment w:val="auto"/>
              <w:rPr>
                <w:rFonts w:hint="eastAsia" w:cs="宋体"/>
                <w:bCs/>
                <w:color w:val="auto"/>
                <w:spacing w:val="10"/>
                <w:kern w:val="2"/>
                <w:sz w:val="24"/>
                <w:szCs w:val="24"/>
              </w:rPr>
            </w:pPr>
            <w:r>
              <w:rPr>
                <w:rFonts w:hint="eastAsia" w:cs="宋体"/>
                <w:bCs/>
                <w:color w:val="auto"/>
                <w:spacing w:val="10"/>
                <w:kern w:val="2"/>
                <w:sz w:val="24"/>
                <w:szCs w:val="24"/>
                <w:lang w:val="en-US" w:eastAsia="zh-CN"/>
              </w:rPr>
              <w:t>运营</w:t>
            </w:r>
            <w:r>
              <w:rPr>
                <w:rFonts w:hint="eastAsia" w:cs="宋体"/>
                <w:bCs/>
                <w:color w:val="auto"/>
                <w:spacing w:val="10"/>
                <w:kern w:val="2"/>
                <w:sz w:val="24"/>
                <w:szCs w:val="24"/>
                <w:lang w:eastAsia="zh-CN"/>
              </w:rPr>
              <w:t>期</w:t>
            </w:r>
            <w:r>
              <w:rPr>
                <w:rFonts w:hint="eastAsia" w:cs="宋体"/>
                <w:bCs/>
                <w:color w:val="auto"/>
                <w:spacing w:val="10"/>
                <w:kern w:val="2"/>
                <w:sz w:val="24"/>
                <w:szCs w:val="24"/>
              </w:rPr>
              <w:t>生态环境影响分析</w:t>
            </w:r>
          </w:p>
        </w:tc>
        <w:tc>
          <w:tcPr>
            <w:tcW w:w="4583" w:type="pct"/>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1、生态影响分析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（1）占地影响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Arial"/>
                <w:b w:val="0"/>
                <w:bCs w:val="0"/>
                <w:color w:val="auto"/>
                <w:sz w:val="24"/>
                <w:lang w:val="en-US" w:eastAsia="zh-CN"/>
              </w:rPr>
            </w:pPr>
            <w:r>
              <w:rPr>
                <w:rFonts w:hint="eastAsia" w:ascii="Times New Roman" w:hAnsi="Times New Roman" w:eastAsia="宋体" w:cs="Arial"/>
                <w:b w:val="0"/>
                <w:bCs w:val="0"/>
                <w:color w:val="auto"/>
                <w:sz w:val="24"/>
                <w:lang w:val="en-US" w:eastAsia="zh-CN"/>
              </w:rPr>
              <w:t>本项目为</w:t>
            </w:r>
            <w:r>
              <w:rPr>
                <w:rFonts w:hint="eastAsia" w:cs="Arial"/>
                <w:b w:val="0"/>
                <w:bCs w:val="0"/>
                <w:color w:val="auto"/>
                <w:sz w:val="24"/>
                <w:lang w:val="en-US" w:eastAsia="zh-CN"/>
              </w:rPr>
              <w:t>花岗岩</w:t>
            </w:r>
            <w:r>
              <w:rPr>
                <w:rFonts w:hint="eastAsia" w:ascii="Times New Roman" w:hAnsi="Times New Roman" w:eastAsia="宋体" w:cs="Arial"/>
                <w:b w:val="0"/>
                <w:bCs w:val="0"/>
                <w:color w:val="auto"/>
                <w:sz w:val="24"/>
                <w:lang w:val="en-US" w:eastAsia="zh-CN"/>
              </w:rPr>
              <w:t>矿</w:t>
            </w:r>
            <w:r>
              <w:rPr>
                <w:rFonts w:hint="eastAsia" w:cs="Arial"/>
                <w:b w:val="0"/>
                <w:bCs w:val="0"/>
                <w:color w:val="auto"/>
                <w:sz w:val="24"/>
                <w:lang w:val="en-US" w:eastAsia="zh-CN"/>
              </w:rPr>
              <w:t>采矿</w:t>
            </w:r>
            <w:r>
              <w:rPr>
                <w:rFonts w:hint="eastAsia" w:ascii="Times New Roman" w:hAnsi="Times New Roman" w:eastAsia="宋体" w:cs="Arial"/>
                <w:b w:val="0"/>
                <w:bCs w:val="0"/>
                <w:color w:val="auto"/>
                <w:sz w:val="24"/>
                <w:lang w:val="en-US" w:eastAsia="zh-CN"/>
              </w:rPr>
              <w:t>项目，不可避免地会对生态环境造成一定的影响，为避免生态环境恶化，建设单位必须在开采完成后及时进行生态恢复。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Arial"/>
                <w:b w:val="0"/>
                <w:bCs w:val="0"/>
                <w:color w:val="auto"/>
                <w:sz w:val="24"/>
                <w:lang w:val="en-US" w:eastAsia="zh-CN"/>
              </w:rPr>
            </w:pPr>
            <w:r>
              <w:rPr>
                <w:rFonts w:hint="eastAsia" w:ascii="Times New Roman" w:hAnsi="Times New Roman" w:eastAsia="宋体" w:cs="Arial"/>
                <w:b w:val="0"/>
                <w:bCs w:val="0"/>
                <w:color w:val="auto"/>
                <w:sz w:val="24"/>
                <w:lang w:val="en-US" w:eastAsia="zh-CN"/>
              </w:rPr>
              <w:t>矿区总用地面积</w:t>
            </w:r>
            <w:r>
              <w:rPr>
                <w:rFonts w:hint="eastAsia" w:cs="Arial"/>
                <w:b w:val="0"/>
                <w:bCs w:val="0"/>
                <w:color w:val="auto"/>
                <w:sz w:val="24"/>
                <w:lang w:val="en-US" w:eastAsia="zh-CN"/>
              </w:rPr>
              <w:t>0.9817平方公里</w:t>
            </w:r>
            <w:r>
              <w:rPr>
                <w:rFonts w:hint="eastAsia" w:ascii="Times New Roman" w:hAnsi="Times New Roman" w:eastAsia="宋体" w:cs="Arial"/>
                <w:b w:val="0"/>
                <w:bCs w:val="0"/>
                <w:color w:val="auto"/>
                <w:sz w:val="24"/>
                <w:lang w:val="en-US" w:eastAsia="zh-CN"/>
              </w:rPr>
              <w:t>，土地利用类型为其他土地类-裸岩石砾地。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Arial"/>
                <w:b w:val="0"/>
                <w:bCs w:val="0"/>
                <w:color w:val="auto"/>
                <w:sz w:val="24"/>
                <w:lang w:val="en-US" w:eastAsia="zh-CN"/>
              </w:rPr>
            </w:pPr>
            <w:r>
              <w:rPr>
                <w:rFonts w:hint="eastAsia" w:ascii="Times New Roman" w:hAnsi="Times New Roman" w:eastAsia="宋体" w:cs="Arial"/>
                <w:b w:val="0"/>
                <w:bCs w:val="0"/>
                <w:color w:val="auto"/>
                <w:sz w:val="24"/>
                <w:lang w:val="en-US" w:eastAsia="zh-CN"/>
              </w:rPr>
              <w:t>项目建设对土壤的影响范围较广，包括永久占地及施工活动的用地区域，主要影响表现在：改变土地的使用功能、地表覆盖层的类型及性质、土壤的坚实度、通透性和机械物理性质。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Arial"/>
                <w:b w:val="0"/>
                <w:bCs w:val="0"/>
                <w:color w:val="auto"/>
                <w:sz w:val="24"/>
                <w:lang w:val="en-US" w:eastAsia="zh-CN"/>
              </w:rPr>
            </w:pPr>
            <w:r>
              <w:rPr>
                <w:rFonts w:hint="eastAsia" w:ascii="Times New Roman" w:hAnsi="Times New Roman" w:eastAsia="宋体" w:cs="Arial"/>
                <w:b w:val="0"/>
                <w:bCs w:val="0"/>
                <w:color w:val="auto"/>
                <w:sz w:val="24"/>
                <w:lang w:val="en-US" w:eastAsia="zh-CN"/>
              </w:rPr>
              <w:t>本项目占地包括采矿场占地、荒料堆放场、矿区运输道路占地等。基础设施建设使地表土壤被彻底清除或被覆盖，失去部分使用功能。从根本上改变了所占区域地表覆盖层类型和性质，地表土壤永久不可恢复。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Arial"/>
                <w:b w:val="0"/>
                <w:bCs w:val="0"/>
                <w:color w:val="auto"/>
                <w:sz w:val="24"/>
                <w:lang w:val="en-US" w:eastAsia="zh-CN"/>
              </w:rPr>
            </w:pPr>
            <w:r>
              <w:rPr>
                <w:rFonts w:hint="eastAsia" w:ascii="Times New Roman" w:hAnsi="Times New Roman" w:eastAsia="宋体" w:cs="Arial"/>
                <w:b w:val="0"/>
                <w:bCs w:val="0"/>
                <w:color w:val="auto"/>
                <w:sz w:val="24"/>
                <w:lang w:val="en-US" w:eastAsia="zh-CN"/>
              </w:rPr>
              <w:t>项目永久占地使得土地利用、结构发生变化，从根本上改变了所占区域地表覆盖层类型和性质，属不可逆影响，地表土壤永久不可恢复。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Arial"/>
                <w:b w:val="0"/>
                <w:bCs w:val="0"/>
                <w:color w:val="auto"/>
                <w:sz w:val="24"/>
                <w:lang w:val="en-US" w:eastAsia="zh-CN"/>
              </w:rPr>
            </w:pPr>
            <w:r>
              <w:rPr>
                <w:rFonts w:hint="eastAsia" w:ascii="Times New Roman" w:hAnsi="Times New Roman" w:eastAsia="宋体" w:cs="Arial"/>
                <w:b w:val="0"/>
                <w:bCs w:val="0"/>
                <w:color w:val="auto"/>
                <w:sz w:val="24"/>
                <w:lang w:val="en-US" w:eastAsia="zh-CN"/>
              </w:rPr>
              <w:t>开采活动产生的永久占地将取代现有土地的利用类型，施工占地及施工活动对实施区域的土壤环境造成局地性破坏和干扰，不同程度地破坏施工区域的土壤结构，扰动地表土壤层，导致土壤中水分的损失，易引起水土流失。此外，施工中机械碾压、人员践踏、土方堆放等等，也会造成一定区域内的土壤板结，使土壤生产能力降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Arial"/>
                <w:b/>
                <w:bCs/>
                <w:color w:val="auto"/>
                <w:sz w:val="24"/>
                <w:lang w:val="en-US" w:eastAsia="zh-CN"/>
              </w:rPr>
            </w:pPr>
            <w:r>
              <w:rPr>
                <w:rFonts w:hint="eastAsia" w:ascii="Times New Roman" w:hAnsi="Times New Roman" w:eastAsia="宋体" w:cs="Arial"/>
                <w:b w:val="0"/>
                <w:bCs w:val="0"/>
                <w:color w:val="auto"/>
                <w:sz w:val="24"/>
                <w:lang w:val="en-US" w:eastAsia="zh-CN"/>
              </w:rPr>
              <w:t>因此施工时应尽量减少占地，对施工场地标桩划界，严禁施工人员进入非施工区域活动，尽量减少对土壤的影响；对于干扰的土地应及时平整恢复，施工期路基垫方利用开挖废石，不设取土场。在此情况下，可缓解和削弱施工活动带来的生态环境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（2）土壤环境的影响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Arial"/>
                <w:b w:val="0"/>
                <w:bCs w:val="0"/>
                <w:color w:val="auto"/>
                <w:sz w:val="24"/>
                <w:lang w:val="en-US" w:eastAsia="zh-CN"/>
              </w:rPr>
            </w:pPr>
            <w:r>
              <w:rPr>
                <w:rFonts w:hint="eastAsia" w:ascii="Times New Roman" w:hAnsi="Times New Roman" w:eastAsia="宋体" w:cs="Arial"/>
                <w:b w:val="0"/>
                <w:bCs w:val="0"/>
                <w:color w:val="auto"/>
                <w:sz w:val="24"/>
                <w:lang w:val="en-US" w:eastAsia="zh-CN"/>
              </w:rPr>
              <w:t>项目建设对土壤的影响范围较广，主要影响表现在：地表覆盖层的类型及性质、土壤的坚实度、通透性和机械物理性质。项目的永久性占地包括</w:t>
            </w:r>
            <w:r>
              <w:rPr>
                <w:rFonts w:hint="eastAsia" w:cs="Arial"/>
                <w:b w:val="0"/>
                <w:bCs w:val="0"/>
                <w:color w:val="auto"/>
                <w:sz w:val="24"/>
                <w:lang w:val="en-US" w:eastAsia="zh-CN"/>
              </w:rPr>
              <w:t>排土</w:t>
            </w:r>
            <w:r>
              <w:rPr>
                <w:rFonts w:hint="eastAsia" w:ascii="Times New Roman" w:hAnsi="Times New Roman" w:eastAsia="宋体" w:cs="Arial"/>
                <w:b w:val="0"/>
                <w:bCs w:val="0"/>
                <w:color w:val="auto"/>
                <w:sz w:val="24"/>
                <w:lang w:val="en-US" w:eastAsia="zh-CN"/>
              </w:rPr>
              <w:t>场、采矿场、道路等，基础设施建设使地表土壤被彻底清除或被覆盖，失去部分使用功能。从根本上改变了所占区域地表覆盖层类型和性质，地表土壤不可恢复。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Arial"/>
                <w:b/>
                <w:bCs/>
                <w:color w:val="auto"/>
                <w:sz w:val="24"/>
                <w:lang w:val="en-US" w:eastAsia="zh-CN"/>
              </w:rPr>
            </w:pPr>
            <w:r>
              <w:rPr>
                <w:rFonts w:hint="eastAsia" w:ascii="Times New Roman" w:hAnsi="Times New Roman" w:eastAsia="宋体" w:cs="Times New Roman"/>
                <w:b w:val="0"/>
                <w:bCs/>
                <w:color w:val="auto"/>
                <w:kern w:val="2"/>
                <w:sz w:val="24"/>
                <w:szCs w:val="24"/>
                <w:lang w:val="en-US" w:eastAsia="zh-CN" w:bidi="ar-SA"/>
              </w:rPr>
              <w:t>（3）对植物的影响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Arial"/>
                <w:b/>
                <w:bCs/>
                <w:color w:val="auto"/>
                <w:sz w:val="24"/>
                <w:lang w:val="en-US" w:eastAsia="zh-CN"/>
              </w:rPr>
            </w:pPr>
            <w:r>
              <w:rPr>
                <w:rFonts w:hint="eastAsia" w:ascii="Times New Roman" w:hAnsi="Times New Roman" w:eastAsia="宋体" w:cs="Arial"/>
                <w:b w:val="0"/>
                <w:bCs w:val="0"/>
                <w:color w:val="auto"/>
                <w:sz w:val="24"/>
                <w:lang w:val="en-US" w:eastAsia="zh-CN"/>
              </w:rPr>
              <w:t>矿区及附近地表大部分基岩裸露，植被发育程度弱，局部分布第四系沉积物，其上偶见芨芨草，骆驼刺等耐旱植物生长。地表植被属天然植被，分布不均匀，群落单一，多呈点状，植被覆盖度</w:t>
            </w:r>
            <w:r>
              <w:rPr>
                <w:rFonts w:hint="eastAsia" w:cs="Arial"/>
                <w:b w:val="0"/>
                <w:bCs w:val="0"/>
                <w:color w:val="auto"/>
                <w:sz w:val="24"/>
                <w:lang w:val="en-US" w:eastAsia="zh-CN"/>
              </w:rPr>
              <w:t>不高</w:t>
            </w:r>
            <w:r>
              <w:rPr>
                <w:rFonts w:hint="eastAsia" w:ascii="Times New Roman" w:hAnsi="Times New Roman" w:eastAsia="宋体" w:cs="Arial"/>
                <w:b w:val="0"/>
                <w:bCs w:val="0"/>
                <w:color w:val="auto"/>
                <w:sz w:val="24"/>
                <w:lang w:val="en-US" w:eastAsia="zh-CN"/>
              </w:rPr>
              <w:t>，因此项目的开工建设对植被造成破坏程度较</w:t>
            </w:r>
            <w:r>
              <w:rPr>
                <w:rFonts w:hint="eastAsia" w:cs="Arial"/>
                <w:b w:val="0"/>
                <w:bCs w:val="0"/>
                <w:color w:val="auto"/>
                <w:sz w:val="24"/>
                <w:lang w:val="en-US" w:eastAsia="zh-CN"/>
              </w:rPr>
              <w:t>大</w:t>
            </w:r>
            <w:r>
              <w:rPr>
                <w:rFonts w:hint="eastAsia" w:ascii="Times New Roman" w:hAnsi="Times New Roman" w:eastAsia="宋体" w:cs="Arial"/>
                <w:b w:val="0"/>
                <w:bCs w:val="0"/>
                <w:color w:val="auto"/>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（4）对动物的影响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Arial"/>
                <w:b/>
                <w:bCs/>
                <w:color w:val="auto"/>
                <w:sz w:val="24"/>
                <w:lang w:val="en-US" w:eastAsia="zh-CN"/>
              </w:rPr>
            </w:pPr>
            <w:r>
              <w:rPr>
                <w:rFonts w:hint="eastAsia" w:ascii="Times New Roman" w:hAnsi="Times New Roman" w:eastAsia="宋体" w:cs="Arial"/>
                <w:b w:val="0"/>
                <w:bCs w:val="0"/>
                <w:color w:val="auto"/>
                <w:sz w:val="24"/>
                <w:lang w:val="en-US" w:eastAsia="zh-CN"/>
              </w:rPr>
              <w:t>在施工过程中，由于各类机械产生的噪声和人为活动的干扰，会使野生动物如啮齿类动物（鼠类、兔类）向外迁移，使评价区周边的局部地区动物的密度相应增加；另外，施工人员滥捕乱猎等现象的出现，将直接影响到这一地区的某些野生动物种群数量。这种影响可通过加强对施工人员的宣传教育和管理得到消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（5）对区域景观的影响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highlight w:val="none"/>
              </w:rPr>
              <w:t>项目评价区范围内无自然风景区和名胜古迹，矿区范围内无珍稀植物及古树名木，无风景名胜及特殊文物保护单位等视觉景观敏感点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因此对于较大范围的生态景观以及景区风貌来说，影响面</w:t>
            </w:r>
            <w:r>
              <w:rPr>
                <w:rFonts w:hint="eastAsia" w:eastAsia="宋体" w:cs="Times New Roman"/>
                <w:color w:val="auto"/>
                <w:sz w:val="24"/>
                <w:szCs w:val="24"/>
                <w:highlight w:val="none"/>
                <w:lang w:val="en-US" w:eastAsia="zh-CN"/>
              </w:rPr>
              <w:t>不大</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val="0"/>
                <w:color w:val="auto"/>
                <w:sz w:val="24"/>
                <w:szCs w:val="24"/>
                <w:lang w:val="en-US" w:eastAsia="zh-CN"/>
              </w:rPr>
              <w:t>矿区的开发，使土地使用功能发生转化，在景观上将发生根本性的变化，由原来自然荒漠低山丘陵景观变为自然景观中穿插矿区采矿场等，</w:t>
            </w:r>
            <w:r>
              <w:rPr>
                <w:rFonts w:hint="default" w:ascii="Times New Roman" w:hAnsi="Times New Roman" w:eastAsia="宋体" w:cs="Times New Roman"/>
                <w:color w:val="auto"/>
                <w:sz w:val="24"/>
                <w:szCs w:val="24"/>
                <w:highlight w:val="none"/>
                <w:lang w:val="zh-CN"/>
              </w:rPr>
              <w:t>在短期内成为与原有生态景观不协调的</w:t>
            </w:r>
            <w:r>
              <w:rPr>
                <w:rFonts w:hint="eastAsia"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裸地</w:t>
            </w:r>
            <w:r>
              <w:rPr>
                <w:rFonts w:hint="eastAsia"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或</w:t>
            </w:r>
            <w:r>
              <w:rPr>
                <w:rFonts w:hint="eastAsia"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疮疤</w:t>
            </w:r>
            <w:r>
              <w:rPr>
                <w:rFonts w:hint="eastAsia"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斑块，</w:t>
            </w:r>
            <w:r>
              <w:rPr>
                <w:rFonts w:hint="eastAsia" w:ascii="Times New Roman" w:hAnsi="Times New Roman" w:eastAsia="宋体" w:cs="Times New Roman"/>
                <w:color w:val="auto"/>
                <w:sz w:val="24"/>
                <w:szCs w:val="24"/>
                <w:highlight w:val="none"/>
                <w:lang w:val="en-US" w:eastAsia="zh-CN"/>
              </w:rPr>
              <w:t>工作人员产生的生活</w:t>
            </w:r>
            <w:r>
              <w:rPr>
                <w:rFonts w:hint="default" w:ascii="Times New Roman" w:hAnsi="Times New Roman" w:eastAsia="宋体" w:cs="Times New Roman"/>
                <w:color w:val="auto"/>
                <w:sz w:val="24"/>
                <w:szCs w:val="24"/>
                <w:highlight w:val="none"/>
              </w:rPr>
              <w:t>垃圾的堆存也影响区域景观，</w:t>
            </w:r>
            <w:r>
              <w:rPr>
                <w:rFonts w:hint="default" w:ascii="Times New Roman" w:hAnsi="Times New Roman" w:eastAsia="宋体" w:cs="Times New Roman"/>
                <w:color w:val="auto"/>
                <w:sz w:val="24"/>
                <w:szCs w:val="24"/>
                <w:highlight w:val="none"/>
                <w:lang w:val="zh-CN"/>
              </w:rPr>
              <w:t>对整体生态景观形成不和谐的视觉效果，造成较为明显的不利影响</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lang w:val="en-US" w:eastAsia="zh-CN"/>
              </w:rPr>
              <w:t>水土流失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1）水土流失概况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根据《20</w:t>
            </w:r>
            <w:r>
              <w:rPr>
                <w:rFonts w:hint="eastAsia" w:cs="Times New Roman"/>
                <w:b w:val="0"/>
                <w:bCs w:val="0"/>
                <w:color w:val="auto"/>
                <w:sz w:val="24"/>
                <w:szCs w:val="24"/>
                <w:lang w:val="en-US" w:eastAsia="zh-CN"/>
              </w:rPr>
              <w:t>23</w:t>
            </w:r>
            <w:r>
              <w:rPr>
                <w:rFonts w:hint="eastAsia" w:ascii="Times New Roman" w:hAnsi="Times New Roman" w:eastAsia="宋体" w:cs="Times New Roman"/>
                <w:b w:val="0"/>
                <w:bCs w:val="0"/>
                <w:color w:val="auto"/>
                <w:sz w:val="24"/>
                <w:szCs w:val="24"/>
                <w:lang w:val="en-US" w:eastAsia="zh-CN"/>
              </w:rPr>
              <w:t>年新疆维吾尔自治区水土保持公报》，和硕县水土流失主要为风力侵蚀，主要侵蚀土地利用类型为沙地和草地。工程建成后，项目区域部分地面被建筑物占压使用，裸露土地采取工程措施和植物措施进行防治，因建设造成的水土流失得到控制和治理。但运行期间矿山运行过程中露天采场及闭矿后的废料表土场地表区域仍有土石方开挖，对地表扰动较大。运行期剥离表土，不采取有效措施进行预防，可能造成一定的水土流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2）水土流失成因分析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本项目预测时段分为运营期和闭矿期。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w:t>
            </w:r>
            <w:r>
              <w:rPr>
                <w:rFonts w:hint="eastAsia" w:ascii="Times New Roman" w:hAnsi="Times New Roman" w:eastAsia="宋体" w:cs="Times New Roman"/>
                <w:b w:val="0"/>
                <w:bCs w:val="0"/>
                <w:color w:val="auto"/>
                <w:sz w:val="24"/>
                <w:szCs w:val="24"/>
                <w:lang w:val="en-US" w:eastAsia="zh-CN"/>
              </w:rPr>
              <w:t>运行期水土流失因素分析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运行期开挖的松散土石方在地表裸露堆放，易被风蚀。</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w:t>
            </w:r>
            <w:r>
              <w:rPr>
                <w:rFonts w:hint="eastAsia" w:ascii="Times New Roman" w:hAnsi="Times New Roman" w:eastAsia="宋体" w:cs="Times New Roman"/>
                <w:b w:val="0"/>
                <w:bCs w:val="0"/>
                <w:color w:val="auto"/>
                <w:sz w:val="24"/>
                <w:szCs w:val="24"/>
                <w:lang w:val="en-US" w:eastAsia="zh-CN"/>
              </w:rPr>
              <w:t>闭矿期水土流失因素分析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本工程开采完毕闭矿后，需要进行矿坑恢复，由于项目区本身植被稀缺，尚不完全具备蓄水保土功能，仍有一定量的水土流失；闭矿期所有地表的扰动活动都已结束，该时段水土流失明显减少。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3）水土流失危害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本项目建设中将破坏地表、植被，施工中若不采取有效的防护措施，将对当地的生态环境产生较大影响，加重当地的水土流失。该项目施工期可能造成的水土流失危害主要有以下几个方面：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w:t>
            </w:r>
            <w:r>
              <w:rPr>
                <w:rFonts w:hint="eastAsia" w:ascii="Times New Roman" w:hAnsi="Times New Roman" w:eastAsia="宋体" w:cs="Times New Roman"/>
                <w:b w:val="0"/>
                <w:bCs w:val="0"/>
                <w:color w:val="auto"/>
                <w:sz w:val="24"/>
                <w:szCs w:val="24"/>
                <w:lang w:val="en-US" w:eastAsia="zh-CN"/>
              </w:rPr>
              <w:t>该地区生态环境相对较脆弱，项目建设过程中如不采取水土保持措施，可能造成大面积损坏当地水土保持设施，使大片土地裸露，地表疏松，再加上项目建设的临时弃土渣，可能产生较大的水土流失，将造成项目区环境恶化，从而影响项目区的生产、生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②</w:t>
            </w:r>
            <w:r>
              <w:rPr>
                <w:rFonts w:hint="eastAsia" w:ascii="Times New Roman" w:hAnsi="Times New Roman" w:eastAsia="宋体" w:cs="Times New Roman"/>
                <w:b w:val="0"/>
                <w:bCs w:val="0"/>
                <w:color w:val="auto"/>
                <w:sz w:val="24"/>
                <w:szCs w:val="24"/>
                <w:lang w:val="en-US" w:eastAsia="zh-CN"/>
              </w:rPr>
              <w:t>运营过程中，原有的地形、地貌、地表均遭到破坏，工程区蓄水保土功能受到影响，功能将有所降低。在风力及降雨径流作用下，松散的土层被侵蚀切割，发育成浅沟、冲沟等。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（7）</w:t>
            </w:r>
            <w:r>
              <w:rPr>
                <w:rFonts w:hint="eastAsia" w:ascii="Times New Roman" w:hAnsi="Times New Roman" w:eastAsia="宋体" w:cs="Arial"/>
                <w:b w:val="0"/>
                <w:bCs w:val="0"/>
                <w:color w:val="auto"/>
                <w:sz w:val="24"/>
                <w:lang w:val="en-US" w:eastAsia="zh-CN"/>
              </w:rPr>
              <w:t>土地沙化影响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auto"/>
                <w:sz w:val="24"/>
                <w:lang w:val="en-US" w:eastAsia="zh-CN"/>
              </w:rPr>
            </w:pPr>
            <w:r>
              <w:rPr>
                <w:rFonts w:hint="eastAsia"/>
                <w:b w:val="0"/>
                <w:bCs w:val="0"/>
                <w:color w:val="auto"/>
                <w:sz w:val="24"/>
                <w:lang w:val="en-US" w:eastAsia="zh-CN"/>
              </w:rPr>
              <w:t>本项目为花岗岩矿开采项目，位于</w:t>
            </w:r>
            <w:r>
              <w:rPr>
                <w:rFonts w:hint="eastAsia" w:cs="Times New Roman"/>
                <w:color w:val="auto"/>
                <w:sz w:val="24"/>
                <w:szCs w:val="24"/>
                <w:lang w:val="en-US" w:eastAsia="zh-CN"/>
              </w:rPr>
              <w:t>和硕县城东南方向，直线距离约58km</w:t>
            </w:r>
            <w:r>
              <w:rPr>
                <w:rFonts w:hint="eastAsia"/>
                <w:b w:val="0"/>
                <w:bCs w:val="0"/>
                <w:color w:val="auto"/>
                <w:sz w:val="24"/>
                <w:lang w:val="en-US" w:eastAsia="zh-CN"/>
              </w:rPr>
              <w:t>，矿区面积</w:t>
            </w:r>
            <w:r>
              <w:rPr>
                <w:rFonts w:hint="eastAsia" w:cs="Arial"/>
                <w:b w:val="0"/>
                <w:bCs w:val="0"/>
                <w:color w:val="auto"/>
                <w:sz w:val="24"/>
                <w:lang w:val="en-US" w:eastAsia="zh-CN"/>
              </w:rPr>
              <w:t>0.9817平方公里</w:t>
            </w:r>
            <w:r>
              <w:rPr>
                <w:rFonts w:hint="eastAsia"/>
                <w:b w:val="0"/>
                <w:bCs w:val="0"/>
                <w:color w:val="auto"/>
                <w:sz w:val="24"/>
                <w:lang w:val="en-US" w:eastAsia="zh-CN"/>
              </w:rPr>
              <w:t>，开采标高1225～1272m，设计矿山采矿回采率97%，设计采出矿量</w:t>
            </w:r>
            <w:r>
              <w:rPr>
                <w:rFonts w:hint="eastAsia" w:cs="Times New Roman"/>
                <w:color w:val="auto"/>
                <w:sz w:val="24"/>
                <w:lang w:val="en-US" w:eastAsia="zh-CN"/>
              </w:rPr>
              <w:t>129.54</w:t>
            </w:r>
            <w:r>
              <w:rPr>
                <w:rFonts w:hint="default" w:ascii="Times New Roman" w:hAnsi="Times New Roman" w:cs="Times New Roman"/>
                <w:color w:val="auto"/>
                <w:sz w:val="24"/>
              </w:rPr>
              <w:t>万立方米，荒料量</w:t>
            </w:r>
            <w:r>
              <w:rPr>
                <w:rFonts w:hint="eastAsia" w:cs="Times New Roman"/>
                <w:color w:val="auto"/>
                <w:sz w:val="24"/>
                <w:lang w:val="en-US" w:eastAsia="zh-CN"/>
              </w:rPr>
              <w:t>26.23</w:t>
            </w:r>
            <w:r>
              <w:rPr>
                <w:rFonts w:hint="default" w:ascii="Times New Roman" w:hAnsi="Times New Roman" w:cs="Times New Roman"/>
                <w:color w:val="auto"/>
                <w:sz w:val="24"/>
              </w:rPr>
              <w:t>万立方米</w:t>
            </w:r>
            <w:r>
              <w:rPr>
                <w:rFonts w:hint="eastAsia"/>
                <w:b w:val="0"/>
                <w:bCs w:val="0"/>
                <w:color w:val="auto"/>
                <w:sz w:val="24"/>
                <w:lang w:val="en-US" w:eastAsia="zh-CN"/>
              </w:rPr>
              <w:t>。矿山服务年限在14.57年，矿山生产规模1.8万立方米/年。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auto"/>
                <w:sz w:val="24"/>
                <w:lang w:val="en-US" w:eastAsia="zh-CN"/>
              </w:rPr>
            </w:pPr>
            <w:r>
              <w:rPr>
                <w:rFonts w:hint="eastAsia"/>
                <w:b w:val="0"/>
                <w:bCs w:val="0"/>
                <w:color w:val="auto"/>
                <w:sz w:val="24"/>
                <w:lang w:val="en-US" w:eastAsia="zh-CN"/>
              </w:rPr>
              <w:t>矿区及附近地表大部分基岩裸露，风化作用以物理风化为主。矿区内地表局部分布有第四系全新统洪积层主要由松散状块石、碎石、漂石和卵砾石组成，成层性差，厚度变化大，最大厚度可达7m～8m；地表土壤颜色为土黄色到杂色，成分主要以花岗岩碎屑、砂砾质和粘性土组成，砂砾石含量一般20%-30%，容重1.3-1.5g/cm</w:t>
            </w:r>
            <w:r>
              <w:rPr>
                <w:rFonts w:hint="eastAsia"/>
                <w:b w:val="0"/>
                <w:bCs w:val="0"/>
                <w:color w:val="auto"/>
                <w:sz w:val="24"/>
                <w:vertAlign w:val="superscript"/>
                <w:lang w:val="en-US" w:eastAsia="zh-CN"/>
              </w:rPr>
              <w:t>3</w:t>
            </w:r>
            <w:r>
              <w:rPr>
                <w:rFonts w:hint="eastAsia"/>
                <w:b w:val="0"/>
                <w:bCs w:val="0"/>
                <w:color w:val="auto"/>
                <w:sz w:val="24"/>
                <w:lang w:val="en-US" w:eastAsia="zh-CN"/>
              </w:rPr>
              <w:t>，厚度0.5-1米，土壤表层0.2米为有机质层。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auto"/>
                <w:sz w:val="24"/>
                <w:lang w:val="en-US" w:eastAsia="zh-CN"/>
              </w:rPr>
            </w:pPr>
            <w:r>
              <w:rPr>
                <w:rFonts w:hint="eastAsia"/>
                <w:b w:val="0"/>
                <w:bCs w:val="0"/>
                <w:color w:val="auto"/>
                <w:sz w:val="24"/>
                <w:lang w:val="en-US" w:eastAsia="zh-CN"/>
              </w:rPr>
              <w:t>根据《新疆维吾尔自治区土壤类型图》和野外实地调查，矿区土壤类型主要为荒漠土（灰棕漠土），其特点是颜色为灰棕色，土壤有机质含量低，碎石角砾含量高，土质疏松。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auto"/>
                <w:sz w:val="24"/>
                <w:lang w:val="en-US" w:eastAsia="zh-CN"/>
              </w:rPr>
            </w:pPr>
            <w:r>
              <w:rPr>
                <w:rFonts w:hint="eastAsia"/>
                <w:b w:val="0"/>
                <w:bCs w:val="0"/>
                <w:color w:val="auto"/>
                <w:sz w:val="24"/>
                <w:lang w:val="en-US" w:eastAsia="zh-CN"/>
              </w:rPr>
              <w:t>根据《中华人民共和国防沙治沙法》《国务院关于进一步加强防沙治沙工作的决定》《国家林业局关于做好沙区开发建设项目环评中防沙治沙内容评价工作的意见》林沙发〔2013〕136号等有关规定，做好沙区开发建设项目环评中防沙治沙内容，切实保护和改善沙区生态，合理利用沙区资源，促进沙区经济社会可持续发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b w:val="0"/>
                <w:bCs w:val="0"/>
                <w:color w:val="auto"/>
                <w:sz w:val="24"/>
                <w:lang w:val="en-US" w:eastAsia="zh-CN"/>
              </w:rPr>
            </w:pPr>
            <w:r>
              <w:rPr>
                <w:rFonts w:hint="eastAsia"/>
                <w:b w:val="0"/>
                <w:bCs w:val="0"/>
                <w:color w:val="auto"/>
                <w:sz w:val="24"/>
                <w:lang w:val="en-US" w:eastAsia="zh-CN"/>
              </w:rPr>
              <w:t>2</w:t>
            </w:r>
            <w:r>
              <w:rPr>
                <w:rFonts w:hint="eastAsia"/>
                <w:b w:val="0"/>
                <w:bCs w:val="0"/>
                <w:color w:val="auto"/>
                <w:sz w:val="24"/>
              </w:rPr>
              <w:t>、大气环境</w:t>
            </w:r>
            <w:r>
              <w:rPr>
                <w:rFonts w:hint="eastAsia"/>
                <w:b w:val="0"/>
                <w:bCs w:val="0"/>
                <w:color w:val="auto"/>
                <w:sz w:val="24"/>
                <w:lang w:val="en-US" w:eastAsia="zh-CN"/>
              </w:rPr>
              <w:t>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（1）废气污染源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本项目运营期，对环境空气的影响</w:t>
            </w:r>
            <w:r>
              <w:rPr>
                <w:rFonts w:hint="eastAsia" w:cs="Times New Roman"/>
                <w:b w:val="0"/>
                <w:bCs w:val="0"/>
                <w:color w:val="auto"/>
                <w:sz w:val="24"/>
                <w:highlight w:val="none"/>
                <w:lang w:val="en-US" w:eastAsia="zh-CN"/>
              </w:rPr>
              <w:t>主要是凿岩和切割阶段产生的粉尘、道</w:t>
            </w:r>
            <w:r>
              <w:rPr>
                <w:rFonts w:hint="eastAsia" w:cs="Times New Roman"/>
                <w:b w:val="0"/>
                <w:bCs w:val="0"/>
                <w:color w:val="auto"/>
                <w:sz w:val="24"/>
                <w:lang w:val="en-US" w:eastAsia="zh-CN"/>
              </w:rPr>
              <w:t>路扬尘、物料堆场扬尘，其排放特点是排放高度低，属于面源污染，排放点多且分散，排放量受风速和湿度影响较大。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1）采坑凿岩粉尘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参照《逸散性工业粉尘控制技术》（中国环境科学出版社）中给出的钻孔的逸散尘排放系数0.004kg/t（矿石），该矿年开采矿石</w:t>
            </w:r>
            <w:r>
              <w:rPr>
                <w:rFonts w:hint="eastAsia" w:ascii="Times New Roman" w:hAnsi="Times New Roman" w:cs="Times New Roman"/>
                <w:b w:val="0"/>
                <w:bCs w:val="0"/>
                <w:color w:val="auto"/>
                <w:sz w:val="24"/>
                <w:lang w:val="en-US" w:eastAsia="zh-CN"/>
              </w:rPr>
              <w:t>9.16</w:t>
            </w:r>
            <w:r>
              <w:rPr>
                <w:rFonts w:hint="default" w:ascii="Times New Roman" w:hAnsi="Times New Roman" w:cs="Times New Roman"/>
                <w:b w:val="0"/>
                <w:bCs w:val="0"/>
                <w:color w:val="auto"/>
                <w:sz w:val="24"/>
                <w:lang w:val="en-US" w:eastAsia="zh-CN"/>
              </w:rPr>
              <w:t>×10</w:t>
            </w:r>
            <w:r>
              <w:rPr>
                <w:rFonts w:hint="default" w:ascii="Times New Roman" w:hAnsi="Times New Roman" w:cs="Times New Roman"/>
                <w:b w:val="0"/>
                <w:bCs w:val="0"/>
                <w:color w:val="auto"/>
                <w:sz w:val="24"/>
                <w:vertAlign w:val="superscript"/>
                <w:lang w:val="en-US" w:eastAsia="zh-CN"/>
              </w:rPr>
              <w:t>4</w:t>
            </w:r>
            <w:r>
              <w:rPr>
                <w:rFonts w:hint="default" w:ascii="Times New Roman" w:hAnsi="Times New Roman" w:cs="Times New Roman"/>
                <w:b w:val="0"/>
                <w:bCs w:val="0"/>
                <w:color w:val="auto"/>
                <w:sz w:val="24"/>
                <w:lang w:val="en-US" w:eastAsia="zh-CN"/>
              </w:rPr>
              <w:t>m</w:t>
            </w:r>
            <w:r>
              <w:rPr>
                <w:rFonts w:hint="default" w:ascii="Times New Roman" w:hAnsi="Times New Roman" w:cs="Times New Roman"/>
                <w:b w:val="0"/>
                <w:bCs w:val="0"/>
                <w:color w:val="auto"/>
                <w:sz w:val="24"/>
                <w:vertAlign w:val="superscript"/>
                <w:lang w:val="en-US" w:eastAsia="zh-CN"/>
              </w:rPr>
              <w:t>3</w:t>
            </w:r>
            <w:r>
              <w:rPr>
                <w:rFonts w:hint="default" w:ascii="Times New Roman" w:hAnsi="Times New Roman" w:cs="Times New Roman"/>
                <w:b w:val="0"/>
                <w:bCs w:val="0"/>
                <w:color w:val="auto"/>
                <w:sz w:val="24"/>
                <w:lang w:val="en-US" w:eastAsia="zh-CN"/>
              </w:rPr>
              <w:t>（矿石密度按2.6t/m</w:t>
            </w:r>
            <w:r>
              <w:rPr>
                <w:rFonts w:hint="default" w:ascii="Times New Roman" w:hAnsi="Times New Roman" w:cs="Times New Roman"/>
                <w:b w:val="0"/>
                <w:bCs w:val="0"/>
                <w:color w:val="auto"/>
                <w:sz w:val="24"/>
                <w:vertAlign w:val="superscript"/>
                <w:lang w:val="en-US" w:eastAsia="zh-CN"/>
              </w:rPr>
              <w:t>3</w:t>
            </w:r>
            <w:r>
              <w:rPr>
                <w:rFonts w:hint="default" w:ascii="Times New Roman" w:hAnsi="Times New Roman" w:cs="Times New Roman"/>
                <w:b w:val="0"/>
                <w:bCs w:val="0"/>
                <w:color w:val="auto"/>
                <w:sz w:val="24"/>
                <w:lang w:val="en-US" w:eastAsia="zh-CN"/>
              </w:rPr>
              <w:t>），则矿山凿岩过程扬尘产生量为</w:t>
            </w:r>
            <w:r>
              <w:rPr>
                <w:rFonts w:hint="eastAsia" w:ascii="Times New Roman" w:hAnsi="Times New Roman" w:cs="Times New Roman"/>
                <w:b w:val="0"/>
                <w:bCs w:val="0"/>
                <w:color w:val="auto"/>
                <w:sz w:val="24"/>
                <w:lang w:val="en-US" w:eastAsia="zh-CN"/>
              </w:rPr>
              <w:t>0.95</w:t>
            </w:r>
            <w:r>
              <w:rPr>
                <w:rFonts w:hint="default" w:ascii="Times New Roman" w:hAnsi="Times New Roman" w:cs="Times New Roman"/>
                <w:b w:val="0"/>
                <w:bCs w:val="0"/>
                <w:color w:val="auto"/>
                <w:sz w:val="24"/>
                <w:lang w:val="en-US" w:eastAsia="zh-CN"/>
              </w:rPr>
              <w:t>t/a。本项目采用湿</w:t>
            </w:r>
            <w:r>
              <w:rPr>
                <w:rFonts w:hint="eastAsia" w:cs="Times New Roman"/>
                <w:b w:val="0"/>
                <w:bCs w:val="0"/>
                <w:color w:val="auto"/>
                <w:sz w:val="24"/>
                <w:lang w:val="en-US" w:eastAsia="zh-CN"/>
              </w:rPr>
              <w:t>式凿岩钻孔，</w:t>
            </w:r>
            <w:r>
              <w:rPr>
                <w:rFonts w:hint="default" w:cs="Times New Roman"/>
                <w:b w:val="0"/>
                <w:bCs w:val="0"/>
                <w:color w:val="auto"/>
                <w:sz w:val="24"/>
                <w:lang w:val="en-US" w:eastAsia="zh-CN"/>
              </w:rPr>
              <w:t>同时喷雾洒水，</w:t>
            </w:r>
            <w:r>
              <w:rPr>
                <w:rFonts w:hint="eastAsia" w:cs="Times New Roman"/>
                <w:b w:val="0"/>
                <w:bCs w:val="0"/>
                <w:color w:val="auto"/>
                <w:sz w:val="24"/>
                <w:lang w:val="en-US" w:eastAsia="zh-CN"/>
              </w:rPr>
              <w:t>粉尘去除率可达80%以上，则本项目矿山凿岩钻孔粉尘排放量约为0.19t/a。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 w:val="0"/>
                <w:bCs w:val="0"/>
                <w:color w:val="auto"/>
                <w:sz w:val="24"/>
                <w:lang w:val="en-US" w:eastAsia="zh-CN"/>
              </w:rPr>
            </w:pPr>
            <w:r>
              <w:rPr>
                <w:rFonts w:hint="eastAsia" w:cs="Times New Roman"/>
                <w:b w:val="0"/>
                <w:bCs w:val="0"/>
                <w:color w:val="auto"/>
                <w:sz w:val="24"/>
                <w:lang w:val="en-US" w:eastAsia="zh-CN"/>
              </w:rPr>
              <w:t>2）运输扬尘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矿区运输道路扬尘按照《扬尘源颗粒物排放清单编制技术指南（试行）》未铺装道路扬尘排放系数计算：</w:t>
            </w:r>
          </w:p>
          <w:p>
            <w:pPr>
              <w:keepNext w:val="0"/>
              <w:keepLines w:val="0"/>
              <w:pageBreakBefore w:val="0"/>
              <w:widowControl w:val="0"/>
              <w:kinsoku/>
              <w:wordWrap/>
              <w:overflowPunct/>
              <w:topLinePunct w:val="0"/>
              <w:autoSpaceDE/>
              <w:autoSpaceDN/>
              <w:bidi w:val="0"/>
              <w:spacing w:line="360" w:lineRule="auto"/>
              <w:ind w:left="0" w:right="0" w:firstLine="480" w:firstLineChars="200"/>
              <w:textAlignment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3244850" cy="501650"/>
                  <wp:effectExtent l="0" t="0" r="12700" b="1270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5"/>
                          <a:stretch>
                            <a:fillRect/>
                          </a:stretch>
                        </pic:blipFill>
                        <pic:spPr>
                          <a:xfrm>
                            <a:off x="0" y="0"/>
                            <a:ext cx="3244850" cy="5016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式中：E</w:t>
            </w:r>
            <w:r>
              <w:rPr>
                <w:rFonts w:hint="default" w:ascii="Times New Roman" w:hAnsi="Times New Roman" w:eastAsia="宋体" w:cs="Times New Roman"/>
                <w:color w:val="auto"/>
                <w:sz w:val="24"/>
                <w:vertAlign w:val="subscript"/>
                <w:lang w:val="en-US" w:eastAsia="zh-CN"/>
              </w:rPr>
              <w:t>UPi</w:t>
            </w:r>
            <w:r>
              <w:rPr>
                <w:rFonts w:hint="default" w:ascii="Times New Roman" w:hAnsi="Times New Roman" w:eastAsia="宋体" w:cs="Times New Roman"/>
                <w:color w:val="auto"/>
                <w:sz w:val="24"/>
                <w:lang w:val="en-US" w:eastAsia="zh-CN"/>
              </w:rPr>
              <w:t>—未铺装道路扬尘中PMi排放系数，g/km；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ki—产生的扬尘中PMi的粒度乘数，颗粒物取1691.4g/km；a取0.3，b取0.3；</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s—道路表面有效积尘率，取40%；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v—平均车速，km/h，本次评价取15km/h；</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M—道路积尘含水率，取10%；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η—污染控制技术对扬尘的去除效率，本项目采取控制车速、加盖篷布、路面洒水抑尘等措施后降尘效率取90%。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default" w:ascii="Times New Roman" w:hAnsi="Times New Roman" w:eastAsia="宋体" w:cs="Times New Roman"/>
                <w:color w:val="auto"/>
                <w:sz w:val="24"/>
                <w:lang w:val="en-US" w:eastAsia="zh-CN"/>
              </w:rPr>
              <w:t>通过上式计算，E</w:t>
            </w:r>
            <w:r>
              <w:rPr>
                <w:rFonts w:hint="default" w:ascii="Times New Roman" w:hAnsi="Times New Roman" w:eastAsia="宋体" w:cs="Times New Roman"/>
                <w:color w:val="auto"/>
                <w:sz w:val="24"/>
                <w:vertAlign w:val="subscript"/>
                <w:lang w:val="en-US" w:eastAsia="zh-CN"/>
              </w:rPr>
              <w:t>UPi</w:t>
            </w:r>
            <w:r>
              <w:rPr>
                <w:rFonts w:hint="default" w:ascii="Times New Roman" w:hAnsi="Times New Roman" w:eastAsia="宋体" w:cs="Times New Roman"/>
                <w:color w:val="auto"/>
                <w:sz w:val="24"/>
                <w:lang w:val="en-US" w:eastAsia="zh-CN"/>
              </w:rPr>
              <w:t>为7.42g/km，矿区内道路长度约为</w:t>
            </w:r>
            <w:r>
              <w:rPr>
                <w:rFonts w:hint="eastAsia" w:ascii="Times New Roman" w:hAnsi="Times New Roman" w:eastAsia="宋体" w:cs="Times New Roman"/>
                <w:color w:val="auto"/>
                <w:sz w:val="24"/>
                <w:lang w:val="en-US" w:eastAsia="zh-CN"/>
              </w:rPr>
              <w:t>0.75</w:t>
            </w:r>
            <w:r>
              <w:rPr>
                <w:rFonts w:hint="default" w:ascii="Times New Roman" w:hAnsi="Times New Roman" w:eastAsia="宋体" w:cs="Times New Roman"/>
                <w:color w:val="auto"/>
                <w:sz w:val="24"/>
                <w:lang w:val="en-US" w:eastAsia="zh-CN"/>
              </w:rPr>
              <w:t>km。</w:t>
            </w:r>
            <w:r>
              <w:rPr>
                <w:rFonts w:hint="default" w:ascii="Times New Roman" w:hAnsi="Times New Roman" w:cs="Times New Roman"/>
                <w:b w:val="0"/>
                <w:bCs w:val="0"/>
                <w:color w:val="auto"/>
                <w:sz w:val="24"/>
                <w:lang w:val="en-US" w:eastAsia="zh-CN"/>
              </w:rPr>
              <w:t>该矿年开采矿石</w:t>
            </w:r>
            <w:r>
              <w:rPr>
                <w:rFonts w:hint="eastAsia" w:ascii="Times New Roman" w:hAnsi="Times New Roman" w:cs="Times New Roman"/>
                <w:b w:val="0"/>
                <w:bCs w:val="0"/>
                <w:color w:val="auto"/>
                <w:sz w:val="24"/>
                <w:lang w:val="en-US" w:eastAsia="zh-CN"/>
              </w:rPr>
              <w:t>9.16</w:t>
            </w:r>
            <w:r>
              <w:rPr>
                <w:rFonts w:hint="default" w:ascii="Times New Roman" w:hAnsi="Times New Roman" w:cs="Times New Roman"/>
                <w:b w:val="0"/>
                <w:bCs w:val="0"/>
                <w:color w:val="auto"/>
                <w:sz w:val="24"/>
                <w:lang w:val="en-US" w:eastAsia="zh-CN"/>
              </w:rPr>
              <w:t>×10</w:t>
            </w:r>
            <w:r>
              <w:rPr>
                <w:rFonts w:hint="default" w:ascii="Times New Roman" w:hAnsi="Times New Roman" w:cs="Times New Roman"/>
                <w:b w:val="0"/>
                <w:bCs w:val="0"/>
                <w:color w:val="auto"/>
                <w:sz w:val="24"/>
                <w:vertAlign w:val="superscript"/>
                <w:lang w:val="en-US" w:eastAsia="zh-CN"/>
              </w:rPr>
              <w:t>4</w:t>
            </w:r>
            <w:r>
              <w:rPr>
                <w:rFonts w:hint="default" w:ascii="Times New Roman" w:hAnsi="Times New Roman" w:cs="Times New Roman"/>
                <w:b w:val="0"/>
                <w:bCs w:val="0"/>
                <w:color w:val="auto"/>
                <w:sz w:val="24"/>
                <w:lang w:val="en-US" w:eastAsia="zh-CN"/>
              </w:rPr>
              <w:t>m</w:t>
            </w:r>
            <w:r>
              <w:rPr>
                <w:rFonts w:hint="default" w:ascii="Times New Roman" w:hAnsi="Times New Roman" w:cs="Times New Roman"/>
                <w:b w:val="0"/>
                <w:bCs w:val="0"/>
                <w:color w:val="auto"/>
                <w:sz w:val="24"/>
                <w:vertAlign w:val="superscript"/>
                <w:lang w:val="en-US" w:eastAsia="zh-CN"/>
              </w:rPr>
              <w:t>3</w:t>
            </w:r>
            <w:r>
              <w:rPr>
                <w:rFonts w:hint="default" w:ascii="Times New Roman" w:hAnsi="Times New Roman" w:cs="Times New Roman"/>
                <w:b w:val="0"/>
                <w:bCs w:val="0"/>
                <w:color w:val="auto"/>
                <w:sz w:val="24"/>
                <w:lang w:val="en-US" w:eastAsia="zh-CN"/>
              </w:rPr>
              <w:t>（矿石密度按2.6t/m</w:t>
            </w:r>
            <w:r>
              <w:rPr>
                <w:rFonts w:hint="default" w:ascii="Times New Roman" w:hAnsi="Times New Roman" w:cs="Times New Roman"/>
                <w:b w:val="0"/>
                <w:bCs w:val="0"/>
                <w:color w:val="auto"/>
                <w:sz w:val="24"/>
                <w:vertAlign w:val="superscript"/>
                <w:lang w:val="en-US" w:eastAsia="zh-CN"/>
              </w:rPr>
              <w:t>3</w:t>
            </w:r>
            <w:r>
              <w:rPr>
                <w:rFonts w:hint="default" w:ascii="Times New Roman" w:hAnsi="Times New Roman" w:cs="Times New Roman"/>
                <w:b w:val="0"/>
                <w:bCs w:val="0"/>
                <w:color w:val="auto"/>
                <w:sz w:val="24"/>
                <w:lang w:val="en-US" w:eastAsia="zh-CN"/>
              </w:rPr>
              <w:t>）</w:t>
            </w:r>
            <w:r>
              <w:rPr>
                <w:rFonts w:hint="default" w:ascii="Times New Roman" w:hAnsi="Times New Roman" w:eastAsia="宋体" w:cs="Times New Roman"/>
                <w:color w:val="auto"/>
                <w:sz w:val="24"/>
                <w:lang w:val="en-US" w:eastAsia="zh-CN"/>
              </w:rPr>
              <w:t>，每辆汽车的载重量为20t，则年运输次数为</w:t>
            </w:r>
            <w:r>
              <w:rPr>
                <w:rFonts w:hint="eastAsia" w:ascii="Times New Roman" w:hAnsi="Times New Roman" w:eastAsia="宋体" w:cs="Times New Roman"/>
                <w:color w:val="auto"/>
                <w:sz w:val="24"/>
                <w:lang w:val="en-US" w:eastAsia="zh-CN"/>
              </w:rPr>
              <w:t>11908</w:t>
            </w:r>
            <w:r>
              <w:rPr>
                <w:rFonts w:hint="default" w:ascii="Times New Roman" w:hAnsi="Times New Roman" w:eastAsia="宋体" w:cs="Times New Roman"/>
                <w:color w:val="auto"/>
                <w:sz w:val="24"/>
                <w:lang w:val="en-US" w:eastAsia="zh-CN"/>
              </w:rPr>
              <w:t>次，因此道路扬尘排放量为0.0</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）装卸扬尘和风蚀扬尘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根据《排放源统计调查产排污核算方法和系数手册》（公告2021年第24号）中附表2工业源固体物料堆场颗粒物核算系数手册中核算公式。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工业企业固体物料堆存颗粒物包括装卸扬尘和风蚀扬尘，颗粒物产生量核算公式如下：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lang w:val="en-US" w:eastAsia="zh-CN"/>
              </w:rPr>
              <w:drawing>
                <wp:inline distT="0" distB="0" distL="114300" distR="114300">
                  <wp:extent cx="4438650" cy="36195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6"/>
                          <a:stretch>
                            <a:fillRect/>
                          </a:stretch>
                        </pic:blipFill>
                        <pic:spPr>
                          <a:xfrm>
                            <a:off x="0" y="0"/>
                            <a:ext cx="4438650" cy="3619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式中：P      指颗粒物产生量（单位：吨）；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ZCy   指装卸扬尘产生量（单位：吨）；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FCy   指风蚀扬尘产生量（单位：吨）；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Nc    指年物料运载车次（单位：车），</w:t>
            </w:r>
            <w:r>
              <w:rPr>
                <w:rFonts w:hint="default" w:ascii="Times New Roman" w:hAnsi="Times New Roman" w:cs="Times New Roman"/>
                <w:b w:val="0"/>
                <w:bCs w:val="0"/>
                <w:color w:val="auto"/>
                <w:sz w:val="24"/>
                <w:lang w:val="en-US" w:eastAsia="zh-CN"/>
              </w:rPr>
              <w:t>该矿年开采矿石</w:t>
            </w:r>
            <w:r>
              <w:rPr>
                <w:rFonts w:hint="eastAsia" w:ascii="Times New Roman" w:hAnsi="Times New Roman" w:cs="Times New Roman"/>
                <w:b w:val="0"/>
                <w:bCs w:val="0"/>
                <w:color w:val="auto"/>
                <w:sz w:val="24"/>
                <w:lang w:val="en-US" w:eastAsia="zh-CN"/>
              </w:rPr>
              <w:t>9.16</w:t>
            </w:r>
            <w:r>
              <w:rPr>
                <w:rFonts w:hint="default" w:ascii="Times New Roman" w:hAnsi="Times New Roman" w:cs="Times New Roman"/>
                <w:b w:val="0"/>
                <w:bCs w:val="0"/>
                <w:color w:val="auto"/>
                <w:sz w:val="24"/>
                <w:lang w:val="en-US" w:eastAsia="zh-CN"/>
              </w:rPr>
              <w:t>×10</w:t>
            </w:r>
            <w:r>
              <w:rPr>
                <w:rFonts w:hint="default" w:ascii="Times New Roman" w:hAnsi="Times New Roman" w:cs="Times New Roman"/>
                <w:b w:val="0"/>
                <w:bCs w:val="0"/>
                <w:color w:val="auto"/>
                <w:sz w:val="24"/>
                <w:vertAlign w:val="superscript"/>
                <w:lang w:val="en-US" w:eastAsia="zh-CN"/>
              </w:rPr>
              <w:t>4</w:t>
            </w:r>
            <w:r>
              <w:rPr>
                <w:rFonts w:hint="default" w:ascii="Times New Roman" w:hAnsi="Times New Roman" w:cs="Times New Roman"/>
                <w:b w:val="0"/>
                <w:bCs w:val="0"/>
                <w:color w:val="auto"/>
                <w:sz w:val="24"/>
                <w:lang w:val="en-US" w:eastAsia="zh-CN"/>
              </w:rPr>
              <w:t>m</w:t>
            </w:r>
            <w:r>
              <w:rPr>
                <w:rFonts w:hint="default" w:ascii="Times New Roman" w:hAnsi="Times New Roman" w:cs="Times New Roman"/>
                <w:b w:val="0"/>
                <w:bCs w:val="0"/>
                <w:color w:val="auto"/>
                <w:sz w:val="24"/>
                <w:vertAlign w:val="superscript"/>
                <w:lang w:val="en-US" w:eastAsia="zh-CN"/>
              </w:rPr>
              <w:t>3</w:t>
            </w:r>
            <w:r>
              <w:rPr>
                <w:rFonts w:hint="default" w:ascii="Times New Roman" w:hAnsi="Times New Roman" w:cs="Times New Roman"/>
                <w:b w:val="0"/>
                <w:bCs w:val="0"/>
                <w:color w:val="auto"/>
                <w:sz w:val="24"/>
                <w:lang w:val="en-US" w:eastAsia="zh-CN"/>
              </w:rPr>
              <w:t>（矿石密度按2.6t/m</w:t>
            </w:r>
            <w:r>
              <w:rPr>
                <w:rFonts w:hint="default" w:ascii="Times New Roman" w:hAnsi="Times New Roman" w:cs="Times New Roman"/>
                <w:b w:val="0"/>
                <w:bCs w:val="0"/>
                <w:color w:val="auto"/>
                <w:sz w:val="24"/>
                <w:vertAlign w:val="superscript"/>
                <w:lang w:val="en-US" w:eastAsia="zh-CN"/>
              </w:rPr>
              <w:t>3</w:t>
            </w:r>
            <w:r>
              <w:rPr>
                <w:rFonts w:hint="default" w:ascii="Times New Roman" w:hAnsi="Times New Roman" w:cs="Times New Roman"/>
                <w:b w:val="0"/>
                <w:bCs w:val="0"/>
                <w:color w:val="auto"/>
                <w:sz w:val="24"/>
                <w:lang w:val="en-US" w:eastAsia="zh-CN"/>
              </w:rPr>
              <w:t>）</w:t>
            </w:r>
            <w:r>
              <w:rPr>
                <w:rFonts w:hint="default" w:ascii="Times New Roman" w:hAnsi="Times New Roman" w:eastAsia="宋体" w:cs="Times New Roman"/>
                <w:color w:val="auto"/>
                <w:sz w:val="24"/>
                <w:lang w:val="en-US" w:eastAsia="zh-CN"/>
              </w:rPr>
              <w:t>，每辆汽车的载重量为20t，则年运输次数为</w:t>
            </w:r>
            <w:r>
              <w:rPr>
                <w:rFonts w:hint="eastAsia" w:ascii="Times New Roman" w:hAnsi="Times New Roman" w:eastAsia="宋体" w:cs="Times New Roman"/>
                <w:color w:val="auto"/>
                <w:sz w:val="24"/>
                <w:lang w:val="en-US" w:eastAsia="zh-CN"/>
              </w:rPr>
              <w:t>11908</w:t>
            </w:r>
            <w:r>
              <w:rPr>
                <w:rFonts w:hint="default" w:ascii="Times New Roman" w:hAnsi="Times New Roman" w:eastAsia="宋体" w:cs="Times New Roman"/>
                <w:color w:val="auto"/>
                <w:sz w:val="24"/>
                <w:lang w:val="en-US" w:eastAsia="zh-CN"/>
              </w:rPr>
              <w:t>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D     指单车平均运载量（单位：吨/车），单车运输</w:t>
            </w:r>
            <w:r>
              <w:rPr>
                <w:rFonts w:hint="eastAsia" w:cs="Times New Roman"/>
                <w:color w:val="auto"/>
                <w:sz w:val="24"/>
                <w:lang w:val="en-US" w:eastAsia="zh-CN"/>
              </w:rPr>
              <w:t>20</w:t>
            </w:r>
            <w:r>
              <w:rPr>
                <w:rFonts w:hint="default" w:ascii="Times New Roman" w:hAnsi="Times New Roman" w:eastAsia="宋体" w:cs="Times New Roman"/>
                <w:color w:val="auto"/>
                <w:sz w:val="24"/>
                <w:lang w:val="en-US" w:eastAsia="zh-CN"/>
              </w:rPr>
              <w:t>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a/b    指装卸扬尘概化系数（单位：千克/吨），a指各省风速概化系数，本项目取0.0011，b指物料含水率概化系数，本项目取0.0151；</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Ef     指堆场风蚀扬尘概化系数，本项目取8.5848（单位：千克/平方米）；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S      指堆场占地面积（单位：平方米），占地面积</w:t>
            </w:r>
            <w:r>
              <w:rPr>
                <w:rFonts w:hint="eastAsia" w:cs="Times New Roman"/>
                <w:color w:val="auto"/>
                <w:sz w:val="24"/>
                <w:lang w:val="en-US" w:eastAsia="zh-CN"/>
              </w:rPr>
              <w:t>110000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经计算，本项目装卸扬尘和风蚀扬尘产生量约为</w:t>
            </w:r>
            <w:r>
              <w:rPr>
                <w:rFonts w:hint="eastAsia" w:cs="Times New Roman"/>
                <w:color w:val="auto"/>
                <w:sz w:val="24"/>
                <w:lang w:val="en-US" w:eastAsia="zh-CN"/>
              </w:rPr>
              <w:t>175.38</w:t>
            </w:r>
            <w:r>
              <w:rPr>
                <w:rFonts w:hint="default" w:ascii="Times New Roman" w:hAnsi="Times New Roman" w:eastAsia="宋体" w:cs="Times New Roman"/>
                <w:color w:val="auto"/>
                <w:sz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lang w:val="en-US" w:eastAsia="zh-CN"/>
              </w:rPr>
              <w:drawing>
                <wp:anchor distT="0" distB="0" distL="114300" distR="114300" simplePos="0" relativeHeight="251662336" behindDoc="0" locked="0" layoutInCell="1" allowOverlap="1">
                  <wp:simplePos x="0" y="0"/>
                  <wp:positionH relativeFrom="column">
                    <wp:posOffset>678180</wp:posOffset>
                  </wp:positionH>
                  <wp:positionV relativeFrom="paragraph">
                    <wp:posOffset>599440</wp:posOffset>
                  </wp:positionV>
                  <wp:extent cx="2533650" cy="316230"/>
                  <wp:effectExtent l="0" t="0" r="0" b="7620"/>
                  <wp:wrapTopAndBottom/>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17"/>
                          <a:stretch>
                            <a:fillRect/>
                          </a:stretch>
                        </pic:blipFill>
                        <pic:spPr>
                          <a:xfrm>
                            <a:off x="0" y="0"/>
                            <a:ext cx="2533650" cy="316230"/>
                          </a:xfrm>
                          <a:prstGeom prst="rect">
                            <a:avLst/>
                          </a:prstGeom>
                          <a:noFill/>
                          <a:ln w="9525">
                            <a:noFill/>
                          </a:ln>
                        </pic:spPr>
                      </pic:pic>
                    </a:graphicData>
                  </a:graphic>
                </wp:anchor>
              </w:drawing>
            </w:r>
            <w:r>
              <w:rPr>
                <w:rFonts w:hint="default" w:ascii="Times New Roman" w:hAnsi="Times New Roman" w:eastAsia="宋体" w:cs="Times New Roman"/>
                <w:color w:val="auto"/>
                <w:sz w:val="24"/>
                <w:lang w:val="en-US" w:eastAsia="zh-CN"/>
              </w:rPr>
              <w:t>矿石装卸采取降低装卸高度、洒水抑尘、避免大风天气装卸、篷布遮盖等措施，工业企业固体物料堆场颗粒物排放量核算公式如下：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式中：P     指颗粒物产生量（单位：吨）；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Uc    指颗粒物排放量（单位：吨）；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Cm   指颗粒物控制措施控制效率（单位：%），取86%；</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Tm   指堆场类型控制效率（单位：%），取60%。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经计算，本项目装卸扬尘和风蚀扬尘排放量约为</w:t>
            </w:r>
            <w:r>
              <w:rPr>
                <w:rFonts w:hint="eastAsia" w:cs="Times New Roman"/>
                <w:color w:val="auto"/>
                <w:sz w:val="24"/>
                <w:lang w:val="en-US" w:eastAsia="zh-CN"/>
              </w:rPr>
              <w:t>9.82</w:t>
            </w:r>
            <w:r>
              <w:rPr>
                <w:rFonts w:hint="default" w:ascii="Times New Roman" w:hAnsi="Times New Roman" w:eastAsia="宋体" w:cs="Times New Roman"/>
                <w:color w:val="auto"/>
                <w:sz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本项目无组织排放粉尘采取以下措施：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1）对产尘部位洒水抑尘，应尽量降低卸料落差及堆料高度，平整压实。</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2）成品运输车辆采取篷布遮盖、限载，杜绝产品长途运输途中造成沿途洒漏。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3）车辆运输高峰期间每天洒水，防止二次扬尘。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4）矿石即采即运，避免长时间在堆放场堆存。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5）合理进行总平面布置，靠近厂区办公生活区一侧不设置原料堆场，堆场、道路间应有分隔。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6）合理进行工艺布局，尽量减少不必要的输送环节。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7）当地面风速大于4m/s时应停止卸料作业。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8）设备岗位人员不得脱岗，严格检查物料的跑、冒、滴、漏现象。在粉尘环境中的作业人员，佩戴防尘口罩、护目镜等个人防护用品。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经采取以上环保措施后，无组织粉尘排放浓度可满足《大气污染物综合排放标准》（GB16297-1996）中表2颗粒物无组织排放监控浓度限值要求，对周围环境影响较少。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4）车间加工粉尘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①石板加工粉尘（包括切割粉尘以及抛光粉尘）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本项目年生产板材约20万m</w:t>
            </w:r>
            <w:r>
              <w:rPr>
                <w:rFonts w:hint="eastAsia" w:cs="Times New Roman"/>
                <w:b w:val="0"/>
                <w:bCs w:val="0"/>
                <w:color w:val="auto"/>
                <w:sz w:val="24"/>
                <w:vertAlign w:val="superscript"/>
                <w:lang w:val="en-US" w:eastAsia="zh-CN"/>
              </w:rPr>
              <w:t>2</w:t>
            </w:r>
            <w:r>
              <w:rPr>
                <w:rFonts w:hint="eastAsia" w:cs="Times New Roman"/>
                <w:b w:val="0"/>
                <w:bCs w:val="0"/>
                <w:color w:val="auto"/>
                <w:sz w:val="24"/>
                <w:lang w:val="en-US" w:eastAsia="zh-CN"/>
              </w:rPr>
              <w:t>，根据《排放源统计调查产排污核算方法和系数手册》（303砖瓦、石材等建筑材料制造行业系数手册）3032建筑用石加工行业-建筑板材（毛板、毛光板、规格板）的颗粒物产生系数为0.0325千克/平方米-产品，则粉尘产生量约为6.5t/a。本项目在生产过程采用湿式作业，可大量抑制粉尘的产生，废气处理效率90%，则废气排放量为0.65t/a，且在封闭车间内作业，可有效降低粉尘的逸散量，此过程去除效率为70%，则废气排放量为0.20t/a，所产生的粉尘对周围环境基本无影响，沉降粉尘定期清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②喷砂机粉尘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本项目每年需要喷砂机处理的板材量大约为7000t/a，参考《逸散性工业粉尘控制技术》（中国环境科学出版社出版、1989年12月第一版）中第二十三喷砂厂表23-1中喷砂产污系数0.775kg/t（进料），喷砂过程在密闭空间内进行，此过程的废气收集效率为90%，喷砂过程中粉尘有组织产生量为4.89t/a，产生速率2.54kg/h，产生浓度509.37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，喷砂过程在密闭空间内进行，此过程的废气收集处理后的废气经15米排气筒排放，本项目采用布袋除尘器串联的方式处理废气，末端去除效率为97%，风机风量为5000m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/h，年运行时间为1920h，则有组织排放量分别为0.15t/a，排放浓度15.63mg/m</w:t>
            </w:r>
            <w:r>
              <w:rPr>
                <w:rFonts w:hint="eastAsia" w:cs="Times New Roman"/>
                <w:b w:val="0"/>
                <w:bCs w:val="0"/>
                <w:color w:val="auto"/>
                <w:sz w:val="24"/>
                <w:vertAlign w:val="superscript"/>
                <w:lang w:val="en-US" w:eastAsia="zh-CN"/>
              </w:rPr>
              <w:t>3</w:t>
            </w:r>
            <w:r>
              <w:rPr>
                <w:rFonts w:hint="eastAsia" w:cs="Times New Roman"/>
                <w:b w:val="0"/>
                <w:bCs w:val="0"/>
                <w:color w:val="auto"/>
                <w:sz w:val="24"/>
                <w:lang w:val="en-US" w:eastAsia="zh-CN"/>
              </w:rPr>
              <w:t>，排放速率为0.078kg/h。</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无组织产生量为0.54t/a，产生速率为0.28kg/h。生产过程在封闭车间内作业，可有效降低粉尘的逸散量，此过程去除效率为70%。所产生的粉尘对周围环境基本无影响，沉降粉尘定期清扫。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）燃油废气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本项目施工机械主要为装载机等设备，根据主体设计资料，年用柴油20t，燃料燃烧过程中将产生CO、NOx、SO</w:t>
            </w:r>
            <w:r>
              <w:rPr>
                <w:rFonts w:hint="default" w:ascii="Times New Roman" w:hAnsi="Times New Roman" w:eastAsia="宋体" w:cs="Times New Roman"/>
                <w:color w:val="auto"/>
                <w:sz w:val="24"/>
                <w:vertAlign w:val="subscript"/>
                <w:lang w:val="en-US" w:eastAsia="zh-CN"/>
              </w:rPr>
              <w:t>2</w:t>
            </w:r>
            <w:r>
              <w:rPr>
                <w:rFonts w:hint="default" w:ascii="Times New Roman" w:hAnsi="Times New Roman" w:eastAsia="宋体" w:cs="Times New Roman"/>
                <w:color w:val="auto"/>
                <w:sz w:val="24"/>
                <w:lang w:val="en-US" w:eastAsia="zh-CN"/>
              </w:rPr>
              <w:t>、碳氢化合物、铅化物等污染物。根据有关资料介绍，每吨柴油燃烧排放有害气体量详见表4-</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，燃烧柴油排放污染物详情见表4-</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燃烧1t柴油排放的有害物质表</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20"/>
              <w:gridCol w:w="1421"/>
              <w:gridCol w:w="1421"/>
              <w:gridCol w:w="1421"/>
              <w:gridCol w:w="1421"/>
              <w:gridCol w:w="14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3" w:type="pct"/>
                  <w:tcBorders>
                    <w:top w:val="single" w:color="auto" w:sz="8"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有害物质</w:t>
                  </w:r>
                </w:p>
              </w:tc>
              <w:tc>
                <w:tcPr>
                  <w:tcW w:w="833" w:type="pct"/>
                  <w:tcBorders>
                    <w:top w:val="single" w:color="auto" w:sz="8"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铅化物</w:t>
                  </w:r>
                </w:p>
              </w:tc>
              <w:tc>
                <w:tcPr>
                  <w:tcW w:w="833" w:type="pct"/>
                  <w:tcBorders>
                    <w:top w:val="single" w:color="auto" w:sz="8"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SO</w:t>
                  </w:r>
                  <w:r>
                    <w:rPr>
                      <w:rFonts w:hint="default" w:ascii="Times New Roman" w:hAnsi="Times New Roman" w:eastAsia="宋体" w:cs="Times New Roman"/>
                      <w:color w:val="auto"/>
                      <w:szCs w:val="21"/>
                      <w:vertAlign w:val="subscript"/>
                    </w:rPr>
                    <w:t>2</w:t>
                  </w:r>
                </w:p>
              </w:tc>
              <w:tc>
                <w:tcPr>
                  <w:tcW w:w="833" w:type="pct"/>
                  <w:tcBorders>
                    <w:top w:val="single" w:color="auto" w:sz="8"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w:t>
                  </w:r>
                </w:p>
              </w:tc>
              <w:tc>
                <w:tcPr>
                  <w:tcW w:w="833" w:type="pct"/>
                  <w:tcBorders>
                    <w:top w:val="single" w:color="auto" w:sz="8"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NO</w:t>
                  </w:r>
                  <w:r>
                    <w:rPr>
                      <w:rFonts w:hint="default" w:ascii="Times New Roman" w:hAnsi="Times New Roman" w:eastAsia="宋体" w:cs="Times New Roman"/>
                      <w:color w:val="auto"/>
                      <w:szCs w:val="21"/>
                      <w:vertAlign w:val="subscript"/>
                    </w:rPr>
                    <w:t>x</w:t>
                  </w:r>
                </w:p>
              </w:tc>
              <w:tc>
                <w:tcPr>
                  <w:tcW w:w="833" w:type="pct"/>
                  <w:tcBorders>
                    <w:top w:val="single" w:color="auto" w:sz="8" w:space="0"/>
                    <w:left w:val="single" w:color="auto" w:sz="4" w:space="0"/>
                    <w:bottom w:val="single" w:color="auto" w:sz="4" w:space="0"/>
                    <w:right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碳氢化合物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3" w:type="pct"/>
                  <w:tcBorders>
                    <w:top w:val="single" w:color="auto" w:sz="4" w:space="0"/>
                    <w:left w:val="nil"/>
                    <w:bottom w:val="single" w:color="auto" w:sz="8"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排放量（kg）</w:t>
                  </w:r>
                </w:p>
              </w:tc>
              <w:tc>
                <w:tcPr>
                  <w:tcW w:w="833" w:type="pct"/>
                  <w:tcBorders>
                    <w:top w:val="single" w:color="auto" w:sz="4" w:space="0"/>
                    <w:left w:val="single" w:color="auto" w:sz="4" w:space="0"/>
                    <w:bottom w:val="single" w:color="auto" w:sz="8"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1.696</w:t>
                  </w:r>
                </w:p>
              </w:tc>
              <w:tc>
                <w:tcPr>
                  <w:tcW w:w="833" w:type="pct"/>
                  <w:tcBorders>
                    <w:top w:val="single" w:color="auto" w:sz="4" w:space="0"/>
                    <w:left w:val="single" w:color="auto" w:sz="4" w:space="0"/>
                    <w:bottom w:val="single" w:color="auto" w:sz="8"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3.522</w:t>
                  </w:r>
                </w:p>
              </w:tc>
              <w:tc>
                <w:tcPr>
                  <w:tcW w:w="833" w:type="pct"/>
                  <w:tcBorders>
                    <w:top w:val="single" w:color="auto" w:sz="4" w:space="0"/>
                    <w:left w:val="single" w:color="auto" w:sz="4" w:space="0"/>
                    <w:bottom w:val="single" w:color="auto" w:sz="8" w:space="0"/>
                    <w:righ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29.34</w:t>
                  </w:r>
                  <w:r>
                    <w:rPr>
                      <w:rFonts w:hint="default" w:ascii="Times New Roman" w:hAnsi="Times New Roman" w:eastAsia="宋体" w:cs="Times New Roman"/>
                      <w:color w:val="auto"/>
                      <w:szCs w:val="21"/>
                      <w:lang w:val="en-US" w:eastAsia="zh-CN"/>
                    </w:rPr>
                    <w:t>9</w:t>
                  </w:r>
                </w:p>
              </w:tc>
              <w:tc>
                <w:tcPr>
                  <w:tcW w:w="833" w:type="pct"/>
                  <w:tcBorders>
                    <w:top w:val="single" w:color="auto" w:sz="4" w:space="0"/>
                    <w:left w:val="single" w:color="auto" w:sz="4" w:space="0"/>
                    <w:bottom w:val="single" w:color="auto" w:sz="8"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48.263</w:t>
                  </w:r>
                </w:p>
              </w:tc>
              <w:tc>
                <w:tcPr>
                  <w:tcW w:w="833" w:type="pct"/>
                  <w:tcBorders>
                    <w:top w:val="single" w:color="auto" w:sz="4" w:space="0"/>
                    <w:left w:val="single" w:color="auto" w:sz="4" w:space="0"/>
                    <w:bottom w:val="single" w:color="auto" w:sz="8" w:space="0"/>
                    <w:right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.826</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4-6</w:t>
            </w:r>
            <w:r>
              <w:rPr>
                <w:rFonts w:hint="default" w:ascii="Times New Roman" w:hAnsi="Times New Roman" w:eastAsia="宋体" w:cs="Times New Roman"/>
                <w:b/>
                <w:bCs/>
                <w:color w:val="auto"/>
                <w:sz w:val="21"/>
                <w:szCs w:val="21"/>
                <w:lang w:val="en-US" w:eastAsia="zh-CN"/>
              </w:rPr>
              <w:t xml:space="preserve">    燃烧柴油排放污染物一览表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37"/>
              <w:gridCol w:w="1418"/>
              <w:gridCol w:w="1418"/>
              <w:gridCol w:w="1417"/>
              <w:gridCol w:w="1418"/>
              <w:gridCol w:w="14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2" w:type="pct"/>
                  <w:tcBorders>
                    <w:top w:val="single" w:color="auto" w:sz="8" w:space="0"/>
                    <w:left w:val="nil"/>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有害物质</w:t>
                  </w:r>
                </w:p>
              </w:tc>
              <w:tc>
                <w:tcPr>
                  <w:tcW w:w="831" w:type="pct"/>
                  <w:tcBorders>
                    <w:top w:val="single" w:color="auto" w:sz="8"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铅化物</w:t>
                  </w:r>
                </w:p>
              </w:tc>
              <w:tc>
                <w:tcPr>
                  <w:tcW w:w="831" w:type="pct"/>
                  <w:tcBorders>
                    <w:top w:val="single" w:color="auto" w:sz="8"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SO</w:t>
                  </w:r>
                  <w:r>
                    <w:rPr>
                      <w:rFonts w:hint="default" w:ascii="Times New Roman" w:hAnsi="Times New Roman" w:eastAsia="宋体" w:cs="Times New Roman"/>
                      <w:color w:val="auto"/>
                      <w:szCs w:val="21"/>
                      <w:vertAlign w:val="subscript"/>
                    </w:rPr>
                    <w:t>2</w:t>
                  </w:r>
                </w:p>
              </w:tc>
              <w:tc>
                <w:tcPr>
                  <w:tcW w:w="830" w:type="pct"/>
                  <w:tcBorders>
                    <w:top w:val="single" w:color="auto" w:sz="8"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w:t>
                  </w:r>
                </w:p>
              </w:tc>
              <w:tc>
                <w:tcPr>
                  <w:tcW w:w="831" w:type="pct"/>
                  <w:tcBorders>
                    <w:top w:val="single" w:color="auto" w:sz="8"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NO</w:t>
                  </w:r>
                  <w:r>
                    <w:rPr>
                      <w:rFonts w:hint="default" w:ascii="Times New Roman" w:hAnsi="Times New Roman" w:eastAsia="宋体" w:cs="Times New Roman"/>
                      <w:color w:val="auto"/>
                      <w:szCs w:val="21"/>
                      <w:vertAlign w:val="subscript"/>
                    </w:rPr>
                    <w:t>x</w:t>
                  </w:r>
                </w:p>
              </w:tc>
              <w:tc>
                <w:tcPr>
                  <w:tcW w:w="831" w:type="pct"/>
                  <w:tcBorders>
                    <w:top w:val="single" w:color="auto" w:sz="8" w:space="0"/>
                    <w:left w:val="single" w:color="auto" w:sz="4" w:space="0"/>
                    <w:bottom w:val="single" w:color="auto" w:sz="4" w:space="0"/>
                    <w:right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碳氢化合物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2" w:type="pct"/>
                  <w:tcBorders>
                    <w:top w:val="single" w:color="auto" w:sz="4" w:space="0"/>
                    <w:left w:val="nil"/>
                    <w:bottom w:val="single" w:color="auto" w:sz="8" w:space="0"/>
                    <w:right w:val="single" w:color="auto" w:sz="4" w:space="0"/>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排放量（t/a）</w:t>
                  </w:r>
                </w:p>
              </w:tc>
              <w:tc>
                <w:tcPr>
                  <w:tcW w:w="831" w:type="pct"/>
                  <w:tcBorders>
                    <w:top w:val="single" w:color="auto" w:sz="4" w:space="0"/>
                    <w:left w:val="single" w:color="auto" w:sz="4" w:space="0"/>
                    <w:bottom w:val="single" w:color="auto" w:sz="8" w:space="0"/>
                    <w:right w:val="single" w:color="auto" w:sz="4" w:space="0"/>
                  </w:tcBorders>
                  <w:noWrap w:val="0"/>
                  <w:vAlign w:val="center"/>
                </w:tcPr>
                <w:p>
                  <w:pPr>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0.034</w:t>
                  </w:r>
                </w:p>
              </w:tc>
              <w:tc>
                <w:tcPr>
                  <w:tcW w:w="831" w:type="pct"/>
                  <w:tcBorders>
                    <w:top w:val="single" w:color="auto" w:sz="4" w:space="0"/>
                    <w:left w:val="single" w:color="auto" w:sz="4" w:space="0"/>
                    <w:bottom w:val="single" w:color="auto" w:sz="8" w:space="0"/>
                    <w:right w:val="single" w:color="auto" w:sz="4" w:space="0"/>
                  </w:tcBorders>
                  <w:noWrap w:val="0"/>
                  <w:vAlign w:val="center"/>
                </w:tcPr>
                <w:p>
                  <w:pPr>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0.070</w:t>
                  </w:r>
                </w:p>
              </w:tc>
              <w:tc>
                <w:tcPr>
                  <w:tcW w:w="830" w:type="pct"/>
                  <w:tcBorders>
                    <w:top w:val="single" w:color="auto" w:sz="4" w:space="0"/>
                    <w:left w:val="single" w:color="auto" w:sz="4" w:space="0"/>
                    <w:bottom w:val="single" w:color="auto" w:sz="8" w:space="0"/>
                    <w:right w:val="single" w:color="auto" w:sz="4" w:space="0"/>
                  </w:tcBorders>
                  <w:noWrap w:val="0"/>
                  <w:vAlign w:val="center"/>
                </w:tcPr>
                <w:p>
                  <w:pPr>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0.587</w:t>
                  </w:r>
                </w:p>
              </w:tc>
              <w:tc>
                <w:tcPr>
                  <w:tcW w:w="831" w:type="pct"/>
                  <w:tcBorders>
                    <w:top w:val="single" w:color="auto" w:sz="4" w:space="0"/>
                    <w:left w:val="single" w:color="auto" w:sz="4" w:space="0"/>
                    <w:bottom w:val="single" w:color="auto" w:sz="8" w:space="0"/>
                    <w:right w:val="single" w:color="auto" w:sz="4" w:space="0"/>
                  </w:tcBorders>
                  <w:noWrap w:val="0"/>
                  <w:vAlign w:val="center"/>
                </w:tcPr>
                <w:p>
                  <w:pPr>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0.965</w:t>
                  </w:r>
                </w:p>
              </w:tc>
              <w:tc>
                <w:tcPr>
                  <w:tcW w:w="831" w:type="pct"/>
                  <w:tcBorders>
                    <w:top w:val="single" w:color="auto" w:sz="4" w:space="0"/>
                    <w:left w:val="single" w:color="auto" w:sz="4" w:space="0"/>
                    <w:bottom w:val="single" w:color="auto" w:sz="8" w:space="0"/>
                    <w:right w:val="nil"/>
                  </w:tcBorders>
                  <w:noWrap w:val="0"/>
                  <w:vAlign w:val="center"/>
                </w:tcPr>
                <w:p>
                  <w:pPr>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0.097</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项目区机械设备为移动设备，因此污染源较为分散且均为移动污染源。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6）食堂油烟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本项目区设有职工食堂，环评要求食堂油烟经油烟净化器处理后屋顶排放。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职工食堂烹饪过程中会产生油烟，食用油加热到</w:t>
            </w:r>
            <w:r>
              <w:rPr>
                <w:rFonts w:hint="default" w:ascii="Times New Roman" w:hAnsi="Times New Roman" w:eastAsia="宋体" w:cs="Times New Roman"/>
                <w:b w:val="0"/>
                <w:bCs w:val="0"/>
                <w:color w:val="auto"/>
                <w:sz w:val="24"/>
                <w:lang w:val="en-US" w:eastAsia="zh-CN"/>
              </w:rPr>
              <w:t>250℃</w:t>
            </w:r>
            <w:r>
              <w:rPr>
                <w:rFonts w:hint="eastAsia" w:ascii="Times New Roman" w:hAnsi="Times New Roman" w:eastAsia="宋体" w:cs="Times New Roman"/>
                <w:b w:val="0"/>
                <w:bCs w:val="0"/>
                <w:color w:val="auto"/>
                <w:sz w:val="24"/>
                <w:lang w:val="en-US" w:eastAsia="zh-CN"/>
              </w:rPr>
              <w:t>以上，发生氧化、水解、聚合、裂解等反应，随沸腾的油挥发出来的烹调烟气。油烟是一种混合性烟气，据有关研究表明，油烟中含有</w:t>
            </w:r>
            <w:r>
              <w:rPr>
                <w:rFonts w:hint="default" w:ascii="Times New Roman" w:hAnsi="Times New Roman" w:eastAsia="宋体" w:cs="Times New Roman"/>
                <w:b w:val="0"/>
                <w:bCs w:val="0"/>
                <w:color w:val="auto"/>
                <w:sz w:val="24"/>
                <w:lang w:val="en-US" w:eastAsia="zh-CN"/>
              </w:rPr>
              <w:t>300</w:t>
            </w:r>
            <w:r>
              <w:rPr>
                <w:rFonts w:hint="eastAsia" w:ascii="Times New Roman" w:hAnsi="Times New Roman" w:eastAsia="宋体" w:cs="Times New Roman"/>
                <w:b w:val="0"/>
                <w:bCs w:val="0"/>
                <w:color w:val="auto"/>
                <w:sz w:val="24"/>
                <w:lang w:val="en-US" w:eastAsia="zh-CN"/>
              </w:rPr>
              <w:t>多种成分，主要是脂肪酸、烷烃、烯烃、醛、酮、醇、酯、芳香化合物、杂环化合物等，其中至少有数十种会危害人体健康。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据调查，人均食用油用量约</w:t>
            </w:r>
            <w:r>
              <w:rPr>
                <w:rFonts w:hint="default" w:ascii="Times New Roman" w:hAnsi="Times New Roman" w:eastAsia="宋体" w:cs="Times New Roman"/>
                <w:b w:val="0"/>
                <w:bCs w:val="0"/>
                <w:color w:val="auto"/>
                <w:sz w:val="24"/>
                <w:lang w:val="en-US" w:eastAsia="zh-CN"/>
              </w:rPr>
              <w:t>30g/</w:t>
            </w:r>
            <w:r>
              <w:rPr>
                <w:rFonts w:hint="eastAsia" w:ascii="Times New Roman" w:hAnsi="Times New Roman" w:eastAsia="宋体" w:cs="Times New Roman"/>
                <w:b w:val="0"/>
                <w:bCs w:val="0"/>
                <w:color w:val="auto"/>
                <w:sz w:val="24"/>
                <w:lang w:val="en-US" w:eastAsia="zh-CN"/>
              </w:rPr>
              <w:t>人</w:t>
            </w:r>
            <w:r>
              <w:rPr>
                <w:rFonts w:hint="default" w:ascii="Times New Roman" w:hAnsi="Times New Roman" w:eastAsia="宋体" w:cs="Times New Roman"/>
                <w:b w:val="0"/>
                <w:bCs w:val="0"/>
                <w:color w:val="auto"/>
                <w:sz w:val="24"/>
                <w:lang w:val="en-US" w:eastAsia="zh-CN"/>
              </w:rPr>
              <w:t>·d</w:t>
            </w:r>
            <w:r>
              <w:rPr>
                <w:rFonts w:hint="eastAsia" w:ascii="Times New Roman" w:hAnsi="Times New Roman" w:eastAsia="宋体" w:cs="Times New Roman"/>
                <w:b w:val="0"/>
                <w:bCs w:val="0"/>
                <w:color w:val="auto"/>
                <w:sz w:val="24"/>
                <w:lang w:val="en-US" w:eastAsia="zh-CN"/>
              </w:rPr>
              <w:t>，本项目厂区食宿</w:t>
            </w:r>
            <w:r>
              <w:rPr>
                <w:rFonts w:hint="eastAsia" w:cs="Times New Roman"/>
                <w:b w:val="0"/>
                <w:bCs w:val="0"/>
                <w:color w:val="auto"/>
                <w:sz w:val="24"/>
                <w:lang w:val="en-US" w:eastAsia="zh-CN"/>
              </w:rPr>
              <w:t>35</w:t>
            </w:r>
            <w:r>
              <w:rPr>
                <w:rFonts w:hint="eastAsia" w:ascii="Times New Roman" w:hAnsi="Times New Roman" w:eastAsia="宋体" w:cs="Times New Roman"/>
                <w:b w:val="0"/>
                <w:bCs w:val="0"/>
                <w:color w:val="auto"/>
                <w:sz w:val="24"/>
                <w:lang w:val="en-US" w:eastAsia="zh-CN"/>
              </w:rPr>
              <w:t>人，年工作以24</w:t>
            </w:r>
            <w:r>
              <w:rPr>
                <w:rFonts w:hint="default" w:ascii="Times New Roman" w:hAnsi="Times New Roman" w:eastAsia="宋体" w:cs="Times New Roman"/>
                <w:b w:val="0"/>
                <w:bCs w:val="0"/>
                <w:color w:val="auto"/>
                <w:sz w:val="24"/>
                <w:lang w:val="en-US" w:eastAsia="zh-CN"/>
              </w:rPr>
              <w:t>0d</w:t>
            </w:r>
            <w:r>
              <w:rPr>
                <w:rFonts w:hint="eastAsia" w:ascii="Times New Roman" w:hAnsi="Times New Roman" w:eastAsia="宋体" w:cs="Times New Roman"/>
                <w:b w:val="0"/>
                <w:bCs w:val="0"/>
                <w:color w:val="auto"/>
                <w:sz w:val="24"/>
                <w:lang w:val="en-US" w:eastAsia="zh-CN"/>
              </w:rPr>
              <w:t>计，则本项目食用油用量约</w:t>
            </w:r>
            <w:r>
              <w:rPr>
                <w:rFonts w:hint="eastAsia" w:cs="Times New Roman"/>
                <w:b w:val="0"/>
                <w:bCs w:val="0"/>
                <w:color w:val="auto"/>
                <w:sz w:val="24"/>
                <w:lang w:val="en-US" w:eastAsia="zh-CN"/>
              </w:rPr>
              <w:t>252</w:t>
            </w:r>
            <w:r>
              <w:rPr>
                <w:rFonts w:hint="default" w:ascii="Times New Roman" w:hAnsi="Times New Roman" w:eastAsia="宋体" w:cs="Times New Roman"/>
                <w:b w:val="0"/>
                <w:bCs w:val="0"/>
                <w:color w:val="auto"/>
                <w:sz w:val="24"/>
                <w:lang w:val="en-US" w:eastAsia="zh-CN"/>
              </w:rPr>
              <w:t>kg/a</w:t>
            </w:r>
            <w:r>
              <w:rPr>
                <w:rFonts w:hint="eastAsia" w:ascii="Times New Roman" w:hAnsi="Times New Roman" w:eastAsia="宋体" w:cs="Times New Roman"/>
                <w:b w:val="0"/>
                <w:bCs w:val="0"/>
                <w:color w:val="auto"/>
                <w:sz w:val="24"/>
                <w:lang w:val="en-US" w:eastAsia="zh-CN"/>
              </w:rPr>
              <w:t>。根据对餐饮行业调查，油烟挥发量一般占食用油用量的</w:t>
            </w:r>
            <w:r>
              <w:rPr>
                <w:rFonts w:hint="default" w:ascii="Times New Roman" w:hAnsi="Times New Roman" w:eastAsia="宋体" w:cs="Times New Roman"/>
                <w:b w:val="0"/>
                <w:bCs w:val="0"/>
                <w:color w:val="auto"/>
                <w:sz w:val="24"/>
                <w:lang w:val="en-US" w:eastAsia="zh-CN"/>
              </w:rPr>
              <w:t>2%</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4%</w:t>
            </w:r>
            <w:r>
              <w:rPr>
                <w:rFonts w:hint="eastAsia" w:ascii="Times New Roman" w:hAnsi="Times New Roman" w:eastAsia="宋体" w:cs="Times New Roman"/>
                <w:b w:val="0"/>
                <w:bCs w:val="0"/>
                <w:color w:val="auto"/>
                <w:sz w:val="24"/>
                <w:lang w:val="en-US" w:eastAsia="zh-CN"/>
              </w:rPr>
              <w:t>，由于职工食堂油烟挥发量低于餐饮行业油烟挥发量，故职工食堂油烟挥发量按</w:t>
            </w:r>
            <w:r>
              <w:rPr>
                <w:rFonts w:hint="default" w:ascii="Times New Roman" w:hAnsi="Times New Roman" w:eastAsia="宋体" w:cs="Times New Roman"/>
                <w:b w:val="0"/>
                <w:bCs w:val="0"/>
                <w:color w:val="auto"/>
                <w:sz w:val="24"/>
                <w:lang w:val="en-US" w:eastAsia="zh-CN"/>
              </w:rPr>
              <w:t>2%</w:t>
            </w:r>
            <w:r>
              <w:rPr>
                <w:rFonts w:hint="eastAsia" w:ascii="Times New Roman" w:hAnsi="Times New Roman" w:eastAsia="宋体" w:cs="Times New Roman"/>
                <w:b w:val="0"/>
                <w:bCs w:val="0"/>
                <w:color w:val="auto"/>
                <w:sz w:val="24"/>
                <w:lang w:val="en-US" w:eastAsia="zh-CN"/>
              </w:rPr>
              <w:t>计算，则油烟产生量为</w:t>
            </w:r>
            <w:r>
              <w:rPr>
                <w:rFonts w:hint="eastAsia" w:cs="Times New Roman"/>
                <w:b w:val="0"/>
                <w:bCs w:val="0"/>
                <w:color w:val="auto"/>
                <w:sz w:val="24"/>
                <w:lang w:val="en-US" w:eastAsia="zh-CN"/>
              </w:rPr>
              <w:t>5.04</w:t>
            </w:r>
            <w:r>
              <w:rPr>
                <w:rFonts w:hint="default" w:ascii="Times New Roman" w:hAnsi="Times New Roman" w:eastAsia="宋体" w:cs="Times New Roman"/>
                <w:b w:val="0"/>
                <w:bCs w:val="0"/>
                <w:color w:val="auto"/>
                <w:sz w:val="24"/>
                <w:lang w:val="en-US" w:eastAsia="zh-CN"/>
              </w:rPr>
              <w:t>kg/a</w:t>
            </w:r>
            <w:r>
              <w:rPr>
                <w:rFonts w:hint="eastAsia" w:cs="Times New Roman"/>
                <w:b w:val="0"/>
                <w:bCs w:val="0"/>
                <w:color w:val="auto"/>
                <w:sz w:val="24"/>
                <w:lang w:val="en-US" w:eastAsia="zh-CN"/>
              </w:rPr>
              <w:t>，产生速率为2.6kg/h。</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食堂烹饪所产生的油烟在未采取净化措施加以治理的情况下，浓度约为</w:t>
            </w:r>
            <w:r>
              <w:rPr>
                <w:rFonts w:hint="eastAsia" w:cs="Times New Roman"/>
                <w:b w:val="0"/>
                <w:bCs w:val="0"/>
                <w:color w:val="auto"/>
                <w:sz w:val="24"/>
                <w:lang w:val="en-US" w:eastAsia="zh-CN"/>
              </w:rPr>
              <w:t>12</w:t>
            </w:r>
            <w:r>
              <w:rPr>
                <w:rFonts w:hint="default" w:ascii="Times New Roman" w:hAnsi="Times New Roman" w:eastAsia="宋体" w:cs="Times New Roman"/>
                <w:b w:val="0"/>
                <w:bCs w:val="0"/>
                <w:color w:val="auto"/>
                <w:sz w:val="24"/>
                <w:lang w:val="en-US" w:eastAsia="zh-CN"/>
              </w:rPr>
              <w:t>mg/m</w:t>
            </w:r>
            <w:r>
              <w:rPr>
                <w:rFonts w:hint="default"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，超过《饮食业油烟排放标准》（</w:t>
            </w:r>
            <w:r>
              <w:rPr>
                <w:rFonts w:hint="default" w:ascii="Times New Roman" w:hAnsi="Times New Roman" w:eastAsia="宋体" w:cs="Times New Roman"/>
                <w:b w:val="0"/>
                <w:bCs w:val="0"/>
                <w:color w:val="auto"/>
                <w:sz w:val="24"/>
                <w:lang w:val="en-US" w:eastAsia="zh-CN"/>
              </w:rPr>
              <w:t>GB18483-2001</w:t>
            </w:r>
            <w:r>
              <w:rPr>
                <w:rFonts w:hint="eastAsia" w:ascii="Times New Roman" w:hAnsi="Times New Roman" w:eastAsia="宋体" w:cs="Times New Roman"/>
                <w:b w:val="0"/>
                <w:bCs w:val="0"/>
                <w:color w:val="auto"/>
                <w:sz w:val="24"/>
                <w:lang w:val="en-US" w:eastAsia="zh-CN"/>
              </w:rPr>
              <w:t>）中最高允许排放浓度为</w:t>
            </w:r>
            <w:r>
              <w:rPr>
                <w:rFonts w:hint="default" w:ascii="Times New Roman" w:hAnsi="Times New Roman" w:eastAsia="宋体" w:cs="Times New Roman"/>
                <w:b w:val="0"/>
                <w:bCs w:val="0"/>
                <w:color w:val="auto"/>
                <w:sz w:val="24"/>
                <w:lang w:val="en-US" w:eastAsia="zh-CN"/>
              </w:rPr>
              <w:t>2.0mg/m</w:t>
            </w:r>
            <w:r>
              <w:rPr>
                <w:rFonts w:hint="default"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的限值。本项目食堂安装油烟净化器，油烟处理效率达到</w:t>
            </w:r>
            <w:r>
              <w:rPr>
                <w:rFonts w:hint="default" w:ascii="Times New Roman" w:hAnsi="Times New Roman" w:eastAsia="宋体" w:cs="Times New Roman"/>
                <w:b w:val="0"/>
                <w:bCs w:val="0"/>
                <w:color w:val="auto"/>
                <w:sz w:val="24"/>
                <w:lang w:val="en-US" w:eastAsia="zh-CN"/>
              </w:rPr>
              <w:t>85%</w:t>
            </w:r>
            <w:r>
              <w:rPr>
                <w:rFonts w:hint="eastAsia" w:ascii="Times New Roman" w:hAnsi="Times New Roman" w:eastAsia="宋体" w:cs="Times New Roman"/>
                <w:b w:val="0"/>
                <w:bCs w:val="0"/>
                <w:color w:val="auto"/>
                <w:sz w:val="24"/>
                <w:lang w:val="en-US" w:eastAsia="zh-CN"/>
              </w:rPr>
              <w:t>，油烟经处理后，油烟废气排放量较少，且为分散、不连续排放，项目区通风好，油烟废气容易扩散，集中收集后引至食堂房顶排放，排放量为</w:t>
            </w:r>
            <w:r>
              <w:rPr>
                <w:rFonts w:hint="eastAsia" w:cs="Times New Roman"/>
                <w:b w:val="0"/>
                <w:bCs w:val="0"/>
                <w:color w:val="auto"/>
                <w:sz w:val="24"/>
                <w:lang w:val="en-US" w:eastAsia="zh-CN"/>
              </w:rPr>
              <w:t>0.76</w:t>
            </w:r>
            <w:r>
              <w:rPr>
                <w:rFonts w:hint="default" w:ascii="Times New Roman" w:hAnsi="Times New Roman" w:eastAsia="宋体" w:cs="Times New Roman"/>
                <w:b w:val="0"/>
                <w:bCs w:val="0"/>
                <w:color w:val="auto"/>
                <w:sz w:val="24"/>
                <w:lang w:val="en-US" w:eastAsia="zh-CN"/>
              </w:rPr>
              <w:t>kg/a</w:t>
            </w:r>
            <w:r>
              <w:rPr>
                <w:rFonts w:hint="eastAsia" w:ascii="Times New Roman" w:hAnsi="Times New Roman" w:eastAsia="宋体" w:cs="Times New Roman"/>
                <w:b w:val="0"/>
                <w:bCs w:val="0"/>
                <w:color w:val="auto"/>
                <w:sz w:val="24"/>
                <w:lang w:val="en-US" w:eastAsia="zh-CN"/>
              </w:rPr>
              <w:t>，排放浓度为</w:t>
            </w:r>
            <w:r>
              <w:rPr>
                <w:rFonts w:hint="eastAsia" w:cs="Times New Roman"/>
                <w:b w:val="0"/>
                <w:bCs w:val="0"/>
                <w:color w:val="auto"/>
                <w:sz w:val="24"/>
                <w:lang w:val="en-US" w:eastAsia="zh-CN"/>
              </w:rPr>
              <w:t>0.3</w:t>
            </w:r>
            <w:r>
              <w:rPr>
                <w:rFonts w:hint="default" w:ascii="Times New Roman" w:hAnsi="Times New Roman" w:eastAsia="宋体" w:cs="Times New Roman"/>
                <w:b w:val="0"/>
                <w:bCs w:val="0"/>
                <w:color w:val="auto"/>
                <w:sz w:val="24"/>
                <w:lang w:val="en-US" w:eastAsia="zh-CN"/>
              </w:rPr>
              <w:t>mg/m</w:t>
            </w:r>
            <w:r>
              <w:rPr>
                <w:rFonts w:hint="default"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，可满足《饮食业油烟排放标准（试行）》（</w:t>
            </w:r>
            <w:r>
              <w:rPr>
                <w:rFonts w:hint="default" w:ascii="Times New Roman" w:hAnsi="Times New Roman" w:eastAsia="宋体" w:cs="Times New Roman"/>
                <w:b w:val="0"/>
                <w:bCs w:val="0"/>
                <w:color w:val="auto"/>
                <w:sz w:val="24"/>
                <w:lang w:val="en-US" w:eastAsia="zh-CN"/>
              </w:rPr>
              <w:t>GB18483-2001</w:t>
            </w:r>
            <w:r>
              <w:rPr>
                <w:rFonts w:hint="eastAsia" w:ascii="Times New Roman" w:hAnsi="Times New Roman" w:eastAsia="宋体" w:cs="Times New Roman"/>
                <w:b w:val="0"/>
                <w:bCs w:val="0"/>
                <w:color w:val="auto"/>
                <w:sz w:val="24"/>
                <w:lang w:val="en-US" w:eastAsia="zh-CN"/>
              </w:rPr>
              <w:t>）中最高允许排放浓度为</w:t>
            </w:r>
            <w:r>
              <w:rPr>
                <w:rFonts w:hint="default" w:ascii="Times New Roman" w:hAnsi="Times New Roman" w:eastAsia="宋体" w:cs="Times New Roman"/>
                <w:b w:val="0"/>
                <w:bCs w:val="0"/>
                <w:color w:val="auto"/>
                <w:sz w:val="24"/>
                <w:lang w:val="en-US" w:eastAsia="zh-CN"/>
              </w:rPr>
              <w:t>2.0mg/m</w:t>
            </w:r>
            <w:r>
              <w:rPr>
                <w:rFonts w:hint="default"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的限值要求。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表4-</w:t>
            </w:r>
            <w:r>
              <w:rPr>
                <w:rFonts w:hint="eastAsia" w:cs="Times New Roman"/>
                <w:b/>
                <w:bCs/>
                <w:color w:val="auto"/>
                <w:sz w:val="22"/>
                <w:szCs w:val="22"/>
                <w:lang w:val="en-US" w:eastAsia="zh-CN"/>
              </w:rPr>
              <w:t>7</w:t>
            </w:r>
            <w:r>
              <w:rPr>
                <w:rFonts w:hint="default" w:ascii="Times New Roman" w:hAnsi="Times New Roman" w:eastAsia="宋体" w:cs="Times New Roman"/>
                <w:b/>
                <w:bCs/>
                <w:color w:val="auto"/>
                <w:sz w:val="22"/>
                <w:szCs w:val="22"/>
                <w:lang w:val="en-US" w:eastAsia="zh-CN"/>
              </w:rPr>
              <w:t xml:space="preserve">  本项目</w:t>
            </w:r>
            <w:r>
              <w:rPr>
                <w:rFonts w:hint="eastAsia" w:ascii="Times New Roman" w:hAnsi="Times New Roman" w:eastAsia="宋体" w:cs="Times New Roman"/>
                <w:b/>
                <w:bCs/>
                <w:color w:val="auto"/>
                <w:sz w:val="22"/>
                <w:szCs w:val="22"/>
                <w:lang w:val="en-US" w:eastAsia="zh-CN"/>
              </w:rPr>
              <w:t>废气排放情况一览表</w:t>
            </w:r>
          </w:p>
          <w:tbl>
            <w:tblPr>
              <w:tblStyle w:val="2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6"/>
              <w:gridCol w:w="578"/>
              <w:gridCol w:w="654"/>
              <w:gridCol w:w="750"/>
              <w:gridCol w:w="621"/>
              <w:gridCol w:w="1168"/>
              <w:gridCol w:w="922"/>
              <w:gridCol w:w="878"/>
              <w:gridCol w:w="729"/>
              <w:gridCol w:w="14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6" w:type="dxa"/>
                  <w:tcBorders>
                    <w:tl2br w:val="nil"/>
                    <w:tr2bl w:val="nil"/>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lang w:val="en-US" w:eastAsia="zh-CN" w:bidi="ar"/>
                    </w:rPr>
                    <w:t>排放源</w:t>
                  </w:r>
                </w:p>
              </w:tc>
              <w:tc>
                <w:tcPr>
                  <w:tcW w:w="578" w:type="dxa"/>
                  <w:tcBorders>
                    <w:tl2br w:val="nil"/>
                    <w:tr2bl w:val="nil"/>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lang w:val="en-US" w:eastAsia="zh-CN" w:bidi="ar"/>
                    </w:rPr>
                    <w:t>污染物名称</w:t>
                  </w:r>
                </w:p>
              </w:tc>
              <w:tc>
                <w:tcPr>
                  <w:tcW w:w="654" w:type="dxa"/>
                  <w:tcBorders>
                    <w:tl2br w:val="nil"/>
                    <w:tr2bl w:val="nil"/>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lang w:val="en-US" w:eastAsia="zh-CN" w:bidi="ar"/>
                    </w:rPr>
                    <w:t>产生浓度mg/</w:t>
                  </w:r>
                  <w:r>
                    <w:rPr>
                      <w:rFonts w:hint="default" w:ascii="Times New Roman" w:hAnsi="Times New Roman" w:eastAsia="宋体" w:cs="Times New Roman"/>
                      <w:b w:val="0"/>
                      <w:bCs w:val="0"/>
                      <w:color w:val="auto"/>
                      <w:kern w:val="2"/>
                      <w:sz w:val="16"/>
                      <w:szCs w:val="16"/>
                    </w:rPr>
                    <w:t>m</w:t>
                  </w:r>
                  <w:r>
                    <w:rPr>
                      <w:rFonts w:hint="default" w:ascii="Times New Roman" w:hAnsi="Times New Roman" w:eastAsia="宋体" w:cs="Times New Roman"/>
                      <w:b w:val="0"/>
                      <w:bCs w:val="0"/>
                      <w:color w:val="auto"/>
                      <w:kern w:val="2"/>
                      <w:sz w:val="16"/>
                      <w:szCs w:val="16"/>
                      <w:vertAlign w:val="superscript"/>
                    </w:rPr>
                    <w:t>3</w:t>
                  </w:r>
                </w:p>
              </w:tc>
              <w:tc>
                <w:tcPr>
                  <w:tcW w:w="750" w:type="dxa"/>
                  <w:tcBorders>
                    <w:tl2br w:val="nil"/>
                    <w:tr2bl w:val="nil"/>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lang w:val="en-US" w:eastAsia="zh-CN" w:bidi="ar"/>
                    </w:rPr>
                  </w:pPr>
                  <w:r>
                    <w:rPr>
                      <w:rFonts w:hint="default" w:ascii="Times New Roman" w:hAnsi="Times New Roman" w:eastAsia="宋体" w:cs="Times New Roman"/>
                      <w:b w:val="0"/>
                      <w:bCs w:val="0"/>
                      <w:color w:val="auto"/>
                      <w:kern w:val="2"/>
                      <w:sz w:val="16"/>
                      <w:szCs w:val="16"/>
                      <w:lang w:val="en-US" w:eastAsia="zh-CN" w:bidi="ar"/>
                    </w:rPr>
                    <w:t>产生</w:t>
                  </w:r>
                  <w:r>
                    <w:rPr>
                      <w:rFonts w:hint="default" w:ascii="Times New Roman" w:hAnsi="Times New Roman" w:eastAsia="宋体" w:cs="Times New Roman"/>
                      <w:b w:val="0"/>
                      <w:bCs w:val="0"/>
                      <w:color w:val="auto"/>
                      <w:kern w:val="2"/>
                      <w:sz w:val="16"/>
                      <w:szCs w:val="16"/>
                    </w:rPr>
                    <w:t>速率（kg/h）</w:t>
                  </w:r>
                </w:p>
              </w:tc>
              <w:tc>
                <w:tcPr>
                  <w:tcW w:w="621" w:type="dxa"/>
                  <w:tcBorders>
                    <w:tl2br w:val="nil"/>
                    <w:tr2bl w:val="nil"/>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lang w:val="en-US" w:eastAsia="zh-CN" w:bidi="ar"/>
                    </w:rPr>
                    <w:t>产生量</w:t>
                  </w:r>
                  <w:r>
                    <w:rPr>
                      <w:rFonts w:hint="default" w:ascii="Times New Roman" w:hAnsi="Times New Roman" w:eastAsia="宋体" w:cs="Times New Roman"/>
                      <w:b w:val="0"/>
                      <w:bCs w:val="0"/>
                      <w:color w:val="auto"/>
                      <w:kern w:val="0"/>
                      <w:sz w:val="16"/>
                      <w:szCs w:val="16"/>
                      <w:lang w:val="en-US" w:eastAsia="zh-CN" w:bidi="ar"/>
                    </w:rPr>
                    <w:t>t/a</w:t>
                  </w:r>
                </w:p>
              </w:tc>
              <w:tc>
                <w:tcPr>
                  <w:tcW w:w="1168" w:type="dxa"/>
                  <w:tcBorders>
                    <w:tl2br w:val="nil"/>
                    <w:tr2bl w:val="nil"/>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lang w:val="en-US" w:eastAsia="zh-CN" w:bidi="ar"/>
                    </w:rPr>
                    <w:t>处理措施</w:t>
                  </w:r>
                </w:p>
              </w:tc>
              <w:tc>
                <w:tcPr>
                  <w:tcW w:w="922" w:type="dxa"/>
                  <w:tcBorders>
                    <w:tl2br w:val="nil"/>
                    <w:tr2bl w:val="nil"/>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rPr>
                    <w:t>排放浓度（mg/m</w:t>
                  </w:r>
                  <w:r>
                    <w:rPr>
                      <w:rFonts w:hint="default" w:ascii="Times New Roman" w:hAnsi="Times New Roman" w:eastAsia="宋体" w:cs="Times New Roman"/>
                      <w:b w:val="0"/>
                      <w:bCs w:val="0"/>
                      <w:color w:val="auto"/>
                      <w:kern w:val="2"/>
                      <w:sz w:val="16"/>
                      <w:szCs w:val="16"/>
                      <w:vertAlign w:val="superscript"/>
                    </w:rPr>
                    <w:t>3</w:t>
                  </w:r>
                  <w:r>
                    <w:rPr>
                      <w:rFonts w:hint="default" w:ascii="Times New Roman" w:hAnsi="Times New Roman" w:eastAsia="宋体" w:cs="Times New Roman"/>
                      <w:b w:val="0"/>
                      <w:bCs w:val="0"/>
                      <w:color w:val="auto"/>
                      <w:kern w:val="2"/>
                      <w:sz w:val="16"/>
                      <w:szCs w:val="16"/>
                    </w:rPr>
                    <w:t>）</w:t>
                  </w:r>
                </w:p>
              </w:tc>
              <w:tc>
                <w:tcPr>
                  <w:tcW w:w="878" w:type="dxa"/>
                  <w:tcBorders>
                    <w:tl2br w:val="nil"/>
                    <w:tr2bl w:val="nil"/>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rPr>
                    <w:t>排放速率（kg/h）</w:t>
                  </w:r>
                </w:p>
              </w:tc>
              <w:tc>
                <w:tcPr>
                  <w:tcW w:w="729" w:type="dxa"/>
                  <w:tcBorders>
                    <w:tl2br w:val="nil"/>
                    <w:tr2bl w:val="nil"/>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rPr>
                    <w:t>排放</w:t>
                  </w:r>
                  <w:r>
                    <w:rPr>
                      <w:rFonts w:hint="default" w:ascii="Times New Roman" w:hAnsi="Times New Roman" w:eastAsia="宋体" w:cs="Times New Roman"/>
                      <w:b w:val="0"/>
                      <w:bCs w:val="0"/>
                      <w:color w:val="auto"/>
                      <w:kern w:val="2"/>
                      <w:sz w:val="16"/>
                      <w:szCs w:val="16"/>
                      <w:lang w:val="en-US" w:eastAsia="zh-CN" w:bidi="ar"/>
                    </w:rPr>
                    <w:t>量</w:t>
                  </w:r>
                  <w:r>
                    <w:rPr>
                      <w:rFonts w:hint="eastAsia"/>
                      <w:color w:val="auto"/>
                      <w:sz w:val="16"/>
                      <w:szCs w:val="20"/>
                      <w:highlight w:val="none"/>
                      <w:lang w:val="en-US" w:eastAsia="zh-CN"/>
                    </w:rPr>
                    <w:t>（</w:t>
                  </w:r>
                  <w:r>
                    <w:rPr>
                      <w:rFonts w:hint="default"/>
                      <w:color w:val="auto"/>
                      <w:sz w:val="16"/>
                      <w:szCs w:val="20"/>
                      <w:highlight w:val="none"/>
                      <w:lang w:val="en-US" w:eastAsia="zh-CN"/>
                    </w:rPr>
                    <w:t>t/a</w:t>
                  </w:r>
                  <w:r>
                    <w:rPr>
                      <w:rFonts w:hint="eastAsia"/>
                      <w:color w:val="auto"/>
                      <w:sz w:val="16"/>
                      <w:szCs w:val="20"/>
                      <w:highlight w:val="none"/>
                      <w:lang w:val="en-US" w:eastAsia="zh-CN"/>
                    </w:rPr>
                    <w:t>）</w:t>
                  </w:r>
                </w:p>
              </w:tc>
              <w:tc>
                <w:tcPr>
                  <w:tcW w:w="1459" w:type="dxa"/>
                  <w:tcBorders>
                    <w:tl2br w:val="nil"/>
                    <w:tr2bl w:val="nil"/>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lang w:val="en-US" w:eastAsia="zh-CN" w:bidi="ar"/>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96"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lang w:val="en-US" w:eastAsia="zh-CN" w:bidi="ar"/>
                    </w:rPr>
                    <w:t>凿岩粉尘</w:t>
                  </w:r>
                </w:p>
              </w:tc>
              <w:tc>
                <w:tcPr>
                  <w:tcW w:w="5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lang w:val="en-US" w:eastAsia="zh-CN" w:bidi="ar"/>
                    </w:rPr>
                    <w:t>颗粒物</w:t>
                  </w:r>
                </w:p>
              </w:tc>
              <w:tc>
                <w:tcPr>
                  <w:tcW w:w="6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750"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62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rPr>
                  </w:pPr>
                  <w:r>
                    <w:rPr>
                      <w:rFonts w:hint="default" w:ascii="Times New Roman" w:hAnsi="Times New Roman" w:eastAsia="宋体" w:cs="Times New Roman"/>
                      <w:b w:val="0"/>
                      <w:bCs w:val="0"/>
                      <w:color w:val="auto"/>
                      <w:kern w:val="0"/>
                      <w:sz w:val="16"/>
                      <w:szCs w:val="16"/>
                      <w:lang w:val="en-US" w:eastAsia="zh-CN" w:bidi="ar"/>
                    </w:rPr>
                    <w:t>0.95</w:t>
                  </w:r>
                </w:p>
              </w:tc>
              <w:tc>
                <w:tcPr>
                  <w:tcW w:w="116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lang w:val="en-US" w:eastAsia="zh-CN" w:bidi="ar"/>
                    </w:rPr>
                    <w:t>湿式凿岩钻孔</w:t>
                  </w:r>
                  <w:r>
                    <w:rPr>
                      <w:rFonts w:hint="eastAsia" w:ascii="Times New Roman" w:hAnsi="Times New Roman" w:eastAsia="宋体" w:cs="Times New Roman"/>
                      <w:b w:val="0"/>
                      <w:bCs w:val="0"/>
                      <w:color w:val="auto"/>
                      <w:kern w:val="2"/>
                      <w:sz w:val="16"/>
                      <w:szCs w:val="16"/>
                      <w:lang w:val="en-US" w:eastAsia="zh-CN" w:bidi="ar"/>
                    </w:rPr>
                    <w:t>，</w:t>
                  </w:r>
                  <w:r>
                    <w:rPr>
                      <w:rFonts w:hint="default" w:ascii="Times New Roman" w:hAnsi="Times New Roman" w:eastAsia="宋体" w:cs="Times New Roman"/>
                      <w:b w:val="0"/>
                      <w:bCs w:val="0"/>
                      <w:color w:val="auto"/>
                      <w:kern w:val="2"/>
                      <w:sz w:val="16"/>
                      <w:szCs w:val="16"/>
                      <w:lang w:val="en-US" w:eastAsia="zh-CN" w:bidi="ar"/>
                    </w:rPr>
                    <w:t>同时喷雾洒水</w:t>
                  </w:r>
                </w:p>
              </w:tc>
              <w:tc>
                <w:tcPr>
                  <w:tcW w:w="922"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8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729"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2"/>
                      <w:sz w:val="16"/>
                      <w:szCs w:val="16"/>
                      <w:lang w:val="en-US" w:eastAsia="zh-CN"/>
                    </w:rPr>
                    <w:t>0.19</w:t>
                  </w:r>
                </w:p>
              </w:tc>
              <w:tc>
                <w:tcPr>
                  <w:tcW w:w="1459"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rPr>
                    <w:t>《</w:t>
                  </w:r>
                  <w:r>
                    <w:rPr>
                      <w:rFonts w:hint="default" w:ascii="Times New Roman" w:hAnsi="Times New Roman" w:eastAsia="宋体" w:cs="Times New Roman"/>
                      <w:b w:val="0"/>
                      <w:bCs w:val="0"/>
                      <w:color w:val="auto"/>
                      <w:kern w:val="2"/>
                      <w:sz w:val="16"/>
                      <w:szCs w:val="16"/>
                      <w:lang w:val="en-US" w:eastAsia="zh-CN" w:bidi="ar"/>
                    </w:rPr>
                    <w:t>大气污染物综合排放标准》（GB16297-1996）中有关标准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96"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rPr>
                    <w:t>运输扬尘</w:t>
                  </w:r>
                </w:p>
              </w:tc>
              <w:tc>
                <w:tcPr>
                  <w:tcW w:w="5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lang w:val="en-US" w:eastAsia="zh-CN" w:bidi="ar"/>
                    </w:rPr>
                    <w:t>颗粒物</w:t>
                  </w:r>
                </w:p>
              </w:tc>
              <w:tc>
                <w:tcPr>
                  <w:tcW w:w="6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750"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62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0.7</w:t>
                  </w:r>
                </w:p>
              </w:tc>
              <w:tc>
                <w:tcPr>
                  <w:tcW w:w="116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lang w:val="en-US" w:eastAsia="zh-CN" w:bidi="ar"/>
                    </w:rPr>
                    <w:t>洒水降尘、控制车速和</w:t>
                  </w:r>
                  <w:r>
                    <w:rPr>
                      <w:rFonts w:hint="default" w:ascii="Times New Roman" w:hAnsi="Times New Roman" w:eastAsia="宋体" w:cs="Times New Roman"/>
                      <w:b w:val="0"/>
                      <w:bCs w:val="0"/>
                      <w:color w:val="auto"/>
                      <w:kern w:val="2"/>
                      <w:sz w:val="16"/>
                      <w:szCs w:val="16"/>
                      <w:lang w:val="en-US" w:eastAsia="zh-CN"/>
                    </w:rPr>
                    <w:t>篷布遮盖</w:t>
                  </w:r>
                </w:p>
              </w:tc>
              <w:tc>
                <w:tcPr>
                  <w:tcW w:w="922"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8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729"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2"/>
                      <w:sz w:val="16"/>
                      <w:szCs w:val="16"/>
                      <w:lang w:val="en-US" w:eastAsia="zh-CN"/>
                    </w:rPr>
                    <w:t>0.07</w:t>
                  </w:r>
                </w:p>
              </w:tc>
              <w:tc>
                <w:tcPr>
                  <w:tcW w:w="145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16"/>
                      <w:szCs w:val="16"/>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96"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2"/>
                      <w:sz w:val="16"/>
                      <w:szCs w:val="16"/>
                      <w:lang w:val="en-US" w:eastAsia="zh-CN"/>
                    </w:rPr>
                    <w:t>装卸扬尘和风蚀扬尘</w:t>
                  </w:r>
                </w:p>
              </w:tc>
              <w:tc>
                <w:tcPr>
                  <w:tcW w:w="5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lang w:val="en-US" w:eastAsia="zh-CN" w:bidi="ar"/>
                    </w:rPr>
                    <w:t>颗粒物</w:t>
                  </w:r>
                </w:p>
              </w:tc>
              <w:tc>
                <w:tcPr>
                  <w:tcW w:w="6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750"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62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eastAsia" w:cs="Times New Roman"/>
                      <w:b w:val="0"/>
                      <w:bCs w:val="0"/>
                      <w:color w:val="auto"/>
                      <w:kern w:val="0"/>
                      <w:sz w:val="16"/>
                      <w:szCs w:val="16"/>
                      <w:lang w:val="en-US" w:eastAsia="zh-CN"/>
                    </w:rPr>
                    <w:t>175.38</w:t>
                  </w:r>
                </w:p>
              </w:tc>
              <w:tc>
                <w:tcPr>
                  <w:tcW w:w="116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2"/>
                      <w:sz w:val="16"/>
                      <w:szCs w:val="16"/>
                      <w:lang w:val="en-US" w:eastAsia="zh-CN"/>
                    </w:rPr>
                    <w:t>洒水抑尘和碾压压实</w:t>
                  </w:r>
                </w:p>
              </w:tc>
              <w:tc>
                <w:tcPr>
                  <w:tcW w:w="922"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8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729"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lang w:val="en-US" w:eastAsia="zh-CN"/>
                    </w:rPr>
                  </w:pPr>
                  <w:r>
                    <w:rPr>
                      <w:rFonts w:hint="eastAsia" w:cs="Times New Roman"/>
                      <w:b w:val="0"/>
                      <w:bCs w:val="0"/>
                      <w:color w:val="auto"/>
                      <w:kern w:val="2"/>
                      <w:sz w:val="16"/>
                      <w:szCs w:val="16"/>
                      <w:lang w:val="en-US" w:eastAsia="zh-CN"/>
                    </w:rPr>
                    <w:t>9.8</w:t>
                  </w:r>
                </w:p>
              </w:tc>
              <w:tc>
                <w:tcPr>
                  <w:tcW w:w="145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16"/>
                      <w:szCs w:val="16"/>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96"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2"/>
                      <w:sz w:val="16"/>
                      <w:szCs w:val="16"/>
                      <w:lang w:val="en-US" w:eastAsia="zh-CN"/>
                    </w:rPr>
                    <w:t>石板加工粉尘</w:t>
                  </w:r>
                </w:p>
              </w:tc>
              <w:tc>
                <w:tcPr>
                  <w:tcW w:w="5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val="0"/>
                      <w:color w:val="auto"/>
                      <w:kern w:val="2"/>
                      <w:sz w:val="16"/>
                      <w:szCs w:val="16"/>
                      <w:lang w:val="en-US" w:eastAsia="zh-CN" w:bidi="ar"/>
                    </w:rPr>
                  </w:pPr>
                  <w:r>
                    <w:rPr>
                      <w:rFonts w:hint="default" w:ascii="Times New Roman" w:hAnsi="Times New Roman" w:eastAsia="宋体" w:cs="Times New Roman"/>
                      <w:b w:val="0"/>
                      <w:bCs w:val="0"/>
                      <w:color w:val="auto"/>
                      <w:kern w:val="2"/>
                      <w:sz w:val="16"/>
                      <w:szCs w:val="16"/>
                      <w:lang w:val="en-US" w:eastAsia="zh-CN" w:bidi="ar"/>
                    </w:rPr>
                    <w:t>颗粒物</w:t>
                  </w:r>
                </w:p>
              </w:tc>
              <w:tc>
                <w:tcPr>
                  <w:tcW w:w="6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750"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62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eastAsia" w:cs="Times New Roman"/>
                      <w:b w:val="0"/>
                      <w:bCs w:val="0"/>
                      <w:color w:val="auto"/>
                      <w:kern w:val="0"/>
                      <w:sz w:val="16"/>
                      <w:szCs w:val="16"/>
                      <w:lang w:val="en-US" w:eastAsia="zh-CN"/>
                    </w:rPr>
                    <w:t>0.65</w:t>
                  </w:r>
                </w:p>
              </w:tc>
              <w:tc>
                <w:tcPr>
                  <w:tcW w:w="116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2"/>
                      <w:sz w:val="16"/>
                      <w:szCs w:val="16"/>
                      <w:lang w:val="en-US" w:eastAsia="zh-CN"/>
                    </w:rPr>
                    <w:t>封闭车间</w:t>
                  </w:r>
                  <w:r>
                    <w:rPr>
                      <w:rFonts w:hint="eastAsia" w:cs="Times New Roman"/>
                      <w:b w:val="0"/>
                      <w:bCs w:val="0"/>
                      <w:color w:val="auto"/>
                      <w:kern w:val="2"/>
                      <w:sz w:val="16"/>
                      <w:szCs w:val="16"/>
                      <w:lang w:val="en-US" w:eastAsia="zh-CN"/>
                    </w:rPr>
                    <w:t>+</w:t>
                  </w:r>
                  <w:r>
                    <w:rPr>
                      <w:rFonts w:hint="default" w:ascii="Times New Roman" w:hAnsi="Times New Roman" w:eastAsia="宋体" w:cs="Times New Roman"/>
                      <w:b w:val="0"/>
                      <w:bCs w:val="0"/>
                      <w:color w:val="auto"/>
                      <w:kern w:val="2"/>
                      <w:sz w:val="16"/>
                      <w:szCs w:val="16"/>
                      <w:lang w:val="en-US" w:eastAsia="zh-CN"/>
                    </w:rPr>
                    <w:t>湿式作业</w:t>
                  </w:r>
                </w:p>
              </w:tc>
              <w:tc>
                <w:tcPr>
                  <w:tcW w:w="922"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8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729"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lang w:val="en-US" w:eastAsia="zh-CN"/>
                    </w:rPr>
                  </w:pPr>
                  <w:r>
                    <w:rPr>
                      <w:rFonts w:hint="eastAsia" w:cs="Times New Roman"/>
                      <w:b w:val="0"/>
                      <w:bCs w:val="0"/>
                      <w:color w:val="auto"/>
                      <w:kern w:val="2"/>
                      <w:sz w:val="16"/>
                      <w:szCs w:val="16"/>
                      <w:lang w:val="en-US" w:eastAsia="zh-CN"/>
                    </w:rPr>
                    <w:t>0.2</w:t>
                  </w:r>
                </w:p>
              </w:tc>
              <w:tc>
                <w:tcPr>
                  <w:tcW w:w="145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16"/>
                      <w:szCs w:val="16"/>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96"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2"/>
                      <w:sz w:val="16"/>
                      <w:szCs w:val="16"/>
                      <w:lang w:val="en-US" w:eastAsia="zh-CN"/>
                    </w:rPr>
                    <w:t>喷砂机粉尘</w:t>
                  </w:r>
                </w:p>
              </w:tc>
              <w:tc>
                <w:tcPr>
                  <w:tcW w:w="5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val="0"/>
                      <w:color w:val="auto"/>
                      <w:kern w:val="2"/>
                      <w:sz w:val="16"/>
                      <w:szCs w:val="16"/>
                      <w:highlight w:val="none"/>
                      <w:lang w:val="en-US" w:eastAsia="zh-CN" w:bidi="ar"/>
                    </w:rPr>
                  </w:pPr>
                  <w:r>
                    <w:rPr>
                      <w:rFonts w:hint="default" w:ascii="Times New Roman" w:hAnsi="Times New Roman" w:eastAsia="宋体" w:cs="Times New Roman"/>
                      <w:b w:val="0"/>
                      <w:bCs w:val="0"/>
                      <w:color w:val="auto"/>
                      <w:kern w:val="2"/>
                      <w:sz w:val="16"/>
                      <w:szCs w:val="16"/>
                      <w:highlight w:val="none"/>
                      <w:lang w:val="en-US" w:eastAsia="zh-CN" w:bidi="ar"/>
                    </w:rPr>
                    <w:t>颗粒物</w:t>
                  </w:r>
                  <w:r>
                    <w:rPr>
                      <w:rFonts w:hint="eastAsia" w:cs="Times New Roman"/>
                      <w:b w:val="0"/>
                      <w:bCs w:val="0"/>
                      <w:color w:val="auto"/>
                      <w:kern w:val="2"/>
                      <w:sz w:val="16"/>
                      <w:szCs w:val="16"/>
                      <w:highlight w:val="none"/>
                      <w:lang w:val="en-US" w:eastAsia="zh-CN" w:bidi="ar"/>
                    </w:rPr>
                    <w:t>（有组织）</w:t>
                  </w:r>
                </w:p>
              </w:tc>
              <w:tc>
                <w:tcPr>
                  <w:tcW w:w="6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highlight w:val="none"/>
                      <w:lang w:val="en-US" w:eastAsia="zh-CN"/>
                    </w:rPr>
                  </w:pPr>
                  <w:r>
                    <w:rPr>
                      <w:rFonts w:hint="default" w:ascii="Times New Roman" w:hAnsi="Times New Roman" w:eastAsia="宋体" w:cs="Times New Roman"/>
                      <w:b w:val="0"/>
                      <w:bCs w:val="0"/>
                      <w:color w:val="auto"/>
                      <w:kern w:val="0"/>
                      <w:sz w:val="16"/>
                      <w:szCs w:val="16"/>
                      <w:highlight w:val="none"/>
                      <w:lang w:val="en-US" w:eastAsia="zh-CN"/>
                    </w:rPr>
                    <w:t>509.37</w:t>
                  </w:r>
                </w:p>
              </w:tc>
              <w:tc>
                <w:tcPr>
                  <w:tcW w:w="750"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highlight w:val="none"/>
                      <w:lang w:val="en-US" w:eastAsia="zh-CN"/>
                    </w:rPr>
                  </w:pPr>
                  <w:r>
                    <w:rPr>
                      <w:rFonts w:hint="eastAsia" w:cs="Times New Roman"/>
                      <w:b w:val="0"/>
                      <w:bCs w:val="0"/>
                      <w:color w:val="auto"/>
                      <w:kern w:val="0"/>
                      <w:sz w:val="16"/>
                      <w:szCs w:val="16"/>
                      <w:highlight w:val="none"/>
                      <w:lang w:val="en-US" w:eastAsia="zh-CN"/>
                    </w:rPr>
                    <w:t>2.54</w:t>
                  </w:r>
                </w:p>
              </w:tc>
              <w:tc>
                <w:tcPr>
                  <w:tcW w:w="62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highlight w:val="none"/>
                      <w:lang w:val="en-US" w:eastAsia="zh-CN"/>
                    </w:rPr>
                  </w:pPr>
                  <w:r>
                    <w:rPr>
                      <w:rFonts w:hint="eastAsia" w:ascii="Times New Roman" w:hAnsi="Times New Roman" w:eastAsia="宋体" w:cs="Times New Roman"/>
                      <w:b w:val="0"/>
                      <w:bCs w:val="0"/>
                      <w:color w:val="auto"/>
                      <w:kern w:val="0"/>
                      <w:sz w:val="16"/>
                      <w:szCs w:val="16"/>
                      <w:highlight w:val="none"/>
                      <w:lang w:val="en-US" w:eastAsia="zh-CN"/>
                    </w:rPr>
                    <w:t>4.89</w:t>
                  </w:r>
                </w:p>
              </w:tc>
              <w:tc>
                <w:tcPr>
                  <w:tcW w:w="116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highlight w:val="none"/>
                      <w:lang w:val="en-US" w:eastAsia="zh-CN"/>
                    </w:rPr>
                  </w:pPr>
                  <w:r>
                    <w:rPr>
                      <w:rFonts w:hint="eastAsia" w:ascii="Times New Roman" w:hAnsi="Times New Roman" w:eastAsia="宋体" w:cs="Times New Roman"/>
                      <w:b w:val="0"/>
                      <w:bCs w:val="0"/>
                      <w:color w:val="auto"/>
                      <w:kern w:val="2"/>
                      <w:sz w:val="16"/>
                      <w:szCs w:val="16"/>
                      <w:highlight w:val="none"/>
                      <w:lang w:val="en-US" w:eastAsia="zh-CN"/>
                    </w:rPr>
                    <w:t>布袋除尘器+15m高排气筒</w:t>
                  </w:r>
                </w:p>
              </w:tc>
              <w:tc>
                <w:tcPr>
                  <w:tcW w:w="922"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cs="Times New Roman"/>
                      <w:b w:val="0"/>
                      <w:bCs w:val="0"/>
                      <w:color w:val="auto"/>
                      <w:kern w:val="2"/>
                      <w:sz w:val="16"/>
                      <w:szCs w:val="16"/>
                      <w:highlight w:val="none"/>
                      <w:lang w:val="en-US" w:eastAsia="zh-CN"/>
                    </w:rPr>
                  </w:pPr>
                  <w:r>
                    <w:rPr>
                      <w:rFonts w:hint="eastAsia" w:cs="Times New Roman"/>
                      <w:b w:val="0"/>
                      <w:bCs w:val="0"/>
                      <w:color w:val="auto"/>
                      <w:kern w:val="2"/>
                      <w:sz w:val="16"/>
                      <w:szCs w:val="16"/>
                      <w:highlight w:val="none"/>
                      <w:lang w:val="en-US" w:eastAsia="zh-CN"/>
                    </w:rPr>
                    <w:t>15.63</w:t>
                  </w:r>
                </w:p>
              </w:tc>
              <w:tc>
                <w:tcPr>
                  <w:tcW w:w="8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cs="Times New Roman"/>
                      <w:b w:val="0"/>
                      <w:bCs w:val="0"/>
                      <w:color w:val="auto"/>
                      <w:kern w:val="2"/>
                      <w:sz w:val="16"/>
                      <w:szCs w:val="16"/>
                      <w:highlight w:val="none"/>
                      <w:lang w:val="en-US" w:eastAsia="zh-CN"/>
                    </w:rPr>
                  </w:pPr>
                  <w:r>
                    <w:rPr>
                      <w:rFonts w:hint="eastAsia" w:cs="Times New Roman"/>
                      <w:b w:val="0"/>
                      <w:bCs w:val="0"/>
                      <w:color w:val="auto"/>
                      <w:kern w:val="2"/>
                      <w:sz w:val="16"/>
                      <w:szCs w:val="16"/>
                      <w:lang w:val="en-US" w:eastAsia="zh-CN"/>
                    </w:rPr>
                    <w:t>0.078</w:t>
                  </w:r>
                </w:p>
              </w:tc>
              <w:tc>
                <w:tcPr>
                  <w:tcW w:w="729"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highlight w:val="none"/>
                      <w:lang w:val="en-US" w:eastAsia="zh-CN"/>
                    </w:rPr>
                  </w:pPr>
                  <w:r>
                    <w:rPr>
                      <w:rFonts w:hint="eastAsia" w:cs="Times New Roman"/>
                      <w:b w:val="0"/>
                      <w:bCs w:val="0"/>
                      <w:color w:val="auto"/>
                      <w:kern w:val="2"/>
                      <w:sz w:val="16"/>
                      <w:szCs w:val="16"/>
                      <w:highlight w:val="none"/>
                      <w:lang w:val="en-US" w:eastAsia="zh-CN"/>
                    </w:rPr>
                    <w:t>0.15</w:t>
                  </w:r>
                </w:p>
              </w:tc>
              <w:tc>
                <w:tcPr>
                  <w:tcW w:w="145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16"/>
                      <w:szCs w:val="16"/>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96" w:type="dxa"/>
                  <w:vMerge w:val="continue"/>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lang w:val="en-US" w:eastAsia="zh-CN"/>
                    </w:rPr>
                  </w:pPr>
                </w:p>
              </w:tc>
              <w:tc>
                <w:tcPr>
                  <w:tcW w:w="5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val="0"/>
                      <w:color w:val="auto"/>
                      <w:kern w:val="2"/>
                      <w:sz w:val="16"/>
                      <w:szCs w:val="16"/>
                      <w:highlight w:val="none"/>
                      <w:lang w:val="en-US" w:eastAsia="zh-CN" w:bidi="ar"/>
                    </w:rPr>
                  </w:pPr>
                  <w:r>
                    <w:rPr>
                      <w:rFonts w:hint="default" w:ascii="Times New Roman" w:hAnsi="Times New Roman" w:eastAsia="宋体" w:cs="Times New Roman"/>
                      <w:b w:val="0"/>
                      <w:bCs w:val="0"/>
                      <w:color w:val="auto"/>
                      <w:kern w:val="2"/>
                      <w:sz w:val="16"/>
                      <w:szCs w:val="16"/>
                      <w:highlight w:val="none"/>
                      <w:lang w:val="en-US" w:eastAsia="zh-CN" w:bidi="ar"/>
                    </w:rPr>
                    <w:t>颗粒物</w:t>
                  </w:r>
                  <w:r>
                    <w:rPr>
                      <w:rFonts w:hint="eastAsia" w:cs="Times New Roman"/>
                      <w:b w:val="0"/>
                      <w:bCs w:val="0"/>
                      <w:color w:val="auto"/>
                      <w:kern w:val="2"/>
                      <w:sz w:val="16"/>
                      <w:szCs w:val="16"/>
                      <w:highlight w:val="none"/>
                      <w:lang w:val="en-US" w:eastAsia="zh-CN" w:bidi="ar"/>
                    </w:rPr>
                    <w:t>（无组织）</w:t>
                  </w:r>
                </w:p>
              </w:tc>
              <w:tc>
                <w:tcPr>
                  <w:tcW w:w="6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highlight w:val="none"/>
                      <w:lang w:val="en-US" w:eastAsia="zh-CN"/>
                    </w:rPr>
                  </w:pPr>
                  <w:r>
                    <w:rPr>
                      <w:rFonts w:hint="eastAsia" w:cs="Times New Roman"/>
                      <w:b w:val="0"/>
                      <w:bCs w:val="0"/>
                      <w:color w:val="auto"/>
                      <w:kern w:val="0"/>
                      <w:sz w:val="16"/>
                      <w:szCs w:val="16"/>
                      <w:highlight w:val="none"/>
                      <w:lang w:val="en-US" w:eastAsia="zh-CN"/>
                    </w:rPr>
                    <w:t>56.25</w:t>
                  </w:r>
                </w:p>
              </w:tc>
              <w:tc>
                <w:tcPr>
                  <w:tcW w:w="750"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highlight w:val="none"/>
                      <w:lang w:val="en-US" w:eastAsia="zh-CN"/>
                    </w:rPr>
                  </w:pPr>
                  <w:r>
                    <w:rPr>
                      <w:rFonts w:hint="eastAsia" w:cs="Times New Roman"/>
                      <w:b w:val="0"/>
                      <w:bCs w:val="0"/>
                      <w:color w:val="auto"/>
                      <w:kern w:val="0"/>
                      <w:sz w:val="16"/>
                      <w:szCs w:val="16"/>
                      <w:highlight w:val="none"/>
                      <w:lang w:val="en-US" w:eastAsia="zh-CN"/>
                    </w:rPr>
                    <w:t>0.28</w:t>
                  </w:r>
                </w:p>
              </w:tc>
              <w:tc>
                <w:tcPr>
                  <w:tcW w:w="62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s="Times New Roman"/>
                      <w:b w:val="0"/>
                      <w:bCs w:val="0"/>
                      <w:color w:val="auto"/>
                      <w:kern w:val="0"/>
                      <w:sz w:val="16"/>
                      <w:szCs w:val="16"/>
                      <w:highlight w:val="none"/>
                      <w:lang w:val="en-US" w:eastAsia="zh-CN"/>
                    </w:rPr>
                  </w:pPr>
                  <w:r>
                    <w:rPr>
                      <w:rFonts w:hint="eastAsia" w:cs="Times New Roman"/>
                      <w:b w:val="0"/>
                      <w:bCs w:val="0"/>
                      <w:color w:val="auto"/>
                      <w:kern w:val="2"/>
                      <w:sz w:val="16"/>
                      <w:szCs w:val="16"/>
                      <w:highlight w:val="none"/>
                      <w:lang w:val="en-US" w:eastAsia="zh-CN"/>
                    </w:rPr>
                    <w:t>0.54</w:t>
                  </w:r>
                </w:p>
              </w:tc>
              <w:tc>
                <w:tcPr>
                  <w:tcW w:w="116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2"/>
                      <w:sz w:val="16"/>
                      <w:szCs w:val="16"/>
                      <w:highlight w:val="none"/>
                      <w:lang w:val="en-US" w:eastAsia="zh-CN"/>
                    </w:rPr>
                  </w:pPr>
                  <w:r>
                    <w:rPr>
                      <w:rFonts w:hint="eastAsia" w:ascii="Times New Roman" w:hAnsi="Times New Roman" w:eastAsia="宋体" w:cs="Times New Roman"/>
                      <w:b w:val="0"/>
                      <w:bCs w:val="0"/>
                      <w:color w:val="auto"/>
                      <w:kern w:val="2"/>
                      <w:sz w:val="16"/>
                      <w:szCs w:val="16"/>
                      <w:highlight w:val="none"/>
                      <w:lang w:val="en-US" w:eastAsia="zh-CN"/>
                    </w:rPr>
                    <w:t>封闭车间内作业</w:t>
                  </w:r>
                </w:p>
              </w:tc>
              <w:tc>
                <w:tcPr>
                  <w:tcW w:w="922"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cs="Times New Roman"/>
                      <w:b w:val="0"/>
                      <w:bCs w:val="0"/>
                      <w:color w:val="auto"/>
                      <w:kern w:val="2"/>
                      <w:sz w:val="16"/>
                      <w:szCs w:val="16"/>
                      <w:highlight w:val="none"/>
                      <w:lang w:val="en-US" w:eastAsia="zh-CN"/>
                    </w:rPr>
                  </w:pPr>
                  <w:r>
                    <w:rPr>
                      <w:rFonts w:hint="default" w:ascii="Times New Roman" w:hAnsi="Times New Roman" w:eastAsia="宋体" w:cs="Times New Roman"/>
                      <w:b w:val="0"/>
                      <w:bCs w:val="0"/>
                      <w:color w:val="auto"/>
                      <w:kern w:val="0"/>
                      <w:sz w:val="16"/>
                      <w:szCs w:val="16"/>
                      <w:highlight w:val="none"/>
                      <w:lang w:val="en-US" w:eastAsia="zh-CN"/>
                    </w:rPr>
                    <w:t>/</w:t>
                  </w:r>
                </w:p>
              </w:tc>
              <w:tc>
                <w:tcPr>
                  <w:tcW w:w="8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eastAsia" w:cs="Times New Roman"/>
                      <w:b w:val="0"/>
                      <w:bCs w:val="0"/>
                      <w:color w:val="auto"/>
                      <w:kern w:val="2"/>
                      <w:sz w:val="16"/>
                      <w:szCs w:val="16"/>
                      <w:highlight w:val="none"/>
                      <w:lang w:val="en-US" w:eastAsia="zh-CN"/>
                    </w:rPr>
                  </w:pPr>
                  <w:r>
                    <w:rPr>
                      <w:rFonts w:hint="eastAsia" w:ascii="Times New Roman" w:hAnsi="Times New Roman" w:eastAsia="宋体" w:cs="Times New Roman"/>
                      <w:b w:val="0"/>
                      <w:bCs w:val="0"/>
                      <w:color w:val="auto"/>
                      <w:kern w:val="0"/>
                      <w:sz w:val="16"/>
                      <w:szCs w:val="16"/>
                      <w:lang w:val="en-US" w:eastAsia="zh-CN"/>
                    </w:rPr>
                    <w:t>0.28</w:t>
                  </w:r>
                </w:p>
              </w:tc>
              <w:tc>
                <w:tcPr>
                  <w:tcW w:w="729"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s="Times New Roman"/>
                      <w:b w:val="0"/>
                      <w:bCs w:val="0"/>
                      <w:color w:val="auto"/>
                      <w:kern w:val="2"/>
                      <w:sz w:val="16"/>
                      <w:szCs w:val="16"/>
                      <w:highlight w:val="none"/>
                      <w:lang w:val="en-US" w:eastAsia="zh-CN"/>
                    </w:rPr>
                  </w:pPr>
                  <w:r>
                    <w:rPr>
                      <w:rFonts w:hint="eastAsia" w:cs="Times New Roman"/>
                      <w:b w:val="0"/>
                      <w:bCs w:val="0"/>
                      <w:color w:val="auto"/>
                      <w:kern w:val="2"/>
                      <w:sz w:val="16"/>
                      <w:szCs w:val="16"/>
                      <w:highlight w:val="none"/>
                      <w:lang w:val="en-US" w:eastAsia="zh-CN"/>
                    </w:rPr>
                    <w:t>0.16</w:t>
                  </w:r>
                </w:p>
              </w:tc>
              <w:tc>
                <w:tcPr>
                  <w:tcW w:w="145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16"/>
                      <w:szCs w:val="16"/>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96" w:type="dxa"/>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lang w:val="en-US"/>
                    </w:rPr>
                  </w:pPr>
                  <w:r>
                    <w:rPr>
                      <w:rFonts w:hint="default" w:ascii="Times New Roman" w:hAnsi="Times New Roman" w:eastAsia="宋体" w:cs="Times New Roman"/>
                      <w:b w:val="0"/>
                      <w:bCs w:val="0"/>
                      <w:color w:val="auto"/>
                      <w:kern w:val="2"/>
                      <w:sz w:val="16"/>
                      <w:szCs w:val="16"/>
                      <w:lang w:val="en-US"/>
                    </w:rPr>
                    <w:t>燃油废气</w:t>
                  </w:r>
                </w:p>
              </w:tc>
              <w:tc>
                <w:tcPr>
                  <w:tcW w:w="5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val="0"/>
                      <w:color w:val="auto"/>
                      <w:kern w:val="2"/>
                      <w:sz w:val="16"/>
                      <w:szCs w:val="16"/>
                      <w:highlight w:val="none"/>
                      <w:lang w:val="en-US" w:eastAsia="zh-CN" w:bidi="ar"/>
                    </w:rPr>
                  </w:pPr>
                  <w:r>
                    <w:rPr>
                      <w:rFonts w:hint="default" w:ascii="Times New Roman" w:hAnsi="Times New Roman" w:eastAsia="宋体" w:cs="Times New Roman"/>
                      <w:b w:val="0"/>
                      <w:bCs w:val="0"/>
                      <w:color w:val="auto"/>
                      <w:kern w:val="2"/>
                      <w:sz w:val="16"/>
                      <w:szCs w:val="16"/>
                      <w:highlight w:val="none"/>
                      <w:lang w:val="en-US" w:eastAsia="zh-CN" w:bidi="ar"/>
                    </w:rPr>
                    <w:t>铅化物</w:t>
                  </w:r>
                </w:p>
              </w:tc>
              <w:tc>
                <w:tcPr>
                  <w:tcW w:w="6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highlight w:val="none"/>
                      <w:lang w:val="en-US" w:eastAsia="zh-CN"/>
                    </w:rPr>
                  </w:pPr>
                  <w:r>
                    <w:rPr>
                      <w:rFonts w:hint="default" w:ascii="Times New Roman" w:hAnsi="Times New Roman" w:eastAsia="宋体" w:cs="Times New Roman"/>
                      <w:b w:val="0"/>
                      <w:bCs w:val="0"/>
                      <w:color w:val="auto"/>
                      <w:kern w:val="0"/>
                      <w:sz w:val="16"/>
                      <w:szCs w:val="16"/>
                      <w:highlight w:val="none"/>
                      <w:lang w:val="en-US" w:eastAsia="zh-CN"/>
                    </w:rPr>
                    <w:t>/</w:t>
                  </w:r>
                </w:p>
              </w:tc>
              <w:tc>
                <w:tcPr>
                  <w:tcW w:w="750"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highlight w:val="none"/>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62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highlight w:val="none"/>
                      <w:lang w:val="en-US" w:eastAsia="zh-CN"/>
                    </w:rPr>
                  </w:pPr>
                  <w:r>
                    <w:rPr>
                      <w:rFonts w:hint="default" w:ascii="Times New Roman" w:hAnsi="Times New Roman" w:eastAsia="宋体" w:cs="Times New Roman"/>
                      <w:b w:val="0"/>
                      <w:bCs w:val="0"/>
                      <w:color w:val="auto"/>
                      <w:kern w:val="0"/>
                      <w:sz w:val="16"/>
                      <w:szCs w:val="16"/>
                      <w:highlight w:val="none"/>
                      <w:lang w:val="en-US" w:eastAsia="zh-CN"/>
                    </w:rPr>
                    <w:t>0.034</w:t>
                  </w:r>
                </w:p>
              </w:tc>
              <w:tc>
                <w:tcPr>
                  <w:tcW w:w="116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highlight w:val="none"/>
                      <w:lang w:val="en-US" w:eastAsia="zh-CN"/>
                    </w:rPr>
                  </w:pPr>
                  <w:r>
                    <w:rPr>
                      <w:rFonts w:hint="default" w:ascii="Times New Roman" w:hAnsi="Times New Roman" w:eastAsia="宋体" w:cs="Times New Roman"/>
                      <w:b w:val="0"/>
                      <w:bCs w:val="0"/>
                      <w:color w:val="auto"/>
                      <w:kern w:val="0"/>
                      <w:sz w:val="16"/>
                      <w:szCs w:val="16"/>
                      <w:highlight w:val="none"/>
                      <w:lang w:val="en-US" w:eastAsia="zh-CN"/>
                    </w:rPr>
                    <w:t>/</w:t>
                  </w:r>
                </w:p>
              </w:tc>
              <w:tc>
                <w:tcPr>
                  <w:tcW w:w="922"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16"/>
                      <w:szCs w:val="16"/>
                      <w:highlight w:val="none"/>
                      <w:lang w:val="en-US" w:eastAsia="zh-CN"/>
                    </w:rPr>
                  </w:pPr>
                  <w:r>
                    <w:rPr>
                      <w:rFonts w:hint="default" w:ascii="Times New Roman" w:hAnsi="Times New Roman" w:eastAsia="宋体" w:cs="Times New Roman"/>
                      <w:b w:val="0"/>
                      <w:bCs w:val="0"/>
                      <w:color w:val="auto"/>
                      <w:kern w:val="0"/>
                      <w:sz w:val="16"/>
                      <w:szCs w:val="16"/>
                      <w:highlight w:val="none"/>
                      <w:lang w:val="en-US" w:eastAsia="zh-CN"/>
                    </w:rPr>
                    <w:t>/</w:t>
                  </w:r>
                </w:p>
              </w:tc>
              <w:tc>
                <w:tcPr>
                  <w:tcW w:w="8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16"/>
                      <w:szCs w:val="16"/>
                      <w:highlight w:val="none"/>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729"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highlight w:val="none"/>
                    </w:rPr>
                  </w:pPr>
                  <w:r>
                    <w:rPr>
                      <w:rFonts w:hint="default" w:ascii="Times New Roman" w:hAnsi="Times New Roman" w:eastAsia="宋体" w:cs="Times New Roman"/>
                      <w:b w:val="0"/>
                      <w:bCs w:val="0"/>
                      <w:color w:val="auto"/>
                      <w:kern w:val="0"/>
                      <w:sz w:val="16"/>
                      <w:szCs w:val="16"/>
                      <w:highlight w:val="none"/>
                      <w:lang w:val="en-US" w:eastAsia="zh-CN"/>
                    </w:rPr>
                    <w:t>0.034</w:t>
                  </w:r>
                </w:p>
              </w:tc>
              <w:tc>
                <w:tcPr>
                  <w:tcW w:w="145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16"/>
                      <w:szCs w:val="16"/>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96" w:type="dxa"/>
                  <w:vMerge w:val="continue"/>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lang w:val="en-US"/>
                    </w:rPr>
                  </w:pPr>
                </w:p>
              </w:tc>
              <w:tc>
                <w:tcPr>
                  <w:tcW w:w="5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val="0"/>
                      <w:color w:val="auto"/>
                      <w:kern w:val="2"/>
                      <w:sz w:val="16"/>
                      <w:szCs w:val="16"/>
                      <w:lang w:val="en-US" w:eastAsia="zh-CN" w:bidi="ar"/>
                    </w:rPr>
                  </w:pPr>
                  <w:r>
                    <w:rPr>
                      <w:rFonts w:hint="default" w:ascii="Times New Roman" w:hAnsi="Times New Roman" w:eastAsia="宋体" w:cs="Times New Roman"/>
                      <w:b w:val="0"/>
                      <w:bCs w:val="0"/>
                      <w:color w:val="auto"/>
                      <w:kern w:val="2"/>
                      <w:sz w:val="16"/>
                      <w:szCs w:val="16"/>
                      <w:lang w:val="en-US" w:eastAsia="zh-CN" w:bidi="ar"/>
                    </w:rPr>
                    <w:t>SO</w:t>
                  </w:r>
                  <w:r>
                    <w:rPr>
                      <w:rFonts w:hint="default" w:ascii="Times New Roman" w:hAnsi="Times New Roman" w:eastAsia="宋体" w:cs="Times New Roman"/>
                      <w:b w:val="0"/>
                      <w:bCs w:val="0"/>
                      <w:color w:val="auto"/>
                      <w:kern w:val="2"/>
                      <w:sz w:val="16"/>
                      <w:szCs w:val="16"/>
                      <w:vertAlign w:val="subscript"/>
                      <w:lang w:val="en-US" w:eastAsia="zh-CN" w:bidi="ar"/>
                    </w:rPr>
                    <w:t>2</w:t>
                  </w:r>
                </w:p>
              </w:tc>
              <w:tc>
                <w:tcPr>
                  <w:tcW w:w="6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750"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62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0.070</w:t>
                  </w:r>
                </w:p>
              </w:tc>
              <w:tc>
                <w:tcPr>
                  <w:tcW w:w="116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922"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8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729"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0"/>
                      <w:sz w:val="16"/>
                      <w:szCs w:val="16"/>
                      <w:lang w:val="en-US" w:eastAsia="zh-CN"/>
                    </w:rPr>
                    <w:t>0.070</w:t>
                  </w:r>
                </w:p>
              </w:tc>
              <w:tc>
                <w:tcPr>
                  <w:tcW w:w="145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16"/>
                      <w:szCs w:val="16"/>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4" w:hRule="atLeast"/>
                <w:jc w:val="center"/>
              </w:trPr>
              <w:tc>
                <w:tcPr>
                  <w:tcW w:w="696" w:type="dxa"/>
                  <w:vMerge w:val="continue"/>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lang w:val="en-US"/>
                    </w:rPr>
                  </w:pPr>
                </w:p>
              </w:tc>
              <w:tc>
                <w:tcPr>
                  <w:tcW w:w="5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val="0"/>
                      <w:color w:val="auto"/>
                      <w:kern w:val="2"/>
                      <w:sz w:val="16"/>
                      <w:szCs w:val="16"/>
                      <w:lang w:val="en-US" w:eastAsia="zh-CN" w:bidi="ar"/>
                    </w:rPr>
                  </w:pPr>
                  <w:r>
                    <w:rPr>
                      <w:rFonts w:hint="default" w:ascii="Times New Roman" w:hAnsi="Times New Roman" w:eastAsia="宋体" w:cs="Times New Roman"/>
                      <w:b w:val="0"/>
                      <w:bCs w:val="0"/>
                      <w:color w:val="auto"/>
                      <w:kern w:val="2"/>
                      <w:sz w:val="16"/>
                      <w:szCs w:val="16"/>
                      <w:lang w:val="en-US" w:eastAsia="zh-CN" w:bidi="ar"/>
                    </w:rPr>
                    <w:t>CO</w:t>
                  </w:r>
                </w:p>
              </w:tc>
              <w:tc>
                <w:tcPr>
                  <w:tcW w:w="6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750"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62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0.587</w:t>
                  </w:r>
                </w:p>
              </w:tc>
              <w:tc>
                <w:tcPr>
                  <w:tcW w:w="116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922"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8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729"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0"/>
                      <w:sz w:val="16"/>
                      <w:szCs w:val="16"/>
                      <w:lang w:val="en-US" w:eastAsia="zh-CN"/>
                    </w:rPr>
                    <w:t>0.587</w:t>
                  </w:r>
                </w:p>
              </w:tc>
              <w:tc>
                <w:tcPr>
                  <w:tcW w:w="145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16"/>
                      <w:szCs w:val="16"/>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96" w:type="dxa"/>
                  <w:vMerge w:val="continue"/>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lang w:val="en-US" w:eastAsia="zh-CN" w:bidi="ar-SA"/>
                    </w:rPr>
                  </w:pPr>
                </w:p>
              </w:tc>
              <w:tc>
                <w:tcPr>
                  <w:tcW w:w="5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val="0"/>
                      <w:color w:val="auto"/>
                      <w:kern w:val="2"/>
                      <w:sz w:val="16"/>
                      <w:szCs w:val="16"/>
                      <w:lang w:val="en-US" w:eastAsia="zh-CN" w:bidi="ar"/>
                    </w:rPr>
                  </w:pPr>
                  <w:r>
                    <w:rPr>
                      <w:rFonts w:hint="default" w:ascii="Times New Roman" w:hAnsi="Times New Roman" w:eastAsia="宋体" w:cs="Times New Roman"/>
                      <w:b w:val="0"/>
                      <w:bCs w:val="0"/>
                      <w:color w:val="auto"/>
                      <w:kern w:val="2"/>
                      <w:sz w:val="16"/>
                      <w:szCs w:val="16"/>
                      <w:lang w:val="en-US" w:eastAsia="zh-CN" w:bidi="ar"/>
                    </w:rPr>
                    <w:t>NOx</w:t>
                  </w:r>
                </w:p>
              </w:tc>
              <w:tc>
                <w:tcPr>
                  <w:tcW w:w="6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16"/>
                      <w:szCs w:val="16"/>
                      <w:lang w:val="en-US" w:eastAsia="zh-CN" w:bidi="ar-SA"/>
                    </w:rPr>
                  </w:pPr>
                  <w:r>
                    <w:rPr>
                      <w:rFonts w:hint="default" w:ascii="Times New Roman" w:hAnsi="Times New Roman" w:eastAsia="宋体" w:cs="Times New Roman"/>
                      <w:b w:val="0"/>
                      <w:bCs w:val="0"/>
                      <w:color w:val="auto"/>
                      <w:kern w:val="0"/>
                      <w:sz w:val="16"/>
                      <w:szCs w:val="16"/>
                      <w:lang w:val="en-US" w:eastAsia="zh-CN"/>
                    </w:rPr>
                    <w:t>/</w:t>
                  </w:r>
                </w:p>
              </w:tc>
              <w:tc>
                <w:tcPr>
                  <w:tcW w:w="750"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62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0.965</w:t>
                  </w:r>
                </w:p>
              </w:tc>
              <w:tc>
                <w:tcPr>
                  <w:tcW w:w="116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lang w:val="en-US" w:eastAsia="zh-CN" w:bidi="ar-SA"/>
                    </w:rPr>
                  </w:pPr>
                  <w:r>
                    <w:rPr>
                      <w:rFonts w:hint="default" w:ascii="Times New Roman" w:hAnsi="Times New Roman" w:eastAsia="宋体" w:cs="Times New Roman"/>
                      <w:b w:val="0"/>
                      <w:bCs w:val="0"/>
                      <w:color w:val="auto"/>
                      <w:kern w:val="0"/>
                      <w:sz w:val="16"/>
                      <w:szCs w:val="16"/>
                      <w:lang w:val="en-US" w:eastAsia="zh-CN"/>
                    </w:rPr>
                    <w:t>/</w:t>
                  </w:r>
                </w:p>
              </w:tc>
              <w:tc>
                <w:tcPr>
                  <w:tcW w:w="922"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8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16"/>
                      <w:szCs w:val="16"/>
                      <w:lang w:val="en-US" w:eastAsia="zh-CN"/>
                    </w:rPr>
                  </w:pPr>
                  <w:r>
                    <w:rPr>
                      <w:rFonts w:hint="default" w:ascii="Times New Roman" w:hAnsi="Times New Roman" w:eastAsia="宋体" w:cs="Times New Roman"/>
                      <w:b w:val="0"/>
                      <w:bCs w:val="0"/>
                      <w:color w:val="auto"/>
                      <w:kern w:val="0"/>
                      <w:sz w:val="16"/>
                      <w:szCs w:val="16"/>
                      <w:lang w:val="en-US" w:eastAsia="zh-CN"/>
                    </w:rPr>
                    <w:t>/</w:t>
                  </w:r>
                </w:p>
              </w:tc>
              <w:tc>
                <w:tcPr>
                  <w:tcW w:w="729"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16"/>
                      <w:szCs w:val="16"/>
                      <w:lang w:val="en-US" w:eastAsia="zh-CN" w:bidi="ar-SA"/>
                    </w:rPr>
                  </w:pPr>
                  <w:r>
                    <w:rPr>
                      <w:rFonts w:hint="default" w:ascii="Times New Roman" w:hAnsi="Times New Roman" w:eastAsia="宋体" w:cs="Times New Roman"/>
                      <w:b w:val="0"/>
                      <w:bCs w:val="0"/>
                      <w:color w:val="auto"/>
                      <w:kern w:val="0"/>
                      <w:sz w:val="16"/>
                      <w:szCs w:val="16"/>
                      <w:lang w:val="en-US" w:eastAsia="zh-CN"/>
                    </w:rPr>
                    <w:t>0.965</w:t>
                  </w:r>
                </w:p>
              </w:tc>
              <w:tc>
                <w:tcPr>
                  <w:tcW w:w="1459" w:type="dxa"/>
                  <w:vMerge w:val="continue"/>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96"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2"/>
                      <w:sz w:val="16"/>
                      <w:szCs w:val="16"/>
                      <w:lang w:val="en-US" w:eastAsia="zh-CN"/>
                    </w:rPr>
                    <w:t>食堂油烟</w:t>
                  </w:r>
                </w:p>
              </w:tc>
              <w:tc>
                <w:tcPr>
                  <w:tcW w:w="5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val="0"/>
                      <w:color w:val="auto"/>
                      <w:kern w:val="2"/>
                      <w:sz w:val="16"/>
                      <w:szCs w:val="16"/>
                      <w:lang w:val="en-US" w:eastAsia="zh-CN" w:bidi="ar"/>
                    </w:rPr>
                  </w:pPr>
                  <w:r>
                    <w:rPr>
                      <w:rFonts w:hint="default" w:ascii="Times New Roman" w:hAnsi="Times New Roman" w:eastAsia="宋体" w:cs="Times New Roman"/>
                      <w:b w:val="0"/>
                      <w:bCs w:val="0"/>
                      <w:color w:val="auto"/>
                      <w:kern w:val="2"/>
                      <w:sz w:val="16"/>
                      <w:szCs w:val="16"/>
                      <w:lang w:val="en-US" w:eastAsia="zh-CN" w:bidi="ar"/>
                    </w:rPr>
                    <w:t>油烟</w:t>
                  </w:r>
                </w:p>
              </w:tc>
              <w:tc>
                <w:tcPr>
                  <w:tcW w:w="654"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bidi="ar"/>
                    </w:rPr>
                  </w:pPr>
                  <w:r>
                    <w:rPr>
                      <w:rFonts w:hint="eastAsia" w:cs="Times New Roman"/>
                      <w:b w:val="0"/>
                      <w:bCs w:val="0"/>
                      <w:color w:val="auto"/>
                      <w:kern w:val="0"/>
                      <w:sz w:val="16"/>
                      <w:szCs w:val="16"/>
                      <w:lang w:val="en-US" w:eastAsia="zh-CN" w:bidi="ar"/>
                    </w:rPr>
                    <w:t>2.06</w:t>
                  </w:r>
                </w:p>
              </w:tc>
              <w:tc>
                <w:tcPr>
                  <w:tcW w:w="750"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rPr>
                  </w:pPr>
                  <w:r>
                    <w:rPr>
                      <w:rFonts w:hint="eastAsia" w:cs="Times New Roman"/>
                      <w:b w:val="0"/>
                      <w:bCs w:val="0"/>
                      <w:color w:val="auto"/>
                      <w:kern w:val="0"/>
                      <w:sz w:val="16"/>
                      <w:szCs w:val="16"/>
                      <w:lang w:val="en-US" w:eastAsia="zh-CN"/>
                    </w:rPr>
                    <w:t>0.0042</w:t>
                  </w:r>
                </w:p>
              </w:tc>
              <w:tc>
                <w:tcPr>
                  <w:tcW w:w="621"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16"/>
                      <w:szCs w:val="16"/>
                      <w:lang w:val="en-US" w:eastAsia="zh-CN" w:bidi="ar"/>
                    </w:rPr>
                  </w:pPr>
                  <w:r>
                    <w:rPr>
                      <w:rFonts w:hint="eastAsia" w:cs="Times New Roman"/>
                      <w:b w:val="0"/>
                      <w:bCs w:val="0"/>
                      <w:color w:val="auto"/>
                      <w:kern w:val="0"/>
                      <w:sz w:val="16"/>
                      <w:szCs w:val="16"/>
                      <w:lang w:val="en-US" w:eastAsia="zh-CN" w:bidi="ar"/>
                    </w:rPr>
                    <w:t>5.04</w:t>
                  </w:r>
                  <w:r>
                    <w:rPr>
                      <w:rFonts w:hint="default" w:cs="Times New Roman"/>
                      <w:b w:val="0"/>
                      <w:bCs w:val="0"/>
                      <w:color w:val="auto"/>
                      <w:kern w:val="0"/>
                      <w:sz w:val="16"/>
                      <w:szCs w:val="16"/>
                      <w:lang w:val="en-US" w:eastAsia="zh-CN" w:bidi="ar"/>
                    </w:rPr>
                    <w:t>kg/a</w:t>
                  </w:r>
                </w:p>
              </w:tc>
              <w:tc>
                <w:tcPr>
                  <w:tcW w:w="116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lang w:val="en-US" w:eastAsia="zh-CN"/>
                    </w:rPr>
                  </w:pPr>
                  <w:r>
                    <w:rPr>
                      <w:rFonts w:hint="default" w:ascii="Times New Roman" w:hAnsi="Times New Roman" w:eastAsia="宋体" w:cs="Times New Roman"/>
                      <w:b w:val="0"/>
                      <w:bCs w:val="0"/>
                      <w:color w:val="auto"/>
                      <w:kern w:val="2"/>
                      <w:sz w:val="16"/>
                      <w:szCs w:val="16"/>
                      <w:lang w:val="en-US" w:eastAsia="zh-CN"/>
                    </w:rPr>
                    <w:t>油烟净化器</w:t>
                  </w:r>
                </w:p>
              </w:tc>
              <w:tc>
                <w:tcPr>
                  <w:tcW w:w="922"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16"/>
                      <w:szCs w:val="16"/>
                      <w:lang w:val="en-US" w:eastAsia="zh-CN" w:bidi="ar"/>
                    </w:rPr>
                  </w:pPr>
                  <w:r>
                    <w:rPr>
                      <w:rFonts w:hint="eastAsia" w:cs="Times New Roman"/>
                      <w:b w:val="0"/>
                      <w:bCs w:val="0"/>
                      <w:color w:val="auto"/>
                      <w:kern w:val="0"/>
                      <w:sz w:val="16"/>
                      <w:szCs w:val="16"/>
                      <w:lang w:val="en-US" w:eastAsia="zh-CN" w:bidi="ar"/>
                    </w:rPr>
                    <w:t>0.3</w:t>
                  </w:r>
                </w:p>
              </w:tc>
              <w:tc>
                <w:tcPr>
                  <w:tcW w:w="878"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16"/>
                      <w:szCs w:val="16"/>
                      <w:lang w:val="en-US" w:eastAsia="zh-CN" w:bidi="ar"/>
                    </w:rPr>
                  </w:pPr>
                  <w:r>
                    <w:rPr>
                      <w:rFonts w:hint="eastAsia" w:cs="Times New Roman"/>
                      <w:b w:val="0"/>
                      <w:bCs w:val="0"/>
                      <w:color w:val="auto"/>
                      <w:kern w:val="0"/>
                      <w:sz w:val="16"/>
                      <w:szCs w:val="16"/>
                      <w:lang w:val="en-US" w:eastAsia="zh-CN" w:bidi="ar"/>
                    </w:rPr>
                    <w:t>0.0016</w:t>
                  </w:r>
                </w:p>
              </w:tc>
              <w:tc>
                <w:tcPr>
                  <w:tcW w:w="729"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lang w:val="en-US" w:eastAsia="zh-CN" w:bidi="ar"/>
                    </w:rPr>
                  </w:pPr>
                  <w:r>
                    <w:rPr>
                      <w:rFonts w:hint="default" w:ascii="Times New Roman" w:hAnsi="Times New Roman" w:eastAsia="宋体" w:cs="Times New Roman"/>
                      <w:b w:val="0"/>
                      <w:bCs w:val="0"/>
                      <w:color w:val="auto"/>
                      <w:kern w:val="0"/>
                      <w:sz w:val="16"/>
                      <w:szCs w:val="16"/>
                      <w:lang w:val="en-US" w:eastAsia="zh-CN" w:bidi="ar"/>
                    </w:rPr>
                    <w:t>0.00076</w:t>
                  </w:r>
                </w:p>
              </w:tc>
              <w:tc>
                <w:tcPr>
                  <w:tcW w:w="145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16"/>
                      <w:szCs w:val="16"/>
                    </w:rPr>
                  </w:pPr>
                  <w:r>
                    <w:rPr>
                      <w:rFonts w:hint="default" w:ascii="Times New Roman" w:hAnsi="Times New Roman" w:eastAsia="宋体" w:cs="Times New Roman"/>
                      <w:b w:val="0"/>
                      <w:bCs w:val="0"/>
                      <w:color w:val="auto"/>
                      <w:kern w:val="2"/>
                      <w:sz w:val="16"/>
                      <w:szCs w:val="16"/>
                    </w:rPr>
                    <w:t>《饮食业油烟排放标准（试行）》（GB18483-2001）</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2"/>
                <w:szCs w:val="2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w:t>
            </w:r>
            <w:r>
              <w:rPr>
                <w:rFonts w:hint="default" w:ascii="Times New Roman" w:hAnsi="Times New Roman" w:eastAsia="宋体" w:cs="Times New Roman"/>
                <w:b/>
                <w:bCs/>
                <w:color w:val="auto"/>
                <w:sz w:val="22"/>
                <w:szCs w:val="22"/>
                <w:lang w:val="en-US" w:eastAsia="zh-CN"/>
              </w:rPr>
              <w:t>4-</w:t>
            </w:r>
            <w:r>
              <w:rPr>
                <w:rFonts w:hint="eastAsia" w:ascii="Times New Roman" w:hAnsi="Times New Roman" w:eastAsia="宋体" w:cs="Times New Roman"/>
                <w:b/>
                <w:bCs/>
                <w:color w:val="auto"/>
                <w:sz w:val="22"/>
                <w:szCs w:val="22"/>
                <w:lang w:val="en-US" w:eastAsia="zh-CN"/>
              </w:rPr>
              <w:t>8  废气排放口情况表</w:t>
            </w:r>
          </w:p>
          <w:tbl>
            <w:tblPr>
              <w:tblStyle w:val="23"/>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79"/>
              <w:gridCol w:w="771"/>
              <w:gridCol w:w="681"/>
              <w:gridCol w:w="652"/>
              <w:gridCol w:w="1719"/>
              <w:gridCol w:w="539"/>
              <w:gridCol w:w="716"/>
              <w:gridCol w:w="552"/>
              <w:gridCol w:w="551"/>
              <w:gridCol w:w="16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1060" w:hRule="atLeast"/>
                <w:jc w:val="center"/>
              </w:trPr>
              <w:tc>
                <w:tcPr>
                  <w:tcW w:w="624"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lang w:val="en-US" w:eastAsia="zh-CN" w:bidi="ar"/>
                    </w:rPr>
                    <w:t>排放口编号</w:t>
                  </w:r>
                </w:p>
              </w:tc>
              <w:tc>
                <w:tcPr>
                  <w:tcW w:w="709"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lang w:val="en-US" w:eastAsia="zh-CN" w:bidi="ar"/>
                    </w:rPr>
                    <w:t>排放口名称</w:t>
                  </w:r>
                </w:p>
              </w:tc>
              <w:tc>
                <w:tcPr>
                  <w:tcW w:w="626"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lang w:val="en-US" w:eastAsia="zh-CN" w:bidi="ar"/>
                    </w:rPr>
                    <w:t>污染物类型</w:t>
                  </w:r>
                </w:p>
              </w:tc>
              <w:tc>
                <w:tcPr>
                  <w:tcW w:w="600"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default" w:ascii="宋体" w:hAnsi="宋体" w:eastAsia="宋体" w:cs="宋体"/>
                      <w:b/>
                      <w:bCs w:val="0"/>
                      <w:color w:val="auto"/>
                      <w:kern w:val="0"/>
                      <w:sz w:val="21"/>
                      <w:szCs w:val="21"/>
                      <w:lang w:val="en-US" w:eastAsia="zh-CN"/>
                    </w:rPr>
                  </w:pPr>
                  <w:r>
                    <w:rPr>
                      <w:rFonts w:hint="eastAsia" w:ascii="宋体" w:hAnsi="宋体" w:eastAsia="宋体" w:cs="宋体"/>
                      <w:b/>
                      <w:bCs w:val="0"/>
                      <w:color w:val="auto"/>
                      <w:kern w:val="0"/>
                      <w:sz w:val="21"/>
                      <w:szCs w:val="21"/>
                      <w:lang w:val="en-US" w:eastAsia="zh-CN"/>
                    </w:rPr>
                    <w:t>排放口类型</w:t>
                  </w:r>
                </w:p>
              </w:tc>
              <w:tc>
                <w:tcPr>
                  <w:tcW w:w="1581"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leftChars="0" w:right="0" w:rightChars="0" w:firstLine="0" w:firstLineChars="0"/>
                    <w:jc w:val="center"/>
                    <w:rPr>
                      <w:rFonts w:hint="eastAsia" w:ascii="宋体" w:hAnsi="宋体" w:eastAsia="宋体" w:cs="宋体"/>
                      <w:b/>
                      <w:bCs w:val="0"/>
                      <w:color w:val="auto"/>
                      <w:kern w:val="0"/>
                      <w:sz w:val="21"/>
                      <w:szCs w:val="21"/>
                      <w:lang w:val="en-US" w:eastAsia="zh-CN" w:bidi="ar"/>
                    </w:rPr>
                  </w:pPr>
                  <w:r>
                    <w:rPr>
                      <w:rFonts w:hint="eastAsia" w:cs="宋体"/>
                      <w:b/>
                      <w:bCs w:val="0"/>
                      <w:color w:val="auto"/>
                      <w:kern w:val="0"/>
                      <w:sz w:val="21"/>
                      <w:szCs w:val="21"/>
                      <w:highlight w:val="none"/>
                      <w:lang w:val="en-US" w:eastAsia="zh-CN"/>
                    </w:rPr>
                    <w:t>坐标</w:t>
                  </w:r>
                </w:p>
              </w:tc>
              <w:tc>
                <w:tcPr>
                  <w:tcW w:w="496"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default" w:ascii="Times New Roman" w:hAnsi="宋体" w:eastAsia="宋体" w:cs="宋体"/>
                      <w:b/>
                      <w:bCs w:val="0"/>
                      <w:color w:val="auto"/>
                      <w:kern w:val="0"/>
                      <w:sz w:val="21"/>
                      <w:szCs w:val="21"/>
                    </w:rPr>
                  </w:pPr>
                  <w:r>
                    <w:rPr>
                      <w:rFonts w:hint="eastAsia" w:ascii="宋体" w:hAnsi="宋体" w:eastAsia="宋体" w:cs="宋体"/>
                      <w:b/>
                      <w:bCs w:val="0"/>
                      <w:color w:val="auto"/>
                      <w:kern w:val="0"/>
                      <w:sz w:val="21"/>
                      <w:szCs w:val="21"/>
                      <w:lang w:val="en-US" w:eastAsia="zh-CN" w:bidi="ar"/>
                    </w:rPr>
                    <w:t>排气筒高度</w:t>
                  </w:r>
                  <w:r>
                    <w:rPr>
                      <w:rFonts w:hint="default" w:ascii="Times New Roman" w:hAnsi="宋体" w:eastAsia="宋体" w:cs="宋体"/>
                      <w:b/>
                      <w:bCs w:val="0"/>
                      <w:color w:val="auto"/>
                      <w:kern w:val="0"/>
                      <w:sz w:val="21"/>
                      <w:szCs w:val="21"/>
                      <w:lang w:val="en-US" w:eastAsia="zh-CN" w:bidi="ar"/>
                    </w:rPr>
                    <w:t>/m</w:t>
                  </w:r>
                </w:p>
              </w:tc>
              <w:tc>
                <w:tcPr>
                  <w:tcW w:w="658"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default" w:ascii="Times New Roman" w:hAnsi="宋体" w:eastAsia="宋体" w:cs="宋体"/>
                      <w:b/>
                      <w:bCs w:val="0"/>
                      <w:color w:val="auto"/>
                      <w:kern w:val="0"/>
                      <w:sz w:val="21"/>
                      <w:szCs w:val="21"/>
                    </w:rPr>
                  </w:pPr>
                  <w:r>
                    <w:rPr>
                      <w:rFonts w:hint="eastAsia" w:ascii="宋体" w:hAnsi="宋体" w:eastAsia="宋体" w:cs="宋体"/>
                      <w:b/>
                      <w:bCs w:val="0"/>
                      <w:color w:val="auto"/>
                      <w:kern w:val="0"/>
                      <w:sz w:val="21"/>
                      <w:szCs w:val="21"/>
                      <w:lang w:val="en-US" w:eastAsia="zh-CN" w:bidi="ar"/>
                    </w:rPr>
                    <w:t>排气筒出口内径</w:t>
                  </w:r>
                  <w:r>
                    <w:rPr>
                      <w:rFonts w:hint="default" w:ascii="Times New Roman" w:hAnsi="宋体" w:eastAsia="宋体" w:cs="宋体"/>
                      <w:b/>
                      <w:bCs w:val="0"/>
                      <w:color w:val="auto"/>
                      <w:kern w:val="0"/>
                      <w:sz w:val="21"/>
                      <w:szCs w:val="21"/>
                      <w:lang w:val="en-US" w:eastAsia="zh-CN" w:bidi="ar"/>
                    </w:rPr>
                    <w:t>/m</w:t>
                  </w:r>
                </w:p>
              </w:tc>
              <w:tc>
                <w:tcPr>
                  <w:tcW w:w="508"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default" w:ascii="Times New Roman" w:hAnsi="Times New Roman" w:eastAsia="宋体" w:cs="宋体"/>
                      <w:b/>
                      <w:bCs w:val="0"/>
                      <w:color w:val="auto"/>
                      <w:kern w:val="0"/>
                      <w:sz w:val="21"/>
                      <w:szCs w:val="21"/>
                    </w:rPr>
                  </w:pPr>
                  <w:r>
                    <w:rPr>
                      <w:rFonts w:hint="eastAsia" w:ascii="宋体" w:hAnsi="宋体" w:eastAsia="宋体" w:cs="宋体"/>
                      <w:b/>
                      <w:bCs w:val="0"/>
                      <w:color w:val="auto"/>
                      <w:kern w:val="0"/>
                      <w:sz w:val="21"/>
                      <w:szCs w:val="21"/>
                      <w:lang w:val="en-US" w:eastAsia="zh-CN" w:bidi="ar"/>
                    </w:rPr>
                    <w:t>排气温度</w:t>
                  </w:r>
                  <w:r>
                    <w:rPr>
                      <w:rFonts w:hint="default" w:ascii="Times New Roman" w:hAnsi="Times New Roman" w:eastAsia="宋体" w:cs="宋体"/>
                      <w:b/>
                      <w:bCs w:val="0"/>
                      <w:color w:val="auto"/>
                      <w:kern w:val="0"/>
                      <w:sz w:val="21"/>
                      <w:szCs w:val="21"/>
                      <w:lang w:val="en-US" w:eastAsia="zh-CN" w:bidi="ar"/>
                    </w:rPr>
                    <w:t>/℃</w:t>
                  </w:r>
                </w:p>
              </w:tc>
              <w:tc>
                <w:tcPr>
                  <w:tcW w:w="507"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lang w:val="en-US" w:eastAsia="zh-CN" w:bidi="ar"/>
                    </w:rPr>
                    <w:t>排放类型</w:t>
                  </w:r>
                </w:p>
              </w:tc>
              <w:tc>
                <w:tcPr>
                  <w:tcW w:w="1526"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lang w:val="en-US" w:eastAsia="zh-CN" w:bidi="ar"/>
                    </w:rPr>
                    <w:t>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608" w:hRule="atLeast"/>
                <w:jc w:val="center"/>
              </w:trPr>
              <w:tc>
                <w:tcPr>
                  <w:tcW w:w="624"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default" w:ascii="Times New Roman" w:hAnsi="宋体" w:eastAsia="宋体" w:cs="宋体"/>
                      <w:color w:val="auto"/>
                      <w:kern w:val="0"/>
                      <w:sz w:val="21"/>
                      <w:szCs w:val="21"/>
                    </w:rPr>
                  </w:pPr>
                  <w:r>
                    <w:rPr>
                      <w:rFonts w:hint="default" w:ascii="Times New Roman" w:hAnsi="宋体" w:eastAsia="宋体" w:cs="宋体"/>
                      <w:color w:val="auto"/>
                      <w:kern w:val="0"/>
                      <w:sz w:val="21"/>
                      <w:szCs w:val="21"/>
                      <w:lang w:val="en-US" w:eastAsia="zh-CN" w:bidi="ar"/>
                    </w:rPr>
                    <w:t>DA001</w:t>
                  </w:r>
                </w:p>
              </w:tc>
              <w:tc>
                <w:tcPr>
                  <w:tcW w:w="709"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eastAsia" w:ascii="宋体" w:hAnsi="宋体" w:eastAsia="宋体" w:cs="宋体"/>
                      <w:color w:val="auto"/>
                      <w:kern w:val="0"/>
                      <w:sz w:val="21"/>
                      <w:szCs w:val="21"/>
                    </w:rPr>
                  </w:pPr>
                  <w:r>
                    <w:rPr>
                      <w:rFonts w:hint="eastAsia" w:cs="宋体"/>
                      <w:color w:val="auto"/>
                      <w:kern w:val="0"/>
                      <w:sz w:val="21"/>
                      <w:szCs w:val="21"/>
                      <w:lang w:val="en-US" w:eastAsia="zh-CN" w:bidi="ar"/>
                    </w:rPr>
                    <w:t>喷砂废气</w:t>
                  </w:r>
                  <w:r>
                    <w:rPr>
                      <w:rFonts w:hint="eastAsia" w:ascii="宋体" w:hAnsi="宋体" w:eastAsia="宋体" w:cs="宋体"/>
                      <w:color w:val="auto"/>
                      <w:kern w:val="0"/>
                      <w:sz w:val="21"/>
                      <w:szCs w:val="21"/>
                      <w:lang w:val="en-US" w:eastAsia="zh-CN" w:bidi="ar"/>
                    </w:rPr>
                    <w:t>排放口</w:t>
                  </w:r>
                </w:p>
              </w:tc>
              <w:tc>
                <w:tcPr>
                  <w:tcW w:w="626" w:type="dxa"/>
                  <w:tcBorders>
                    <w:tl2br w:val="nil"/>
                    <w:tr2bl w:val="nil"/>
                  </w:tcBorders>
                  <w:shd w:val="clear" w:color="auto" w:fill="auto"/>
                  <w:vAlign w:val="center"/>
                </w:tcPr>
                <w:p>
                  <w:pPr>
                    <w:keepNext w:val="0"/>
                    <w:keepLines w:val="0"/>
                    <w:widowControl w:val="0"/>
                    <w:suppressLineNumbers w:val="0"/>
                    <w:spacing w:before="0" w:beforeAutospacing="0" w:after="0" w:afterAutospacing="0"/>
                    <w:ind w:left="-105" w:leftChars="-50" w:right="-105" w:rightChars="-5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
                    </w:rPr>
                    <w:t>颗粒物</w:t>
                  </w:r>
                </w:p>
              </w:tc>
              <w:tc>
                <w:tcPr>
                  <w:tcW w:w="600"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eastAsia" w:ascii="Times New Roman" w:hAnsi="Times New Roman" w:eastAsia="宋体" w:cs="宋体"/>
                      <w:color w:val="auto"/>
                      <w:kern w:val="0"/>
                      <w:sz w:val="21"/>
                      <w:szCs w:val="21"/>
                    </w:rPr>
                  </w:pPr>
                  <w:r>
                    <w:rPr>
                      <w:rFonts w:hint="default" w:ascii="Times New Roman" w:hAnsi="Times New Roman" w:eastAsia="宋体" w:cs="Times New Roman"/>
                      <w:color w:val="auto"/>
                      <w:sz w:val="21"/>
                      <w:szCs w:val="21"/>
                      <w:vertAlign w:val="baseline"/>
                      <w:lang w:val="en-US" w:eastAsia="zh-CN"/>
                    </w:rPr>
                    <w:t>一般排放口</w:t>
                  </w:r>
                </w:p>
              </w:tc>
              <w:tc>
                <w:tcPr>
                  <w:tcW w:w="1581"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lang w:val="en-US"/>
                    </w:rPr>
                    <w:t>东经87°</w:t>
                  </w:r>
                  <w:r>
                    <w:rPr>
                      <w:rFonts w:hint="default" w:ascii="Times New Roman" w:hAnsi="Times New Roman" w:cs="Times New Roman"/>
                      <w:b w:val="0"/>
                      <w:bCs w:val="0"/>
                      <w:color w:val="auto"/>
                      <w:sz w:val="21"/>
                      <w:szCs w:val="21"/>
                      <w:highlight w:val="none"/>
                      <w:lang w:val="en-US" w:eastAsia="zh-CN"/>
                    </w:rPr>
                    <w:t>58</w:t>
                  </w:r>
                  <w:r>
                    <w:rPr>
                      <w:rFonts w:hint="default" w:ascii="Times New Roman" w:hAnsi="Times New Roman" w:eastAsia="宋体" w:cs="Times New Roman"/>
                      <w:b w:val="0"/>
                      <w:bCs w:val="0"/>
                      <w:color w:val="auto"/>
                      <w:sz w:val="21"/>
                      <w:szCs w:val="21"/>
                      <w:highlight w:val="none"/>
                      <w:lang w:val="en-US"/>
                    </w:rPr>
                    <w:t>′</w:t>
                  </w:r>
                  <w:r>
                    <w:rPr>
                      <w:rFonts w:hint="eastAsia" w:ascii="Times New Roman" w:hAnsi="Times New Roman" w:cs="Times New Roman"/>
                      <w:b w:val="0"/>
                      <w:bCs w:val="0"/>
                      <w:color w:val="auto"/>
                      <w:sz w:val="21"/>
                      <w:szCs w:val="21"/>
                      <w:highlight w:val="none"/>
                      <w:lang w:val="en-US" w:eastAsia="zh-CN"/>
                    </w:rPr>
                    <w:t>52</w:t>
                  </w:r>
                  <w:r>
                    <w:rPr>
                      <w:rFonts w:hint="default" w:ascii="Times New Roman" w:hAnsi="Times New Roman" w:eastAsia="宋体" w:cs="Times New Roman"/>
                      <w:b w:val="0"/>
                      <w:bCs w:val="0"/>
                      <w:color w:val="auto"/>
                      <w:sz w:val="21"/>
                      <w:szCs w:val="21"/>
                      <w:highlight w:val="none"/>
                      <w:lang w:val="en-US"/>
                    </w:rPr>
                    <w:t>.</w:t>
                  </w:r>
                  <w:r>
                    <w:rPr>
                      <w:rFonts w:hint="eastAsia" w:ascii="Times New Roman" w:hAnsi="Times New Roman" w:cs="Times New Roman"/>
                      <w:b w:val="0"/>
                      <w:bCs w:val="0"/>
                      <w:color w:val="auto"/>
                      <w:sz w:val="21"/>
                      <w:szCs w:val="21"/>
                      <w:highlight w:val="none"/>
                      <w:lang w:val="en-US" w:eastAsia="zh-CN"/>
                    </w:rPr>
                    <w:t>96</w:t>
                  </w:r>
                  <w:r>
                    <w:rPr>
                      <w:rFonts w:hint="default" w:ascii="Times New Roman" w:hAnsi="Times New Roman"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rPr>
                    <w:t>″，北纬42°</w:t>
                  </w:r>
                  <w:r>
                    <w:rPr>
                      <w:rFonts w:hint="default" w:ascii="Times New Roman" w:hAnsi="Times New Roman" w:cs="Times New Roman"/>
                      <w:b w:val="0"/>
                      <w:bCs w:val="0"/>
                      <w:color w:val="auto"/>
                      <w:sz w:val="21"/>
                      <w:szCs w:val="21"/>
                      <w:highlight w:val="none"/>
                      <w:lang w:val="en-US" w:eastAsia="zh-CN"/>
                    </w:rPr>
                    <w:t>19</w:t>
                  </w:r>
                  <w:r>
                    <w:rPr>
                      <w:rFonts w:hint="default" w:ascii="Times New Roman" w:hAnsi="Times New Roman" w:eastAsia="宋体" w:cs="Times New Roman"/>
                      <w:b w:val="0"/>
                      <w:bCs w:val="0"/>
                      <w:color w:val="auto"/>
                      <w:sz w:val="21"/>
                      <w:szCs w:val="21"/>
                      <w:highlight w:val="none"/>
                      <w:lang w:val="en-US"/>
                    </w:rPr>
                    <w:t>′</w:t>
                  </w:r>
                  <w:r>
                    <w:rPr>
                      <w:rFonts w:hint="eastAsia" w:ascii="Times New Roman" w:hAnsi="Times New Roman" w:cs="Times New Roman"/>
                      <w:b w:val="0"/>
                      <w:bCs w:val="0"/>
                      <w:color w:val="auto"/>
                      <w:sz w:val="21"/>
                      <w:szCs w:val="21"/>
                      <w:highlight w:val="none"/>
                      <w:lang w:val="en-US" w:eastAsia="zh-CN"/>
                    </w:rPr>
                    <w:t>12</w:t>
                  </w:r>
                  <w:r>
                    <w:rPr>
                      <w:rFonts w:hint="default" w:ascii="Times New Roman" w:hAnsi="Times New Roman" w:cs="Times New Roman"/>
                      <w:b w:val="0"/>
                      <w:bCs w:val="0"/>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630</w:t>
                  </w:r>
                  <w:r>
                    <w:rPr>
                      <w:rFonts w:hint="default" w:ascii="Times New Roman" w:hAnsi="Times New Roman" w:eastAsia="宋体" w:cs="Times New Roman"/>
                      <w:b w:val="0"/>
                      <w:bCs w:val="0"/>
                      <w:color w:val="auto"/>
                      <w:sz w:val="21"/>
                      <w:szCs w:val="21"/>
                      <w:highlight w:val="none"/>
                      <w:lang w:val="en-US"/>
                    </w:rPr>
                    <w:t>″</w:t>
                  </w:r>
                </w:p>
              </w:tc>
              <w:tc>
                <w:tcPr>
                  <w:tcW w:w="496"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default" w:ascii="Times New Roman" w:hAnsi="宋体" w:eastAsia="宋体" w:cs="宋体"/>
                      <w:color w:val="auto"/>
                      <w:kern w:val="0"/>
                      <w:sz w:val="21"/>
                      <w:szCs w:val="21"/>
                      <w:lang w:val="en-US"/>
                    </w:rPr>
                  </w:pPr>
                  <w:r>
                    <w:rPr>
                      <w:rFonts w:hint="default" w:ascii="Times New Roman" w:hAnsi="Times New Roman" w:eastAsia="宋体" w:cs="Times New Roman"/>
                      <w:color w:val="auto"/>
                      <w:sz w:val="21"/>
                      <w:szCs w:val="21"/>
                      <w:vertAlign w:val="baseline"/>
                      <w:lang w:val="en-US" w:eastAsia="zh-CN"/>
                    </w:rPr>
                    <w:t>15</w:t>
                  </w:r>
                </w:p>
              </w:tc>
              <w:tc>
                <w:tcPr>
                  <w:tcW w:w="658"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default" w:ascii="Times New Roman" w:hAnsi="宋体" w:eastAsia="宋体" w:cs="宋体"/>
                      <w:color w:val="auto"/>
                      <w:kern w:val="0"/>
                      <w:sz w:val="21"/>
                      <w:szCs w:val="21"/>
                    </w:rPr>
                  </w:pPr>
                  <w:r>
                    <w:rPr>
                      <w:rFonts w:hint="default" w:ascii="Times New Roman" w:hAnsi="Times New Roman" w:eastAsia="宋体" w:cs="Times New Roman"/>
                      <w:color w:val="auto"/>
                      <w:sz w:val="21"/>
                      <w:szCs w:val="21"/>
                      <w:vertAlign w:val="baseline"/>
                      <w:lang w:val="en-US" w:eastAsia="zh-CN"/>
                    </w:rPr>
                    <w:t>0.4</w:t>
                  </w:r>
                </w:p>
              </w:tc>
              <w:tc>
                <w:tcPr>
                  <w:tcW w:w="508"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default" w:ascii="Times New Roman" w:hAnsi="宋体" w:eastAsia="宋体" w:cs="宋体"/>
                      <w:color w:val="auto"/>
                      <w:kern w:val="0"/>
                      <w:sz w:val="21"/>
                      <w:szCs w:val="21"/>
                      <w:lang w:val="en-US"/>
                    </w:rPr>
                  </w:pPr>
                  <w:r>
                    <w:rPr>
                      <w:rFonts w:hint="eastAsia" w:ascii="Times New Roman" w:hAnsi="Times New Roman" w:cs="Times New Roman"/>
                      <w:color w:val="auto"/>
                      <w:sz w:val="21"/>
                      <w:szCs w:val="21"/>
                      <w:vertAlign w:val="baseline"/>
                      <w:lang w:val="en-US" w:eastAsia="zh-CN"/>
                    </w:rPr>
                    <w:t>25</w:t>
                  </w:r>
                </w:p>
              </w:tc>
              <w:tc>
                <w:tcPr>
                  <w:tcW w:w="507"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bidi="ar"/>
                    </w:rPr>
                    <w:t>有组织</w:t>
                  </w:r>
                </w:p>
              </w:tc>
              <w:tc>
                <w:tcPr>
                  <w:tcW w:w="1526"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default" w:ascii="Times New Roman" w:hAnsi="Times New Roman" w:eastAsia="宋体" w:cs="Times New Roman"/>
                      <w:color w:val="auto"/>
                      <w:kern w:val="0"/>
                      <w:sz w:val="21"/>
                      <w:szCs w:val="21"/>
                    </w:rPr>
                  </w:pPr>
                  <w:r>
                    <w:rPr>
                      <w:rFonts w:hint="default" w:ascii="Calibri" w:hAnsi="Calibri" w:eastAsia="宋体" w:cs="Times New Roman"/>
                      <w:b w:val="0"/>
                      <w:bCs w:val="0"/>
                      <w:color w:val="auto"/>
                      <w:kern w:val="2"/>
                      <w:sz w:val="21"/>
                      <w:szCs w:val="21"/>
                    </w:rPr>
                    <w:t>《</w:t>
                  </w:r>
                  <w:r>
                    <w:rPr>
                      <w:rFonts w:hint="eastAsia" w:ascii="宋体" w:hAnsi="宋体" w:eastAsia="宋体" w:cs="宋体"/>
                      <w:b w:val="0"/>
                      <w:bCs w:val="0"/>
                      <w:color w:val="auto"/>
                      <w:kern w:val="2"/>
                      <w:sz w:val="21"/>
                      <w:szCs w:val="21"/>
                      <w:lang w:val="en-US" w:eastAsia="zh-CN" w:bidi="ar"/>
                    </w:rPr>
                    <w:t>大气污染物综合排放标准》（</w:t>
                  </w:r>
                  <w:r>
                    <w:rPr>
                      <w:rFonts w:hint="default" w:ascii="Times New Roman" w:hAnsi="Times New Roman" w:eastAsia="宋体" w:cs="Times New Roman"/>
                      <w:b w:val="0"/>
                      <w:bCs w:val="0"/>
                      <w:color w:val="auto"/>
                      <w:kern w:val="2"/>
                      <w:sz w:val="21"/>
                      <w:szCs w:val="21"/>
                      <w:lang w:val="en-US" w:eastAsia="zh-CN" w:bidi="ar"/>
                    </w:rPr>
                    <w:t>GB16297-1996</w:t>
                  </w:r>
                  <w:r>
                    <w:rPr>
                      <w:rFonts w:hint="eastAsia" w:ascii="宋体" w:hAnsi="宋体" w:eastAsia="宋体" w:cs="宋体"/>
                      <w:b w:val="0"/>
                      <w:bCs w:val="0"/>
                      <w:color w:val="auto"/>
                      <w:kern w:val="2"/>
                      <w:sz w:val="21"/>
                      <w:szCs w:val="21"/>
                      <w:lang w:val="en-US" w:eastAsia="zh-CN" w:bidi="ar"/>
                    </w:rPr>
                    <w:t>）中有关标准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1219" w:hRule="atLeast"/>
                <w:jc w:val="center"/>
              </w:trPr>
              <w:tc>
                <w:tcPr>
                  <w:tcW w:w="624"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default" w:ascii="Times New Roman" w:hAnsi="宋体" w:eastAsia="宋体" w:cs="宋体"/>
                      <w:color w:val="auto"/>
                      <w:kern w:val="0"/>
                      <w:sz w:val="21"/>
                      <w:szCs w:val="21"/>
                      <w:lang w:val="en-US" w:eastAsia="zh-CN" w:bidi="ar"/>
                    </w:rPr>
                  </w:pPr>
                  <w:r>
                    <w:rPr>
                      <w:rFonts w:hint="default" w:ascii="Times New Roman" w:hAnsi="宋体" w:eastAsia="宋体" w:cs="宋体"/>
                      <w:color w:val="auto"/>
                      <w:kern w:val="0"/>
                      <w:sz w:val="21"/>
                      <w:szCs w:val="21"/>
                      <w:lang w:val="en-US" w:eastAsia="zh-CN" w:bidi="ar"/>
                    </w:rPr>
                    <w:t>DA00</w:t>
                  </w:r>
                  <w:r>
                    <w:rPr>
                      <w:rFonts w:hint="eastAsia" w:ascii="Times New Roman" w:hAnsi="宋体" w:eastAsia="宋体" w:cs="宋体"/>
                      <w:color w:val="auto"/>
                      <w:kern w:val="0"/>
                      <w:sz w:val="21"/>
                      <w:szCs w:val="21"/>
                      <w:lang w:val="en-US" w:eastAsia="zh-CN" w:bidi="ar"/>
                    </w:rPr>
                    <w:t>2</w:t>
                  </w:r>
                </w:p>
              </w:tc>
              <w:tc>
                <w:tcPr>
                  <w:tcW w:w="709"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default" w:cs="宋体"/>
                      <w:color w:val="auto"/>
                      <w:kern w:val="0"/>
                      <w:sz w:val="21"/>
                      <w:szCs w:val="21"/>
                      <w:lang w:val="en-US" w:eastAsia="zh-CN" w:bidi="ar"/>
                    </w:rPr>
                  </w:pPr>
                  <w:r>
                    <w:rPr>
                      <w:rFonts w:hint="eastAsia" w:cs="宋体"/>
                      <w:color w:val="auto"/>
                      <w:kern w:val="0"/>
                      <w:sz w:val="21"/>
                      <w:szCs w:val="21"/>
                      <w:lang w:val="en-US" w:eastAsia="zh-CN" w:bidi="ar"/>
                    </w:rPr>
                    <w:t>油烟净化器排放口</w:t>
                  </w:r>
                </w:p>
              </w:tc>
              <w:tc>
                <w:tcPr>
                  <w:tcW w:w="626"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eastAsia" w:cs="宋体"/>
                      <w:color w:val="auto"/>
                      <w:kern w:val="0"/>
                      <w:sz w:val="21"/>
                      <w:szCs w:val="21"/>
                      <w:lang w:val="en-US" w:eastAsia="zh-CN" w:bidi="ar"/>
                    </w:rPr>
                  </w:pPr>
                  <w:r>
                    <w:rPr>
                      <w:rFonts w:hint="eastAsia" w:cs="宋体"/>
                      <w:color w:val="auto"/>
                      <w:kern w:val="0"/>
                      <w:sz w:val="21"/>
                      <w:szCs w:val="21"/>
                      <w:lang w:val="en-US" w:eastAsia="zh-CN" w:bidi="ar"/>
                    </w:rPr>
                    <w:t>油烟</w:t>
                  </w:r>
                </w:p>
              </w:tc>
              <w:tc>
                <w:tcPr>
                  <w:tcW w:w="600"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eastAsia" w:ascii="Times New Roman" w:hAnsi="Times New Roman" w:cs="Times New Roman"/>
                      <w:color w:val="auto"/>
                      <w:kern w:val="0"/>
                      <w:sz w:val="21"/>
                      <w:szCs w:val="21"/>
                      <w:lang w:val="en-US" w:eastAsia="zh-CN" w:bidi="ar"/>
                    </w:rPr>
                  </w:pPr>
                  <w:r>
                    <w:rPr>
                      <w:rFonts w:hint="default" w:ascii="Times New Roman" w:hAnsi="Times New Roman" w:eastAsia="宋体" w:cs="Times New Roman"/>
                      <w:color w:val="auto"/>
                      <w:sz w:val="21"/>
                      <w:szCs w:val="21"/>
                      <w:vertAlign w:val="baseline"/>
                      <w:lang w:val="en-US" w:eastAsia="zh-CN"/>
                    </w:rPr>
                    <w:t>一般排放口</w:t>
                  </w:r>
                </w:p>
              </w:tc>
              <w:tc>
                <w:tcPr>
                  <w:tcW w:w="1581"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leftChars="0" w:right="0" w:rightChars="0" w:firstLine="0" w:firstLineChars="0"/>
                    <w:jc w:val="center"/>
                    <w:rPr>
                      <w:rFonts w:hint="eastAsia" w:ascii="Times New Roman" w:hAnsi="Times New Roman" w:cs="Times New Roman"/>
                      <w:color w:val="auto"/>
                      <w:kern w:val="0"/>
                      <w:sz w:val="21"/>
                      <w:szCs w:val="21"/>
                      <w:lang w:val="en-US" w:eastAsia="zh-CN" w:bidi="ar"/>
                    </w:rPr>
                  </w:pPr>
                  <w:r>
                    <w:rPr>
                      <w:rFonts w:hint="default" w:ascii="Times New Roman" w:hAnsi="Times New Roman" w:eastAsia="宋体" w:cs="Times New Roman"/>
                      <w:b w:val="0"/>
                      <w:bCs w:val="0"/>
                      <w:color w:val="auto"/>
                      <w:sz w:val="21"/>
                      <w:szCs w:val="21"/>
                      <w:highlight w:val="none"/>
                      <w:lang w:val="en-US"/>
                    </w:rPr>
                    <w:t>东经87°</w:t>
                  </w:r>
                  <w:r>
                    <w:rPr>
                      <w:rFonts w:hint="default" w:ascii="Times New Roman" w:hAnsi="Times New Roman" w:cs="Times New Roman"/>
                      <w:b w:val="0"/>
                      <w:bCs w:val="0"/>
                      <w:color w:val="auto"/>
                      <w:sz w:val="21"/>
                      <w:szCs w:val="21"/>
                      <w:highlight w:val="none"/>
                      <w:lang w:val="en-US" w:eastAsia="zh-CN"/>
                    </w:rPr>
                    <w:t>58</w:t>
                  </w:r>
                  <w:r>
                    <w:rPr>
                      <w:rFonts w:hint="default" w:ascii="Times New Roman" w:hAnsi="Times New Roman" w:eastAsia="宋体" w:cs="Times New Roman"/>
                      <w:b w:val="0"/>
                      <w:bCs w:val="0"/>
                      <w:color w:val="auto"/>
                      <w:sz w:val="21"/>
                      <w:szCs w:val="21"/>
                      <w:highlight w:val="none"/>
                      <w:lang w:val="en-US"/>
                    </w:rPr>
                    <w:t>′</w:t>
                  </w:r>
                  <w:r>
                    <w:rPr>
                      <w:rFonts w:hint="default" w:ascii="Times New Roman" w:hAnsi="Times New Roman" w:cs="Times New Roman"/>
                      <w:b w:val="0"/>
                      <w:bCs w:val="0"/>
                      <w:color w:val="auto"/>
                      <w:sz w:val="21"/>
                      <w:szCs w:val="21"/>
                      <w:highlight w:val="none"/>
                      <w:lang w:val="en-US" w:eastAsia="zh-CN"/>
                    </w:rPr>
                    <w:t>54</w:t>
                  </w:r>
                  <w:r>
                    <w:rPr>
                      <w:rFonts w:hint="default" w:ascii="Times New Roman" w:hAnsi="Times New Roman" w:eastAsia="宋体" w:cs="Times New Roman"/>
                      <w:b w:val="0"/>
                      <w:bCs w:val="0"/>
                      <w:color w:val="auto"/>
                      <w:sz w:val="21"/>
                      <w:szCs w:val="21"/>
                      <w:highlight w:val="none"/>
                      <w:lang w:val="en-US"/>
                    </w:rPr>
                    <w:t>.</w:t>
                  </w:r>
                  <w:r>
                    <w:rPr>
                      <w:rFonts w:hint="default" w:ascii="Times New Roman" w:hAnsi="Times New Roman" w:cs="Times New Roman"/>
                      <w:b w:val="0"/>
                      <w:bCs w:val="0"/>
                      <w:color w:val="auto"/>
                      <w:sz w:val="21"/>
                      <w:szCs w:val="21"/>
                      <w:highlight w:val="none"/>
                      <w:lang w:val="en-US" w:eastAsia="zh-CN"/>
                    </w:rPr>
                    <w:t>001</w:t>
                  </w:r>
                  <w:r>
                    <w:rPr>
                      <w:rFonts w:hint="default" w:ascii="Times New Roman" w:hAnsi="Times New Roman" w:eastAsia="宋体" w:cs="Times New Roman"/>
                      <w:b w:val="0"/>
                      <w:bCs w:val="0"/>
                      <w:color w:val="auto"/>
                      <w:sz w:val="21"/>
                      <w:szCs w:val="21"/>
                      <w:highlight w:val="none"/>
                      <w:lang w:val="en-US"/>
                    </w:rPr>
                    <w:t>″，北纬42°</w:t>
                  </w:r>
                  <w:r>
                    <w:rPr>
                      <w:rFonts w:hint="default" w:ascii="Times New Roman" w:hAnsi="Times New Roman" w:cs="Times New Roman"/>
                      <w:b w:val="0"/>
                      <w:bCs w:val="0"/>
                      <w:color w:val="auto"/>
                      <w:sz w:val="21"/>
                      <w:szCs w:val="21"/>
                      <w:highlight w:val="none"/>
                      <w:lang w:val="en-US" w:eastAsia="zh-CN"/>
                    </w:rPr>
                    <w:t>19</w:t>
                  </w:r>
                  <w:r>
                    <w:rPr>
                      <w:rFonts w:hint="default" w:ascii="Times New Roman" w:hAnsi="Times New Roman" w:eastAsia="宋体" w:cs="Times New Roman"/>
                      <w:b w:val="0"/>
                      <w:bCs w:val="0"/>
                      <w:color w:val="auto"/>
                      <w:sz w:val="21"/>
                      <w:szCs w:val="21"/>
                      <w:highlight w:val="none"/>
                      <w:lang w:val="en-US"/>
                    </w:rPr>
                    <w:t>′</w:t>
                  </w:r>
                  <w:r>
                    <w:rPr>
                      <w:rFonts w:hint="default" w:ascii="Times New Roman" w:hAnsi="Times New Roman" w:cs="Times New Roman"/>
                      <w:b w:val="0"/>
                      <w:bCs w:val="0"/>
                      <w:color w:val="auto"/>
                      <w:sz w:val="21"/>
                      <w:szCs w:val="21"/>
                      <w:highlight w:val="none"/>
                      <w:lang w:val="en-US" w:eastAsia="zh-CN"/>
                    </w:rPr>
                    <w:t>0.002</w:t>
                  </w:r>
                  <w:r>
                    <w:rPr>
                      <w:rFonts w:hint="default" w:ascii="Times New Roman" w:hAnsi="Times New Roman" w:eastAsia="宋体" w:cs="Times New Roman"/>
                      <w:b w:val="0"/>
                      <w:bCs w:val="0"/>
                      <w:color w:val="auto"/>
                      <w:sz w:val="21"/>
                      <w:szCs w:val="21"/>
                      <w:highlight w:val="none"/>
                      <w:lang w:val="en-US"/>
                    </w:rPr>
                    <w:t>″</w:t>
                  </w:r>
                </w:p>
              </w:tc>
              <w:tc>
                <w:tcPr>
                  <w:tcW w:w="496"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eastAsia"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3.5</w:t>
                  </w:r>
                </w:p>
              </w:tc>
              <w:tc>
                <w:tcPr>
                  <w:tcW w:w="658"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default" w:ascii="Times New Roman" w:hAnsi="宋体" w:eastAsia="宋体" w:cs="宋体"/>
                      <w:color w:val="auto"/>
                      <w:kern w:val="0"/>
                      <w:sz w:val="21"/>
                      <w:szCs w:val="21"/>
                      <w:lang w:val="en-US" w:eastAsia="zh-CN" w:bidi="ar"/>
                    </w:rPr>
                  </w:pPr>
                  <w:r>
                    <w:rPr>
                      <w:rFonts w:hint="default" w:ascii="Times New Roman" w:hAnsi="宋体" w:eastAsia="宋体" w:cs="宋体"/>
                      <w:color w:val="auto"/>
                      <w:kern w:val="0"/>
                      <w:sz w:val="21"/>
                      <w:szCs w:val="21"/>
                      <w:lang w:val="en-US" w:eastAsia="zh-CN" w:bidi="ar"/>
                    </w:rPr>
                    <w:t>0.</w:t>
                  </w:r>
                  <w:r>
                    <w:rPr>
                      <w:rFonts w:hint="eastAsia" w:ascii="Times New Roman" w:cs="宋体"/>
                      <w:color w:val="auto"/>
                      <w:kern w:val="0"/>
                      <w:sz w:val="21"/>
                      <w:szCs w:val="21"/>
                      <w:lang w:val="en-US" w:eastAsia="zh-CN" w:bidi="ar"/>
                    </w:rPr>
                    <w:t>4</w:t>
                  </w:r>
                </w:p>
              </w:tc>
              <w:tc>
                <w:tcPr>
                  <w:tcW w:w="508"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w:t>
                  </w:r>
                  <w:r>
                    <w:rPr>
                      <w:rFonts w:hint="eastAsia" w:ascii="Times New Roman" w:hAnsi="Times New Roman" w:cs="Times New Roman"/>
                      <w:color w:val="auto"/>
                      <w:kern w:val="0"/>
                      <w:sz w:val="21"/>
                      <w:szCs w:val="21"/>
                      <w:lang w:val="en-US" w:eastAsia="zh-CN" w:bidi="ar"/>
                    </w:rPr>
                    <w:t>5</w:t>
                  </w:r>
                </w:p>
              </w:tc>
              <w:tc>
                <w:tcPr>
                  <w:tcW w:w="507"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有组织</w:t>
                  </w:r>
                </w:p>
              </w:tc>
              <w:tc>
                <w:tcPr>
                  <w:tcW w:w="1526" w:type="dxa"/>
                  <w:tcBorders>
                    <w:tl2br w:val="nil"/>
                    <w:tr2bl w:val="nil"/>
                  </w:tcBorders>
                  <w:shd w:val="clear" w:color="auto" w:fill="auto"/>
                  <w:vAlign w:val="center"/>
                </w:tcPr>
                <w:p>
                  <w:pPr>
                    <w:pStyle w:val="21"/>
                    <w:keepNext w:val="0"/>
                    <w:keepLines w:val="0"/>
                    <w:widowControl/>
                    <w:suppressLineNumbers w:val="0"/>
                    <w:autoSpaceDE w:val="0"/>
                    <w:autoSpaceDN w:val="0"/>
                    <w:spacing w:before="0" w:beforeAutospacing="0" w:after="0" w:afterAutospacing="0"/>
                    <w:ind w:left="0" w:right="0" w:firstLine="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《饮食业油烟排放标准（试行）》（</w:t>
                  </w:r>
                  <w:r>
                    <w:rPr>
                      <w:rFonts w:hint="default" w:ascii="Times New Roman" w:hAnsi="Times New Roman" w:eastAsia="宋体" w:cs="Times New Roman"/>
                      <w:color w:val="auto"/>
                      <w:kern w:val="0"/>
                      <w:sz w:val="21"/>
                      <w:szCs w:val="21"/>
                      <w:lang w:val="en-US" w:eastAsia="zh-CN" w:bidi="ar"/>
                    </w:rPr>
                    <w:t>GB18483-2001</w:t>
                  </w:r>
                  <w:r>
                    <w:rPr>
                      <w:rFonts w:hint="eastAsia" w:ascii="宋体" w:hAnsi="宋体" w:eastAsia="宋体" w:cs="宋体"/>
                      <w:color w:val="auto"/>
                      <w:kern w:val="0"/>
                      <w:sz w:val="21"/>
                      <w:szCs w:val="21"/>
                      <w:lang w:val="en-US" w:eastAsia="zh-CN" w:bidi="ar"/>
                    </w:rPr>
                    <w:t>）中相关标准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（2）废气影响分析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1）</w:t>
            </w:r>
            <w:r>
              <w:rPr>
                <w:rFonts w:hint="eastAsia" w:ascii="Times New Roman" w:hAnsi="Times New Roman" w:eastAsia="宋体" w:cs="Times New Roman"/>
                <w:b w:val="0"/>
                <w:bCs w:val="0"/>
                <w:color w:val="auto"/>
                <w:sz w:val="24"/>
                <w:lang w:val="en-US" w:eastAsia="zh-CN"/>
              </w:rPr>
              <w:t>采场凿岩粉尘影响分析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项目采场凿岩钻孔粉尘对周边环境有一定影响。采场凿岩钻孔均采取湿式作业，粉尘影响较小。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2）堆场</w:t>
            </w:r>
            <w:r>
              <w:rPr>
                <w:rFonts w:hint="eastAsia" w:ascii="Times New Roman" w:hAnsi="Times New Roman" w:eastAsia="宋体" w:cs="Times New Roman"/>
                <w:b w:val="0"/>
                <w:bCs w:val="0"/>
                <w:color w:val="auto"/>
                <w:sz w:val="24"/>
                <w:lang w:val="en-US" w:eastAsia="zh-CN"/>
              </w:rPr>
              <w:t>扬尘影响分析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项目开采过程中将产生大量废石，经过综合利用，可有效减少废石的排放量，废石</w:t>
            </w:r>
            <w:r>
              <w:rPr>
                <w:rFonts w:hint="eastAsia" w:cs="Times New Roman"/>
                <w:b w:val="0"/>
                <w:bCs w:val="0"/>
                <w:color w:val="auto"/>
                <w:sz w:val="24"/>
                <w:lang w:val="en-US" w:eastAsia="zh-CN"/>
              </w:rPr>
              <w:t>堆放至</w:t>
            </w:r>
            <w:r>
              <w:rPr>
                <w:rFonts w:hint="eastAsia" w:ascii="Times New Roman" w:hAnsi="Times New Roman" w:eastAsia="宋体" w:cs="Times New Roman"/>
                <w:b w:val="0"/>
                <w:bCs w:val="0"/>
                <w:color w:val="auto"/>
                <w:sz w:val="24"/>
                <w:lang w:val="en-US" w:eastAsia="zh-CN"/>
              </w:rPr>
              <w:t>土场，并采取洒水抑尘措施，大大减少扬尘排放量，对环境影响较小。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3）</w:t>
            </w:r>
            <w:r>
              <w:rPr>
                <w:rFonts w:hint="eastAsia" w:ascii="Times New Roman" w:hAnsi="Times New Roman" w:eastAsia="宋体" w:cs="Times New Roman"/>
                <w:b w:val="0"/>
                <w:bCs w:val="0"/>
                <w:color w:val="auto"/>
                <w:sz w:val="24"/>
                <w:lang w:val="en-US" w:eastAsia="zh-CN"/>
              </w:rPr>
              <w:t xml:space="preserve">运输扬尘影响分析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工程矿石采取汽车运输的方式，在运输过程中会产生扬尘。道路扬尘对环境的影响受多种因素制约，当外界风速较小时，扬尘量的大小主要取决于行驶车辆数量及路面条件，运输扬尘主要的影响范围在道路两侧20m以内。其中汽车行驶速度、汽车载重量、道路清洁程度是影响运输扬尘多少的重要因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汽车运输过程中地面产生扬尘现象较为严重，因此，运输车辆应低速行驶并加盖篷布，减少产尘量。进场道路为泥结碎石路面，应定期清扫路面，适当洒水抑尘，减少运输矿石时的扬尘污染。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采取以上措施后，矿石运输扬尘量能够得到有效控制，对环境空气的影响较小。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4）</w:t>
            </w:r>
            <w:r>
              <w:rPr>
                <w:rFonts w:hint="eastAsia" w:ascii="Times New Roman" w:hAnsi="Times New Roman" w:eastAsia="宋体" w:cs="Times New Roman"/>
                <w:b w:val="0"/>
                <w:bCs w:val="0"/>
                <w:color w:val="auto"/>
                <w:sz w:val="24"/>
                <w:lang w:val="en-US" w:eastAsia="zh-CN"/>
              </w:rPr>
              <w:t>切割、整形粉尘影响分析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val="0"/>
                <w:color w:val="auto"/>
                <w:sz w:val="24"/>
                <w:lang w:val="en-US" w:eastAsia="zh-CN"/>
              </w:rPr>
              <w:t>项目采场切割整形粉尘对周边环境有一定影响。采场切割整形均采取湿式作业，喷砂过程在密闭空间内进行，采取布袋除尘器+15m高排气筒，粉尘影响较小。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5）</w:t>
            </w:r>
            <w:r>
              <w:rPr>
                <w:rFonts w:hint="eastAsia" w:ascii="Times New Roman" w:hAnsi="Times New Roman" w:eastAsia="宋体" w:cs="Times New Roman"/>
                <w:b w:val="0"/>
                <w:bCs w:val="0"/>
                <w:color w:val="auto"/>
                <w:sz w:val="24"/>
                <w:lang w:val="en-US" w:eastAsia="zh-CN"/>
              </w:rPr>
              <w:t xml:space="preserve">食堂油烟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本项目设有食堂，食堂油烟经高效油烟净化器处理后屋顶排放，一般高效油烟净化器去除效率在85%左右，则本项目油烟排放量约</w:t>
            </w:r>
            <w:r>
              <w:rPr>
                <w:rFonts w:hint="eastAsia" w:cs="Times New Roman"/>
                <w:b w:val="0"/>
                <w:bCs w:val="0"/>
                <w:color w:val="auto"/>
                <w:sz w:val="24"/>
                <w:lang w:val="en-US" w:eastAsia="zh-CN"/>
              </w:rPr>
              <w:t>0.7</w:t>
            </w:r>
            <w:r>
              <w:rPr>
                <w:rFonts w:hint="eastAsia" w:ascii="Times New Roman" w:hAnsi="Times New Roman" w:eastAsia="宋体" w:cs="Times New Roman"/>
                <w:b w:val="0"/>
                <w:bCs w:val="0"/>
                <w:color w:val="auto"/>
                <w:sz w:val="24"/>
                <w:lang w:val="en-US" w:eastAsia="zh-CN"/>
              </w:rPr>
              <w:t>kg/a，油烟排放浓度约为</w:t>
            </w:r>
            <w:r>
              <w:rPr>
                <w:rFonts w:hint="eastAsia" w:cs="Times New Roman"/>
                <w:b w:val="0"/>
                <w:bCs w:val="0"/>
                <w:color w:val="auto"/>
                <w:sz w:val="24"/>
                <w:lang w:val="en-US" w:eastAsia="zh-CN"/>
              </w:rPr>
              <w:t>0.3</w:t>
            </w:r>
            <w:r>
              <w:rPr>
                <w:rFonts w:hint="eastAsia" w:ascii="Times New Roman" w:hAnsi="Times New Roman" w:eastAsia="宋体" w:cs="Times New Roman"/>
                <w:b w:val="0"/>
                <w:bCs w:val="0"/>
                <w:color w:val="auto"/>
                <w:sz w:val="24"/>
                <w:lang w:val="en-US" w:eastAsia="zh-CN"/>
              </w:rPr>
              <w:t>mg/m</w:t>
            </w:r>
            <w:r>
              <w:rPr>
                <w:rFonts w:hint="eastAsia" w:ascii="Times New Roman" w:hAnsi="Times New Roman" w:eastAsia="宋体" w:cs="Times New Roman"/>
                <w:b w:val="0"/>
                <w:bCs w:val="0"/>
                <w:color w:val="auto"/>
                <w:sz w:val="24"/>
                <w:vertAlign w:val="superscript"/>
                <w:lang w:val="en-US" w:eastAsia="zh-CN"/>
              </w:rPr>
              <w:t>3</w:t>
            </w:r>
            <w:r>
              <w:rPr>
                <w:rFonts w:hint="eastAsia" w:ascii="Times New Roman" w:hAnsi="Times New Roman" w:eastAsia="宋体" w:cs="Times New Roman"/>
                <w:b w:val="0"/>
                <w:bCs w:val="0"/>
                <w:color w:val="auto"/>
                <w:sz w:val="24"/>
                <w:lang w:val="en-US" w:eastAsia="zh-CN"/>
              </w:rPr>
              <w:t>。食堂油烟经油烟净化器净化后对环境的影响较小。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bCs/>
                <w:color w:val="auto"/>
                <w:sz w:val="24"/>
                <w:lang w:val="en-US" w:eastAsia="zh-CN"/>
              </w:rPr>
            </w:pPr>
            <w:r>
              <w:rPr>
                <w:rFonts w:hint="eastAsia" w:cs="Times New Roman"/>
                <w:b w:val="0"/>
                <w:bCs w:val="0"/>
                <w:color w:val="auto"/>
                <w:sz w:val="24"/>
                <w:lang w:val="en-US" w:eastAsia="zh-CN"/>
              </w:rPr>
              <w:t>（3）</w:t>
            </w:r>
            <w:r>
              <w:rPr>
                <w:rFonts w:hint="eastAsia" w:ascii="Times New Roman" w:hAnsi="Times New Roman" w:eastAsia="宋体" w:cs="Times New Roman"/>
                <w:b w:val="0"/>
                <w:bCs w:val="0"/>
                <w:color w:val="auto"/>
                <w:sz w:val="24"/>
                <w:lang w:val="en-US" w:eastAsia="zh-CN"/>
              </w:rPr>
              <w:t>废气监测计划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项目在运营期存在大气污染物排放问题，会对局部环境造成潜在的影响。为把建设项目对周围环境的不利影响减到最小，除选择适当的工艺外，还必须加强日常监测和严格管理，制定环境监测计划，才能达到预期目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w:t>
            </w:r>
            <w:r>
              <w:rPr>
                <w:rFonts w:hint="eastAsia" w:ascii="Times New Roman" w:hAnsi="Times New Roman" w:eastAsia="宋体" w:cs="Times New Roman"/>
                <w:b w:val="0"/>
                <w:bCs w:val="0"/>
                <w:color w:val="auto"/>
                <w:sz w:val="24"/>
                <w:lang w:val="en-US" w:eastAsia="zh-CN"/>
              </w:rPr>
              <w:t>）监测目的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环境监测是环境保护中最重要的环节和技术支持，其目的在于：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①</w:t>
            </w:r>
            <w:r>
              <w:rPr>
                <w:rFonts w:hint="eastAsia" w:ascii="Times New Roman" w:hAnsi="Times New Roman" w:eastAsia="宋体" w:cs="Times New Roman"/>
                <w:b w:val="0"/>
                <w:bCs w:val="0"/>
                <w:color w:val="auto"/>
                <w:sz w:val="24"/>
                <w:lang w:val="en-US" w:eastAsia="zh-CN"/>
              </w:rPr>
              <w:t>检查、跟踪项目投产后运行过程中废气治理措施的实施情况和效果，掌握环境质量的变化动态；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w:t>
            </w:r>
            <w:r>
              <w:rPr>
                <w:rFonts w:hint="eastAsia" w:ascii="Times New Roman" w:hAnsi="Times New Roman" w:eastAsia="宋体" w:cs="Times New Roman"/>
                <w:b w:val="0"/>
                <w:bCs w:val="0"/>
                <w:color w:val="auto"/>
                <w:sz w:val="24"/>
                <w:lang w:val="en-US" w:eastAsia="zh-CN"/>
              </w:rPr>
              <w:t>了解项目环境工程设施的运行状况，确保设施的正常运行；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③</w:t>
            </w:r>
            <w:r>
              <w:rPr>
                <w:rFonts w:hint="eastAsia" w:ascii="Times New Roman" w:hAnsi="Times New Roman" w:eastAsia="宋体" w:cs="Times New Roman"/>
                <w:b w:val="0"/>
                <w:bCs w:val="0"/>
                <w:color w:val="auto"/>
                <w:sz w:val="24"/>
                <w:lang w:val="en-US" w:eastAsia="zh-CN"/>
              </w:rPr>
              <w:t>了解项目有关的环境质量监控实施情况；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④</w:t>
            </w:r>
            <w:r>
              <w:rPr>
                <w:rFonts w:hint="eastAsia" w:ascii="Times New Roman" w:hAnsi="Times New Roman" w:eastAsia="宋体" w:cs="Times New Roman"/>
                <w:b w:val="0"/>
                <w:bCs w:val="0"/>
                <w:color w:val="auto"/>
                <w:sz w:val="24"/>
                <w:lang w:val="en-US" w:eastAsia="zh-CN"/>
              </w:rPr>
              <w:t>为改善项目周围区域环境质量提供技术支持。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w:t>
            </w:r>
            <w:r>
              <w:rPr>
                <w:rFonts w:hint="eastAsia" w:ascii="Times New Roman" w:hAnsi="Times New Roman" w:eastAsia="宋体" w:cs="Times New Roman"/>
                <w:b w:val="0"/>
                <w:bCs w:val="0"/>
                <w:color w:val="auto"/>
                <w:sz w:val="24"/>
                <w:lang w:val="en-US" w:eastAsia="zh-CN"/>
              </w:rPr>
              <w:t>）监测内容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对项目运营过程中产生的污染物进行监测，监测点的选取、监测项目确定均按《排污单位自行监测技术指南 总则》（</w:t>
            </w:r>
            <w:r>
              <w:rPr>
                <w:rFonts w:hint="default" w:ascii="Times New Roman" w:hAnsi="Times New Roman" w:eastAsia="宋体" w:cs="Times New Roman"/>
                <w:b w:val="0"/>
                <w:bCs w:val="0"/>
                <w:color w:val="auto"/>
                <w:sz w:val="24"/>
                <w:lang w:val="en-US" w:eastAsia="zh-CN"/>
              </w:rPr>
              <w:t>HJ819-2017</w:t>
            </w:r>
            <w:r>
              <w:rPr>
                <w:rFonts w:hint="eastAsia" w:ascii="Times New Roman" w:hAnsi="Times New Roman" w:eastAsia="宋体" w:cs="Times New Roman"/>
                <w:b w:val="0"/>
                <w:bCs w:val="0"/>
                <w:color w:val="auto"/>
                <w:sz w:val="24"/>
                <w:lang w:val="en-US" w:eastAsia="zh-CN"/>
              </w:rPr>
              <w:t>）执行。建设单位现在不具备单独进行环境监测的能力，委托有资质的环境监测机构进行监测工作。本项目食堂油烟经油烟净化器处理后屋顶排放，食堂油烟属于生活源，环评建议无需进行运营期例行监测。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依据《排污单位自行监测技术指南 总则》（</w:t>
            </w:r>
            <w:r>
              <w:rPr>
                <w:rFonts w:hint="default" w:ascii="Times New Roman" w:hAnsi="Times New Roman" w:eastAsia="宋体" w:cs="Times New Roman"/>
                <w:b w:val="0"/>
                <w:bCs w:val="0"/>
                <w:color w:val="auto"/>
                <w:sz w:val="24"/>
                <w:lang w:val="en-US" w:eastAsia="zh-CN"/>
              </w:rPr>
              <w:t>HJ819-2017</w:t>
            </w:r>
            <w:r>
              <w:rPr>
                <w:rFonts w:hint="eastAsia" w:ascii="Times New Roman" w:hAnsi="Times New Roman" w:eastAsia="宋体" w:cs="Times New Roman"/>
                <w:b w:val="0"/>
                <w:bCs w:val="0"/>
                <w:color w:val="auto"/>
                <w:sz w:val="24"/>
                <w:lang w:val="en-US" w:eastAsia="zh-CN"/>
              </w:rPr>
              <w:t>）、《排污许可证申请与核发技术规范 总则》（</w:t>
            </w:r>
            <w:r>
              <w:rPr>
                <w:rFonts w:hint="default" w:ascii="Times New Roman" w:hAnsi="Times New Roman" w:eastAsia="宋体" w:cs="Times New Roman"/>
                <w:b w:val="0"/>
                <w:bCs w:val="0"/>
                <w:color w:val="auto"/>
                <w:sz w:val="24"/>
                <w:lang w:val="en-US" w:eastAsia="zh-CN"/>
              </w:rPr>
              <w:t>HJ942-2018</w:t>
            </w:r>
            <w:r>
              <w:rPr>
                <w:rFonts w:hint="eastAsia" w:ascii="Times New Roman" w:hAnsi="Times New Roman" w:eastAsia="宋体" w:cs="Times New Roman"/>
                <w:b w:val="0"/>
                <w:bCs w:val="0"/>
                <w:color w:val="auto"/>
                <w:sz w:val="24"/>
                <w:lang w:val="en-US" w:eastAsia="zh-CN"/>
              </w:rPr>
              <w:t>）、《排污许可证申请与核发技术规范陶瓷砖瓦工业》（HJ954</w:t>
            </w:r>
            <w:r>
              <w:rPr>
                <w:rFonts w:hint="eastAsia"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2018）和项目内容、企业实际情况，制定相应的监测方案。废气监测计划具体如下表所示。</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eastAsia" w:ascii="Times New Roman" w:hAnsi="Times New Roman" w:eastAsia="宋体" w:cs="Times New Roman"/>
                <w:b/>
                <w:bCs/>
                <w:color w:val="auto"/>
                <w:sz w:val="22"/>
                <w:szCs w:val="22"/>
                <w:lang w:val="en-US" w:eastAsia="zh-CN"/>
              </w:rPr>
              <w:t>表</w:t>
            </w:r>
            <w:r>
              <w:rPr>
                <w:rFonts w:hint="default" w:ascii="Times New Roman" w:hAnsi="Times New Roman" w:eastAsia="宋体" w:cs="Times New Roman"/>
                <w:b/>
                <w:bCs/>
                <w:color w:val="auto"/>
                <w:sz w:val="22"/>
                <w:szCs w:val="22"/>
                <w:lang w:val="en-US" w:eastAsia="zh-CN"/>
              </w:rPr>
              <w:t>4-</w:t>
            </w:r>
            <w:r>
              <w:rPr>
                <w:rFonts w:hint="eastAsia" w:ascii="Times New Roman" w:hAnsi="Times New Roman" w:eastAsia="宋体" w:cs="Times New Roman"/>
                <w:b/>
                <w:bCs/>
                <w:color w:val="auto"/>
                <w:sz w:val="22"/>
                <w:szCs w:val="22"/>
                <w:lang w:val="en-US" w:eastAsia="zh-CN"/>
              </w:rPr>
              <w:t>9  运营期废气监测计划表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2"/>
              <w:gridCol w:w="1243"/>
              <w:gridCol w:w="1144"/>
              <w:gridCol w:w="1274"/>
              <w:gridCol w:w="1161"/>
              <w:gridCol w:w="27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PrEx>
              <w:trPr>
                <w:trHeight w:val="467" w:hRule="atLeast"/>
                <w:jc w:val="center"/>
              </w:trPr>
              <w:tc>
                <w:tcPr>
                  <w:tcW w:w="576"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监测点</w:t>
                  </w:r>
                </w:p>
              </w:tc>
              <w:tc>
                <w:tcPr>
                  <w:tcW w:w="729"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产污节点</w:t>
                  </w:r>
                </w:p>
              </w:tc>
              <w:tc>
                <w:tcPr>
                  <w:tcW w:w="671"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监测频次</w:t>
                  </w:r>
                </w:p>
              </w:tc>
              <w:tc>
                <w:tcPr>
                  <w:tcW w:w="747"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
                    </w:rPr>
                  </w:pPr>
                  <w:r>
                    <w:rPr>
                      <w:rFonts w:hint="eastAsia" w:ascii="宋体" w:hAnsi="宋体" w:cs="宋体"/>
                      <w:color w:val="auto"/>
                      <w:kern w:val="2"/>
                      <w:sz w:val="21"/>
                      <w:szCs w:val="21"/>
                      <w:lang w:val="en-US" w:eastAsia="zh-CN" w:bidi="ar"/>
                    </w:rPr>
                    <w:t>监测方法</w:t>
                  </w:r>
                </w:p>
              </w:tc>
              <w:tc>
                <w:tcPr>
                  <w:tcW w:w="681"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监测项目</w:t>
                  </w:r>
                </w:p>
              </w:tc>
              <w:tc>
                <w:tcPr>
                  <w:tcW w:w="1595"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1" w:hRule="atLeast"/>
                <w:jc w:val="center"/>
              </w:trPr>
              <w:tc>
                <w:tcPr>
                  <w:tcW w:w="576"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w:t>
                  </w:r>
                </w:p>
              </w:tc>
              <w:tc>
                <w:tcPr>
                  <w:tcW w:w="729"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堆场、装卸、</w:t>
                  </w:r>
                  <w:r>
                    <w:rPr>
                      <w:rFonts w:hint="eastAsia" w:ascii="宋体" w:hAnsi="宋体" w:cs="宋体"/>
                      <w:color w:val="auto"/>
                      <w:kern w:val="2"/>
                      <w:sz w:val="21"/>
                      <w:szCs w:val="21"/>
                      <w:lang w:val="en-US" w:eastAsia="zh-CN" w:bidi="ar"/>
                    </w:rPr>
                    <w:t>开采</w:t>
                  </w:r>
                  <w:r>
                    <w:rPr>
                      <w:rFonts w:hint="eastAsia" w:ascii="宋体" w:hAnsi="宋体" w:eastAsia="宋体" w:cs="宋体"/>
                      <w:color w:val="auto"/>
                      <w:kern w:val="2"/>
                      <w:sz w:val="21"/>
                      <w:szCs w:val="21"/>
                      <w:lang w:val="en-US" w:eastAsia="zh-CN" w:bidi="ar"/>
                    </w:rPr>
                    <w:t>粉尘</w:t>
                  </w:r>
                </w:p>
              </w:tc>
              <w:tc>
                <w:tcPr>
                  <w:tcW w:w="671"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1次</w:t>
                  </w:r>
                  <w:r>
                    <w:rPr>
                      <w:rFonts w:hint="eastAsia" w:ascii="宋体" w:hAnsi="宋体" w:eastAsia="宋体" w:cs="宋体"/>
                      <w:color w:val="auto"/>
                      <w:kern w:val="2"/>
                      <w:sz w:val="21"/>
                      <w:szCs w:val="21"/>
                      <w:lang w:val="en-US" w:eastAsia="zh-CN" w:bidi="ar"/>
                    </w:rPr>
                    <w:t>/</w:t>
                  </w:r>
                  <w:r>
                    <w:rPr>
                      <w:rFonts w:hint="eastAsia" w:ascii="宋体" w:hAnsi="宋体" w:cs="宋体"/>
                      <w:color w:val="auto"/>
                      <w:kern w:val="2"/>
                      <w:sz w:val="21"/>
                      <w:szCs w:val="21"/>
                      <w:lang w:val="en-US" w:eastAsia="zh-CN" w:bidi="ar"/>
                    </w:rPr>
                    <w:t>年</w:t>
                  </w:r>
                </w:p>
              </w:tc>
              <w:tc>
                <w:tcPr>
                  <w:tcW w:w="747" w:type="pct"/>
                  <w:vMerge w:val="restar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
                    </w:rPr>
                  </w:pPr>
                  <w:r>
                    <w:rPr>
                      <w:rFonts w:hint="eastAsia" w:cs="Times New Roman"/>
                      <w:color w:val="auto"/>
                      <w:szCs w:val="21"/>
                      <w:lang w:val="en-US" w:eastAsia="zh-CN"/>
                    </w:rPr>
                    <w:t>委托监测单位进行监测</w:t>
                  </w:r>
                </w:p>
              </w:tc>
              <w:tc>
                <w:tcPr>
                  <w:tcW w:w="681"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颗粒物</w:t>
                  </w:r>
                </w:p>
              </w:tc>
              <w:tc>
                <w:tcPr>
                  <w:tcW w:w="1595" w:type="pct"/>
                  <w:vMerge w:val="restar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《大气污染物综合排放标准》（</w:t>
                  </w:r>
                  <w:r>
                    <w:rPr>
                      <w:rFonts w:hint="default" w:ascii="Times New Roman" w:hAnsi="Times New Roman" w:eastAsia="宋体" w:cs="Times New Roman"/>
                      <w:color w:val="auto"/>
                      <w:kern w:val="2"/>
                      <w:sz w:val="21"/>
                      <w:szCs w:val="21"/>
                      <w:lang w:val="en-US" w:eastAsia="zh-CN" w:bidi="ar"/>
                    </w:rPr>
                    <w:t>GB16297-1996</w:t>
                  </w:r>
                  <w:r>
                    <w:rPr>
                      <w:rFonts w:hint="eastAsia" w:ascii="宋体" w:hAnsi="宋体" w:eastAsia="宋体" w:cs="宋体"/>
                      <w:color w:val="auto"/>
                      <w:kern w:val="2"/>
                      <w:sz w:val="21"/>
                      <w:szCs w:val="21"/>
                      <w:lang w:val="en-US" w:eastAsia="zh-CN" w:bidi="ar"/>
                    </w:rPr>
                    <w:t>）中相关标准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8" w:hRule="atLeast"/>
                <w:jc w:val="center"/>
              </w:trPr>
              <w:tc>
                <w:tcPr>
                  <w:tcW w:w="576"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喷砂废气排</w:t>
                  </w:r>
                  <w:r>
                    <w:rPr>
                      <w:rFonts w:hint="default" w:ascii="Times New Roman" w:hAnsi="Times New Roman" w:eastAsia="宋体" w:cs="Times New Roman"/>
                      <w:color w:val="auto"/>
                      <w:kern w:val="2"/>
                      <w:sz w:val="21"/>
                      <w:szCs w:val="21"/>
                      <w:lang w:val="en-US" w:eastAsia="zh-CN" w:bidi="ar"/>
                    </w:rPr>
                    <w:t>放口</w:t>
                  </w:r>
                  <w:r>
                    <w:rPr>
                      <w:rFonts w:hint="default" w:ascii="Times New Roman" w:hAnsi="Times New Roman" w:cs="Times New Roman"/>
                      <w:color w:val="auto"/>
                      <w:kern w:val="2"/>
                      <w:sz w:val="21"/>
                      <w:szCs w:val="21"/>
                      <w:lang w:val="en-US" w:eastAsia="zh-CN" w:bidi="ar"/>
                    </w:rPr>
                    <w:t>1#</w:t>
                  </w:r>
                </w:p>
              </w:tc>
              <w:tc>
                <w:tcPr>
                  <w:tcW w:w="729"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喷砂</w:t>
                  </w:r>
                </w:p>
              </w:tc>
              <w:tc>
                <w:tcPr>
                  <w:tcW w:w="671"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1次</w:t>
                  </w:r>
                  <w:r>
                    <w:rPr>
                      <w:rFonts w:hint="eastAsia" w:ascii="宋体" w:hAnsi="宋体" w:eastAsia="宋体" w:cs="宋体"/>
                      <w:color w:val="auto"/>
                      <w:kern w:val="2"/>
                      <w:sz w:val="21"/>
                      <w:szCs w:val="21"/>
                      <w:lang w:val="en-US" w:eastAsia="zh-CN" w:bidi="ar"/>
                    </w:rPr>
                    <w:t>/年</w:t>
                  </w:r>
                </w:p>
              </w:tc>
              <w:tc>
                <w:tcPr>
                  <w:tcW w:w="747" w:type="pct"/>
                  <w:vMerge w:val="continue"/>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
                    </w:rPr>
                  </w:pPr>
                </w:p>
              </w:tc>
              <w:tc>
                <w:tcPr>
                  <w:tcW w:w="681" w:type="pct"/>
                  <w:tcBorders>
                    <w:tl2br w:val="nil"/>
                    <w:tr2bl w:val="nil"/>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颗粒物</w:t>
                  </w:r>
                </w:p>
              </w:tc>
              <w:tc>
                <w:tcPr>
                  <w:tcW w:w="1595" w:type="pct"/>
                  <w:vMerge w:val="continue"/>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lang w:val="en-US" w:eastAsia="zh-CN" w:bidi="ar"/>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2、水环境影响分析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（1）</w:t>
            </w:r>
            <w:r>
              <w:rPr>
                <w:rFonts w:hint="eastAsia" w:ascii="Times New Roman" w:hAnsi="Times New Roman" w:eastAsia="宋体" w:cs="Times New Roman"/>
                <w:b w:val="0"/>
                <w:bCs w:val="0"/>
                <w:color w:val="auto"/>
                <w:sz w:val="24"/>
                <w:lang w:val="en-US" w:eastAsia="zh-CN"/>
              </w:rPr>
              <w:t>生产废水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本项目</w:t>
            </w:r>
            <w:r>
              <w:rPr>
                <w:rFonts w:hint="eastAsia" w:cs="Times New Roman"/>
                <w:b w:val="0"/>
                <w:bCs w:val="0"/>
                <w:color w:val="auto"/>
                <w:sz w:val="24"/>
                <w:lang w:val="en-US" w:eastAsia="zh-CN"/>
              </w:rPr>
              <w:t>运营</w:t>
            </w:r>
            <w:r>
              <w:rPr>
                <w:rFonts w:hint="default" w:ascii="Times New Roman" w:hAnsi="Times New Roman" w:eastAsia="宋体" w:cs="Times New Roman"/>
                <w:b w:val="0"/>
                <w:bCs w:val="0"/>
                <w:color w:val="auto"/>
                <w:sz w:val="24"/>
                <w:lang w:val="en-US" w:eastAsia="zh-CN"/>
              </w:rPr>
              <w:t>过程中切割、打磨等工序采用湿式作业、成品冲洗，废水中主要污染物为COD、石油类、SS，生产的废水</w:t>
            </w:r>
            <w:r>
              <w:rPr>
                <w:rFonts w:hint="eastAsia" w:cs="Times New Roman"/>
                <w:b w:val="0"/>
                <w:bCs w:val="0"/>
                <w:color w:val="auto"/>
                <w:sz w:val="24"/>
                <w:lang w:val="en-US" w:eastAsia="zh-CN"/>
              </w:rPr>
              <w:t>收集排除沉淀池中</w:t>
            </w:r>
            <w:r>
              <w:rPr>
                <w:rFonts w:hint="default" w:ascii="Times New Roman" w:hAnsi="Times New Roman" w:eastAsia="宋体" w:cs="Times New Roman"/>
                <w:b w:val="0"/>
                <w:bCs w:val="0"/>
                <w:color w:val="auto"/>
                <w:sz w:val="24"/>
                <w:lang w:val="en-US" w:eastAsia="zh-CN"/>
              </w:rPr>
              <w:t>，经循</w:t>
            </w:r>
            <w:r>
              <w:rPr>
                <w:rFonts w:hint="eastAsia" w:cs="Times New Roman"/>
                <w:b w:val="0"/>
                <w:bCs w:val="0"/>
                <w:color w:val="auto"/>
                <w:sz w:val="24"/>
                <w:lang w:val="en-US" w:eastAsia="zh-CN"/>
              </w:rPr>
              <w:t>沉淀池</w:t>
            </w:r>
            <w:r>
              <w:rPr>
                <w:rFonts w:hint="default" w:ascii="Times New Roman" w:hAnsi="Times New Roman" w:eastAsia="宋体" w:cs="Times New Roman"/>
                <w:b w:val="0"/>
                <w:bCs w:val="0"/>
                <w:color w:val="auto"/>
                <w:sz w:val="24"/>
                <w:lang w:val="en-US" w:eastAsia="zh-CN"/>
              </w:rPr>
              <w:t>处理后，回用于生产车间，不外排，</w:t>
            </w:r>
            <w:r>
              <w:rPr>
                <w:rFonts w:hint="eastAsia" w:cs="Times New Roman"/>
                <w:b w:val="0"/>
                <w:bCs w:val="0"/>
                <w:color w:val="auto"/>
                <w:sz w:val="24"/>
                <w:lang w:val="en-US" w:eastAsia="zh-CN"/>
              </w:rPr>
              <w:t>沉淀池</w:t>
            </w:r>
            <w:r>
              <w:rPr>
                <w:rFonts w:hint="default" w:ascii="Times New Roman" w:hAnsi="Times New Roman" w:eastAsia="宋体" w:cs="Times New Roman"/>
                <w:b w:val="0"/>
                <w:bCs w:val="0"/>
                <w:color w:val="auto"/>
                <w:sz w:val="24"/>
                <w:lang w:val="en-US" w:eastAsia="zh-CN"/>
              </w:rPr>
              <w:t>中的泥沙定期清掏，为一般工业固废</w:t>
            </w:r>
            <w:r>
              <w:rPr>
                <w:rFonts w:hint="eastAsia" w:ascii="Times New Roman" w:hAnsi="Times New Roman" w:eastAsia="宋体" w:cs="Times New Roman"/>
                <w:b w:val="0"/>
                <w:bCs w:val="0"/>
                <w:color w:val="auto"/>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（2）</w:t>
            </w:r>
            <w:r>
              <w:rPr>
                <w:rFonts w:hint="eastAsia" w:ascii="Times New Roman" w:hAnsi="Times New Roman" w:eastAsia="宋体" w:cs="Times New Roman"/>
                <w:b w:val="0"/>
                <w:bCs w:val="0"/>
                <w:color w:val="auto"/>
                <w:sz w:val="24"/>
                <w:lang w:val="en-US" w:eastAsia="zh-CN"/>
              </w:rPr>
              <w:t>生活污水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color w:val="auto"/>
                <w:sz w:val="24"/>
                <w:szCs w:val="32"/>
                <w:highlight w:val="none"/>
                <w:lang w:val="en-US" w:eastAsia="zh-CN"/>
              </w:rPr>
            </w:pPr>
            <w:r>
              <w:rPr>
                <w:rFonts w:hint="eastAsia" w:ascii="Times New Roman" w:hAnsi="Times New Roman" w:eastAsia="宋体" w:cs="Times New Roman"/>
                <w:b w:val="0"/>
                <w:bCs w:val="0"/>
                <w:color w:val="auto"/>
                <w:sz w:val="24"/>
                <w:lang w:val="en-US" w:eastAsia="zh-CN"/>
              </w:rPr>
              <w:t>本</w:t>
            </w:r>
            <w:r>
              <w:rPr>
                <w:rFonts w:hint="default" w:ascii="Times New Roman" w:hAnsi="Times New Roman" w:eastAsia="宋体" w:cs="Times New Roman"/>
                <w:b w:val="0"/>
                <w:bCs w:val="0"/>
                <w:color w:val="auto"/>
                <w:sz w:val="24"/>
                <w:lang w:val="en-US" w:eastAsia="zh-CN"/>
              </w:rPr>
              <w:t>项目职工数量</w:t>
            </w:r>
            <w:r>
              <w:rPr>
                <w:rFonts w:hint="default" w:ascii="Times New Roman" w:hAnsi="Times New Roman" w:cs="Times New Roman"/>
                <w:b w:val="0"/>
                <w:bCs w:val="0"/>
                <w:color w:val="auto"/>
                <w:sz w:val="24"/>
                <w:lang w:val="en-US" w:eastAsia="zh-CN"/>
              </w:rPr>
              <w:t>35</w:t>
            </w:r>
            <w:r>
              <w:rPr>
                <w:rFonts w:hint="default" w:ascii="Times New Roman" w:hAnsi="Times New Roman" w:eastAsia="宋体" w:cs="Times New Roman"/>
                <w:b w:val="0"/>
                <w:bCs w:val="0"/>
                <w:color w:val="auto"/>
                <w:sz w:val="24"/>
                <w:lang w:val="en-US" w:eastAsia="zh-CN"/>
              </w:rPr>
              <w:t>人，年工作</w:t>
            </w:r>
            <w:r>
              <w:rPr>
                <w:rFonts w:hint="default" w:ascii="Times New Roman" w:hAnsi="Times New Roman" w:cs="Times New Roman"/>
                <w:b w:val="0"/>
                <w:bCs w:val="0"/>
                <w:color w:val="auto"/>
                <w:sz w:val="24"/>
                <w:lang w:val="en-US" w:eastAsia="zh-CN"/>
              </w:rPr>
              <w:t>240</w:t>
            </w:r>
            <w:r>
              <w:rPr>
                <w:rFonts w:hint="default" w:ascii="Times New Roman" w:hAnsi="Times New Roman" w:eastAsia="宋体" w:cs="Times New Roman"/>
                <w:b w:val="0"/>
                <w:bCs w:val="0"/>
                <w:color w:val="auto"/>
                <w:sz w:val="24"/>
                <w:lang w:val="en-US" w:eastAsia="zh-CN"/>
              </w:rPr>
              <w:t>天。按每人每天</w:t>
            </w:r>
            <w:r>
              <w:rPr>
                <w:rFonts w:hint="default" w:ascii="Times New Roman" w:hAnsi="Times New Roman" w:cs="Times New Roman"/>
                <w:b w:val="0"/>
                <w:bCs w:val="0"/>
                <w:color w:val="auto"/>
                <w:sz w:val="24"/>
                <w:lang w:val="en-US" w:eastAsia="zh-CN"/>
              </w:rPr>
              <w:t>8</w:t>
            </w:r>
            <w:r>
              <w:rPr>
                <w:rFonts w:hint="default" w:ascii="Times New Roman" w:hAnsi="Times New Roman" w:eastAsia="宋体" w:cs="Times New Roman"/>
                <w:b w:val="0"/>
                <w:bCs w:val="0"/>
                <w:color w:val="auto"/>
                <w:sz w:val="24"/>
                <w:lang w:val="en-US" w:eastAsia="zh-CN"/>
              </w:rPr>
              <w:t>0L计算，</w:t>
            </w:r>
            <w:r>
              <w:rPr>
                <w:rFonts w:hint="default" w:ascii="Times New Roman" w:hAnsi="Times New Roman" w:cs="Times New Roman"/>
                <w:color w:val="auto"/>
                <w:sz w:val="24"/>
                <w:szCs w:val="32"/>
                <w:highlight w:val="none"/>
                <w:lang w:val="en-US" w:eastAsia="zh-CN"/>
              </w:rPr>
              <w:t>则生活用水总量为2.8m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lang w:val="en-US" w:eastAsia="zh-CN"/>
              </w:rPr>
              <w:t>/d（672m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lang w:val="en-US" w:eastAsia="zh-CN"/>
              </w:rPr>
              <w:t>/a）</w:t>
            </w:r>
            <w:r>
              <w:rPr>
                <w:rFonts w:hint="default" w:ascii="Times New Roman" w:hAnsi="Times New Roman" w:eastAsia="宋体" w:cs="Times New Roman"/>
                <w:b w:val="0"/>
                <w:bCs w:val="0"/>
                <w:color w:val="auto"/>
                <w:sz w:val="24"/>
                <w:lang w:val="en-US" w:eastAsia="zh-CN"/>
              </w:rPr>
              <w:t>，按80%排污系数计算，</w:t>
            </w:r>
            <w:r>
              <w:rPr>
                <w:rFonts w:hint="default" w:ascii="Times New Roman" w:hAnsi="Times New Roman" w:cs="Times New Roman"/>
                <w:color w:val="auto"/>
                <w:sz w:val="24"/>
                <w:szCs w:val="32"/>
                <w:highlight w:val="none"/>
                <w:lang w:val="en-US" w:eastAsia="zh-CN"/>
              </w:rPr>
              <w:t>则排水量为2.24m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lang w:val="en-US" w:eastAsia="zh-CN"/>
              </w:rPr>
              <w:t>/d（537.6m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lang w:val="en-US" w:eastAsia="zh-CN"/>
              </w:rPr>
              <w:t>/a）</w:t>
            </w:r>
            <w:r>
              <w:rPr>
                <w:rFonts w:hint="default" w:ascii="Times New Roman" w:hAnsi="Times New Roman" w:eastAsia="宋体" w:cs="Times New Roman"/>
                <w:b w:val="0"/>
                <w:bCs w:val="0"/>
                <w:color w:val="auto"/>
                <w:sz w:val="24"/>
                <w:lang w:val="en-US" w:eastAsia="zh-CN"/>
              </w:rPr>
              <w:t>。</w:t>
            </w:r>
            <w:r>
              <w:rPr>
                <w:rFonts w:hint="default" w:ascii="Times New Roman" w:hAnsi="Times New Roman" w:cs="Times New Roman"/>
                <w:color w:val="auto"/>
                <w:sz w:val="24"/>
                <w:szCs w:val="32"/>
                <w:highlight w:val="none"/>
                <w:lang w:val="en-US" w:eastAsia="zh-CN"/>
              </w:rPr>
              <w:t>项目产生的生活污水经</w:t>
            </w:r>
            <w:r>
              <w:rPr>
                <w:rFonts w:hint="eastAsia" w:cs="Times New Roman"/>
                <w:color w:val="auto"/>
                <w:sz w:val="24"/>
                <w:szCs w:val="32"/>
                <w:highlight w:val="none"/>
                <w:lang w:val="en-US" w:eastAsia="zh-CN"/>
              </w:rPr>
              <w:t>地埋式设施</w:t>
            </w:r>
            <w:r>
              <w:rPr>
                <w:rFonts w:hint="default" w:ascii="Times New Roman" w:hAnsi="Times New Roman" w:cs="Times New Roman"/>
                <w:color w:val="auto"/>
                <w:sz w:val="24"/>
                <w:szCs w:val="32"/>
                <w:highlight w:val="none"/>
                <w:lang w:val="en-US" w:eastAsia="zh-CN"/>
              </w:rPr>
              <w:t>处理后的污水可以同时满足《农村生活污水处理排放标准》（DB654575-2019）</w:t>
            </w:r>
            <w:r>
              <w:rPr>
                <w:rFonts w:hint="eastAsia" w:cs="Times New Roman"/>
                <w:color w:val="auto"/>
                <w:sz w:val="24"/>
                <w:szCs w:val="32"/>
                <w:highlight w:val="none"/>
                <w:lang w:val="en-US" w:eastAsia="zh-CN"/>
              </w:rPr>
              <w:t>C</w:t>
            </w:r>
            <w:r>
              <w:rPr>
                <w:rFonts w:hint="default" w:ascii="Times New Roman" w:hAnsi="Times New Roman" w:cs="Times New Roman"/>
                <w:color w:val="auto"/>
                <w:sz w:val="24"/>
                <w:szCs w:val="32"/>
                <w:highlight w:val="none"/>
                <w:lang w:val="en-US" w:eastAsia="zh-CN"/>
              </w:rPr>
              <w:t>级</w:t>
            </w:r>
            <w:r>
              <w:rPr>
                <w:rFonts w:hint="eastAsia" w:cs="Times New Roman"/>
                <w:color w:val="auto"/>
                <w:sz w:val="24"/>
                <w:szCs w:val="32"/>
                <w:highlight w:val="none"/>
                <w:lang w:val="en-US" w:eastAsia="zh-CN"/>
              </w:rPr>
              <w:t>标准（COD</w:t>
            </w:r>
            <w:r>
              <w:rPr>
                <w:rFonts w:hint="eastAsia" w:cs="Times New Roman"/>
                <w:color w:val="auto"/>
                <w:sz w:val="24"/>
                <w:szCs w:val="32"/>
                <w:highlight w:val="none"/>
                <w:vertAlign w:val="subscript"/>
                <w:lang w:val="en-US" w:eastAsia="zh-CN"/>
              </w:rPr>
              <w:t>Cr</w:t>
            </w:r>
            <w:r>
              <w:rPr>
                <w:rFonts w:hint="eastAsia" w:cs="Times New Roman"/>
                <w:color w:val="auto"/>
                <w:sz w:val="24"/>
                <w:szCs w:val="32"/>
                <w:highlight w:val="none"/>
                <w:lang w:val="en-US" w:eastAsia="zh-CN"/>
              </w:rPr>
              <w:t>：200mg/L、SS：100mg/L）</w:t>
            </w:r>
            <w:r>
              <w:rPr>
                <w:rFonts w:hint="eastAsia" w:ascii="Times New Roman" w:hAnsi="Times New Roman" w:eastAsia="宋体" w:cs="Times New Roman"/>
                <w:color w:val="auto"/>
                <w:sz w:val="24"/>
                <w:szCs w:val="32"/>
                <w:highlight w:val="none"/>
                <w:lang w:val="en-US" w:eastAsia="zh-CN"/>
              </w:rPr>
              <w:t>，用于项目区周边荒漠生态恢复的灌溉</w:t>
            </w:r>
            <w:r>
              <w:rPr>
                <w:rFonts w:hint="eastAsia" w:cs="Times New Roman"/>
                <w:color w:val="auto"/>
                <w:sz w:val="24"/>
                <w:szCs w:val="32"/>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10</w:t>
            </w:r>
            <w:r>
              <w:rPr>
                <w:rFonts w:hint="default" w:ascii="Times New Roman" w:hAnsi="Times New Roman" w:eastAsia="宋体" w:cs="Times New Roman"/>
                <w:b/>
                <w:bCs/>
                <w:color w:val="auto"/>
                <w:sz w:val="21"/>
                <w:szCs w:val="21"/>
                <w:lang w:val="en-US" w:eastAsia="zh-CN"/>
              </w:rPr>
              <w:t xml:space="preserve">   生活污</w:t>
            </w:r>
            <w:r>
              <w:rPr>
                <w:rFonts w:hint="eastAsia" w:ascii="Times New Roman" w:hAnsi="Times New Roman" w:eastAsia="宋体" w:cs="Times New Roman"/>
                <w:b/>
                <w:bCs/>
                <w:color w:val="auto"/>
                <w:sz w:val="21"/>
                <w:szCs w:val="21"/>
                <w:lang w:val="en-US" w:eastAsia="zh-CN"/>
              </w:rPr>
              <w:t>排放标准</w:t>
            </w:r>
          </w:p>
          <w:tbl>
            <w:tblPr>
              <w:tblStyle w:val="23"/>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604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4"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w:t>
                  </w:r>
                </w:p>
              </w:tc>
              <w:tc>
                <w:tcPr>
                  <w:tcW w:w="3545"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(DB65/4275-2019)中</w:t>
                  </w:r>
                  <w:r>
                    <w:rPr>
                      <w:rFonts w:hint="eastAsia" w:cs="Times New Roman"/>
                      <w:color w:val="auto"/>
                      <w:lang w:val="en-US" w:eastAsia="zh-CN"/>
                    </w:rPr>
                    <w:t>C</w:t>
                  </w:r>
                  <w:r>
                    <w:rPr>
                      <w:rFonts w:hint="default" w:ascii="Times New Roman" w:hAnsi="Times New Roman" w:eastAsia="宋体" w:cs="Times New Roman"/>
                      <w:color w:val="auto"/>
                    </w:rPr>
                    <w:t>级标准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4"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pH(无量纲)</w:t>
                  </w:r>
                </w:p>
              </w:tc>
              <w:tc>
                <w:tcPr>
                  <w:tcW w:w="3545"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283" w:hRule="atLeast"/>
                <w:jc w:val="center"/>
              </w:trPr>
              <w:tc>
                <w:tcPr>
                  <w:tcW w:w="1454"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CODcr(mg/L)</w:t>
                  </w:r>
                </w:p>
              </w:tc>
              <w:tc>
                <w:tcPr>
                  <w:tcW w:w="3545"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4"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SS(mg/L)</w:t>
                  </w:r>
                </w:p>
              </w:tc>
              <w:tc>
                <w:tcPr>
                  <w:tcW w:w="3545"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4"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粪大肠菌群(MPN/L)</w:t>
                  </w:r>
                </w:p>
              </w:tc>
              <w:tc>
                <w:tcPr>
                  <w:tcW w:w="3545"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40000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4"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蛔虫卵个数(个/L)</w:t>
                  </w:r>
                </w:p>
              </w:tc>
              <w:tc>
                <w:tcPr>
                  <w:tcW w:w="3545" w:type="pct"/>
                  <w:tcBorders>
                    <w:tl2br w:val="nil"/>
                    <w:tr2bl w:val="nil"/>
                  </w:tcBorders>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r>
          </w:tbl>
          <w:p>
            <w:pPr>
              <w:keepNext w:val="0"/>
              <w:keepLines w:val="0"/>
              <w:pageBreakBefore w:val="0"/>
              <w:widowControl w:val="0"/>
              <w:kinsoku/>
              <w:wordWrap/>
              <w:overflowPunct/>
              <w:topLinePunct w:val="0"/>
              <w:bidi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（3）废水防治措施达标可行性分析</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循环水池处理工艺：本项目采用三级沉淀池，在第一级沉淀池中使废水均质，在第二级沉淀池中投加絮凝剂，在第三级沉淀池自然沉降后，循环使用。</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职工生活污水收集到地埋式污水处理设备处理后，采用“生物处理＋深度处理”方法，处理规模为0.5立方米每小时，处理后的污水可以同时满足《农村生活污水处理排放标准》（DB 65 4575-2019）表2中C级标准（CODCr：200mg/L、SS：100mg/L），用于项目区周边荒漠生态恢复的灌溉。其中A级适用于草地、生态林、荒漠的灌溉；B级适用于生态林、荒漠的灌溉；C级适用于荒漠生态恢复的灌溉。</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综上不会对区域水环境产生明显影响。</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cs="Times New Roman"/>
                <w:b w:val="0"/>
                <w:bCs w:val="0"/>
                <w:color w:val="auto"/>
                <w:sz w:val="24"/>
                <w:lang w:val="en-US" w:eastAsia="zh-CN"/>
              </w:rPr>
            </w:pPr>
            <w:r>
              <w:rPr>
                <w:rFonts w:hint="eastAsia" w:cs="Times New Roman"/>
                <w:b w:val="0"/>
                <w:bCs w:val="0"/>
                <w:color w:val="auto"/>
                <w:sz w:val="24"/>
                <w:lang w:val="en-US" w:eastAsia="zh-CN"/>
              </w:rPr>
              <w:t>（3）废水监测计划</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cs="Times New Roman"/>
                <w:b w:val="0"/>
                <w:bCs w:val="0"/>
                <w:color w:val="auto"/>
                <w:sz w:val="24"/>
                <w:lang w:val="en-US" w:eastAsia="zh-CN"/>
              </w:rPr>
            </w:pPr>
            <w:r>
              <w:rPr>
                <w:rFonts w:hint="eastAsia"/>
                <w:color w:val="auto"/>
                <w:sz w:val="24"/>
                <w:lang w:val="en-US" w:eastAsia="zh-CN"/>
              </w:rPr>
              <w:t>本项目生活污水经地埋式污水处理设施处理后，用于项目区周边荒漠生态恢复的灌溉。</w:t>
            </w:r>
            <w:r>
              <w:rPr>
                <w:rFonts w:hint="default" w:ascii="Times New Roman" w:hAnsi="Times New Roman" w:eastAsia="宋体" w:cs="Times New Roman"/>
                <w:color w:val="auto"/>
                <w:sz w:val="24"/>
                <w:lang w:val="en-US" w:eastAsia="zh-CN"/>
              </w:rPr>
              <w:t>拟建项目废水监测计划如表4-</w:t>
            </w:r>
            <w:r>
              <w:rPr>
                <w:rFonts w:hint="eastAsia" w:cs="Times New Roman"/>
                <w:color w:val="auto"/>
                <w:sz w:val="24"/>
                <w:lang w:val="en-US" w:eastAsia="zh-CN"/>
              </w:rPr>
              <w:t>11</w:t>
            </w:r>
            <w:r>
              <w:rPr>
                <w:rFonts w:hint="default" w:ascii="Times New Roman" w:hAnsi="Times New Roman" w:eastAsia="宋体" w:cs="Times New Roman"/>
                <w:color w:val="auto"/>
                <w:sz w:val="24"/>
                <w:lang w:val="en-US" w:eastAsia="zh-CN"/>
              </w:rPr>
              <w:t>所示。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11</w:t>
            </w:r>
            <w:r>
              <w:rPr>
                <w:rFonts w:hint="default" w:ascii="Times New Roman" w:hAnsi="Times New Roman" w:eastAsia="宋体" w:cs="Times New Roman"/>
                <w:b/>
                <w:bCs/>
                <w:color w:val="auto"/>
                <w:sz w:val="21"/>
                <w:szCs w:val="21"/>
                <w:lang w:val="en-US" w:eastAsia="zh-CN"/>
              </w:rPr>
              <w:t xml:space="preserve">   运营期</w:t>
            </w:r>
            <w:r>
              <w:rPr>
                <w:rFonts w:hint="eastAsia" w:ascii="Times New Roman" w:hAnsi="Times New Roman" w:eastAsia="宋体" w:cs="Times New Roman"/>
                <w:b/>
                <w:bCs/>
                <w:color w:val="auto"/>
                <w:sz w:val="21"/>
                <w:szCs w:val="21"/>
                <w:lang w:val="en-US" w:eastAsia="zh-CN"/>
              </w:rPr>
              <w:t>废水</w:t>
            </w:r>
            <w:r>
              <w:rPr>
                <w:rFonts w:hint="default" w:ascii="Times New Roman" w:hAnsi="Times New Roman" w:eastAsia="宋体" w:cs="Times New Roman"/>
                <w:b/>
                <w:bCs/>
                <w:color w:val="auto"/>
                <w:sz w:val="21"/>
                <w:szCs w:val="21"/>
                <w:lang w:val="en-US" w:eastAsia="zh-CN"/>
              </w:rPr>
              <w:t>监测计划表</w:t>
            </w:r>
          </w:p>
          <w:tbl>
            <w:tblPr>
              <w:tblStyle w:val="2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079"/>
              <w:gridCol w:w="2059"/>
              <w:gridCol w:w="1567"/>
              <w:gridCol w:w="1477"/>
              <w:gridCol w:w="147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tcBorders>
                    <w:tl2br w:val="nil"/>
                    <w:tr2bl w:val="nil"/>
                  </w:tcBorders>
                  <w:noWrap w:val="0"/>
                  <w:vAlign w:val="center"/>
                </w:tcPr>
                <w:p>
                  <w:pPr>
                    <w:keepLines w:val="0"/>
                    <w:pageBreakBefore w:val="0"/>
                    <w:kinsoku/>
                    <w:topLinePunct w:val="0"/>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rPr>
                    <w:t>类别</w:t>
                  </w:r>
                </w:p>
              </w:tc>
              <w:tc>
                <w:tcPr>
                  <w:tcW w:w="992" w:type="dxa"/>
                  <w:tcBorders>
                    <w:tl2br w:val="nil"/>
                    <w:tr2bl w:val="nil"/>
                  </w:tcBorders>
                  <w:noWrap w:val="0"/>
                  <w:vAlign w:val="center"/>
                </w:tcPr>
                <w:p>
                  <w:pPr>
                    <w:keepLines w:val="0"/>
                    <w:pageBreakBefore w:val="0"/>
                    <w:kinsoku/>
                    <w:topLinePunct w:val="0"/>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rPr>
                    <w:t>编号</w:t>
                  </w:r>
                </w:p>
              </w:tc>
              <w:tc>
                <w:tcPr>
                  <w:tcW w:w="1893" w:type="dxa"/>
                  <w:tcBorders>
                    <w:tl2br w:val="nil"/>
                    <w:tr2bl w:val="nil"/>
                  </w:tcBorders>
                  <w:noWrap w:val="0"/>
                  <w:vAlign w:val="center"/>
                </w:tcPr>
                <w:p>
                  <w:pPr>
                    <w:keepLines w:val="0"/>
                    <w:pageBreakBefore w:val="0"/>
                    <w:kinsoku/>
                    <w:topLinePunct w:val="0"/>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rPr>
                    <w:t>监测因子</w:t>
                  </w:r>
                </w:p>
              </w:tc>
              <w:tc>
                <w:tcPr>
                  <w:tcW w:w="1441" w:type="dxa"/>
                  <w:tcBorders>
                    <w:tl2br w:val="nil"/>
                    <w:tr2bl w:val="nil"/>
                  </w:tcBorders>
                  <w:noWrap w:val="0"/>
                  <w:vAlign w:val="center"/>
                </w:tcPr>
                <w:p>
                  <w:pPr>
                    <w:keepLines w:val="0"/>
                    <w:pageBreakBefore w:val="0"/>
                    <w:kinsoku/>
                    <w:topLinePunct w:val="0"/>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rPr>
                    <w:t>监测点位置</w:t>
                  </w:r>
                </w:p>
              </w:tc>
              <w:tc>
                <w:tcPr>
                  <w:tcW w:w="1358" w:type="dxa"/>
                  <w:tcBorders>
                    <w:tl2br w:val="nil"/>
                    <w:tr2bl w:val="nil"/>
                  </w:tcBorders>
                  <w:noWrap w:val="0"/>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rPr>
                  </w:pPr>
                  <w:r>
                    <w:rPr>
                      <w:rFonts w:hint="eastAsia" w:ascii="宋体" w:hAnsi="宋体" w:cs="宋体"/>
                      <w:color w:val="auto"/>
                      <w:kern w:val="2"/>
                      <w:sz w:val="21"/>
                      <w:szCs w:val="21"/>
                      <w:lang w:val="en-US" w:eastAsia="zh-CN" w:bidi="ar"/>
                    </w:rPr>
                    <w:t>监测方法</w:t>
                  </w:r>
                </w:p>
              </w:tc>
              <w:tc>
                <w:tcPr>
                  <w:tcW w:w="1358" w:type="dxa"/>
                  <w:tcBorders>
                    <w:tl2br w:val="nil"/>
                    <w:tr2bl w:val="nil"/>
                  </w:tcBorders>
                  <w:noWrap w:val="0"/>
                  <w:vAlign w:val="center"/>
                </w:tcPr>
                <w:p>
                  <w:pPr>
                    <w:keepLines w:val="0"/>
                    <w:pageBreakBefore w:val="0"/>
                    <w:kinsoku/>
                    <w:topLinePunct w:val="0"/>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rPr>
                    <w:t>监测频率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tcBorders>
                    <w:tl2br w:val="nil"/>
                    <w:tr2bl w:val="nil"/>
                  </w:tcBorders>
                  <w:noWrap w:val="0"/>
                  <w:vAlign w:val="center"/>
                </w:tcPr>
                <w:p>
                  <w:pPr>
                    <w:keepLines w:val="0"/>
                    <w:pageBreakBefore w:val="0"/>
                    <w:kinsoku/>
                    <w:topLinePunct w:val="0"/>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rPr>
                    <w:t>废水</w:t>
                  </w:r>
                </w:p>
              </w:tc>
              <w:tc>
                <w:tcPr>
                  <w:tcW w:w="992" w:type="dxa"/>
                  <w:tcBorders>
                    <w:tl2br w:val="nil"/>
                    <w:tr2bl w:val="nil"/>
                  </w:tcBorders>
                  <w:noWrap w:val="0"/>
                  <w:vAlign w:val="center"/>
                </w:tcPr>
                <w:p>
                  <w:pPr>
                    <w:keepLines w:val="0"/>
                    <w:pageBreakBefore w:val="0"/>
                    <w:kinsoku/>
                    <w:topLinePunct w:val="0"/>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rPr>
                    <w:t>DW001</w:t>
                  </w:r>
                </w:p>
              </w:tc>
              <w:tc>
                <w:tcPr>
                  <w:tcW w:w="1893" w:type="dxa"/>
                  <w:tcBorders>
                    <w:tl2br w:val="nil"/>
                    <w:tr2bl w:val="nil"/>
                  </w:tcBorders>
                  <w:noWrap w:val="0"/>
                  <w:vAlign w:val="center"/>
                </w:tcPr>
                <w:p>
                  <w:pPr>
                    <w:keepLines w:val="0"/>
                    <w:pageBreakBefore w:val="0"/>
                    <w:kinsoku/>
                    <w:topLinePunct w:val="0"/>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rPr>
                    <w:t>SS、COD</w:t>
                  </w:r>
                  <w:r>
                    <w:rPr>
                      <w:rFonts w:hint="eastAsia" w:ascii="Times New Roman" w:hAnsi="Times New Roman" w:eastAsia="宋体" w:cs="Times New Roman"/>
                      <w:color w:val="auto"/>
                      <w:szCs w:val="21"/>
                      <w:vertAlign w:val="subscript"/>
                      <w:lang w:val="en-US" w:eastAsia="zh-CN"/>
                    </w:rPr>
                    <w:t>cr</w:t>
                  </w:r>
                  <w:r>
                    <w:rPr>
                      <w:rFonts w:hint="default" w:ascii="Times New Roman" w:hAnsi="Times New Roman" w:eastAsia="宋体" w:cs="Times New Roman"/>
                      <w:color w:val="auto"/>
                      <w:szCs w:val="21"/>
                    </w:rPr>
                    <w:t>、BOD5、NH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1441" w:type="dxa"/>
                  <w:tcBorders>
                    <w:tl2br w:val="nil"/>
                    <w:tr2bl w:val="nil"/>
                  </w:tcBorders>
                  <w:noWrap w:val="0"/>
                  <w:vAlign w:val="center"/>
                </w:tcPr>
                <w:p>
                  <w:pPr>
                    <w:keepLines w:val="0"/>
                    <w:pageBreakBefore w:val="0"/>
                    <w:kinsoku/>
                    <w:topLinePunct w:val="0"/>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rPr>
                    <w:t>废水总排放口</w:t>
                  </w:r>
                </w:p>
              </w:tc>
              <w:tc>
                <w:tcPr>
                  <w:tcW w:w="1358" w:type="dxa"/>
                  <w:tcBorders>
                    <w:tl2br w:val="nil"/>
                    <w:tr2bl w:val="nil"/>
                  </w:tcBorders>
                  <w:noWrap w:val="0"/>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rPr>
                  </w:pPr>
                  <w:r>
                    <w:rPr>
                      <w:rFonts w:hint="eastAsia" w:cs="Times New Roman"/>
                      <w:color w:val="auto"/>
                      <w:szCs w:val="21"/>
                      <w:lang w:val="en-US" w:eastAsia="zh-CN"/>
                    </w:rPr>
                    <w:t>委托监测单位进行监测</w:t>
                  </w:r>
                </w:p>
              </w:tc>
              <w:tc>
                <w:tcPr>
                  <w:tcW w:w="1358" w:type="dxa"/>
                  <w:tcBorders>
                    <w:tl2br w:val="nil"/>
                    <w:tr2bl w:val="nil"/>
                  </w:tcBorders>
                  <w:noWrap w:val="0"/>
                  <w:vAlign w:val="center"/>
                </w:tcPr>
                <w:p>
                  <w:pPr>
                    <w:keepLines w:val="0"/>
                    <w:pageBreakBefore w:val="0"/>
                    <w:kinsoku/>
                    <w:topLinePunct w:val="0"/>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rPr>
                    <w:t>每年一次</w:t>
                  </w:r>
                </w:p>
              </w:tc>
            </w:tr>
          </w:tbl>
          <w:p>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cs="Times New Roman"/>
                <w:b w:val="0"/>
                <w:bCs w:val="0"/>
                <w:color w:val="auto"/>
                <w:sz w:val="24"/>
                <w:lang w:val="en-US" w:eastAsia="zh-CN"/>
              </w:rPr>
              <w:t>3、噪声影响分析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本项目产噪设备较多，声功率级较大。本评价在调查边界噪声现状、分析项目主要噪声源的基础上，预测项目运营期的噪声水平及对周边环境的影响。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本项目噪声污染源主要为凿岩机、切割机和各类车辆等，经采取声源控制措施后，其噪声值为85～105dB（A）</w:t>
            </w:r>
            <w:r>
              <w:rPr>
                <w:rFonts w:hint="eastAsia" w:cs="Times New Roman"/>
                <w:b w:val="0"/>
                <w:bCs w:val="0"/>
                <w:color w:val="auto"/>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 xml:space="preserve">（1）预测方案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以厂区所在区域背景图左下角为坐标原点建立平面直角坐标系，X轴的正向为东方向，Y轴的正向为北方向。确定各室外噪声源位置及预测点位置，分别计算各噪声源对各预测点的贡献值，并进行叠加，得出各预测点噪声贡献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（2）预测模式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采用《环境影响评价技术导则 声环境》（HJ2.4-2021）中工业噪声预测模式。厂界噪声预测模式如下：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1）单个室外点声源在预测点产生的声级计算基本公式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已知声源的倍频带声功率级（从63Hz到8000Hz标称频带中心频率8个倍频带），预测点位置的倍频带声压级Lp(r)可按下式计算：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LP(r)=L</w:t>
            </w:r>
            <w:r>
              <w:rPr>
                <w:rFonts w:hint="eastAsia" w:cs="Times New Roman"/>
                <w:b w:val="0"/>
                <w:bCs w:val="0"/>
                <w:color w:val="auto"/>
                <w:sz w:val="24"/>
                <w:vertAlign w:val="subscript"/>
                <w:lang w:val="en-US" w:eastAsia="zh-CN"/>
              </w:rPr>
              <w:t>w</w:t>
            </w:r>
            <w:r>
              <w:rPr>
                <w:rFonts w:hint="eastAsia" w:cs="Times New Roman"/>
                <w:b w:val="0"/>
                <w:bCs w:val="0"/>
                <w:color w:val="auto"/>
                <w:sz w:val="24"/>
                <w:lang w:val="en-US" w:eastAsia="zh-CN"/>
              </w:rPr>
              <w:t>+D</w:t>
            </w:r>
            <w:r>
              <w:rPr>
                <w:rFonts w:hint="eastAsia" w:cs="Times New Roman"/>
                <w:b w:val="0"/>
                <w:bCs w:val="0"/>
                <w:color w:val="auto"/>
                <w:sz w:val="24"/>
                <w:vertAlign w:val="subscript"/>
                <w:lang w:val="en-US" w:eastAsia="zh-CN"/>
              </w:rPr>
              <w:t>c</w:t>
            </w:r>
            <w:r>
              <w:rPr>
                <w:rFonts w:hint="eastAsia" w:cs="Times New Roman"/>
                <w:b w:val="0"/>
                <w:bCs w:val="0"/>
                <w:color w:val="auto"/>
                <w:sz w:val="24"/>
                <w:lang w:val="en-US" w:eastAsia="zh-CN"/>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 w:val="0"/>
                <w:bCs w:val="0"/>
                <w:color w:val="auto"/>
                <w:sz w:val="24"/>
                <w:vertAlign w:val="baseline"/>
                <w:lang w:val="en-US" w:eastAsia="zh-CN"/>
              </w:rPr>
            </w:pPr>
            <w:r>
              <w:rPr>
                <w:rFonts w:hint="eastAsia" w:cs="Times New Roman"/>
                <w:b w:val="0"/>
                <w:bCs w:val="0"/>
                <w:color w:val="auto"/>
                <w:sz w:val="24"/>
                <w:lang w:val="en-US" w:eastAsia="zh-CN"/>
              </w:rPr>
              <w:t>A=A</w:t>
            </w:r>
            <w:r>
              <w:rPr>
                <w:rFonts w:hint="eastAsia" w:cs="Times New Roman"/>
                <w:b w:val="0"/>
                <w:bCs w:val="0"/>
                <w:color w:val="auto"/>
                <w:sz w:val="24"/>
                <w:vertAlign w:val="subscript"/>
                <w:lang w:val="en-US" w:eastAsia="zh-CN"/>
              </w:rPr>
              <w:t>div</w:t>
            </w:r>
            <w:r>
              <w:rPr>
                <w:rFonts w:hint="eastAsia" w:cs="Times New Roman"/>
                <w:b w:val="0"/>
                <w:bCs w:val="0"/>
                <w:color w:val="auto"/>
                <w:sz w:val="24"/>
                <w:vertAlign w:val="baseline"/>
                <w:lang w:val="en-US" w:eastAsia="zh-CN"/>
              </w:rPr>
              <w:t>+</w:t>
            </w:r>
            <w:r>
              <w:rPr>
                <w:rFonts w:hint="eastAsia" w:cs="Times New Roman"/>
                <w:b w:val="0"/>
                <w:bCs w:val="0"/>
                <w:color w:val="auto"/>
                <w:sz w:val="24"/>
                <w:lang w:val="en-US" w:eastAsia="zh-CN"/>
              </w:rPr>
              <w:t>A</w:t>
            </w:r>
            <w:r>
              <w:rPr>
                <w:rFonts w:hint="eastAsia" w:cs="Times New Roman"/>
                <w:b w:val="0"/>
                <w:bCs w:val="0"/>
                <w:color w:val="auto"/>
                <w:sz w:val="24"/>
                <w:vertAlign w:val="subscript"/>
                <w:lang w:val="en-US" w:eastAsia="zh-CN"/>
              </w:rPr>
              <w:t>atm</w:t>
            </w:r>
            <w:r>
              <w:rPr>
                <w:rFonts w:hint="eastAsia" w:cs="Times New Roman"/>
                <w:b w:val="0"/>
                <w:bCs w:val="0"/>
                <w:color w:val="auto"/>
                <w:sz w:val="24"/>
                <w:vertAlign w:val="baseline"/>
                <w:lang w:val="en-US" w:eastAsia="zh-CN"/>
              </w:rPr>
              <w:t>+</w:t>
            </w:r>
            <w:r>
              <w:rPr>
                <w:rFonts w:hint="eastAsia" w:cs="Times New Roman"/>
                <w:b w:val="0"/>
                <w:bCs w:val="0"/>
                <w:color w:val="auto"/>
                <w:sz w:val="24"/>
                <w:lang w:val="en-US" w:eastAsia="zh-CN"/>
              </w:rPr>
              <w:t>A</w:t>
            </w:r>
            <w:r>
              <w:rPr>
                <w:rFonts w:hint="eastAsia" w:cs="Times New Roman"/>
                <w:b w:val="0"/>
                <w:bCs w:val="0"/>
                <w:color w:val="auto"/>
                <w:sz w:val="24"/>
                <w:vertAlign w:val="subscript"/>
                <w:lang w:val="en-US" w:eastAsia="zh-CN"/>
              </w:rPr>
              <w:t>gr</w:t>
            </w:r>
            <w:r>
              <w:rPr>
                <w:rFonts w:hint="eastAsia" w:cs="Times New Roman"/>
                <w:b w:val="0"/>
                <w:bCs w:val="0"/>
                <w:color w:val="auto"/>
                <w:sz w:val="24"/>
                <w:vertAlign w:val="baseline"/>
                <w:lang w:val="en-US" w:eastAsia="zh-CN"/>
              </w:rPr>
              <w:t>+</w:t>
            </w:r>
            <w:r>
              <w:rPr>
                <w:rFonts w:hint="eastAsia" w:cs="Times New Roman"/>
                <w:b w:val="0"/>
                <w:bCs w:val="0"/>
                <w:color w:val="auto"/>
                <w:sz w:val="24"/>
                <w:lang w:val="en-US" w:eastAsia="zh-CN"/>
              </w:rPr>
              <w:t>A</w:t>
            </w:r>
            <w:r>
              <w:rPr>
                <w:rFonts w:hint="eastAsia" w:cs="Times New Roman"/>
                <w:b w:val="0"/>
                <w:bCs w:val="0"/>
                <w:color w:val="auto"/>
                <w:sz w:val="24"/>
                <w:vertAlign w:val="subscript"/>
                <w:lang w:val="en-US" w:eastAsia="zh-CN"/>
              </w:rPr>
              <w:t>bar</w:t>
            </w:r>
            <w:r>
              <w:rPr>
                <w:rFonts w:hint="eastAsia" w:cs="Times New Roman"/>
                <w:b w:val="0"/>
                <w:bCs w:val="0"/>
                <w:color w:val="auto"/>
                <w:sz w:val="24"/>
                <w:vertAlign w:val="baseline"/>
                <w:lang w:val="en-US" w:eastAsia="zh-CN"/>
              </w:rPr>
              <w:t>+A</w:t>
            </w:r>
            <w:r>
              <w:rPr>
                <w:rFonts w:hint="eastAsia" w:cs="Times New Roman"/>
                <w:b w:val="0"/>
                <w:bCs w:val="0"/>
                <w:color w:val="auto"/>
                <w:sz w:val="24"/>
                <w:vertAlign w:val="subscript"/>
                <w:lang w:val="en-US" w:eastAsia="zh-CN"/>
              </w:rPr>
              <w:t>misc</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式中：Lp(r)——距离声源r处的倍频带声压级，dB；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L</w:t>
            </w:r>
            <w:r>
              <w:rPr>
                <w:rFonts w:hint="eastAsia" w:cs="Times New Roman"/>
                <w:b w:val="0"/>
                <w:bCs w:val="0"/>
                <w:color w:val="auto"/>
                <w:sz w:val="24"/>
                <w:vertAlign w:val="subscript"/>
                <w:lang w:val="en-US" w:eastAsia="zh-CN"/>
              </w:rPr>
              <w:t>w</w:t>
            </w:r>
            <w:r>
              <w:rPr>
                <w:rFonts w:hint="eastAsia" w:cs="Times New Roman"/>
                <w:b w:val="0"/>
                <w:bCs w:val="0"/>
                <w:color w:val="auto"/>
                <w:sz w:val="24"/>
                <w:lang w:val="en-US" w:eastAsia="zh-CN"/>
              </w:rPr>
              <w:t>——指向性校正，dB；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A——倍频带衰减，dB；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A</w:t>
            </w:r>
            <w:r>
              <w:rPr>
                <w:rFonts w:hint="eastAsia" w:cs="Times New Roman"/>
                <w:b w:val="0"/>
                <w:bCs w:val="0"/>
                <w:color w:val="auto"/>
                <w:sz w:val="24"/>
                <w:vertAlign w:val="subscript"/>
                <w:lang w:val="en-US" w:eastAsia="zh-CN"/>
              </w:rPr>
              <w:t>div</w:t>
            </w:r>
            <w:r>
              <w:rPr>
                <w:rFonts w:hint="eastAsia" w:cs="Times New Roman"/>
                <w:b w:val="0"/>
                <w:bCs w:val="0"/>
                <w:color w:val="auto"/>
                <w:sz w:val="24"/>
                <w:lang w:val="en-US" w:eastAsia="zh-CN"/>
              </w:rPr>
              <w:t>——几何发散引起的倍频带衰减，dB；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A</w:t>
            </w:r>
            <w:r>
              <w:rPr>
                <w:rFonts w:hint="eastAsia" w:cs="Times New Roman"/>
                <w:b w:val="0"/>
                <w:bCs w:val="0"/>
                <w:color w:val="auto"/>
                <w:sz w:val="24"/>
                <w:vertAlign w:val="subscript"/>
                <w:lang w:val="en-US" w:eastAsia="zh-CN"/>
              </w:rPr>
              <w:t>gr</w:t>
            </w:r>
            <w:r>
              <w:rPr>
                <w:rFonts w:hint="eastAsia" w:cs="Times New Roman"/>
                <w:b w:val="0"/>
                <w:bCs w:val="0"/>
                <w:color w:val="auto"/>
                <w:sz w:val="24"/>
                <w:lang w:val="en-US" w:eastAsia="zh-CN"/>
              </w:rPr>
              <w:t>——地面效应引起的倍频带衰减，dB；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A</w:t>
            </w:r>
            <w:r>
              <w:rPr>
                <w:rFonts w:hint="eastAsia" w:cs="Times New Roman"/>
                <w:b w:val="0"/>
                <w:bCs w:val="0"/>
                <w:color w:val="auto"/>
                <w:sz w:val="24"/>
                <w:vertAlign w:val="subscript"/>
                <w:lang w:val="en-US" w:eastAsia="zh-CN"/>
              </w:rPr>
              <w:t>atm</w:t>
            </w:r>
            <w:r>
              <w:rPr>
                <w:rFonts w:hint="eastAsia" w:cs="Times New Roman"/>
                <w:b w:val="0"/>
                <w:bCs w:val="0"/>
                <w:color w:val="auto"/>
                <w:sz w:val="24"/>
                <w:lang w:val="en-US" w:eastAsia="zh-CN"/>
              </w:rPr>
              <w:t>——大气吸收引起的倍频带衰减，dB；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A</w:t>
            </w:r>
            <w:r>
              <w:rPr>
                <w:rFonts w:hint="eastAsia" w:cs="Times New Roman"/>
                <w:b w:val="0"/>
                <w:bCs w:val="0"/>
                <w:color w:val="auto"/>
                <w:sz w:val="24"/>
                <w:vertAlign w:val="subscript"/>
                <w:lang w:val="en-US" w:eastAsia="zh-CN"/>
              </w:rPr>
              <w:t>bar</w:t>
            </w:r>
            <w:r>
              <w:rPr>
                <w:rFonts w:hint="eastAsia" w:cs="Times New Roman"/>
                <w:b w:val="0"/>
                <w:bCs w:val="0"/>
                <w:color w:val="auto"/>
                <w:sz w:val="24"/>
                <w:lang w:val="en-US" w:eastAsia="zh-CN"/>
              </w:rPr>
              <w:t>——声屏障引起的倍频带衰减，dB；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vertAlign w:val="baseline"/>
                <w:lang w:val="en-US" w:eastAsia="zh-CN"/>
              </w:rPr>
              <w:t>A</w:t>
            </w:r>
            <w:r>
              <w:rPr>
                <w:rFonts w:hint="eastAsia" w:cs="Times New Roman"/>
                <w:b w:val="0"/>
                <w:bCs w:val="0"/>
                <w:color w:val="auto"/>
                <w:sz w:val="24"/>
                <w:vertAlign w:val="subscript"/>
                <w:lang w:val="en-US" w:eastAsia="zh-CN"/>
              </w:rPr>
              <w:t>misc</w:t>
            </w:r>
            <w:r>
              <w:rPr>
                <w:rFonts w:hint="eastAsia" w:cs="Times New Roman"/>
                <w:b w:val="0"/>
                <w:bCs w:val="0"/>
                <w:color w:val="auto"/>
                <w:sz w:val="24"/>
                <w:lang w:val="en-US" w:eastAsia="zh-CN"/>
              </w:rPr>
              <w:t>——其他多方面效应引起的倍频带衰减，dB。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2）计算总声压级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计算本工程各室外噪声源对各预测点噪声贡献值：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设第i个室外声源在预测点产生的A声级为L</w:t>
            </w:r>
            <w:r>
              <w:rPr>
                <w:rFonts w:hint="eastAsia" w:cs="Times New Roman"/>
                <w:b w:val="0"/>
                <w:bCs w:val="0"/>
                <w:color w:val="auto"/>
                <w:sz w:val="24"/>
                <w:vertAlign w:val="subscript"/>
                <w:lang w:val="en-US" w:eastAsia="zh-CN"/>
              </w:rPr>
              <w:t>Ai</w:t>
            </w:r>
            <w:r>
              <w:rPr>
                <w:rFonts w:hint="eastAsia" w:cs="Times New Roman"/>
                <w:b w:val="0"/>
                <w:bCs w:val="0"/>
                <w:color w:val="auto"/>
                <w:sz w:val="24"/>
                <w:lang w:val="en-US" w:eastAsia="zh-CN"/>
              </w:rPr>
              <w:t>，在T时间内该声源工作时间为t</w:t>
            </w:r>
            <w:r>
              <w:rPr>
                <w:rFonts w:hint="eastAsia" w:cs="Times New Roman"/>
                <w:b w:val="0"/>
                <w:bCs w:val="0"/>
                <w:color w:val="auto"/>
                <w:sz w:val="24"/>
                <w:vertAlign w:val="subscript"/>
                <w:lang w:val="en-US" w:eastAsia="zh-CN"/>
              </w:rPr>
              <w:t>i</w:t>
            </w:r>
            <w:r>
              <w:rPr>
                <w:rFonts w:hint="eastAsia" w:cs="Times New Roman"/>
                <w:b w:val="0"/>
                <w:bCs w:val="0"/>
                <w:color w:val="auto"/>
                <w:sz w:val="24"/>
                <w:lang w:val="en-US" w:eastAsia="zh-CN"/>
              </w:rPr>
              <w:t>；第j个等效室外声源在预测点产生的A声级为L</w:t>
            </w:r>
            <w:r>
              <w:rPr>
                <w:rFonts w:hint="eastAsia" w:cs="Times New Roman"/>
                <w:b w:val="0"/>
                <w:bCs w:val="0"/>
                <w:color w:val="auto"/>
                <w:sz w:val="24"/>
                <w:vertAlign w:val="subscript"/>
                <w:lang w:val="en-US" w:eastAsia="zh-CN"/>
              </w:rPr>
              <w:t>Aj</w:t>
            </w:r>
            <w:r>
              <w:rPr>
                <w:rFonts w:hint="eastAsia" w:cs="Times New Roman"/>
                <w:b w:val="0"/>
                <w:bCs w:val="0"/>
                <w:color w:val="auto"/>
                <w:sz w:val="24"/>
                <w:lang w:val="en-US" w:eastAsia="zh-CN"/>
              </w:rPr>
              <w:t>，在T时间内该声源工作时间为t</w:t>
            </w:r>
            <w:r>
              <w:rPr>
                <w:rFonts w:hint="eastAsia" w:cs="Times New Roman"/>
                <w:b w:val="0"/>
                <w:bCs w:val="0"/>
                <w:strike w:val="0"/>
                <w:dstrike w:val="0"/>
                <w:color w:val="auto"/>
                <w:sz w:val="24"/>
                <w:vertAlign w:val="subscript"/>
                <w:lang w:val="en-US" w:eastAsia="zh-CN"/>
              </w:rPr>
              <w:t>j</w:t>
            </w:r>
            <w:r>
              <w:rPr>
                <w:rFonts w:hint="eastAsia" w:cs="Times New Roman"/>
                <w:b w:val="0"/>
                <w:bCs w:val="0"/>
                <w:color w:val="auto"/>
                <w:sz w:val="24"/>
                <w:lang w:val="en-US" w:eastAsia="zh-CN"/>
              </w:rPr>
              <w:t>，则拟建工程声源对预测点产生的贡献值（L</w:t>
            </w:r>
            <w:r>
              <w:rPr>
                <w:rFonts w:hint="eastAsia" w:cs="Times New Roman"/>
                <w:b w:val="0"/>
                <w:bCs w:val="0"/>
                <w:color w:val="auto"/>
                <w:sz w:val="24"/>
                <w:vertAlign w:val="subscript"/>
                <w:lang w:val="en-US" w:eastAsia="zh-CN"/>
              </w:rPr>
              <w:t>eqg</w:t>
            </w:r>
            <w:r>
              <w:rPr>
                <w:rFonts w:hint="eastAsia" w:cs="Times New Roman"/>
                <w:b w:val="0"/>
                <w:bCs w:val="0"/>
                <w:color w:val="auto"/>
                <w:sz w:val="24"/>
                <w:lang w:val="en-US" w:eastAsia="zh-CN"/>
              </w:rPr>
              <w:t>）为：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drawing>
                <wp:inline distT="0" distB="0" distL="114300" distR="114300">
                  <wp:extent cx="2582545" cy="421640"/>
                  <wp:effectExtent l="0" t="0" r="8255" b="16510"/>
                  <wp:docPr id="21" name="图片 21" descr="174763156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47631567396"/>
                          <pic:cNvPicPr>
                            <a:picLocks noChangeAspect="1"/>
                          </pic:cNvPicPr>
                        </pic:nvPicPr>
                        <pic:blipFill>
                          <a:blip r:embed="rId18"/>
                          <a:stretch>
                            <a:fillRect/>
                          </a:stretch>
                        </pic:blipFill>
                        <pic:spPr>
                          <a:xfrm>
                            <a:off x="0" y="0"/>
                            <a:ext cx="2582545" cy="4216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3）噪声源参数的确定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本项目噪声主要为机械设备噪声，根据设计资料、时期及类比调查的结果，噪声源参数及分布情况见表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12</w:t>
            </w:r>
            <w:r>
              <w:rPr>
                <w:rFonts w:hint="default" w:ascii="Times New Roman" w:hAnsi="Times New Roman" w:eastAsia="宋体" w:cs="Times New Roman"/>
                <w:b/>
                <w:bCs/>
                <w:color w:val="auto"/>
                <w:sz w:val="21"/>
                <w:szCs w:val="21"/>
                <w:lang w:val="en-US" w:eastAsia="zh-CN"/>
              </w:rPr>
              <w:t xml:space="preserve">   本项目主要噪声源分布情况</w:t>
            </w:r>
          </w:p>
          <w:tbl>
            <w:tblPr>
              <w:tblStyle w:val="23"/>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314"/>
              <w:gridCol w:w="650"/>
              <w:gridCol w:w="1225"/>
              <w:gridCol w:w="1100"/>
              <w:gridCol w:w="2238"/>
              <w:gridCol w:w="153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0" w:type="pct"/>
                  <w:tcBorders>
                    <w:tl2br w:val="nil"/>
                    <w:tr2bl w:val="nil"/>
                  </w:tcBorders>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序号</w:t>
                  </w:r>
                </w:p>
              </w:tc>
              <w:tc>
                <w:tcPr>
                  <w:tcW w:w="770"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声源名称</w:t>
                  </w:r>
                </w:p>
              </w:tc>
              <w:tc>
                <w:tcPr>
                  <w:tcW w:w="381"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台数</w:t>
                  </w:r>
                </w:p>
              </w:tc>
              <w:tc>
                <w:tcPr>
                  <w:tcW w:w="718"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总声功率级dB（A）</w:t>
                  </w:r>
                </w:p>
              </w:tc>
              <w:tc>
                <w:tcPr>
                  <w:tcW w:w="645"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持续时间</w:t>
                  </w:r>
                </w:p>
              </w:tc>
              <w:tc>
                <w:tcPr>
                  <w:tcW w:w="1312"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声源控制措施</w:t>
                  </w:r>
                </w:p>
              </w:tc>
              <w:tc>
                <w:tcPr>
                  <w:tcW w:w="900"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控制后总声功率级dB（A）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0" w:type="pct"/>
                  <w:tcBorders>
                    <w:tl2br w:val="nil"/>
                    <w:tr2bl w:val="nil"/>
                  </w:tcBorders>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770"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移动空压机</w:t>
                  </w:r>
                </w:p>
              </w:tc>
              <w:tc>
                <w:tcPr>
                  <w:tcW w:w="381" w:type="pct"/>
                  <w:tcBorders>
                    <w:tl2br w:val="nil"/>
                    <w:tr2bl w:val="nil"/>
                  </w:tcBorders>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718"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105</w:t>
                  </w:r>
                </w:p>
              </w:tc>
              <w:tc>
                <w:tcPr>
                  <w:tcW w:w="645" w:type="pct"/>
                  <w:vMerge w:val="restart"/>
                  <w:tcBorders>
                    <w:tl2br w:val="nil"/>
                    <w:tr2bl w:val="nil"/>
                  </w:tcBorders>
                  <w:noWrap w:val="0"/>
                  <w:vAlign w:val="center"/>
                </w:tcPr>
                <w:p>
                  <w:pPr>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vertAlign w:val="baseline"/>
                      <w:lang w:val="en-US" w:eastAsia="zh-CN"/>
                    </w:rPr>
                    <w:t>昼间频发</w:t>
                  </w:r>
                </w:p>
              </w:tc>
              <w:tc>
                <w:tcPr>
                  <w:tcW w:w="1312" w:type="pct"/>
                  <w:vMerge w:val="restar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低噪声设备、维护保养</w:t>
                  </w:r>
                </w:p>
              </w:tc>
              <w:tc>
                <w:tcPr>
                  <w:tcW w:w="900"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85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0" w:type="pct"/>
                  <w:tcBorders>
                    <w:tl2br w:val="nil"/>
                    <w:tr2bl w:val="nil"/>
                  </w:tcBorders>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770"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凿岩机</w:t>
                  </w:r>
                </w:p>
              </w:tc>
              <w:tc>
                <w:tcPr>
                  <w:tcW w:w="381" w:type="pct"/>
                  <w:tcBorders>
                    <w:tl2br w:val="nil"/>
                    <w:tr2bl w:val="nil"/>
                  </w:tcBorders>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w:t>
                  </w:r>
                </w:p>
              </w:tc>
              <w:tc>
                <w:tcPr>
                  <w:tcW w:w="718" w:type="pct"/>
                  <w:tcBorders>
                    <w:tl2br w:val="nil"/>
                    <w:tr2bl w:val="nil"/>
                  </w:tcBorders>
                  <w:noWrap w:val="0"/>
                  <w:vAlign w:val="center"/>
                </w:tcPr>
                <w:p>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105</w:t>
                  </w:r>
                </w:p>
              </w:tc>
              <w:tc>
                <w:tcPr>
                  <w:tcW w:w="645" w:type="pct"/>
                  <w:vMerge w:val="continue"/>
                  <w:tcBorders>
                    <w:tl2br w:val="nil"/>
                    <w:tr2bl w:val="nil"/>
                  </w:tcBorders>
                  <w:noWrap w:val="0"/>
                  <w:vAlign w:val="center"/>
                </w:tcPr>
                <w:p>
                  <w:pPr>
                    <w:jc w:val="center"/>
                    <w:rPr>
                      <w:rFonts w:hint="eastAsia" w:ascii="Times New Roman" w:hAnsi="Times New Roman" w:eastAsia="宋体" w:cs="Times New Roman"/>
                      <w:color w:val="auto"/>
                      <w:lang w:val="en-US" w:eastAsia="zh-CN"/>
                    </w:rPr>
                  </w:pPr>
                </w:p>
              </w:tc>
              <w:tc>
                <w:tcPr>
                  <w:tcW w:w="1312" w:type="pct"/>
                  <w:vMerge w:val="continue"/>
                  <w:tcBorders>
                    <w:tl2br w:val="nil"/>
                    <w:tr2bl w:val="nil"/>
                  </w:tcBorders>
                  <w:noWrap w:val="0"/>
                  <w:vAlign w:val="center"/>
                </w:tcPr>
                <w:p>
                  <w:pPr>
                    <w:jc w:val="center"/>
                    <w:rPr>
                      <w:rFonts w:hint="default" w:ascii="Times New Roman" w:hAnsi="Times New Roman" w:eastAsia="宋体" w:cs="Times New Roman"/>
                      <w:color w:val="auto"/>
                    </w:rPr>
                  </w:pPr>
                </w:p>
              </w:tc>
              <w:tc>
                <w:tcPr>
                  <w:tcW w:w="900" w:type="pct"/>
                  <w:tcBorders>
                    <w:tl2br w:val="nil"/>
                    <w:tr2bl w:val="nil"/>
                  </w:tcBorders>
                  <w:noWrap w:val="0"/>
                  <w:vAlign w:val="center"/>
                </w:tcPr>
                <w:p>
                  <w:pPr>
                    <w:jc w:val="center"/>
                    <w:rPr>
                      <w:rFonts w:hint="default" w:ascii="Times New Roman" w:hAnsi="Times New Roman" w:eastAsia="宋体" w:cs="Times New Roman"/>
                      <w:color w:val="auto"/>
                      <w:lang w:val="en-US"/>
                    </w:rPr>
                  </w:pPr>
                  <w:r>
                    <w:rPr>
                      <w:rFonts w:hint="eastAsia" w:cs="Times New Roman"/>
                      <w:color w:val="auto"/>
                      <w:lang w:val="en-US" w:eastAsia="zh-CN"/>
                    </w:rPr>
                    <w:t>85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0" w:type="pct"/>
                  <w:tcBorders>
                    <w:tl2br w:val="nil"/>
                    <w:tr2bl w:val="nil"/>
                  </w:tcBorders>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770"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荒料切割机</w:t>
                  </w:r>
                </w:p>
              </w:tc>
              <w:tc>
                <w:tcPr>
                  <w:tcW w:w="381" w:type="pct"/>
                  <w:tcBorders>
                    <w:tl2br w:val="nil"/>
                    <w:tr2bl w:val="nil"/>
                  </w:tcBorders>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718" w:type="pct"/>
                  <w:tcBorders>
                    <w:tl2br w:val="nil"/>
                    <w:tr2bl w:val="nil"/>
                  </w:tcBorders>
                  <w:noWrap w:val="0"/>
                  <w:vAlign w:val="center"/>
                </w:tcPr>
                <w:p>
                  <w:pPr>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105</w:t>
                  </w:r>
                </w:p>
              </w:tc>
              <w:tc>
                <w:tcPr>
                  <w:tcW w:w="645" w:type="pct"/>
                  <w:vMerge w:val="continue"/>
                  <w:tcBorders>
                    <w:tl2br w:val="nil"/>
                    <w:tr2bl w:val="nil"/>
                  </w:tcBorders>
                  <w:noWrap w:val="0"/>
                  <w:vAlign w:val="center"/>
                </w:tcPr>
                <w:p>
                  <w:pPr>
                    <w:jc w:val="center"/>
                    <w:rPr>
                      <w:rFonts w:hint="eastAsia" w:ascii="Times New Roman" w:hAnsi="Times New Roman" w:eastAsia="宋体" w:cs="Times New Roman"/>
                      <w:color w:val="auto"/>
                      <w:lang w:val="en-US" w:eastAsia="zh-CN"/>
                    </w:rPr>
                  </w:pPr>
                </w:p>
              </w:tc>
              <w:tc>
                <w:tcPr>
                  <w:tcW w:w="1312" w:type="pct"/>
                  <w:vMerge w:val="continue"/>
                  <w:tcBorders>
                    <w:tl2br w:val="nil"/>
                    <w:tr2bl w:val="nil"/>
                  </w:tcBorders>
                  <w:noWrap w:val="0"/>
                  <w:vAlign w:val="center"/>
                </w:tcPr>
                <w:p>
                  <w:pPr>
                    <w:jc w:val="center"/>
                    <w:rPr>
                      <w:rFonts w:hint="default" w:ascii="Times New Roman" w:hAnsi="Times New Roman" w:eastAsia="宋体" w:cs="Times New Roman"/>
                      <w:color w:val="auto"/>
                    </w:rPr>
                  </w:pPr>
                </w:p>
              </w:tc>
              <w:tc>
                <w:tcPr>
                  <w:tcW w:w="900" w:type="pct"/>
                  <w:tcBorders>
                    <w:tl2br w:val="nil"/>
                    <w:tr2bl w:val="nil"/>
                  </w:tcBorders>
                  <w:noWrap w:val="0"/>
                  <w:vAlign w:val="center"/>
                </w:tcPr>
                <w:p>
                  <w:pPr>
                    <w:jc w:val="center"/>
                    <w:rPr>
                      <w:rFonts w:hint="default" w:ascii="Times New Roman" w:hAnsi="Times New Roman" w:eastAsia="宋体" w:cs="Times New Roman"/>
                      <w:color w:val="auto"/>
                      <w:lang w:val="en-US"/>
                    </w:rPr>
                  </w:pPr>
                  <w:r>
                    <w:rPr>
                      <w:rFonts w:hint="eastAsia" w:cs="Times New Roman"/>
                      <w:color w:val="auto"/>
                      <w:lang w:val="en-US" w:eastAsia="zh-CN"/>
                    </w:rPr>
                    <w:t>85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0"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p>
              </w:tc>
              <w:tc>
                <w:tcPr>
                  <w:tcW w:w="770"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挖掘机</w:t>
                  </w:r>
                </w:p>
              </w:tc>
              <w:tc>
                <w:tcPr>
                  <w:tcW w:w="381"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718"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95</w:t>
                  </w:r>
                </w:p>
              </w:tc>
              <w:tc>
                <w:tcPr>
                  <w:tcW w:w="645" w:type="pct"/>
                  <w:vMerge w:val="continue"/>
                  <w:tcBorders>
                    <w:tl2br w:val="nil"/>
                    <w:tr2bl w:val="nil"/>
                  </w:tcBorders>
                  <w:noWrap w:val="0"/>
                  <w:vAlign w:val="center"/>
                </w:tcPr>
                <w:p>
                  <w:pPr>
                    <w:jc w:val="center"/>
                    <w:rPr>
                      <w:rFonts w:hint="eastAsia" w:ascii="Times New Roman" w:hAnsi="Times New Roman" w:eastAsia="宋体" w:cs="Times New Roman"/>
                      <w:color w:val="auto"/>
                      <w:lang w:val="en-US" w:eastAsia="zh-CN"/>
                    </w:rPr>
                  </w:pPr>
                </w:p>
              </w:tc>
              <w:tc>
                <w:tcPr>
                  <w:tcW w:w="1312" w:type="pct"/>
                  <w:vMerge w:val="restar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低噪声设备、维护保</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养、控制车速</w:t>
                  </w:r>
                </w:p>
              </w:tc>
              <w:tc>
                <w:tcPr>
                  <w:tcW w:w="900"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75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0"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p>
              </w:tc>
              <w:tc>
                <w:tcPr>
                  <w:tcW w:w="770"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叉车</w:t>
                  </w:r>
                </w:p>
              </w:tc>
              <w:tc>
                <w:tcPr>
                  <w:tcW w:w="381"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718"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90</w:t>
                  </w:r>
                </w:p>
              </w:tc>
              <w:tc>
                <w:tcPr>
                  <w:tcW w:w="645" w:type="pct"/>
                  <w:vMerge w:val="continue"/>
                  <w:tcBorders>
                    <w:tl2br w:val="nil"/>
                    <w:tr2bl w:val="nil"/>
                  </w:tcBorders>
                  <w:noWrap w:val="0"/>
                  <w:vAlign w:val="center"/>
                </w:tcPr>
                <w:p>
                  <w:pPr>
                    <w:jc w:val="center"/>
                    <w:rPr>
                      <w:rFonts w:hint="eastAsia" w:ascii="Times New Roman" w:hAnsi="Times New Roman" w:eastAsia="宋体" w:cs="Times New Roman"/>
                      <w:color w:val="auto"/>
                      <w:lang w:val="en-US" w:eastAsia="zh-CN"/>
                    </w:rPr>
                  </w:pPr>
                </w:p>
              </w:tc>
              <w:tc>
                <w:tcPr>
                  <w:tcW w:w="1312" w:type="pct"/>
                  <w:vMerge w:val="continue"/>
                  <w:tcBorders>
                    <w:tl2br w:val="nil"/>
                    <w:tr2bl w:val="nil"/>
                  </w:tcBorders>
                  <w:noWrap w:val="0"/>
                  <w:vAlign w:val="center"/>
                </w:tcPr>
                <w:p>
                  <w:pPr>
                    <w:jc w:val="center"/>
                    <w:rPr>
                      <w:rFonts w:hint="default" w:ascii="Times New Roman" w:hAnsi="Times New Roman" w:eastAsia="宋体" w:cs="Times New Roman"/>
                      <w:color w:val="auto"/>
                    </w:rPr>
                  </w:pPr>
                </w:p>
              </w:tc>
              <w:tc>
                <w:tcPr>
                  <w:tcW w:w="900"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70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0"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w:t>
                  </w:r>
                </w:p>
              </w:tc>
              <w:tc>
                <w:tcPr>
                  <w:tcW w:w="770" w:type="pct"/>
                  <w:tcBorders>
                    <w:tl2br w:val="nil"/>
                    <w:tr2bl w:val="nil"/>
                  </w:tcBorders>
                  <w:noWrap w:val="0"/>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自卸汽车</w:t>
                  </w:r>
                </w:p>
              </w:tc>
              <w:tc>
                <w:tcPr>
                  <w:tcW w:w="381"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718"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85</w:t>
                  </w:r>
                </w:p>
              </w:tc>
              <w:tc>
                <w:tcPr>
                  <w:tcW w:w="645" w:type="pct"/>
                  <w:vMerge w:val="continue"/>
                  <w:tcBorders>
                    <w:tl2br w:val="nil"/>
                    <w:tr2bl w:val="nil"/>
                  </w:tcBorders>
                  <w:noWrap w:val="0"/>
                  <w:vAlign w:val="center"/>
                </w:tcPr>
                <w:p>
                  <w:pPr>
                    <w:jc w:val="center"/>
                    <w:rPr>
                      <w:rFonts w:hint="eastAsia" w:ascii="Times New Roman" w:hAnsi="Times New Roman" w:eastAsia="宋体" w:cs="Times New Roman"/>
                      <w:color w:val="auto"/>
                      <w:lang w:val="en-US" w:eastAsia="zh-CN"/>
                    </w:rPr>
                  </w:pPr>
                </w:p>
              </w:tc>
              <w:tc>
                <w:tcPr>
                  <w:tcW w:w="1312" w:type="pct"/>
                  <w:vMerge w:val="continue"/>
                  <w:tcBorders>
                    <w:tl2br w:val="nil"/>
                    <w:tr2bl w:val="nil"/>
                  </w:tcBorders>
                  <w:noWrap w:val="0"/>
                  <w:vAlign w:val="center"/>
                </w:tcPr>
                <w:p>
                  <w:pPr>
                    <w:jc w:val="center"/>
                    <w:rPr>
                      <w:rFonts w:hint="default" w:ascii="Times New Roman" w:hAnsi="Times New Roman" w:eastAsia="宋体" w:cs="Times New Roman"/>
                      <w:color w:val="auto"/>
                    </w:rPr>
                  </w:pPr>
                </w:p>
              </w:tc>
              <w:tc>
                <w:tcPr>
                  <w:tcW w:w="900"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65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0"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7</w:t>
                  </w:r>
                </w:p>
              </w:tc>
              <w:tc>
                <w:tcPr>
                  <w:tcW w:w="7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4"/>
                      <w:lang w:val="en-US" w:eastAsia="zh-CN" w:bidi="ar-SA"/>
                    </w:rPr>
                    <w:t>喷砂机</w:t>
                  </w:r>
                </w:p>
              </w:tc>
              <w:tc>
                <w:tcPr>
                  <w:tcW w:w="3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val="en-US" w:eastAsia="zh-CN"/>
                    </w:rPr>
                  </w:pPr>
                  <w:r>
                    <w:rPr>
                      <w:rFonts w:hint="eastAsia" w:cs="Times New Roman"/>
                      <w:color w:val="auto"/>
                      <w:kern w:val="0"/>
                      <w:sz w:val="21"/>
                      <w:szCs w:val="21"/>
                      <w:lang w:val="en-US" w:eastAsia="zh-CN"/>
                    </w:rPr>
                    <w:t>1</w:t>
                  </w:r>
                </w:p>
              </w:tc>
              <w:tc>
                <w:tcPr>
                  <w:tcW w:w="718" w:type="pct"/>
                  <w:tcBorders>
                    <w:tl2br w:val="nil"/>
                    <w:tr2bl w:val="nil"/>
                  </w:tcBorders>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90</w:t>
                  </w:r>
                </w:p>
              </w:tc>
              <w:tc>
                <w:tcPr>
                  <w:tcW w:w="645" w:type="pct"/>
                  <w:vMerge w:val="restar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sz w:val="21"/>
                      <w:szCs w:val="21"/>
                      <w:vertAlign w:val="baseline"/>
                      <w:lang w:val="en-US" w:eastAsia="zh-CN"/>
                    </w:rPr>
                    <w:t>昼间</w:t>
                  </w:r>
                  <w:r>
                    <w:rPr>
                      <w:rFonts w:hint="eastAsia" w:ascii="Times New Roman" w:hAnsi="Times New Roman" w:eastAsia="宋体" w:cs="Times New Roman"/>
                      <w:b w:val="0"/>
                      <w:bCs/>
                      <w:color w:val="auto"/>
                      <w:sz w:val="21"/>
                      <w:szCs w:val="21"/>
                      <w:vertAlign w:val="baseline"/>
                      <w:lang w:val="en-US" w:eastAsia="zh-CN"/>
                    </w:rPr>
                    <w:t>持续</w:t>
                  </w:r>
                  <w:r>
                    <w:rPr>
                      <w:rFonts w:hint="eastAsia" w:cs="Times New Roman"/>
                      <w:b w:val="0"/>
                      <w:bCs/>
                      <w:color w:val="auto"/>
                      <w:sz w:val="21"/>
                      <w:szCs w:val="21"/>
                      <w:vertAlign w:val="baseline"/>
                      <w:lang w:val="en-US" w:eastAsia="zh-CN"/>
                    </w:rPr>
                    <w:t>不间断</w:t>
                  </w:r>
                </w:p>
              </w:tc>
              <w:tc>
                <w:tcPr>
                  <w:tcW w:w="1312" w:type="pct"/>
                  <w:vMerge w:val="restar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低噪声设备、维护保养</w:t>
                  </w:r>
                </w:p>
              </w:tc>
              <w:tc>
                <w:tcPr>
                  <w:tcW w:w="900" w:type="pct"/>
                  <w:tcBorders>
                    <w:tl2br w:val="nil"/>
                    <w:tr2bl w:val="nil"/>
                  </w:tcBorders>
                  <w:noWrap w:val="0"/>
                  <w:vAlign w:val="center"/>
                </w:tcPr>
                <w:p>
                  <w:pPr>
                    <w:jc w:val="center"/>
                    <w:rPr>
                      <w:rFonts w:hint="default" w:cs="Times New Roman"/>
                      <w:color w:val="auto"/>
                      <w:lang w:val="en-US" w:eastAsia="zh-CN"/>
                    </w:rPr>
                  </w:pPr>
                  <w:r>
                    <w:rPr>
                      <w:rFonts w:hint="eastAsia" w:cs="Times New Roman"/>
                      <w:color w:val="auto"/>
                      <w:lang w:val="en-US" w:eastAsia="zh-CN"/>
                    </w:rPr>
                    <w:t>80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0"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8</w:t>
                  </w:r>
                </w:p>
              </w:tc>
              <w:tc>
                <w:tcPr>
                  <w:tcW w:w="7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4"/>
                      <w:lang w:val="en-US" w:eastAsia="zh-CN" w:bidi="ar-SA"/>
                    </w:rPr>
                    <w:t>抛光机</w:t>
                  </w:r>
                </w:p>
              </w:tc>
              <w:tc>
                <w:tcPr>
                  <w:tcW w:w="3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val="en-US" w:eastAsia="zh-CN"/>
                    </w:rPr>
                  </w:pPr>
                  <w:r>
                    <w:rPr>
                      <w:rFonts w:hint="eastAsia" w:cs="Times New Roman"/>
                      <w:color w:val="auto"/>
                      <w:kern w:val="0"/>
                      <w:sz w:val="21"/>
                      <w:szCs w:val="21"/>
                      <w:lang w:val="en-US" w:eastAsia="zh-CN"/>
                    </w:rPr>
                    <w:t>1</w:t>
                  </w:r>
                </w:p>
              </w:tc>
              <w:tc>
                <w:tcPr>
                  <w:tcW w:w="718" w:type="pct"/>
                  <w:tcBorders>
                    <w:tl2br w:val="nil"/>
                    <w:tr2bl w:val="nil"/>
                  </w:tcBorders>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90</w:t>
                  </w:r>
                </w:p>
              </w:tc>
              <w:tc>
                <w:tcPr>
                  <w:tcW w:w="645" w:type="pct"/>
                  <w:vMerge w:val="continue"/>
                  <w:tcBorders>
                    <w:tl2br w:val="nil"/>
                    <w:tr2bl w:val="nil"/>
                  </w:tcBorders>
                  <w:noWrap w:val="0"/>
                  <w:vAlign w:val="center"/>
                </w:tcPr>
                <w:p>
                  <w:pPr>
                    <w:jc w:val="center"/>
                    <w:rPr>
                      <w:rFonts w:hint="eastAsia" w:ascii="Times New Roman" w:hAnsi="Times New Roman" w:eastAsia="宋体" w:cs="Times New Roman"/>
                      <w:color w:val="auto"/>
                      <w:lang w:val="en-US" w:eastAsia="zh-CN"/>
                    </w:rPr>
                  </w:pPr>
                </w:p>
              </w:tc>
              <w:tc>
                <w:tcPr>
                  <w:tcW w:w="1312" w:type="pct"/>
                  <w:vMerge w:val="continue"/>
                  <w:tcBorders>
                    <w:tl2br w:val="nil"/>
                    <w:tr2bl w:val="nil"/>
                  </w:tcBorders>
                  <w:noWrap w:val="0"/>
                  <w:vAlign w:val="center"/>
                </w:tcPr>
                <w:p>
                  <w:pPr>
                    <w:jc w:val="center"/>
                    <w:rPr>
                      <w:rFonts w:hint="default" w:ascii="Times New Roman" w:hAnsi="Times New Roman" w:eastAsia="宋体" w:cs="Times New Roman"/>
                      <w:color w:val="auto"/>
                    </w:rPr>
                  </w:pPr>
                </w:p>
              </w:tc>
              <w:tc>
                <w:tcPr>
                  <w:tcW w:w="900" w:type="pct"/>
                  <w:tcBorders>
                    <w:tl2br w:val="nil"/>
                    <w:tr2bl w:val="nil"/>
                  </w:tcBorders>
                  <w:noWrap w:val="0"/>
                  <w:vAlign w:val="center"/>
                </w:tcPr>
                <w:p>
                  <w:pPr>
                    <w:jc w:val="center"/>
                    <w:rPr>
                      <w:rFonts w:hint="eastAsia" w:cs="Times New Roman"/>
                      <w:color w:val="auto"/>
                      <w:lang w:val="en-US" w:eastAsia="zh-CN"/>
                    </w:rPr>
                  </w:pPr>
                  <w:r>
                    <w:rPr>
                      <w:rFonts w:hint="eastAsia" w:cs="Times New Roman"/>
                      <w:color w:val="auto"/>
                      <w:lang w:val="en-US" w:eastAsia="zh-CN"/>
                    </w:rPr>
                    <w:t>80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0"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9</w:t>
                  </w:r>
                </w:p>
              </w:tc>
              <w:tc>
                <w:tcPr>
                  <w:tcW w:w="7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4"/>
                      <w:lang w:val="en-US" w:eastAsia="zh-CN" w:bidi="ar-SA"/>
                    </w:rPr>
                    <w:t>龙门桥切</w:t>
                  </w:r>
                </w:p>
              </w:tc>
              <w:tc>
                <w:tcPr>
                  <w:tcW w:w="3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val="en-US" w:eastAsia="zh-CN"/>
                    </w:rPr>
                  </w:pPr>
                  <w:r>
                    <w:rPr>
                      <w:rFonts w:hint="eastAsia" w:cs="Times New Roman"/>
                      <w:color w:val="auto"/>
                      <w:kern w:val="0"/>
                      <w:sz w:val="21"/>
                      <w:szCs w:val="21"/>
                      <w:lang w:val="en-US" w:eastAsia="zh-CN"/>
                    </w:rPr>
                    <w:t>5</w:t>
                  </w:r>
                </w:p>
              </w:tc>
              <w:tc>
                <w:tcPr>
                  <w:tcW w:w="718" w:type="pct"/>
                  <w:tcBorders>
                    <w:tl2br w:val="nil"/>
                    <w:tr2bl w:val="nil"/>
                  </w:tcBorders>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90</w:t>
                  </w:r>
                </w:p>
              </w:tc>
              <w:tc>
                <w:tcPr>
                  <w:tcW w:w="645" w:type="pct"/>
                  <w:vMerge w:val="continue"/>
                  <w:tcBorders>
                    <w:tl2br w:val="nil"/>
                    <w:tr2bl w:val="nil"/>
                  </w:tcBorders>
                  <w:noWrap w:val="0"/>
                  <w:vAlign w:val="center"/>
                </w:tcPr>
                <w:p>
                  <w:pPr>
                    <w:jc w:val="center"/>
                    <w:rPr>
                      <w:rFonts w:hint="eastAsia" w:ascii="Times New Roman" w:hAnsi="Times New Roman" w:eastAsia="宋体" w:cs="Times New Roman"/>
                      <w:color w:val="auto"/>
                      <w:lang w:val="en-US" w:eastAsia="zh-CN"/>
                    </w:rPr>
                  </w:pPr>
                </w:p>
              </w:tc>
              <w:tc>
                <w:tcPr>
                  <w:tcW w:w="1312" w:type="pct"/>
                  <w:vMerge w:val="continue"/>
                  <w:tcBorders>
                    <w:tl2br w:val="nil"/>
                    <w:tr2bl w:val="nil"/>
                  </w:tcBorders>
                  <w:shd w:val="clear" w:color="auto" w:fill="auto"/>
                  <w:noWrap w:val="0"/>
                  <w:vAlign w:val="center"/>
                </w:tcPr>
                <w:p>
                  <w:pPr>
                    <w:jc w:val="center"/>
                    <w:rPr>
                      <w:rFonts w:hint="default" w:ascii="Times New Roman" w:hAnsi="Times New Roman" w:eastAsia="宋体" w:cs="Times New Roman"/>
                      <w:color w:val="auto"/>
                      <w:kern w:val="2"/>
                      <w:sz w:val="21"/>
                      <w:szCs w:val="24"/>
                      <w:lang w:val="en-US" w:eastAsia="zh-CN" w:bidi="ar-SA"/>
                    </w:rPr>
                  </w:pPr>
                </w:p>
              </w:tc>
              <w:tc>
                <w:tcPr>
                  <w:tcW w:w="900" w:type="pct"/>
                  <w:tcBorders>
                    <w:tl2br w:val="nil"/>
                    <w:tr2bl w:val="nil"/>
                  </w:tcBorders>
                  <w:noWrap w:val="0"/>
                  <w:vAlign w:val="center"/>
                </w:tcPr>
                <w:p>
                  <w:pPr>
                    <w:jc w:val="center"/>
                    <w:rPr>
                      <w:rFonts w:hint="eastAsia" w:cs="Times New Roman"/>
                      <w:color w:val="auto"/>
                      <w:lang w:val="en-US" w:eastAsia="zh-CN"/>
                    </w:rPr>
                  </w:pPr>
                  <w:r>
                    <w:rPr>
                      <w:rFonts w:hint="eastAsia" w:cs="Times New Roman"/>
                      <w:color w:val="auto"/>
                      <w:lang w:val="en-US" w:eastAsia="zh-CN"/>
                    </w:rPr>
                    <w:t>80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0"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77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4"/>
                      <w:lang w:val="en-US" w:eastAsia="zh-CN" w:bidi="ar-SA"/>
                    </w:rPr>
                    <w:t>中切</w:t>
                  </w:r>
                </w:p>
              </w:tc>
              <w:tc>
                <w:tcPr>
                  <w:tcW w:w="3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val="en-US" w:eastAsia="zh-CN"/>
                    </w:rPr>
                  </w:pPr>
                  <w:r>
                    <w:rPr>
                      <w:rFonts w:hint="eastAsia" w:cs="Times New Roman"/>
                      <w:color w:val="auto"/>
                      <w:kern w:val="0"/>
                      <w:sz w:val="21"/>
                      <w:szCs w:val="21"/>
                      <w:lang w:val="en-US" w:eastAsia="zh-CN"/>
                    </w:rPr>
                    <w:t>6</w:t>
                  </w:r>
                </w:p>
              </w:tc>
              <w:tc>
                <w:tcPr>
                  <w:tcW w:w="718" w:type="pct"/>
                  <w:tcBorders>
                    <w:tl2br w:val="nil"/>
                    <w:tr2bl w:val="nil"/>
                  </w:tcBorders>
                  <w:noWrap w:val="0"/>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90</w:t>
                  </w:r>
                </w:p>
              </w:tc>
              <w:tc>
                <w:tcPr>
                  <w:tcW w:w="645" w:type="pct"/>
                  <w:vMerge w:val="continue"/>
                  <w:tcBorders>
                    <w:tl2br w:val="nil"/>
                    <w:tr2bl w:val="nil"/>
                  </w:tcBorders>
                  <w:noWrap w:val="0"/>
                  <w:vAlign w:val="center"/>
                </w:tcPr>
                <w:p>
                  <w:pPr>
                    <w:jc w:val="center"/>
                    <w:rPr>
                      <w:rFonts w:hint="eastAsia" w:ascii="Times New Roman" w:hAnsi="Times New Roman" w:eastAsia="宋体" w:cs="Times New Roman"/>
                      <w:color w:val="auto"/>
                      <w:lang w:val="en-US" w:eastAsia="zh-CN"/>
                    </w:rPr>
                  </w:pPr>
                </w:p>
              </w:tc>
              <w:tc>
                <w:tcPr>
                  <w:tcW w:w="1312" w:type="pct"/>
                  <w:vMerge w:val="continue"/>
                  <w:tcBorders>
                    <w:tl2br w:val="nil"/>
                    <w:tr2bl w:val="nil"/>
                  </w:tcBorders>
                  <w:shd w:val="clear" w:color="auto" w:fill="auto"/>
                  <w:noWrap w:val="0"/>
                  <w:vAlign w:val="center"/>
                </w:tcPr>
                <w:p>
                  <w:pPr>
                    <w:jc w:val="center"/>
                    <w:rPr>
                      <w:rFonts w:hint="default" w:ascii="Times New Roman" w:hAnsi="Times New Roman" w:eastAsia="宋体" w:cs="Times New Roman"/>
                      <w:color w:val="auto"/>
                      <w:kern w:val="2"/>
                      <w:sz w:val="21"/>
                      <w:szCs w:val="24"/>
                      <w:lang w:val="en-US" w:eastAsia="zh-CN" w:bidi="ar-SA"/>
                    </w:rPr>
                  </w:pPr>
                </w:p>
              </w:tc>
              <w:tc>
                <w:tcPr>
                  <w:tcW w:w="900" w:type="pct"/>
                  <w:tcBorders>
                    <w:tl2br w:val="nil"/>
                    <w:tr2bl w:val="nil"/>
                  </w:tcBorders>
                  <w:noWrap w:val="0"/>
                  <w:vAlign w:val="center"/>
                </w:tcPr>
                <w:p>
                  <w:pPr>
                    <w:jc w:val="center"/>
                    <w:rPr>
                      <w:rFonts w:hint="eastAsia" w:cs="Times New Roman"/>
                      <w:color w:val="auto"/>
                      <w:lang w:val="en-US" w:eastAsia="zh-CN"/>
                    </w:rPr>
                  </w:pPr>
                  <w:r>
                    <w:rPr>
                      <w:rFonts w:hint="eastAsia" w:cs="Times New Roman"/>
                      <w:color w:val="auto"/>
                      <w:lang w:val="en-US" w:eastAsia="zh-CN"/>
                    </w:rPr>
                    <w:t>80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eastAsia" w:cs="Times New Roman"/>
                <w:b w:val="0"/>
                <w:bCs w:val="0"/>
                <w:color w:val="auto"/>
                <w:sz w:val="24"/>
                <w:lang w:val="en-US" w:eastAsia="zh-CN"/>
              </w:rPr>
              <w:t>（3）预测结果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4"/>
                <w:lang w:val="en-US" w:eastAsia="zh-CN"/>
              </w:rPr>
              <w:t>项目</w:t>
            </w:r>
            <w:r>
              <w:rPr>
                <w:rFonts w:hint="eastAsia" w:ascii="Times New Roman" w:hAnsi="Times New Roman" w:eastAsia="宋体" w:cs="Times New Roman"/>
                <w:color w:val="auto"/>
                <w:sz w:val="24"/>
                <w:lang w:val="en-US" w:eastAsia="zh-CN"/>
              </w:rPr>
              <w:t>工作</w:t>
            </w:r>
            <w:r>
              <w:rPr>
                <w:rFonts w:hint="default" w:ascii="Times New Roman" w:hAnsi="Times New Roman" w:eastAsia="宋体" w:cs="Times New Roman"/>
                <w:color w:val="auto"/>
                <w:sz w:val="24"/>
                <w:lang w:val="en-US" w:eastAsia="zh-CN"/>
              </w:rPr>
              <w:t>区处于户外，考虑户外声传播衰减，由于</w:t>
            </w:r>
            <w:r>
              <w:rPr>
                <w:rFonts w:hint="eastAsia" w:ascii="Times New Roman" w:hAnsi="Times New Roman" w:eastAsia="宋体" w:cs="Times New Roman"/>
                <w:color w:val="auto"/>
                <w:sz w:val="24"/>
                <w:lang w:val="en-US" w:eastAsia="zh-CN"/>
              </w:rPr>
              <w:t>工作</w:t>
            </w:r>
            <w:r>
              <w:rPr>
                <w:rFonts w:hint="default" w:ascii="Times New Roman" w:hAnsi="Times New Roman" w:eastAsia="宋体" w:cs="Times New Roman"/>
                <w:color w:val="auto"/>
                <w:sz w:val="24"/>
                <w:lang w:val="en-US" w:eastAsia="zh-CN"/>
              </w:rPr>
              <w:t>区场地开阔，衰减过程中可以仅考虑几何发散衰减，考虑到距离及其他因素的作用，考虑噪声源处于半自由声场，因此确定衰减计算公式为：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drawing>
                <wp:inline distT="0" distB="0" distL="114300" distR="114300">
                  <wp:extent cx="3801745" cy="1224915"/>
                  <wp:effectExtent l="0" t="0" r="8255" b="13335"/>
                  <wp:docPr id="25" name="图片 7" descr="42706fc05c2c5dffbd807b4a8131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42706fc05c2c5dffbd807b4a8131e81"/>
                          <pic:cNvPicPr>
                            <a:picLocks noChangeAspect="1"/>
                          </pic:cNvPicPr>
                        </pic:nvPicPr>
                        <pic:blipFill>
                          <a:blip r:embed="rId19"/>
                          <a:stretch>
                            <a:fillRect/>
                          </a:stretch>
                        </pic:blipFill>
                        <pic:spPr>
                          <a:xfrm>
                            <a:off x="0" y="0"/>
                            <a:ext cx="3801745" cy="12249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经户外声传播衰减后，厂界外50m处声源贡献值见下表：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13</w:t>
            </w:r>
            <w:r>
              <w:rPr>
                <w:rFonts w:hint="default" w:ascii="Times New Roman" w:hAnsi="Times New Roman" w:eastAsia="宋体" w:cs="Times New Roman"/>
                <w:b/>
                <w:bCs/>
                <w:color w:val="auto"/>
                <w:sz w:val="21"/>
                <w:szCs w:val="21"/>
                <w:lang w:val="en-US" w:eastAsia="zh-CN"/>
              </w:rPr>
              <w:t xml:space="preserve">  声源在厂界处等效声级贡献值   单位：dB(A)</w:t>
            </w:r>
          </w:p>
          <w:tbl>
            <w:tblPr>
              <w:tblStyle w:val="2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8"/>
              <w:gridCol w:w="2130"/>
              <w:gridCol w:w="2130"/>
              <w:gridCol w:w="213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预测点</w:t>
                  </w:r>
                </w:p>
              </w:tc>
              <w:tc>
                <w:tcPr>
                  <w:tcW w:w="1249"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声源</w:t>
                  </w:r>
                </w:p>
              </w:tc>
              <w:tc>
                <w:tcPr>
                  <w:tcW w:w="1249"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离源距离</w:t>
                  </w:r>
                </w:p>
              </w:tc>
              <w:tc>
                <w:tcPr>
                  <w:tcW w:w="1252"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等效贡献值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项目区东侧</w:t>
                  </w:r>
                </w:p>
              </w:tc>
              <w:tc>
                <w:tcPr>
                  <w:tcW w:w="1249"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加工区</w:t>
                  </w:r>
                </w:p>
              </w:tc>
              <w:tc>
                <w:tcPr>
                  <w:tcW w:w="1249"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100</w:t>
                  </w:r>
                </w:p>
              </w:tc>
              <w:tc>
                <w:tcPr>
                  <w:tcW w:w="1252"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项目区西侧</w:t>
                  </w:r>
                </w:p>
              </w:tc>
              <w:tc>
                <w:tcPr>
                  <w:tcW w:w="1249"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加工区</w:t>
                  </w:r>
                </w:p>
              </w:tc>
              <w:tc>
                <w:tcPr>
                  <w:tcW w:w="1249"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00</w:t>
                  </w:r>
                </w:p>
              </w:tc>
              <w:tc>
                <w:tcPr>
                  <w:tcW w:w="1252"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项目区南侧</w:t>
                  </w:r>
                </w:p>
              </w:tc>
              <w:tc>
                <w:tcPr>
                  <w:tcW w:w="1249"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加工区</w:t>
                  </w:r>
                </w:p>
              </w:tc>
              <w:tc>
                <w:tcPr>
                  <w:tcW w:w="1249"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150</w:t>
                  </w:r>
                </w:p>
              </w:tc>
              <w:tc>
                <w:tcPr>
                  <w:tcW w:w="1252"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项目区北侧</w:t>
                  </w:r>
                </w:p>
              </w:tc>
              <w:tc>
                <w:tcPr>
                  <w:tcW w:w="1249"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加工区</w:t>
                  </w:r>
                </w:p>
              </w:tc>
              <w:tc>
                <w:tcPr>
                  <w:tcW w:w="1249"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200</w:t>
                  </w:r>
                </w:p>
              </w:tc>
              <w:tc>
                <w:tcPr>
                  <w:tcW w:w="1252"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33</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default" w:ascii="Times New Roman" w:hAnsi="Times New Roman" w:eastAsia="宋体" w:cs="Times New Roman"/>
                <w:color w:val="auto"/>
                <w:sz w:val="24"/>
                <w:lang w:val="en-US" w:eastAsia="zh-CN"/>
              </w:rPr>
              <w:t>根据《环境影响评价技术导则 声环境》（HJ2.4-2021）可知，进行边界噪声评价时，新建建设项目以工程噪声贡献值作为评价量。由上表可知，建设项目投入运营后，各厂界噪声可以达到《工业企业厂界环境噪声排放标准》（GB12348-2008）2类区标准限值，不会对周围环境产生明显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）噪声防治措施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为降低项目营运时噪声对周边声环境的影响，项目应加强管理，采取切实有效的降噪措施：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fldChar w:fldCharType="begin"/>
            </w:r>
            <w:r>
              <w:rPr>
                <w:rFonts w:hint="default" w:ascii="Times New Roman" w:hAnsi="Times New Roman" w:eastAsia="宋体" w:cs="Times New Roman"/>
                <w:color w:val="auto"/>
                <w:sz w:val="24"/>
                <w:lang w:val="en-US" w:eastAsia="zh-CN"/>
              </w:rPr>
              <w:instrText xml:space="preserve"> = 1 \* GB3 \* MERGEFORMAT </w:instrText>
            </w:r>
            <w:r>
              <w:rPr>
                <w:rFonts w:hint="default" w:ascii="Times New Roman" w:hAnsi="Times New Roman" w:eastAsia="宋体" w:cs="Times New Roman"/>
                <w:color w:val="auto"/>
                <w:sz w:val="24"/>
                <w:lang w:val="en-US" w:eastAsia="zh-CN"/>
              </w:rPr>
              <w:fldChar w:fldCharType="separate"/>
            </w:r>
            <w:r>
              <w:rPr>
                <w:rFonts w:hint="default"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lang w:val="en-US" w:eastAsia="zh-CN"/>
              </w:rPr>
              <w:fldChar w:fldCharType="end"/>
            </w:r>
            <w:r>
              <w:rPr>
                <w:rFonts w:hint="default" w:ascii="Times New Roman" w:hAnsi="Times New Roman" w:eastAsia="宋体" w:cs="Times New Roman"/>
                <w:color w:val="auto"/>
                <w:sz w:val="24"/>
                <w:lang w:val="en-US" w:eastAsia="zh-CN"/>
              </w:rPr>
              <w:t>从声源上控制，应对噪声设备（如凿岩机、荒料切割机）加强检修和维护，以保证设备正常运转，噪声设备尽量选择低噪声和符合国家噪声标准的设备。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②建设单位在生产过程中应加强设备日常检修和维护，以保证各设备正常运转，以免由于设备故障原因产生较大噪声。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落实上述隔声降噪措施后，项目四周厂界噪声均可以达到《工业企业厂界环境噪声排放标准》（GB12348-2008）中的2类标准限值，不会对周围环境产生明显影响。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（4）监测要求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根据《排污单位自行监测技术指南 总则》（HJ819-2017），本项目噪声监测要求见表4-1</w:t>
            </w:r>
            <w:r>
              <w:rPr>
                <w:rFonts w:hint="eastAsia" w:cs="Times New Roman"/>
                <w:color w:val="auto"/>
                <w:sz w:val="24"/>
                <w:lang w:val="en-US" w:eastAsia="zh-CN"/>
              </w:rPr>
              <w:t>4</w:t>
            </w:r>
            <w:r>
              <w:rPr>
                <w:rFonts w:hint="default"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表4-1</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运营期噪声监测计划表</w:t>
            </w:r>
          </w:p>
          <w:tbl>
            <w:tblPr>
              <w:tblStyle w:val="24"/>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141"/>
              <w:gridCol w:w="1727"/>
              <w:gridCol w:w="1373"/>
              <w:gridCol w:w="361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要素</w:t>
                  </w:r>
                </w:p>
              </w:tc>
              <w:tc>
                <w:tcPr>
                  <w:tcW w:w="6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监测位置</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监测项目</w:t>
                  </w:r>
                </w:p>
              </w:tc>
              <w:tc>
                <w:tcPr>
                  <w:tcW w:w="8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监测频次</w:t>
                  </w:r>
                </w:p>
              </w:tc>
              <w:tc>
                <w:tcPr>
                  <w:tcW w:w="21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执行标准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噪声</w:t>
                  </w:r>
                </w:p>
              </w:tc>
              <w:tc>
                <w:tcPr>
                  <w:tcW w:w="6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矿界外1m</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等效连续A声级</w:t>
                  </w:r>
                </w:p>
              </w:tc>
              <w:tc>
                <w:tcPr>
                  <w:tcW w:w="8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1次/季度</w:t>
                  </w:r>
                </w:p>
              </w:tc>
              <w:tc>
                <w:tcPr>
                  <w:tcW w:w="21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《工业企业厂界环境噪声排放标准》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GB12348-2008</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类区标准限值</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（5）声环境影响分析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周边50m范围内无居民区、学校、医院等噪声敏感目标，因此本项目运营期间设备噪声对项目区以外的环境影响较小，其主要影响对象为工作人员，因此必须采取降噪措施并加强个人防护，减少受影响的程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 w:val="0"/>
                <w:bCs w:val="0"/>
                <w:color w:val="auto"/>
                <w:sz w:val="24"/>
                <w:lang w:val="en-US" w:eastAsia="zh-CN"/>
              </w:rPr>
            </w:pPr>
            <w:r>
              <w:rPr>
                <w:rFonts w:hint="eastAsia" w:cs="Times New Roman"/>
                <w:b w:val="0"/>
                <w:bCs w:val="0"/>
                <w:color w:val="auto"/>
                <w:sz w:val="24"/>
                <w:lang w:val="en-US" w:eastAsia="zh-CN"/>
              </w:rPr>
              <w:t>4、固体废物影响分析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（1）生活垃圾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auto"/>
                <w:sz w:val="24"/>
                <w:lang w:val="en-US" w:eastAsia="zh-CN"/>
              </w:rPr>
            </w:pPr>
            <w:r>
              <w:rPr>
                <w:rFonts w:hint="default" w:ascii="Times New Roman" w:hAnsi="Times New Roman" w:eastAsia="宋体" w:cs="Times New Roman"/>
                <w:color w:val="auto"/>
                <w:sz w:val="24"/>
                <w:szCs w:val="24"/>
                <w:lang w:val="en-US" w:eastAsia="zh-CN"/>
              </w:rPr>
              <w:t>按每人每天</w:t>
            </w:r>
            <w:r>
              <w:rPr>
                <w:rFonts w:hint="eastAsia"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kg计，工作人员为</w:t>
            </w:r>
            <w:r>
              <w:rPr>
                <w:rFonts w:hint="eastAsia" w:ascii="Times New Roman" w:hAnsi="Times New Roman" w:eastAsia="宋体" w:cs="Times New Roman"/>
                <w:color w:val="auto"/>
                <w:sz w:val="24"/>
                <w:szCs w:val="24"/>
                <w:lang w:val="en-US" w:eastAsia="zh-CN"/>
              </w:rPr>
              <w:t>35</w:t>
            </w:r>
            <w:r>
              <w:rPr>
                <w:rFonts w:hint="default" w:ascii="Times New Roman" w:hAnsi="Times New Roman" w:eastAsia="宋体" w:cs="Times New Roman"/>
                <w:color w:val="auto"/>
                <w:sz w:val="24"/>
                <w:szCs w:val="24"/>
                <w:lang w:val="en-US" w:eastAsia="zh-CN"/>
              </w:rPr>
              <w:t>人，生产运营期为每年</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0d，则生活垃圾产生量为</w:t>
            </w:r>
            <w:r>
              <w:rPr>
                <w:rFonts w:hint="eastAsia" w:ascii="Times New Roman" w:hAnsi="Times New Roman" w:eastAsia="宋体" w:cs="Times New Roman"/>
                <w:color w:val="auto"/>
                <w:sz w:val="24"/>
                <w:szCs w:val="24"/>
                <w:lang w:val="en-US" w:eastAsia="zh-CN"/>
              </w:rPr>
              <w:t>4.2</w:t>
            </w:r>
            <w:r>
              <w:rPr>
                <w:rFonts w:hint="default" w:ascii="Times New Roman" w:hAnsi="Times New Roman" w:eastAsia="宋体" w:cs="Times New Roman"/>
                <w:color w:val="auto"/>
                <w:sz w:val="24"/>
                <w:szCs w:val="24"/>
                <w:lang w:val="en-US" w:eastAsia="zh-CN"/>
              </w:rPr>
              <w:t>t/a。集中收集后，定期清运</w:t>
            </w:r>
            <w:r>
              <w:rPr>
                <w:rFonts w:hint="eastAsia"/>
                <w:bCs/>
                <w:color w:val="auto"/>
                <w:sz w:val="24"/>
                <w:lang w:val="en-US" w:eastAsia="zh-CN"/>
              </w:rPr>
              <w:t>至硕县垃圾填埋场</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 w:val="0"/>
                <w:bCs w:val="0"/>
                <w:color w:val="auto"/>
                <w:sz w:val="24"/>
                <w:lang w:val="en-US" w:eastAsia="zh-CN"/>
              </w:rPr>
            </w:pPr>
            <w:r>
              <w:rPr>
                <w:rFonts w:hint="eastAsia" w:cs="Times New Roman"/>
                <w:b w:val="0"/>
                <w:bCs w:val="0"/>
                <w:color w:val="auto"/>
                <w:sz w:val="24"/>
                <w:lang w:val="en-US" w:eastAsia="zh-CN"/>
              </w:rPr>
              <w:t>（2）废石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项目排土场容积为</w:t>
            </w:r>
            <w:r>
              <w:rPr>
                <w:rFonts w:hint="eastAsia" w:cs="Times New Roman"/>
                <w:b w:val="0"/>
                <w:bCs w:val="0"/>
                <w:color w:val="auto"/>
                <w:kern w:val="2"/>
                <w:sz w:val="24"/>
                <w:szCs w:val="24"/>
                <w:lang w:val="en-US" w:eastAsia="zh-CN" w:bidi="ar-SA"/>
              </w:rPr>
              <w:t>235.04</w:t>
            </w:r>
            <w:r>
              <w:rPr>
                <w:rFonts w:hint="default" w:ascii="Times New Roman" w:hAnsi="Times New Roman" w:eastAsia="宋体" w:cs="Times New Roman"/>
                <w:b w:val="0"/>
                <w:bCs w:val="0"/>
                <w:color w:val="auto"/>
                <w:kern w:val="2"/>
                <w:sz w:val="24"/>
                <w:szCs w:val="24"/>
                <w:lang w:val="en-US" w:eastAsia="zh-CN" w:bidi="ar-SA"/>
              </w:rPr>
              <w:t>万m</w:t>
            </w:r>
            <w:r>
              <w:rPr>
                <w:rFonts w:hint="default" w:ascii="Times New Roman" w:hAnsi="Times New Roman" w:eastAsia="宋体" w:cs="Times New Roman"/>
                <w:b w:val="0"/>
                <w:bCs w:val="0"/>
                <w:color w:val="auto"/>
                <w:kern w:val="2"/>
                <w:sz w:val="24"/>
                <w:szCs w:val="24"/>
                <w:vertAlign w:val="superscript"/>
                <w:lang w:val="en-US" w:eastAsia="zh-CN" w:bidi="ar-SA"/>
              </w:rPr>
              <w:t>3</w:t>
            </w:r>
            <w:r>
              <w:rPr>
                <w:rFonts w:hint="default" w:ascii="Times New Roman" w:hAnsi="Times New Roman" w:eastAsia="宋体" w:cs="Times New Roman"/>
                <w:b w:val="0"/>
                <w:bCs w:val="0"/>
                <w:color w:val="auto"/>
                <w:kern w:val="2"/>
                <w:sz w:val="24"/>
                <w:szCs w:val="24"/>
                <w:lang w:val="en-US" w:eastAsia="zh-CN" w:bidi="ar-SA"/>
              </w:rPr>
              <w:t>。根据《和硕恒达石业有限公司新疆和硕县爱盖尔其西饰面石材花岗岩矿矿产资源开发利用方案》可知，矿山设计利用矿石量133.55万立方米，荒料量27.04万立方米，则生产废石量为106.51万立方米，占地面积18hm</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default" w:ascii="Times New Roman" w:hAnsi="Times New Roman" w:eastAsia="宋体" w:cs="Times New Roman"/>
                <w:b w:val="0"/>
                <w:bCs w:val="0"/>
                <w:color w:val="auto"/>
                <w:kern w:val="2"/>
                <w:sz w:val="24"/>
                <w:szCs w:val="24"/>
                <w:lang w:val="en-US" w:eastAsia="zh-CN" w:bidi="ar-SA"/>
              </w:rPr>
              <w:t>。设计排土场场内废石压实堆放，双台阶堆存，台阶高度10米，废石堆安息角小于35°，最大堆放高度20米，排土场总容积为236万立方米，可满足矿区废石堆放需求。因此排土场的容积可以满足矿山废石排放要求。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）一般工业固废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①废边角料及不合格品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排放源统计调查产排污核算方法和系数手册》（303砖瓦、石材等建筑材料制造行业系数手册）3032建筑用石加工行业-建筑板材（毛板、毛光板、规格板）中一般固废产生系数为0.019吨/平方米-产品，本项目共产生废边角量为</w:t>
            </w:r>
            <w:r>
              <w:rPr>
                <w:rFonts w:hint="eastAsia" w:cs="Times New Roman"/>
                <w:color w:val="auto"/>
                <w:sz w:val="24"/>
                <w:szCs w:val="24"/>
                <w:lang w:val="en-US" w:eastAsia="zh-CN"/>
              </w:rPr>
              <w:t>38</w:t>
            </w:r>
            <w:r>
              <w:rPr>
                <w:rFonts w:hint="default" w:ascii="Times New Roman" w:hAnsi="Times New Roman" w:eastAsia="宋体" w:cs="Times New Roman"/>
                <w:color w:val="auto"/>
                <w:sz w:val="24"/>
                <w:szCs w:val="24"/>
                <w:lang w:val="en-US" w:eastAsia="zh-CN"/>
              </w:rPr>
              <w:t>00t/a，暂时堆放在</w:t>
            </w:r>
            <w:r>
              <w:rPr>
                <w:rFonts w:hint="eastAsia" w:cs="Times New Roman"/>
                <w:color w:val="auto"/>
                <w:sz w:val="24"/>
                <w:szCs w:val="24"/>
                <w:lang w:val="en-US" w:eastAsia="zh-CN"/>
              </w:rPr>
              <w:t>排土</w:t>
            </w:r>
            <w:r>
              <w:rPr>
                <w:rFonts w:hint="default" w:ascii="Times New Roman" w:hAnsi="Times New Roman" w:eastAsia="宋体" w:cs="Times New Roman"/>
                <w:color w:val="auto"/>
                <w:sz w:val="24"/>
                <w:szCs w:val="24"/>
                <w:lang w:val="en-US" w:eastAsia="zh-CN"/>
              </w:rPr>
              <w:t>场，边开采边回填，矿山开采结束后全部回填于采坑，平整场地。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②沉淀池泥渣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循环水池中含有泥沙、砾石，年产量约为</w:t>
            </w:r>
            <w:r>
              <w:rPr>
                <w:rFonts w:hint="eastAsia" w:cs="Times New Roman"/>
                <w:color w:val="auto"/>
                <w:sz w:val="24"/>
                <w:szCs w:val="24"/>
                <w:lang w:val="en-US" w:eastAsia="zh-CN"/>
              </w:rPr>
              <w:t>64.34</w:t>
            </w:r>
            <w:r>
              <w:rPr>
                <w:rFonts w:hint="default" w:ascii="Times New Roman" w:hAnsi="Times New Roman" w:eastAsia="宋体" w:cs="Times New Roman"/>
                <w:color w:val="auto"/>
                <w:sz w:val="24"/>
                <w:szCs w:val="24"/>
                <w:lang w:val="en-US" w:eastAsia="zh-CN"/>
              </w:rPr>
              <w:t>t（计干重），需定期清运至堆放在</w:t>
            </w:r>
            <w:r>
              <w:rPr>
                <w:rFonts w:hint="eastAsia" w:cs="Times New Roman"/>
                <w:color w:val="auto"/>
                <w:sz w:val="24"/>
                <w:szCs w:val="24"/>
                <w:lang w:val="en-US" w:eastAsia="zh-CN"/>
              </w:rPr>
              <w:t>排土</w:t>
            </w:r>
            <w:r>
              <w:rPr>
                <w:rFonts w:hint="default" w:ascii="Times New Roman" w:hAnsi="Times New Roman" w:eastAsia="宋体" w:cs="Times New Roman"/>
                <w:color w:val="auto"/>
                <w:sz w:val="24"/>
                <w:szCs w:val="24"/>
                <w:lang w:val="en-US" w:eastAsia="zh-CN"/>
              </w:rPr>
              <w:t>场，边开采边回填，矿山开采结束后全部回填于采坑，平整场地</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③厂房内沉降粉尘及除尘灰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根据同类型报告类比推理可知，本项目自然沉降粉尘量约为</w:t>
            </w:r>
            <w:r>
              <w:rPr>
                <w:rFonts w:hint="eastAsia" w:cs="Times New Roman"/>
                <w:color w:val="auto"/>
                <w:sz w:val="24"/>
                <w:szCs w:val="24"/>
                <w:lang w:val="en-US" w:eastAsia="zh-CN"/>
              </w:rPr>
              <w:t>0.39</w:t>
            </w:r>
            <w:r>
              <w:rPr>
                <w:rFonts w:hint="default" w:ascii="Times New Roman" w:hAnsi="Times New Roman" w:eastAsia="宋体" w:cs="Times New Roman"/>
                <w:color w:val="auto"/>
                <w:sz w:val="24"/>
                <w:szCs w:val="24"/>
                <w:lang w:val="en-US" w:eastAsia="zh-CN"/>
              </w:rPr>
              <w:t>t/a，布袋除尘灰约为</w:t>
            </w:r>
            <w:r>
              <w:rPr>
                <w:rFonts w:hint="eastAsia" w:cs="Times New Roman"/>
                <w:color w:val="auto"/>
                <w:sz w:val="24"/>
                <w:szCs w:val="24"/>
                <w:lang w:val="en-US" w:eastAsia="zh-CN"/>
              </w:rPr>
              <w:t>2.64</w:t>
            </w:r>
            <w:r>
              <w:rPr>
                <w:rFonts w:hint="default" w:ascii="Times New Roman" w:hAnsi="Times New Roman" w:eastAsia="宋体" w:cs="Times New Roman"/>
                <w:color w:val="auto"/>
                <w:sz w:val="24"/>
                <w:szCs w:val="24"/>
                <w:lang w:val="en-US" w:eastAsia="zh-CN"/>
              </w:rPr>
              <w:t>t/a，集中收集后与喷砂机布袋除尘灰一同清运至堆放在</w:t>
            </w:r>
            <w:r>
              <w:rPr>
                <w:rFonts w:hint="eastAsia" w:cs="Times New Roman"/>
                <w:color w:val="auto"/>
                <w:sz w:val="24"/>
                <w:szCs w:val="24"/>
                <w:lang w:val="en-US" w:eastAsia="zh-CN"/>
              </w:rPr>
              <w:t>排土场</w:t>
            </w:r>
            <w:r>
              <w:rPr>
                <w:rFonts w:hint="default" w:ascii="Times New Roman" w:hAnsi="Times New Roman" w:eastAsia="宋体" w:cs="Times New Roman"/>
                <w:color w:val="auto"/>
                <w:sz w:val="24"/>
                <w:szCs w:val="24"/>
                <w:lang w:val="en-US" w:eastAsia="zh-CN"/>
              </w:rPr>
              <w:t>，边开采边回填，矿山开采结束后全部回填于采坑，平整场地。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sz w:val="24"/>
                <w:szCs w:val="24"/>
                <w:lang w:val="en-US" w:eastAsia="zh-CN"/>
              </w:rPr>
              <w:t>本项目荒料切割机等设备运行会产生</w:t>
            </w:r>
            <w:r>
              <w:rPr>
                <w:rFonts w:hint="default" w:ascii="Times New Roman" w:hAnsi="Times New Roman" w:eastAsia="宋体" w:cs="Times New Roman"/>
                <w:color w:val="auto"/>
                <w:sz w:val="24"/>
                <w:szCs w:val="24"/>
                <w:highlight w:val="none"/>
                <w:lang w:val="en-US" w:eastAsia="zh-CN"/>
              </w:rPr>
              <w:t>废机油</w:t>
            </w:r>
            <w:r>
              <w:rPr>
                <w:rFonts w:hint="eastAsia"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lang w:val="en-US" w:eastAsia="zh-CN"/>
              </w:rPr>
              <w:t>废</w:t>
            </w:r>
            <w:r>
              <w:rPr>
                <w:rFonts w:hint="eastAsia" w:cs="Times New Roman"/>
                <w:color w:val="auto"/>
                <w:sz w:val="24"/>
                <w:szCs w:val="24"/>
                <w:highlight w:val="none"/>
                <w:lang w:val="en-US" w:eastAsia="zh-CN"/>
              </w:rPr>
              <w:t>含油手套、抹布，</w:t>
            </w:r>
            <w:r>
              <w:rPr>
                <w:rFonts w:hint="default" w:ascii="Times New Roman" w:hAnsi="Times New Roman" w:eastAsia="宋体" w:cs="Times New Roman"/>
                <w:color w:val="auto"/>
                <w:sz w:val="24"/>
                <w:szCs w:val="24"/>
                <w:lang w:val="en-US" w:eastAsia="zh-CN"/>
              </w:rPr>
              <w:t>《国家危险废物名录》</w:t>
            </w:r>
            <w:r>
              <w:rPr>
                <w:rFonts w:hint="eastAsia" w:ascii="Times New Roman" w:hAnsi="Times New Roman" w:eastAsia="宋体" w:cs="Times New Roman"/>
                <w:color w:val="auto"/>
                <w:sz w:val="24"/>
                <w:szCs w:val="24"/>
                <w:lang w:val="en-US" w:eastAsia="zh-CN"/>
              </w:rPr>
              <w:t>（2025年版）</w:t>
            </w:r>
            <w:r>
              <w:rPr>
                <w:rFonts w:hint="default" w:ascii="Times New Roman" w:hAnsi="Times New Roman" w:eastAsia="宋体" w:cs="Times New Roman"/>
                <w:color w:val="auto"/>
                <w:sz w:val="24"/>
                <w:szCs w:val="24"/>
                <w:lang w:val="en-US" w:eastAsia="zh-CN"/>
              </w:rPr>
              <w:t>属于危险废物，根据《国家危险废物名录》</w:t>
            </w:r>
            <w:r>
              <w:rPr>
                <w:rFonts w:hint="eastAsia" w:ascii="Times New Roman" w:hAnsi="Times New Roman" w:eastAsia="宋体" w:cs="Times New Roman"/>
                <w:color w:val="auto"/>
                <w:sz w:val="24"/>
                <w:szCs w:val="24"/>
                <w:lang w:val="en-US" w:eastAsia="zh-CN"/>
              </w:rPr>
              <w:t>（2025年版）</w:t>
            </w:r>
            <w:r>
              <w:rPr>
                <w:rFonts w:hint="default" w:ascii="Times New Roman" w:hAnsi="Times New Roman" w:eastAsia="宋体" w:cs="Times New Roman"/>
                <w:color w:val="auto"/>
                <w:sz w:val="24"/>
                <w:szCs w:val="24"/>
                <w:lang w:val="en-US" w:eastAsia="zh-CN"/>
              </w:rPr>
              <w:t>，本项目产生的危险废物为HW08废矿物油，本项目</w:t>
            </w:r>
            <w:r>
              <w:rPr>
                <w:rFonts w:hint="default" w:ascii="Times New Roman" w:hAnsi="Times New Roman" w:eastAsia="宋体" w:cs="Times New Roman"/>
                <w:color w:val="auto"/>
                <w:sz w:val="24"/>
                <w:szCs w:val="24"/>
                <w:highlight w:val="none"/>
                <w:lang w:val="en-US" w:eastAsia="zh-CN"/>
              </w:rPr>
              <w:t>废机油</w:t>
            </w:r>
            <w:r>
              <w:rPr>
                <w:rFonts w:hint="default" w:ascii="Times New Roman" w:hAnsi="Times New Roman" w:eastAsia="宋体" w:cs="Times New Roman"/>
                <w:color w:val="auto"/>
                <w:sz w:val="24"/>
                <w:szCs w:val="24"/>
                <w:lang w:val="en-US" w:eastAsia="zh-CN"/>
              </w:rPr>
              <w:t>产生量为0.</w:t>
            </w:r>
            <w:r>
              <w:rPr>
                <w:rFonts w:hint="eastAsia" w:ascii="Times New Roman" w:hAnsi="Times New Roman" w:eastAsia="宋体" w:cs="Times New Roman"/>
                <w:color w:val="auto"/>
                <w:sz w:val="24"/>
                <w:szCs w:val="24"/>
                <w:lang w:val="en-US" w:eastAsia="zh-CN"/>
              </w:rPr>
              <w:t>02</w:t>
            </w:r>
            <w:r>
              <w:rPr>
                <w:rFonts w:hint="default" w:ascii="Times New Roman" w:hAnsi="Times New Roman" w:eastAsia="宋体" w:cs="Times New Roman"/>
                <w:color w:val="auto"/>
                <w:sz w:val="24"/>
                <w:szCs w:val="24"/>
                <w:lang w:val="en-US" w:eastAsia="zh-CN"/>
              </w:rPr>
              <w:t>t/a，在修配间设置10m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危废暂存间，</w:t>
            </w:r>
            <w:r>
              <w:rPr>
                <w:rFonts w:hint="default" w:ascii="Times New Roman" w:hAnsi="Times New Roman" w:eastAsia="宋体" w:cs="Times New Roman"/>
                <w:color w:val="auto"/>
                <w:sz w:val="24"/>
                <w:szCs w:val="24"/>
              </w:rPr>
              <w:t>危废暂存间的设置须满足《危险废物贮存污染控制标准》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GB18597-20</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的相关要求</w:t>
            </w:r>
            <w:r>
              <w:rPr>
                <w:rFonts w:hint="eastAsia" w:cs="Times New Roman"/>
                <w:color w:val="auto"/>
                <w:sz w:val="24"/>
                <w:szCs w:val="24"/>
                <w:lang w:eastAsia="zh-CN"/>
              </w:rPr>
              <w:t>。</w:t>
            </w:r>
            <w:r>
              <w:rPr>
                <w:rFonts w:hint="eastAsia" w:cs="Times New Roman"/>
                <w:color w:val="auto"/>
                <w:sz w:val="24"/>
                <w:szCs w:val="24"/>
                <w:lang w:val="en-US" w:eastAsia="zh-CN"/>
              </w:rPr>
              <w:t>产生</w:t>
            </w:r>
            <w:r>
              <w:rPr>
                <w:rFonts w:hint="default" w:ascii="Times New Roman" w:hAnsi="Times New Roman" w:eastAsia="宋体" w:cs="Times New Roman"/>
                <w:color w:val="auto"/>
                <w:sz w:val="24"/>
                <w:szCs w:val="24"/>
                <w:highlight w:val="none"/>
                <w:lang w:val="en-US" w:eastAsia="zh-CN"/>
              </w:rPr>
              <w:t>废</w:t>
            </w:r>
            <w:r>
              <w:rPr>
                <w:rFonts w:hint="eastAsia" w:cs="Times New Roman"/>
                <w:color w:val="auto"/>
                <w:sz w:val="24"/>
                <w:szCs w:val="24"/>
                <w:highlight w:val="none"/>
                <w:lang w:val="en-US" w:eastAsia="zh-CN"/>
              </w:rPr>
              <w:t>油手套、</w:t>
            </w:r>
            <w:r>
              <w:rPr>
                <w:rFonts w:hint="default" w:ascii="Times New Roman" w:hAnsi="Times New Roman" w:eastAsia="宋体" w:cs="Times New Roman"/>
                <w:color w:val="auto"/>
                <w:sz w:val="24"/>
                <w:szCs w:val="24"/>
                <w:highlight w:val="none"/>
                <w:lang w:val="en-US" w:eastAsia="zh-CN"/>
              </w:rPr>
              <w:t>废</w:t>
            </w:r>
            <w:r>
              <w:rPr>
                <w:rFonts w:hint="eastAsia" w:cs="Times New Roman"/>
                <w:color w:val="auto"/>
                <w:sz w:val="24"/>
                <w:szCs w:val="24"/>
                <w:highlight w:val="none"/>
                <w:lang w:val="en-US" w:eastAsia="zh-CN"/>
              </w:rPr>
              <w:t>抹布20kg/a，</w:t>
            </w:r>
            <w:r>
              <w:rPr>
                <w:rFonts w:hint="default" w:ascii="Times New Roman" w:hAnsi="Times New Roman" w:eastAsia="宋体" w:cs="Times New Roman"/>
                <w:color w:val="auto"/>
                <w:sz w:val="24"/>
                <w:szCs w:val="24"/>
                <w:highlight w:val="none"/>
                <w:lang w:val="en-US" w:eastAsia="zh-CN"/>
              </w:rPr>
              <w:t>废</w:t>
            </w:r>
            <w:r>
              <w:rPr>
                <w:rFonts w:hint="eastAsia" w:cs="Times New Roman"/>
                <w:color w:val="auto"/>
                <w:sz w:val="24"/>
                <w:szCs w:val="24"/>
                <w:highlight w:val="none"/>
                <w:lang w:val="en-US" w:eastAsia="zh-CN"/>
              </w:rPr>
              <w:t>油手套、</w:t>
            </w:r>
            <w:r>
              <w:rPr>
                <w:rFonts w:hint="default" w:ascii="Times New Roman" w:hAnsi="Times New Roman" w:eastAsia="宋体" w:cs="Times New Roman"/>
                <w:color w:val="auto"/>
                <w:sz w:val="24"/>
                <w:szCs w:val="24"/>
                <w:highlight w:val="none"/>
                <w:lang w:val="en-US" w:eastAsia="zh-CN"/>
              </w:rPr>
              <w:t>废</w:t>
            </w:r>
            <w:r>
              <w:rPr>
                <w:rFonts w:hint="eastAsia" w:cs="Times New Roman"/>
                <w:color w:val="auto"/>
                <w:sz w:val="24"/>
                <w:szCs w:val="24"/>
                <w:highlight w:val="none"/>
                <w:lang w:val="en-US" w:eastAsia="zh-CN"/>
              </w:rPr>
              <w:t>抹布袋装收集后混入生活垃圾中拉运至和硕县垃圾填埋场处理</w:t>
            </w:r>
            <w:r>
              <w:rPr>
                <w:rFonts w:hint="default" w:ascii="Times New Roman" w:hAnsi="Times New Roman" w:eastAsia="宋体" w:cs="Times New Roman"/>
                <w:color w:val="auto"/>
                <w:sz w:val="24"/>
                <w:szCs w:val="24"/>
              </w:rPr>
              <w:t>。</w:t>
            </w:r>
          </w:p>
          <w:p>
            <w:pPr>
              <w:keepLines w:val="0"/>
              <w:pageBreakBefore w:val="0"/>
              <w:kinsoku/>
              <w:topLinePunct w:val="0"/>
              <w:bidi w:val="0"/>
              <w:jc w:val="center"/>
              <w:rPr>
                <w:rFonts w:hint="default" w:ascii="Times New Roman" w:hAnsi="宋体" w:eastAsia="宋体" w:cs="Times New Roman"/>
                <w:b/>
                <w:bCs/>
                <w:color w:val="auto"/>
                <w:sz w:val="22"/>
                <w:szCs w:val="28"/>
                <w:lang w:val="en-US" w:eastAsia="zh-CN"/>
              </w:rPr>
            </w:pPr>
            <w:r>
              <w:rPr>
                <w:rFonts w:hint="eastAsia" w:ascii="Times New Roman" w:hAnsi="宋体" w:eastAsia="宋体" w:cs="Times New Roman"/>
                <w:b/>
                <w:bCs/>
                <w:color w:val="auto"/>
                <w:sz w:val="22"/>
                <w:szCs w:val="28"/>
                <w:lang w:val="en-US" w:eastAsia="zh-CN"/>
              </w:rPr>
              <w:t>表4-1</w:t>
            </w:r>
            <w:r>
              <w:rPr>
                <w:rFonts w:hint="eastAsia" w:hAnsi="宋体" w:cs="Times New Roman"/>
                <w:b/>
                <w:bCs/>
                <w:color w:val="auto"/>
                <w:sz w:val="22"/>
                <w:szCs w:val="28"/>
                <w:lang w:val="en-US" w:eastAsia="zh-CN"/>
              </w:rPr>
              <w:t>5</w:t>
            </w:r>
            <w:r>
              <w:rPr>
                <w:rFonts w:hint="default" w:ascii="Times New Roman" w:hAnsi="宋体" w:eastAsia="宋体" w:cs="Times New Roman"/>
                <w:b/>
                <w:bCs/>
                <w:color w:val="auto"/>
                <w:sz w:val="22"/>
                <w:szCs w:val="28"/>
                <w:lang w:val="en-US" w:eastAsia="zh-CN"/>
              </w:rPr>
              <w:t xml:space="preserve">    </w:t>
            </w:r>
            <w:r>
              <w:rPr>
                <w:rFonts w:hint="eastAsia" w:ascii="Times New Roman" w:hAnsi="宋体" w:eastAsia="宋体" w:cs="Times New Roman"/>
                <w:b/>
                <w:bCs/>
                <w:color w:val="auto"/>
                <w:sz w:val="22"/>
                <w:szCs w:val="28"/>
                <w:lang w:val="en-US" w:eastAsia="zh-CN"/>
              </w:rPr>
              <w:t>危险废物基本情况表</w:t>
            </w:r>
          </w:p>
          <w:tbl>
            <w:tblPr>
              <w:tblStyle w:val="23"/>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57"/>
              <w:gridCol w:w="911"/>
              <w:gridCol w:w="879"/>
              <w:gridCol w:w="1264"/>
              <w:gridCol w:w="1146"/>
              <w:gridCol w:w="1072"/>
              <w:gridCol w:w="1146"/>
              <w:gridCol w:w="12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2"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贮存场所</w:t>
                  </w:r>
                </w:p>
              </w:tc>
              <w:tc>
                <w:tcPr>
                  <w:tcW w:w="534"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危险废物名称</w:t>
                  </w:r>
                </w:p>
              </w:tc>
              <w:tc>
                <w:tcPr>
                  <w:tcW w:w="515"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危险废物类别</w:t>
                  </w:r>
                </w:p>
              </w:tc>
              <w:tc>
                <w:tcPr>
                  <w:tcW w:w="741"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危险废物代码</w:t>
                  </w:r>
                </w:p>
              </w:tc>
              <w:tc>
                <w:tcPr>
                  <w:tcW w:w="672"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危险特性</w:t>
                  </w:r>
                </w:p>
              </w:tc>
              <w:tc>
                <w:tcPr>
                  <w:tcW w:w="629"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贮存方式</w:t>
                  </w:r>
                </w:p>
              </w:tc>
              <w:tc>
                <w:tcPr>
                  <w:tcW w:w="672"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贮存周期</w:t>
                  </w:r>
                </w:p>
              </w:tc>
              <w:tc>
                <w:tcPr>
                  <w:tcW w:w="730"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转移周期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2"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危废暂存间</w:t>
                  </w:r>
                </w:p>
              </w:tc>
              <w:tc>
                <w:tcPr>
                  <w:tcW w:w="534"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废机油</w:t>
                  </w:r>
                </w:p>
              </w:tc>
              <w:tc>
                <w:tcPr>
                  <w:tcW w:w="515"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default"/>
                      <w:color w:val="auto"/>
                      <w:highlight w:val="none"/>
                      <w:lang w:val="en-US" w:eastAsia="zh-CN"/>
                    </w:rPr>
                    <w:t>HW08</w:t>
                  </w:r>
                </w:p>
              </w:tc>
              <w:tc>
                <w:tcPr>
                  <w:tcW w:w="741"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lang w:val="en-US" w:eastAsia="zh-CN"/>
                    </w:rPr>
                    <w:t>900-214-08</w:t>
                  </w:r>
                </w:p>
              </w:tc>
              <w:tc>
                <w:tcPr>
                  <w:tcW w:w="672"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default"/>
                      <w:color w:val="auto"/>
                      <w:highlight w:val="none"/>
                      <w:lang w:val="en-US" w:eastAsia="zh-CN"/>
                    </w:rPr>
                    <w:t>T</w:t>
                  </w:r>
                  <w:r>
                    <w:rPr>
                      <w:rFonts w:hint="eastAsia"/>
                      <w:color w:val="auto"/>
                      <w:highlight w:val="none"/>
                      <w:lang w:val="en-US" w:eastAsia="zh-CN"/>
                    </w:rPr>
                    <w:t>，</w:t>
                  </w:r>
                  <w:r>
                    <w:rPr>
                      <w:rFonts w:hint="default"/>
                      <w:color w:val="auto"/>
                      <w:highlight w:val="none"/>
                      <w:lang w:val="en-US" w:eastAsia="zh-CN"/>
                    </w:rPr>
                    <w:t>I</w:t>
                  </w:r>
                </w:p>
              </w:tc>
              <w:tc>
                <w:tcPr>
                  <w:tcW w:w="629"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eastAsia"/>
                      <w:color w:val="auto"/>
                      <w:highlight w:val="none"/>
                      <w:lang w:val="en-US" w:eastAsia="zh-CN"/>
                    </w:rPr>
                  </w:pPr>
                  <w:r>
                    <w:rPr>
                      <w:rFonts w:hint="eastAsia"/>
                      <w:color w:val="auto"/>
                      <w:highlight w:val="none"/>
                      <w:lang w:val="en-US" w:eastAsia="zh-CN"/>
                    </w:rPr>
                    <w:t>桶装</w:t>
                  </w:r>
                </w:p>
              </w:tc>
              <w:tc>
                <w:tcPr>
                  <w:tcW w:w="672"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default"/>
                      <w:color w:val="auto"/>
                      <w:highlight w:val="none"/>
                      <w:lang w:val="en-US" w:eastAsia="zh-CN"/>
                    </w:rPr>
                    <w:t>1</w:t>
                  </w:r>
                  <w:r>
                    <w:rPr>
                      <w:rFonts w:hint="eastAsia"/>
                      <w:color w:val="auto"/>
                      <w:highlight w:val="none"/>
                      <w:lang w:val="en-US" w:eastAsia="zh-CN"/>
                    </w:rPr>
                    <w:t>年</w:t>
                  </w:r>
                </w:p>
              </w:tc>
              <w:tc>
                <w:tcPr>
                  <w:tcW w:w="730"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半年一次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2"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袋装</w:t>
                  </w:r>
                </w:p>
              </w:tc>
              <w:tc>
                <w:tcPr>
                  <w:tcW w:w="534"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eastAsia"/>
                      <w:color w:val="auto"/>
                      <w:highlight w:val="none"/>
                      <w:lang w:val="en-US" w:eastAsia="zh-CN"/>
                    </w:rPr>
                  </w:pPr>
                  <w:r>
                    <w:rPr>
                      <w:rFonts w:hint="eastAsia"/>
                      <w:color w:val="auto"/>
                      <w:highlight w:val="none"/>
                      <w:lang w:val="en-US" w:eastAsia="zh-CN"/>
                    </w:rPr>
                    <w:t>废含油手套、抹布</w:t>
                  </w:r>
                </w:p>
              </w:tc>
              <w:tc>
                <w:tcPr>
                  <w:tcW w:w="515"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leftChars="0" w:right="0" w:rightChars="0" w:firstLine="0" w:firstLineChars="0"/>
                    <w:rPr>
                      <w:rFonts w:hint="default"/>
                      <w:color w:val="auto"/>
                      <w:highlight w:val="none"/>
                      <w:lang w:val="en-US" w:eastAsia="zh-CN"/>
                    </w:rPr>
                  </w:pPr>
                  <w:r>
                    <w:rPr>
                      <w:rFonts w:hint="default"/>
                      <w:color w:val="auto"/>
                      <w:highlight w:val="none"/>
                      <w:lang w:val="en-US" w:eastAsia="zh-CN"/>
                    </w:rPr>
                    <w:t>HW0</w:t>
                  </w:r>
                  <w:r>
                    <w:rPr>
                      <w:rFonts w:hint="eastAsia"/>
                      <w:color w:val="auto"/>
                      <w:highlight w:val="none"/>
                      <w:lang w:val="en-US" w:eastAsia="zh-CN"/>
                    </w:rPr>
                    <w:t>49</w:t>
                  </w:r>
                </w:p>
              </w:tc>
              <w:tc>
                <w:tcPr>
                  <w:tcW w:w="741"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900-041-49</w:t>
                  </w:r>
                </w:p>
              </w:tc>
              <w:tc>
                <w:tcPr>
                  <w:tcW w:w="672"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leftChars="0" w:right="0" w:rightChars="0" w:firstLine="0" w:firstLineChars="0"/>
                    <w:rPr>
                      <w:rFonts w:hint="default"/>
                      <w:color w:val="auto"/>
                      <w:highlight w:val="none"/>
                      <w:lang w:val="en-US" w:eastAsia="zh-CN"/>
                    </w:rPr>
                  </w:pPr>
                  <w:r>
                    <w:rPr>
                      <w:rFonts w:hint="default"/>
                      <w:color w:val="auto"/>
                      <w:highlight w:val="none"/>
                      <w:lang w:val="en-US" w:eastAsia="zh-CN"/>
                    </w:rPr>
                    <w:t>T</w:t>
                  </w:r>
                  <w:r>
                    <w:rPr>
                      <w:rFonts w:hint="eastAsia"/>
                      <w:color w:val="auto"/>
                      <w:highlight w:val="none"/>
                      <w:lang w:val="en-US" w:eastAsia="zh-CN"/>
                    </w:rPr>
                    <w:t>，In</w:t>
                  </w:r>
                </w:p>
              </w:tc>
              <w:tc>
                <w:tcPr>
                  <w:tcW w:w="629"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leftChars="0" w:right="0" w:rightChars="0" w:firstLine="0" w:firstLineChars="0"/>
                    <w:rPr>
                      <w:rFonts w:hint="eastAsia"/>
                      <w:color w:val="auto"/>
                      <w:highlight w:val="none"/>
                      <w:lang w:val="en-US" w:eastAsia="zh-CN"/>
                    </w:rPr>
                  </w:pPr>
                  <w:r>
                    <w:rPr>
                      <w:rFonts w:hint="eastAsia"/>
                      <w:color w:val="auto"/>
                      <w:highlight w:val="none"/>
                      <w:lang w:val="en-US" w:eastAsia="zh-CN"/>
                    </w:rPr>
                    <w:t>袋装</w:t>
                  </w:r>
                </w:p>
              </w:tc>
              <w:tc>
                <w:tcPr>
                  <w:tcW w:w="672"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leftChars="0" w:right="0" w:rightChars="0" w:firstLine="0" w:firstLineChars="0"/>
                    <w:rPr>
                      <w:rFonts w:hint="default"/>
                      <w:color w:val="auto"/>
                      <w:highlight w:val="none"/>
                      <w:lang w:val="en-US" w:eastAsia="zh-CN"/>
                    </w:rPr>
                  </w:pPr>
                  <w:r>
                    <w:rPr>
                      <w:rFonts w:hint="default"/>
                      <w:color w:val="auto"/>
                      <w:highlight w:val="none"/>
                      <w:lang w:val="en-US" w:eastAsia="zh-CN"/>
                    </w:rPr>
                    <w:t>1</w:t>
                  </w:r>
                  <w:r>
                    <w:rPr>
                      <w:rFonts w:hint="eastAsia"/>
                      <w:color w:val="auto"/>
                      <w:highlight w:val="none"/>
                      <w:lang w:val="en-US" w:eastAsia="zh-CN"/>
                    </w:rPr>
                    <w:t>年</w:t>
                  </w:r>
                </w:p>
              </w:tc>
              <w:tc>
                <w:tcPr>
                  <w:tcW w:w="730"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leftChars="0" w:right="0" w:rightChars="0" w:firstLine="0" w:firstLineChars="0"/>
                    <w:rPr>
                      <w:rFonts w:hint="default"/>
                      <w:color w:val="auto"/>
                      <w:highlight w:val="none"/>
                      <w:lang w:val="en-US" w:eastAsia="zh-CN"/>
                    </w:rPr>
                  </w:pPr>
                  <w:r>
                    <w:rPr>
                      <w:rFonts w:hint="eastAsia"/>
                      <w:color w:val="auto"/>
                      <w:highlight w:val="none"/>
                      <w:lang w:val="en-US" w:eastAsia="zh-CN"/>
                    </w:rPr>
                    <w:t>随生活垃圾一起清理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pacing w:val="0"/>
                <w:kern w:val="0"/>
                <w:position w:val="0"/>
                <w:sz w:val="24"/>
                <w:szCs w:val="24"/>
                <w:highlight w:val="none"/>
                <w:lang w:val="en-US" w:eastAsia="zh-CN"/>
              </w:rPr>
            </w:pPr>
            <w:r>
              <w:rPr>
                <w:rFonts w:hint="eastAsia" w:cs="Times New Roman"/>
                <w:color w:val="auto"/>
                <w:spacing w:val="0"/>
                <w:kern w:val="0"/>
                <w:position w:val="0"/>
                <w:sz w:val="24"/>
                <w:szCs w:val="24"/>
                <w:highlight w:val="none"/>
                <w:lang w:val="en-US" w:eastAsia="zh-CN"/>
              </w:rPr>
              <w:t>由于本项目为用于同一生产经营场所专门贮存危险废物的场所;或产生危险废物的单位设置于生产线附近，用于暂时贮存以便于中转其产生的危险废物的场所，故本项目危废暂存间类型为贮存点。</w:t>
            </w:r>
            <w:r>
              <w:rPr>
                <w:rFonts w:hint="default" w:ascii="Times New Roman" w:hAnsi="Times New Roman" w:eastAsia="宋体" w:cs="Times New Roman"/>
                <w:color w:val="auto"/>
                <w:spacing w:val="0"/>
                <w:kern w:val="0"/>
                <w:position w:val="0"/>
                <w:sz w:val="24"/>
                <w:szCs w:val="24"/>
                <w:highlight w:val="none"/>
                <w:lang w:val="en-US" w:eastAsia="zh-CN"/>
              </w:rPr>
              <w:t>环评对危险废物的收集、暂存、运输及交接提出如下要求：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kern w:val="0"/>
                <w:position w:val="0"/>
                <w:highlight w:val="none"/>
              </w:rPr>
            </w:pPr>
            <w:r>
              <w:rPr>
                <w:rFonts w:hint="default"/>
                <w:b w:val="0"/>
                <w:bCs w:val="0"/>
                <w:color w:val="auto"/>
                <w:spacing w:val="0"/>
                <w:kern w:val="0"/>
                <w:position w:val="0"/>
                <w:sz w:val="24"/>
                <w:highlight w:val="none"/>
              </w:rPr>
              <w:t>危废暂存间建设要求：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①</w:t>
            </w:r>
            <w:r>
              <w:rPr>
                <w:rFonts w:hint="eastAsia"/>
                <w:color w:val="auto"/>
                <w:spacing w:val="0"/>
                <w:kern w:val="0"/>
                <w:position w:val="0"/>
                <w:sz w:val="24"/>
                <w:highlight w:val="none"/>
                <w:lang w:val="en-US" w:eastAsia="zh-CN"/>
              </w:rPr>
              <w:t>贮存设施应根据危险废物的形态、物理化学性质、包装形式和污染物迁移途径，采取必要的防风、防晒、防雨、防漏、防渗、防腐以及其他环境污染防治措施，不应露天堆放危险废物。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pacing w:val="0"/>
                <w:kern w:val="0"/>
                <w:position w:val="0"/>
                <w:sz w:val="24"/>
                <w:highlight w:val="none"/>
                <w:lang w:val="en-US" w:eastAsia="zh-CN"/>
              </w:rPr>
            </w:pPr>
            <w:r>
              <w:rPr>
                <w:rFonts w:hint="default"/>
                <w:color w:val="auto"/>
                <w:spacing w:val="0"/>
                <w:kern w:val="0"/>
                <w:position w:val="0"/>
                <w:sz w:val="24"/>
                <w:highlight w:val="none"/>
              </w:rPr>
              <w:t>②</w:t>
            </w:r>
            <w:r>
              <w:rPr>
                <w:rFonts w:hint="eastAsia"/>
                <w:color w:val="auto"/>
                <w:spacing w:val="0"/>
                <w:kern w:val="0"/>
                <w:position w:val="0"/>
                <w:sz w:val="24"/>
                <w:highlight w:val="none"/>
                <w:lang w:val="en-US" w:eastAsia="zh-CN"/>
              </w:rPr>
              <w:t>贮存设施应根据危险废物的类别、数量、形态、物理化学性质和污染防治等要求设置必要的贮存分区，避免不相容的危险废物接触、混合。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③</w:t>
            </w:r>
            <w:r>
              <w:rPr>
                <w:rFonts w:hint="eastAsia"/>
                <w:color w:val="auto"/>
                <w:spacing w:val="0"/>
                <w:kern w:val="0"/>
                <w:position w:val="0"/>
                <w:sz w:val="24"/>
                <w:highlight w:val="none"/>
                <w:lang w:val="en-US" w:eastAsia="zh-CN"/>
              </w:rPr>
              <w:t>贮存设施或贮存分区内地面、墙面裙脚、堵截泄漏的围堰、接触危险废物的隔板和墙体等应采用坚固的材料建造，表面无裂缝。</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④</w:t>
            </w:r>
            <w:r>
              <w:rPr>
                <w:rFonts w:hint="eastAsia"/>
                <w:color w:val="auto"/>
                <w:spacing w:val="0"/>
                <w:kern w:val="0"/>
                <w:position w:val="0"/>
                <w:sz w:val="24"/>
                <w:highlight w:val="none"/>
                <w:lang w:val="en-US" w:eastAsia="zh-CN"/>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default"/>
                <w:color w:val="auto"/>
                <w:spacing w:val="0"/>
                <w:kern w:val="0"/>
                <w:position w:val="0"/>
                <w:sz w:val="24"/>
                <w:highlight w:val="none"/>
                <w:lang w:val="en-US" w:eastAsia="zh-CN"/>
              </w:rPr>
              <w:t>1m</w:t>
            </w:r>
            <w:r>
              <w:rPr>
                <w:rFonts w:hint="eastAsia"/>
                <w:color w:val="auto"/>
                <w:spacing w:val="0"/>
                <w:kern w:val="0"/>
                <w:position w:val="0"/>
                <w:sz w:val="24"/>
                <w:highlight w:val="none"/>
                <w:lang w:val="en-US" w:eastAsia="zh-CN"/>
              </w:rPr>
              <w:t>厚黏土层（渗透系数不大于</w:t>
            </w:r>
            <w:r>
              <w:rPr>
                <w:rFonts w:hint="default"/>
                <w:color w:val="auto"/>
                <w:spacing w:val="0"/>
                <w:kern w:val="0"/>
                <w:position w:val="0"/>
                <w:sz w:val="24"/>
                <w:highlight w:val="none"/>
                <w:lang w:val="en-US" w:eastAsia="zh-CN"/>
              </w:rPr>
              <w:t>10</w:t>
            </w:r>
            <w:r>
              <w:rPr>
                <w:rFonts w:hint="default"/>
                <w:color w:val="auto"/>
                <w:spacing w:val="0"/>
                <w:kern w:val="0"/>
                <w:position w:val="0"/>
                <w:sz w:val="24"/>
                <w:highlight w:val="none"/>
                <w:vertAlign w:val="superscript"/>
                <w:lang w:val="en-US" w:eastAsia="zh-CN"/>
              </w:rPr>
              <w:t>-7</w:t>
            </w:r>
            <w:r>
              <w:rPr>
                <w:rFonts w:hint="default"/>
                <w:color w:val="auto"/>
                <w:spacing w:val="0"/>
                <w:kern w:val="0"/>
                <w:position w:val="0"/>
                <w:sz w:val="24"/>
                <w:highlight w:val="none"/>
                <w:lang w:val="en-US" w:eastAsia="zh-CN"/>
              </w:rPr>
              <w:t>cm/s</w:t>
            </w:r>
            <w:r>
              <w:rPr>
                <w:rFonts w:hint="eastAsia"/>
                <w:color w:val="auto"/>
                <w:spacing w:val="0"/>
                <w:kern w:val="0"/>
                <w:position w:val="0"/>
                <w:sz w:val="24"/>
                <w:highlight w:val="none"/>
                <w:lang w:val="en-US" w:eastAsia="zh-CN"/>
              </w:rPr>
              <w:t>），或至少</w:t>
            </w:r>
            <w:r>
              <w:rPr>
                <w:rFonts w:hint="default"/>
                <w:color w:val="auto"/>
                <w:spacing w:val="0"/>
                <w:kern w:val="0"/>
                <w:position w:val="0"/>
                <w:sz w:val="24"/>
                <w:highlight w:val="none"/>
                <w:lang w:val="en-US" w:eastAsia="zh-CN"/>
              </w:rPr>
              <w:t>2mm</w:t>
            </w:r>
            <w:r>
              <w:rPr>
                <w:rFonts w:hint="eastAsia"/>
                <w:color w:val="auto"/>
                <w:spacing w:val="0"/>
                <w:kern w:val="0"/>
                <w:position w:val="0"/>
                <w:sz w:val="24"/>
                <w:highlight w:val="none"/>
                <w:lang w:val="en-US" w:eastAsia="zh-CN"/>
              </w:rPr>
              <w:t>厚高密度聚乙烯膜等人工防渗材料（渗透系数不大于</w:t>
            </w:r>
            <w:r>
              <w:rPr>
                <w:rFonts w:hint="default"/>
                <w:color w:val="auto"/>
                <w:spacing w:val="0"/>
                <w:kern w:val="0"/>
                <w:position w:val="0"/>
                <w:sz w:val="24"/>
                <w:highlight w:val="none"/>
                <w:lang w:val="en-US" w:eastAsia="zh-CN"/>
              </w:rPr>
              <w:t>10</w:t>
            </w:r>
            <w:r>
              <w:rPr>
                <w:rFonts w:hint="default"/>
                <w:color w:val="auto"/>
                <w:spacing w:val="0"/>
                <w:kern w:val="0"/>
                <w:position w:val="0"/>
                <w:sz w:val="24"/>
                <w:highlight w:val="none"/>
                <w:vertAlign w:val="superscript"/>
                <w:lang w:val="en-US" w:eastAsia="zh-CN"/>
              </w:rPr>
              <w:t>-10</w:t>
            </w:r>
            <w:r>
              <w:rPr>
                <w:rFonts w:hint="default"/>
                <w:color w:val="auto"/>
                <w:spacing w:val="0"/>
                <w:kern w:val="0"/>
                <w:position w:val="0"/>
                <w:sz w:val="24"/>
                <w:highlight w:val="none"/>
                <w:lang w:val="en-US" w:eastAsia="zh-CN"/>
              </w:rPr>
              <w:t>cm/s</w:t>
            </w:r>
            <w:r>
              <w:rPr>
                <w:rFonts w:hint="eastAsia"/>
                <w:color w:val="auto"/>
                <w:spacing w:val="0"/>
                <w:kern w:val="0"/>
                <w:position w:val="0"/>
                <w:sz w:val="24"/>
                <w:highlight w:val="none"/>
                <w:lang w:val="en-US" w:eastAsia="zh-CN"/>
              </w:rPr>
              <w:t>），或其他防渗性能等效的材料。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⑤</w:t>
            </w:r>
            <w:r>
              <w:rPr>
                <w:rFonts w:hint="eastAsia"/>
                <w:color w:val="auto"/>
                <w:spacing w:val="0"/>
                <w:kern w:val="0"/>
                <w:position w:val="0"/>
                <w:sz w:val="24"/>
                <w:highlight w:val="none"/>
                <w:lang w:val="en-US" w:eastAsia="zh-CN"/>
              </w:rPr>
              <w:t>同一贮存设施宜采用相同的防渗、防腐工艺（包括防渗、防腐结构或材料），防渗、防腐材料应覆盖所有可能与废物及其渗滤液、渗漏液等接触的构筑物表面；采用不同防渗、防腐工艺应分别建设贮存分区</w:t>
            </w:r>
            <w:r>
              <w:rPr>
                <w:rFonts w:hint="default"/>
                <w:color w:val="auto"/>
                <w:spacing w:val="0"/>
                <w:kern w:val="0"/>
                <w:position w:val="0"/>
                <w:sz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⑥</w:t>
            </w:r>
            <w:r>
              <w:rPr>
                <w:rFonts w:hint="eastAsia"/>
                <w:color w:val="auto"/>
                <w:spacing w:val="0"/>
                <w:kern w:val="0"/>
                <w:position w:val="0"/>
                <w:sz w:val="24"/>
                <w:highlight w:val="none"/>
                <w:lang w:val="en-US" w:eastAsia="zh-CN"/>
              </w:rPr>
              <w:t>贮存设施应采取技术和管理措施防止无关人员进入</w:t>
            </w:r>
            <w:r>
              <w:rPr>
                <w:rFonts w:hint="default"/>
                <w:color w:val="auto"/>
                <w:spacing w:val="0"/>
                <w:kern w:val="0"/>
                <w:position w:val="0"/>
                <w:sz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b w:val="0"/>
                <w:bCs w:val="0"/>
                <w:color w:val="auto"/>
                <w:spacing w:val="0"/>
                <w:kern w:val="0"/>
                <w:position w:val="0"/>
                <w:sz w:val="24"/>
                <w:highlight w:val="none"/>
                <w:lang w:eastAsia="zh-CN" w:bidi="ar"/>
              </w:rPr>
            </w:pPr>
            <w:r>
              <w:rPr>
                <w:rFonts w:hint="eastAsia" w:ascii="Times New Roman" w:hAnsi="Times New Roman" w:cs="Times New Roman"/>
                <w:b w:val="0"/>
                <w:bCs w:val="0"/>
                <w:color w:val="auto"/>
                <w:spacing w:val="0"/>
                <w:kern w:val="0"/>
                <w:position w:val="0"/>
                <w:sz w:val="24"/>
                <w:highlight w:val="none"/>
                <w:lang w:val="en-US" w:eastAsia="zh-CN" w:bidi="ar"/>
              </w:rPr>
              <w:t>容器和包装物污染控制要求</w:t>
            </w:r>
            <w:r>
              <w:rPr>
                <w:rFonts w:hint="eastAsia" w:ascii="Times New Roman" w:hAnsi="Times New Roman" w:cs="Times New Roman"/>
                <w:b w:val="0"/>
                <w:bCs w:val="0"/>
                <w:color w:val="auto"/>
                <w:spacing w:val="0"/>
                <w:kern w:val="0"/>
                <w:position w:val="0"/>
                <w:sz w:val="24"/>
                <w:highlight w:val="none"/>
                <w:lang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①</w:t>
            </w:r>
            <w:r>
              <w:rPr>
                <w:rFonts w:hint="eastAsia"/>
                <w:color w:val="auto"/>
                <w:spacing w:val="0"/>
                <w:kern w:val="0"/>
                <w:position w:val="0"/>
                <w:sz w:val="24"/>
                <w:highlight w:val="none"/>
                <w:lang w:val="en-US" w:eastAsia="zh-CN"/>
              </w:rPr>
              <w:t>容器和包装物材质、内衬应与盛装的危险废物相容。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②</w:t>
            </w:r>
            <w:r>
              <w:rPr>
                <w:rFonts w:hint="eastAsia"/>
                <w:color w:val="auto"/>
                <w:spacing w:val="0"/>
                <w:kern w:val="0"/>
                <w:position w:val="0"/>
                <w:sz w:val="24"/>
                <w:highlight w:val="none"/>
                <w:lang w:val="en-US" w:eastAsia="zh-CN"/>
              </w:rPr>
              <w:t>针对不同类别、形态、物理化学性质的危险废物，其容器和包装物应满足相应的防渗、防漏、防腐和强度等要求。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③</w:t>
            </w:r>
            <w:r>
              <w:rPr>
                <w:rFonts w:hint="eastAsia"/>
                <w:color w:val="auto"/>
                <w:spacing w:val="0"/>
                <w:kern w:val="0"/>
                <w:position w:val="0"/>
                <w:sz w:val="24"/>
                <w:highlight w:val="none"/>
                <w:lang w:val="en-US" w:eastAsia="zh-CN"/>
              </w:rPr>
              <w:t>硬质容器和包装物及其支护结构堆叠码放时不应有明显变形，无破损泄漏。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④</w:t>
            </w:r>
            <w:r>
              <w:rPr>
                <w:rFonts w:hint="eastAsia"/>
                <w:color w:val="auto"/>
                <w:spacing w:val="0"/>
                <w:kern w:val="0"/>
                <w:position w:val="0"/>
                <w:sz w:val="24"/>
                <w:highlight w:val="none"/>
                <w:lang w:val="en-US" w:eastAsia="zh-CN"/>
              </w:rPr>
              <w:t>柔性容器和包装物堆叠码放时应封口严密，无破损泄漏。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pacing w:val="0"/>
                <w:kern w:val="0"/>
                <w:position w:val="0"/>
                <w:sz w:val="24"/>
                <w:highlight w:val="none"/>
                <w:lang w:val="en-US" w:eastAsia="zh-CN"/>
              </w:rPr>
            </w:pPr>
            <w:r>
              <w:rPr>
                <w:rFonts w:hint="eastAsia"/>
                <w:color w:val="auto"/>
                <w:spacing w:val="0"/>
                <w:kern w:val="0"/>
                <w:position w:val="0"/>
                <w:sz w:val="24"/>
                <w:highlight w:val="none"/>
                <w:lang w:val="en-US" w:eastAsia="zh-CN"/>
              </w:rPr>
              <w:t>⑤使用容器盛装液态、半固态危险废物时，容器内部应留有适当的空间，以适应因温度变化等可能引发的收缩和膨胀，防止其导致容器渗漏或永久变形。</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pacing w:val="0"/>
                <w:kern w:val="0"/>
                <w:position w:val="0"/>
                <w:sz w:val="24"/>
                <w:highlight w:val="none"/>
                <w:lang w:val="en-US" w:eastAsia="zh-CN"/>
              </w:rPr>
            </w:pPr>
            <w:r>
              <w:rPr>
                <w:rFonts w:hint="eastAsia"/>
                <w:color w:val="auto"/>
                <w:spacing w:val="0"/>
                <w:kern w:val="0"/>
                <w:position w:val="0"/>
                <w:sz w:val="24"/>
                <w:highlight w:val="none"/>
                <w:lang w:val="en-US" w:eastAsia="zh-CN"/>
              </w:rPr>
              <w:t>⑥容器和包装物外表面应保持清洁。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bCs/>
                <w:color w:val="auto"/>
                <w:spacing w:val="0"/>
                <w:kern w:val="0"/>
                <w:position w:val="0"/>
                <w:sz w:val="24"/>
                <w:highlight w:val="none"/>
                <w:lang w:eastAsia="zh-CN" w:bidi="ar"/>
              </w:rPr>
            </w:pPr>
            <w:r>
              <w:rPr>
                <w:rFonts w:hint="default" w:ascii="Times New Roman" w:hAnsi="Times New Roman" w:cs="Times New Roman"/>
                <w:b w:val="0"/>
                <w:bCs w:val="0"/>
                <w:color w:val="auto"/>
                <w:spacing w:val="0"/>
                <w:kern w:val="0"/>
                <w:position w:val="0"/>
                <w:sz w:val="24"/>
                <w:highlight w:val="none"/>
                <w:lang w:bidi="ar"/>
              </w:rPr>
              <w:t>危险废物贮存设施的运行与管理要求</w:t>
            </w:r>
            <w:r>
              <w:rPr>
                <w:rFonts w:hint="eastAsia" w:ascii="Times New Roman" w:hAnsi="Times New Roman" w:cs="Times New Roman"/>
                <w:b w:val="0"/>
                <w:bCs w:val="0"/>
                <w:color w:val="auto"/>
                <w:spacing w:val="0"/>
                <w:kern w:val="0"/>
                <w:position w:val="0"/>
                <w:sz w:val="24"/>
                <w:highlight w:val="none"/>
                <w:lang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pacing w:val="0"/>
                <w:kern w:val="0"/>
                <w:position w:val="0"/>
                <w:sz w:val="24"/>
                <w:highlight w:val="none"/>
                <w:lang w:bidi="ar"/>
              </w:rPr>
            </w:pPr>
            <w:r>
              <w:rPr>
                <w:rFonts w:hint="default" w:ascii="Times New Roman" w:hAnsi="Times New Roman" w:cs="Times New Roman"/>
                <w:color w:val="auto"/>
                <w:spacing w:val="0"/>
                <w:kern w:val="0"/>
                <w:position w:val="0"/>
                <w:sz w:val="24"/>
                <w:highlight w:val="none"/>
                <w:lang w:bidi="ar"/>
              </w:rPr>
              <w:t>①</w:t>
            </w:r>
            <w:r>
              <w:rPr>
                <w:rFonts w:hint="default" w:ascii="Times New Roman" w:hAnsi="Times New Roman" w:cs="Times New Roman"/>
                <w:color w:val="auto"/>
                <w:spacing w:val="0"/>
                <w:kern w:val="0"/>
                <w:position w:val="0"/>
                <w:sz w:val="24"/>
                <w:highlight w:val="none"/>
                <w:lang w:val="en-US" w:eastAsia="zh-CN" w:bidi="ar"/>
              </w:rPr>
              <w:t>危险废物存入贮存设施前应对危险废物类别和特性与危险废物标签等危险废物识别标志的一致性进行核验，不一致的或类别、特性不明的不应存入。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pacing w:val="0"/>
                <w:kern w:val="0"/>
                <w:position w:val="0"/>
                <w:sz w:val="24"/>
                <w:highlight w:val="none"/>
                <w:lang w:bidi="ar"/>
              </w:rPr>
            </w:pPr>
            <w:r>
              <w:rPr>
                <w:rFonts w:hint="default" w:ascii="Times New Roman" w:hAnsi="Times New Roman" w:cs="Times New Roman"/>
                <w:color w:val="auto"/>
                <w:spacing w:val="0"/>
                <w:kern w:val="0"/>
                <w:position w:val="0"/>
                <w:sz w:val="24"/>
                <w:highlight w:val="none"/>
                <w:lang w:bidi="ar"/>
              </w:rPr>
              <w:t>②</w:t>
            </w:r>
            <w:r>
              <w:rPr>
                <w:rFonts w:hint="default" w:ascii="Times New Roman" w:hAnsi="Times New Roman" w:cs="Times New Roman"/>
                <w:color w:val="auto"/>
                <w:spacing w:val="0"/>
                <w:kern w:val="0"/>
                <w:position w:val="0"/>
                <w:sz w:val="24"/>
                <w:highlight w:val="none"/>
                <w:lang w:val="en-US" w:eastAsia="zh-CN" w:bidi="ar"/>
              </w:rPr>
              <w:t>应定期检查危险废物的贮存状况，及时清理贮存设施地面，更换破损泄漏的危险废物贮存容器和包装物，保证堆存危险废物的防雨、防风、防扬尘等设施功能完好。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pacing w:val="0"/>
                <w:kern w:val="0"/>
                <w:position w:val="0"/>
                <w:sz w:val="24"/>
                <w:highlight w:val="none"/>
                <w:lang w:bidi="ar"/>
              </w:rPr>
            </w:pPr>
            <w:r>
              <w:rPr>
                <w:rFonts w:hint="default" w:ascii="Times New Roman" w:hAnsi="Times New Roman" w:cs="Times New Roman"/>
                <w:color w:val="auto"/>
                <w:spacing w:val="0"/>
                <w:kern w:val="0"/>
                <w:position w:val="0"/>
                <w:sz w:val="24"/>
                <w:highlight w:val="none"/>
                <w:lang w:bidi="ar"/>
              </w:rPr>
              <w:t>③</w:t>
            </w:r>
            <w:r>
              <w:rPr>
                <w:rFonts w:hint="default" w:ascii="Times New Roman" w:hAnsi="Times New Roman" w:cs="Times New Roman"/>
                <w:color w:val="auto"/>
                <w:spacing w:val="0"/>
                <w:kern w:val="0"/>
                <w:position w:val="0"/>
                <w:sz w:val="24"/>
                <w:highlight w:val="none"/>
                <w:lang w:val="en-US" w:eastAsia="zh-CN" w:bidi="ar"/>
              </w:rPr>
              <w:t>作业设备及车辆等结束作业离开贮存设施时，应对其残留的危险废物进行清理，清理的废物或清洗废水应收集处理。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pacing w:val="0"/>
                <w:kern w:val="0"/>
                <w:position w:val="0"/>
                <w:sz w:val="24"/>
                <w:highlight w:val="none"/>
                <w:lang w:bidi="ar"/>
              </w:rPr>
            </w:pPr>
            <w:r>
              <w:rPr>
                <w:rFonts w:hint="default" w:ascii="Times New Roman" w:hAnsi="Times New Roman" w:cs="Times New Roman"/>
                <w:color w:val="auto"/>
                <w:spacing w:val="0"/>
                <w:kern w:val="0"/>
                <w:position w:val="0"/>
                <w:sz w:val="24"/>
                <w:highlight w:val="none"/>
                <w:lang w:bidi="ar"/>
              </w:rPr>
              <w:t>④</w:t>
            </w:r>
            <w:r>
              <w:rPr>
                <w:rFonts w:hint="default" w:ascii="Times New Roman" w:hAnsi="Times New Roman" w:cs="Times New Roman"/>
                <w:color w:val="auto"/>
                <w:spacing w:val="0"/>
                <w:kern w:val="0"/>
                <w:position w:val="0"/>
                <w:sz w:val="24"/>
                <w:highlight w:val="none"/>
                <w:lang w:val="en-US" w:eastAsia="zh-CN" w:bidi="ar"/>
              </w:rPr>
              <w:t>贮存设施运行期间，应按国家有关标准和规定建立危险废物管理台账并保存。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pacing w:val="0"/>
                <w:kern w:val="0"/>
                <w:position w:val="0"/>
                <w:sz w:val="24"/>
                <w:highlight w:val="none"/>
                <w:lang w:bidi="ar"/>
              </w:rPr>
            </w:pPr>
            <w:r>
              <w:rPr>
                <w:rFonts w:hint="default" w:ascii="Times New Roman" w:hAnsi="Times New Roman" w:cs="Times New Roman"/>
                <w:color w:val="auto"/>
                <w:spacing w:val="0"/>
                <w:kern w:val="0"/>
                <w:position w:val="0"/>
                <w:sz w:val="24"/>
                <w:highlight w:val="none"/>
                <w:lang w:bidi="ar"/>
              </w:rPr>
              <w:t>⑤</w:t>
            </w:r>
            <w:r>
              <w:rPr>
                <w:rFonts w:hint="default" w:ascii="Times New Roman" w:hAnsi="Times New Roman" w:cs="Times New Roman"/>
                <w:color w:val="auto"/>
                <w:spacing w:val="0"/>
                <w:kern w:val="0"/>
                <w:position w:val="0"/>
                <w:sz w:val="24"/>
                <w:highlight w:val="none"/>
                <w:lang w:val="en-US" w:eastAsia="zh-CN" w:bidi="ar"/>
              </w:rPr>
              <w:t>贮存设施所有者或运营者应建立贮存设施环境管理制度、管理人员岗位职责制度、设施运行操作制度、人员岗位培训制度等。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pacing w:val="0"/>
                <w:kern w:val="0"/>
                <w:position w:val="0"/>
                <w:sz w:val="24"/>
                <w:highlight w:val="none"/>
                <w:lang w:bidi="ar"/>
              </w:rPr>
            </w:pPr>
            <w:r>
              <w:rPr>
                <w:rFonts w:hint="default" w:ascii="Times New Roman" w:hAnsi="Times New Roman" w:cs="Times New Roman"/>
                <w:color w:val="auto"/>
                <w:spacing w:val="0"/>
                <w:kern w:val="0"/>
                <w:position w:val="0"/>
                <w:sz w:val="24"/>
                <w:highlight w:val="none"/>
                <w:lang w:bidi="ar"/>
              </w:rPr>
              <w:t>⑥</w:t>
            </w:r>
            <w:r>
              <w:rPr>
                <w:rFonts w:hint="default" w:ascii="Times New Roman" w:hAnsi="Times New Roman" w:cs="Times New Roman"/>
                <w:color w:val="auto"/>
                <w:spacing w:val="0"/>
                <w:kern w:val="0"/>
                <w:position w:val="0"/>
                <w:sz w:val="24"/>
                <w:highlight w:val="none"/>
                <w:lang w:val="en-US" w:eastAsia="zh-CN" w:bidi="ar"/>
              </w:rPr>
              <w:t>贮存设施所有者或运营者应依据国家土壤和地下水污染防治的有关规定，结合贮存设施特点建立土壤和地下水污染隐患排查制度，并定期开展隐患排查；发现隐患应及时采取措施消除隐患，并建立档案。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pacing w:val="0"/>
                <w:kern w:val="0"/>
                <w:position w:val="0"/>
                <w:sz w:val="24"/>
                <w:highlight w:val="none"/>
                <w:lang w:bidi="ar"/>
              </w:rPr>
            </w:pPr>
            <w:r>
              <w:rPr>
                <w:rFonts w:hint="default" w:ascii="Times New Roman" w:hAnsi="Times New Roman" w:cs="Times New Roman"/>
                <w:color w:val="auto"/>
                <w:spacing w:val="0"/>
                <w:kern w:val="0"/>
                <w:position w:val="0"/>
                <w:sz w:val="24"/>
                <w:highlight w:val="none"/>
                <w:lang w:bidi="ar"/>
              </w:rPr>
              <w:t>⑦</w:t>
            </w:r>
            <w:r>
              <w:rPr>
                <w:rFonts w:hint="default" w:ascii="Times New Roman" w:hAnsi="Times New Roman" w:cs="Times New Roman"/>
                <w:color w:val="auto"/>
                <w:spacing w:val="0"/>
                <w:kern w:val="0"/>
                <w:position w:val="0"/>
                <w:sz w:val="24"/>
                <w:highlight w:val="none"/>
                <w:lang w:val="en-US" w:eastAsia="zh-CN" w:bidi="ar"/>
              </w:rPr>
              <w:t>贮存设施所有者或运营者应建立贮存设施全部档案，包括设计、施工、验收、运行、监测和环境应急等，应按国家有关档案管理的法律法规进行整理和归档。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pacing w:val="0"/>
                <w:kern w:val="0"/>
                <w:position w:val="0"/>
                <w:sz w:val="24"/>
                <w:highlight w:val="none"/>
                <w:lang w:eastAsia="zh-CN" w:bidi="ar"/>
              </w:rPr>
            </w:pPr>
            <w:r>
              <w:rPr>
                <w:rFonts w:hint="default" w:ascii="Times New Roman" w:hAnsi="Times New Roman" w:cs="Times New Roman"/>
                <w:b w:val="0"/>
                <w:bCs w:val="0"/>
                <w:color w:val="auto"/>
                <w:spacing w:val="0"/>
                <w:kern w:val="0"/>
                <w:position w:val="0"/>
                <w:sz w:val="24"/>
                <w:highlight w:val="none"/>
                <w:lang w:bidi="ar"/>
              </w:rPr>
              <w:t>危险废物贮存设施的安全防护要求</w:t>
            </w:r>
            <w:r>
              <w:rPr>
                <w:rFonts w:hint="eastAsia" w:ascii="Times New Roman" w:hAnsi="Times New Roman" w:cs="Times New Roman"/>
                <w:b w:val="0"/>
                <w:bCs w:val="0"/>
                <w:color w:val="auto"/>
                <w:spacing w:val="0"/>
                <w:kern w:val="0"/>
                <w:position w:val="0"/>
                <w:sz w:val="24"/>
                <w:highlight w:val="none"/>
                <w:lang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pacing w:val="0"/>
                <w:kern w:val="0"/>
                <w:position w:val="0"/>
                <w:sz w:val="24"/>
                <w:highlight w:val="none"/>
                <w:lang w:bidi="ar"/>
              </w:rPr>
            </w:pPr>
            <w:r>
              <w:rPr>
                <w:rFonts w:hint="default" w:ascii="Times New Roman" w:hAnsi="Times New Roman" w:cs="Times New Roman"/>
                <w:color w:val="auto"/>
                <w:spacing w:val="0"/>
                <w:kern w:val="0"/>
                <w:position w:val="0"/>
                <w:sz w:val="24"/>
                <w:highlight w:val="none"/>
                <w:lang w:bidi="ar"/>
              </w:rPr>
              <w:t>①危险废物贮存设施都必须按GB15562.2的规定设置警示标志。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pacing w:val="0"/>
                <w:kern w:val="0"/>
                <w:position w:val="0"/>
                <w:sz w:val="24"/>
                <w:highlight w:val="none"/>
                <w:lang w:bidi="ar"/>
              </w:rPr>
            </w:pPr>
            <w:r>
              <w:rPr>
                <w:rFonts w:hint="default" w:ascii="Times New Roman" w:hAnsi="Times New Roman" w:cs="Times New Roman"/>
                <w:color w:val="auto"/>
                <w:spacing w:val="0"/>
                <w:kern w:val="0"/>
                <w:position w:val="0"/>
                <w:sz w:val="24"/>
                <w:highlight w:val="none"/>
                <w:lang w:bidi="ar"/>
              </w:rPr>
              <w:t>②危险废物贮存设施周围应设置围墙或其它防护栅栏。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pacing w:val="0"/>
                <w:kern w:val="0"/>
                <w:position w:val="0"/>
                <w:sz w:val="24"/>
                <w:highlight w:val="none"/>
                <w:lang w:bidi="ar"/>
              </w:rPr>
            </w:pPr>
            <w:r>
              <w:rPr>
                <w:rFonts w:hint="default" w:ascii="Times New Roman" w:hAnsi="Times New Roman" w:cs="Times New Roman"/>
                <w:color w:val="auto"/>
                <w:spacing w:val="0"/>
                <w:kern w:val="0"/>
                <w:position w:val="0"/>
                <w:sz w:val="24"/>
                <w:highlight w:val="none"/>
                <w:lang w:bidi="ar"/>
              </w:rPr>
              <w:t>③危险废物贮存设施应配备通讯设备、照明设施、安全防护服装及工具，并设有应急防护设施。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pacing w:val="0"/>
                <w:kern w:val="0"/>
                <w:position w:val="0"/>
                <w:sz w:val="24"/>
                <w:highlight w:val="none"/>
                <w:lang w:bidi="ar"/>
              </w:rPr>
            </w:pPr>
            <w:r>
              <w:rPr>
                <w:rFonts w:hint="default" w:ascii="Times New Roman" w:hAnsi="Times New Roman" w:cs="Times New Roman"/>
                <w:color w:val="auto"/>
                <w:spacing w:val="0"/>
                <w:kern w:val="0"/>
                <w:position w:val="0"/>
                <w:sz w:val="24"/>
                <w:highlight w:val="none"/>
                <w:lang w:bidi="ar"/>
              </w:rPr>
              <w:t>④危险废物贮存设施内清理出来的泄漏物，一律按危险废物处理。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b w:val="0"/>
                <w:bCs w:val="0"/>
                <w:color w:val="auto"/>
                <w:spacing w:val="0"/>
                <w:kern w:val="0"/>
                <w:position w:val="0"/>
                <w:sz w:val="24"/>
                <w:highlight w:val="none"/>
              </w:rPr>
            </w:pPr>
            <w:r>
              <w:rPr>
                <w:rFonts w:hint="default"/>
                <w:b w:val="0"/>
                <w:bCs w:val="0"/>
                <w:color w:val="auto"/>
                <w:spacing w:val="0"/>
                <w:kern w:val="0"/>
                <w:position w:val="0"/>
                <w:sz w:val="24"/>
                <w:highlight w:val="none"/>
              </w:rPr>
              <w:t>危险废物的转运要求：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危险废物应按照国家有关规定向当地环境保护行政主管部门申报登记，接受当地环境保护行政主管部门监督管理。同时，根据国务院令第344号《危险化学品安全管理条例》、《危险废物收集贮存运输技术规范》（HJ2025-2012）和</w:t>
            </w:r>
            <w:r>
              <w:rPr>
                <w:rFonts w:hint="eastAsia"/>
                <w:color w:val="auto"/>
                <w:lang w:eastAsia="zh-CN"/>
              </w:rPr>
              <w:t>《</w:t>
            </w:r>
            <w:r>
              <w:rPr>
                <w:rFonts w:hint="eastAsia"/>
                <w:color w:val="auto"/>
                <w:spacing w:val="0"/>
                <w:kern w:val="0"/>
                <w:position w:val="0"/>
                <w:sz w:val="24"/>
                <w:highlight w:val="none"/>
                <w:lang w:val="en-US" w:eastAsia="zh-CN"/>
              </w:rPr>
              <w:t>危险废物转移管理办法》（2022年1月1日起施行）</w:t>
            </w:r>
            <w:r>
              <w:rPr>
                <w:rFonts w:hint="default"/>
                <w:color w:val="auto"/>
                <w:spacing w:val="0"/>
                <w:kern w:val="0"/>
                <w:position w:val="0"/>
                <w:sz w:val="24"/>
                <w:highlight w:val="none"/>
              </w:rPr>
              <w:t>的有关规定，在危险废物外运至处置单位时必须严格遵守以下要求：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①做好每次外运处置废弃物的运输登记，</w:t>
            </w:r>
            <w:r>
              <w:rPr>
                <w:rFonts w:hint="eastAsia"/>
                <w:color w:val="auto"/>
                <w:spacing w:val="0"/>
                <w:kern w:val="0"/>
                <w:position w:val="0"/>
                <w:sz w:val="24"/>
                <w:highlight w:val="none"/>
                <w:lang w:val="en-US" w:eastAsia="zh-CN"/>
              </w:rPr>
              <w:t>做好危险废物电子转移联单工作</w:t>
            </w:r>
            <w:r>
              <w:rPr>
                <w:rFonts w:hint="default"/>
                <w:color w:val="auto"/>
                <w:spacing w:val="0"/>
                <w:kern w:val="0"/>
                <w:position w:val="0"/>
                <w:sz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②废弃物处置单位的运输人员必须掌握危险化学品运输的安全知识，化学品的性质、危害特性、包装容器的使用特性和发生意外时的应急措施了解所运载的危险。运输车辆必须具有车辆危险货物运输许可证。驾驶人员必须由取得驾驶执照的熟练人员担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③处置单位在运输危险废物时必须配备押运人员，并随时处于押运人员的监管之下，不得超装、超载，严格按照所在城市规定的行车时间和行车路线行驶，不得进入危险化学品运输车辆禁止通行的区域。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④危险废物在运输途中若发生被盗、丢失、流散、泄漏等情况时，公司及押运人员必须立即向当地公安部门报告，并采取一切可能的警示措施。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⑤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b w:val="0"/>
                <w:bCs w:val="0"/>
                <w:color w:val="auto"/>
                <w:spacing w:val="0"/>
                <w:kern w:val="0"/>
                <w:position w:val="0"/>
                <w:sz w:val="24"/>
                <w:highlight w:val="none"/>
              </w:rPr>
            </w:pPr>
            <w:r>
              <w:rPr>
                <w:rFonts w:hint="eastAsia"/>
                <w:b w:val="0"/>
                <w:bCs w:val="0"/>
                <w:color w:val="auto"/>
                <w:spacing w:val="0"/>
                <w:kern w:val="0"/>
                <w:position w:val="0"/>
                <w:sz w:val="24"/>
                <w:highlight w:val="none"/>
                <w:lang w:val="en-US" w:eastAsia="zh-CN"/>
              </w:rPr>
              <w:t>贮存点环境管理</w:t>
            </w:r>
            <w:r>
              <w:rPr>
                <w:rFonts w:hint="default"/>
                <w:b w:val="0"/>
                <w:bCs w:val="0"/>
                <w:color w:val="auto"/>
                <w:spacing w:val="0"/>
                <w:kern w:val="0"/>
                <w:position w:val="0"/>
                <w:sz w:val="24"/>
                <w:highlight w:val="none"/>
              </w:rPr>
              <w:t>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pacing w:val="0"/>
                <w:kern w:val="0"/>
                <w:position w:val="0"/>
                <w:sz w:val="24"/>
                <w:highlight w:val="none"/>
                <w:lang w:val="en-US" w:eastAsia="zh-CN"/>
              </w:rPr>
            </w:pPr>
            <w:r>
              <w:rPr>
                <w:rFonts w:hint="default"/>
                <w:color w:val="auto"/>
                <w:spacing w:val="0"/>
                <w:kern w:val="0"/>
                <w:position w:val="0"/>
                <w:sz w:val="24"/>
                <w:highlight w:val="none"/>
              </w:rPr>
              <w:t>①</w:t>
            </w:r>
            <w:r>
              <w:rPr>
                <w:rFonts w:hint="eastAsia"/>
                <w:color w:val="auto"/>
                <w:spacing w:val="0"/>
                <w:kern w:val="0"/>
                <w:position w:val="0"/>
                <w:sz w:val="24"/>
                <w:highlight w:val="none"/>
                <w:lang w:val="en-US" w:eastAsia="zh-CN"/>
              </w:rPr>
              <w:t>贮存点应具有固定的区域边界，并应采取与其他区域进行隔离的措施。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pacing w:val="0"/>
                <w:kern w:val="0"/>
                <w:position w:val="0"/>
                <w:sz w:val="24"/>
                <w:highlight w:val="none"/>
                <w:lang w:val="en-US" w:eastAsia="zh-CN"/>
              </w:rPr>
            </w:pPr>
            <w:r>
              <w:rPr>
                <w:rFonts w:hint="default"/>
                <w:color w:val="auto"/>
                <w:spacing w:val="0"/>
                <w:kern w:val="0"/>
                <w:position w:val="0"/>
                <w:sz w:val="24"/>
                <w:highlight w:val="none"/>
              </w:rPr>
              <w:t>②</w:t>
            </w:r>
            <w:r>
              <w:rPr>
                <w:rFonts w:hint="eastAsia"/>
                <w:color w:val="auto"/>
                <w:spacing w:val="0"/>
                <w:kern w:val="0"/>
                <w:position w:val="0"/>
                <w:sz w:val="24"/>
                <w:highlight w:val="none"/>
                <w:lang w:val="en-US" w:eastAsia="zh-CN"/>
              </w:rPr>
              <w:t>贮存点</w:t>
            </w:r>
            <w:r>
              <w:rPr>
                <w:rFonts w:hint="default"/>
                <w:color w:val="auto"/>
                <w:spacing w:val="0"/>
                <w:kern w:val="0"/>
                <w:position w:val="0"/>
                <w:sz w:val="24"/>
                <w:highlight w:val="none"/>
                <w:lang w:val="en-US" w:eastAsia="zh-CN"/>
              </w:rPr>
              <w:t>应采取防风、防雨、防晒和防止危险废物流失、扬散等措施。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pacing w:val="0"/>
                <w:kern w:val="0"/>
                <w:position w:val="0"/>
                <w:sz w:val="24"/>
                <w:highlight w:val="none"/>
                <w:lang w:val="en-US" w:eastAsia="zh-CN"/>
              </w:rPr>
            </w:pPr>
            <w:r>
              <w:rPr>
                <w:rFonts w:hint="default"/>
                <w:color w:val="auto"/>
                <w:spacing w:val="0"/>
                <w:kern w:val="0"/>
                <w:position w:val="0"/>
                <w:sz w:val="24"/>
                <w:highlight w:val="none"/>
              </w:rPr>
              <w:t>③</w:t>
            </w:r>
            <w:r>
              <w:rPr>
                <w:rFonts w:hint="default"/>
                <w:color w:val="auto"/>
                <w:spacing w:val="0"/>
                <w:kern w:val="0"/>
                <w:position w:val="0"/>
                <w:sz w:val="24"/>
                <w:highlight w:val="none"/>
                <w:lang w:val="en-US" w:eastAsia="zh-CN"/>
              </w:rPr>
              <w:t>贮存点贮存的危险废物应置于容器或包装物中，不应直接散堆。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pacing w:val="0"/>
                <w:kern w:val="0"/>
                <w:position w:val="0"/>
                <w:sz w:val="24"/>
                <w:highlight w:val="none"/>
                <w:lang w:val="en-US" w:eastAsia="zh-CN"/>
              </w:rPr>
            </w:pPr>
            <w:r>
              <w:rPr>
                <w:rFonts w:hint="default"/>
                <w:color w:val="auto"/>
                <w:spacing w:val="0"/>
                <w:kern w:val="0"/>
                <w:position w:val="0"/>
                <w:sz w:val="24"/>
                <w:highlight w:val="none"/>
              </w:rPr>
              <w:t>④</w:t>
            </w:r>
            <w:r>
              <w:rPr>
                <w:rFonts w:hint="default"/>
                <w:color w:val="auto"/>
                <w:spacing w:val="0"/>
                <w:kern w:val="0"/>
                <w:position w:val="0"/>
                <w:sz w:val="24"/>
                <w:highlight w:val="none"/>
                <w:lang w:val="en-US" w:eastAsia="zh-CN"/>
              </w:rPr>
              <w:t>贮存点应根据危险废物的形态、物理化学性质、包装形式等，采取防渗、防漏等污染防治措施或采用具有相应功能的装置。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pacing w:val="0"/>
                <w:kern w:val="0"/>
                <w:position w:val="0"/>
                <w:sz w:val="24"/>
                <w:highlight w:val="none"/>
                <w:lang w:val="en-US" w:eastAsia="zh-CN"/>
              </w:rPr>
            </w:pPr>
            <w:r>
              <w:rPr>
                <w:rFonts w:hint="default"/>
                <w:color w:val="auto"/>
                <w:spacing w:val="0"/>
                <w:kern w:val="0"/>
                <w:position w:val="0"/>
                <w:sz w:val="24"/>
                <w:highlight w:val="none"/>
              </w:rPr>
              <w:t>⑤</w:t>
            </w:r>
            <w:r>
              <w:rPr>
                <w:rFonts w:hint="default"/>
                <w:color w:val="auto"/>
                <w:spacing w:val="0"/>
                <w:kern w:val="0"/>
                <w:position w:val="0"/>
                <w:sz w:val="24"/>
                <w:highlight w:val="none"/>
                <w:lang w:val="en-US" w:eastAsia="zh-CN"/>
              </w:rPr>
              <w:t>贮存点应及时清运贮存的危险废物，实时贮存量不应超过3吨。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（4）固体废物汇总</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eastAsia" w:ascii="Times New Roman" w:hAnsi="Times New Roman" w:eastAsia="宋体" w:cs="Times New Roman"/>
                <w:color w:val="auto"/>
                <w:spacing w:val="0"/>
                <w:kern w:val="0"/>
                <w:position w:val="0"/>
                <w:sz w:val="24"/>
                <w:szCs w:val="24"/>
                <w:highlight w:val="none"/>
                <w:lang w:val="en-US" w:eastAsia="zh-CN" w:bidi="ar-SA"/>
              </w:rPr>
            </w:pPr>
            <w:r>
              <w:rPr>
                <w:rFonts w:hint="eastAsia" w:ascii="Times New Roman" w:hAnsi="Times New Roman" w:eastAsia="宋体" w:cs="Times New Roman"/>
                <w:color w:val="auto"/>
                <w:spacing w:val="0"/>
                <w:kern w:val="0"/>
                <w:position w:val="0"/>
                <w:sz w:val="24"/>
                <w:szCs w:val="24"/>
                <w:highlight w:val="none"/>
                <w:lang w:val="en-US" w:eastAsia="zh-CN" w:bidi="ar-SA"/>
              </w:rPr>
              <w:t>本项目固体废物产生情况见下表。</w:t>
            </w:r>
          </w:p>
          <w:p>
            <w:pPr>
              <w:keepLines w:val="0"/>
              <w:pageBreakBefore w:val="0"/>
              <w:kinsoku/>
              <w:topLinePunct w:val="0"/>
              <w:bidi w:val="0"/>
              <w:jc w:val="center"/>
              <w:rPr>
                <w:rFonts w:hint="default" w:ascii="Times New Roman" w:hAnsi="宋体" w:eastAsia="宋体" w:cs="Times New Roman"/>
                <w:b/>
                <w:bCs/>
                <w:color w:val="auto"/>
                <w:sz w:val="22"/>
                <w:szCs w:val="28"/>
                <w:lang w:val="en-US" w:eastAsia="zh-CN"/>
              </w:rPr>
            </w:pPr>
            <w:r>
              <w:rPr>
                <w:rFonts w:hint="eastAsia" w:ascii="Times New Roman" w:hAnsi="宋体" w:eastAsia="宋体" w:cs="Times New Roman"/>
                <w:b/>
                <w:bCs/>
                <w:color w:val="auto"/>
                <w:sz w:val="22"/>
                <w:szCs w:val="28"/>
                <w:lang w:val="en-US" w:eastAsia="zh-CN"/>
              </w:rPr>
              <w:t>表4-1</w:t>
            </w:r>
            <w:r>
              <w:rPr>
                <w:rFonts w:hint="eastAsia" w:hAnsi="宋体" w:cs="Times New Roman"/>
                <w:b/>
                <w:bCs/>
                <w:color w:val="auto"/>
                <w:sz w:val="22"/>
                <w:szCs w:val="28"/>
                <w:lang w:val="en-US" w:eastAsia="zh-CN"/>
              </w:rPr>
              <w:t>6</w:t>
            </w:r>
            <w:r>
              <w:rPr>
                <w:rFonts w:hint="default" w:ascii="Times New Roman" w:hAnsi="宋体" w:eastAsia="宋体" w:cs="Times New Roman"/>
                <w:b/>
                <w:bCs/>
                <w:color w:val="auto"/>
                <w:sz w:val="22"/>
                <w:szCs w:val="28"/>
                <w:lang w:val="en-US" w:eastAsia="zh-CN"/>
              </w:rPr>
              <w:t xml:space="preserve">    </w:t>
            </w:r>
            <w:r>
              <w:rPr>
                <w:rFonts w:hint="eastAsia" w:ascii="Times New Roman" w:hAnsi="宋体" w:eastAsia="宋体" w:cs="Times New Roman"/>
                <w:b/>
                <w:bCs/>
                <w:color w:val="auto"/>
                <w:sz w:val="22"/>
                <w:szCs w:val="28"/>
                <w:lang w:val="en-US" w:eastAsia="zh-CN"/>
              </w:rPr>
              <w:t>本项目固体废物分析结果汇总表</w:t>
            </w:r>
          </w:p>
          <w:tbl>
            <w:tblPr>
              <w:tblStyle w:val="23"/>
              <w:tblW w:w="4879"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675"/>
              <w:gridCol w:w="1214"/>
              <w:gridCol w:w="882"/>
              <w:gridCol w:w="1360"/>
              <w:gridCol w:w="857"/>
              <w:gridCol w:w="2333"/>
            </w:tblGrid>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675"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名称</w:t>
                  </w:r>
                </w:p>
              </w:tc>
              <w:tc>
                <w:tcPr>
                  <w:tcW w:w="1214"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产生工序</w:t>
                  </w:r>
                </w:p>
              </w:tc>
              <w:tc>
                <w:tcPr>
                  <w:tcW w:w="882"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形态</w:t>
                  </w:r>
                </w:p>
              </w:tc>
              <w:tc>
                <w:tcPr>
                  <w:tcW w:w="1360"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废物代码</w:t>
                  </w:r>
                </w:p>
              </w:tc>
              <w:tc>
                <w:tcPr>
                  <w:tcW w:w="857"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产生量（</w:t>
                  </w:r>
                  <w:r>
                    <w:rPr>
                      <w:rFonts w:hint="default"/>
                      <w:color w:val="auto"/>
                      <w:highlight w:val="none"/>
                      <w:lang w:val="en-US" w:eastAsia="zh-CN"/>
                    </w:rPr>
                    <w:t>t/a</w:t>
                  </w:r>
                  <w:r>
                    <w:rPr>
                      <w:rFonts w:hint="eastAsia"/>
                      <w:color w:val="auto"/>
                      <w:highlight w:val="none"/>
                      <w:lang w:val="en-US" w:eastAsia="zh-CN"/>
                    </w:rPr>
                    <w:t>）</w:t>
                  </w:r>
                </w:p>
              </w:tc>
              <w:tc>
                <w:tcPr>
                  <w:tcW w:w="2333"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处理处置方法</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675"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生活垃圾</w:t>
                  </w:r>
                </w:p>
              </w:tc>
              <w:tc>
                <w:tcPr>
                  <w:tcW w:w="1214"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员工生活</w:t>
                  </w:r>
                </w:p>
              </w:tc>
              <w:tc>
                <w:tcPr>
                  <w:tcW w:w="882"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固态</w:t>
                  </w:r>
                </w:p>
              </w:tc>
              <w:tc>
                <w:tcPr>
                  <w:tcW w:w="1360"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900-002-S61</w:t>
                  </w:r>
                </w:p>
              </w:tc>
              <w:tc>
                <w:tcPr>
                  <w:tcW w:w="857"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4.2</w:t>
                  </w:r>
                </w:p>
              </w:tc>
              <w:tc>
                <w:tcPr>
                  <w:tcW w:w="2333"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统一收集后运至县城交由环卫部门处置</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675"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废边角料及不合格品</w:t>
                  </w:r>
                </w:p>
              </w:tc>
              <w:tc>
                <w:tcPr>
                  <w:tcW w:w="1214"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切割、清边</w:t>
                  </w:r>
                </w:p>
              </w:tc>
              <w:tc>
                <w:tcPr>
                  <w:tcW w:w="882"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固态</w:t>
                  </w:r>
                </w:p>
              </w:tc>
              <w:tc>
                <w:tcPr>
                  <w:tcW w:w="1360"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900-010-S17</w:t>
                  </w:r>
                </w:p>
              </w:tc>
              <w:tc>
                <w:tcPr>
                  <w:tcW w:w="857"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3800</w:t>
                  </w:r>
                </w:p>
              </w:tc>
              <w:tc>
                <w:tcPr>
                  <w:tcW w:w="2333" w:type="dxa"/>
                  <w:vMerge w:val="restar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暂时堆放在排土场，边开采边回填，矿山开采结束后全部回填于采坑，平整场地</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675"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沉淀池泥渣</w:t>
                  </w:r>
                </w:p>
              </w:tc>
              <w:tc>
                <w:tcPr>
                  <w:tcW w:w="1214"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沉淀池</w:t>
                  </w:r>
                </w:p>
              </w:tc>
              <w:tc>
                <w:tcPr>
                  <w:tcW w:w="882"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固态</w:t>
                  </w:r>
                </w:p>
              </w:tc>
              <w:tc>
                <w:tcPr>
                  <w:tcW w:w="1360"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900-099-S07</w:t>
                  </w:r>
                </w:p>
              </w:tc>
              <w:tc>
                <w:tcPr>
                  <w:tcW w:w="857"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64.34</w:t>
                  </w:r>
                </w:p>
              </w:tc>
              <w:tc>
                <w:tcPr>
                  <w:tcW w:w="2333" w:type="dxa"/>
                  <w:vMerge w:val="continue"/>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675"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厂房内沉降粉尘及除尘灰</w:t>
                  </w:r>
                </w:p>
              </w:tc>
              <w:tc>
                <w:tcPr>
                  <w:tcW w:w="1214"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生产过程</w:t>
                  </w:r>
                </w:p>
              </w:tc>
              <w:tc>
                <w:tcPr>
                  <w:tcW w:w="882"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固态</w:t>
                  </w:r>
                </w:p>
              </w:tc>
              <w:tc>
                <w:tcPr>
                  <w:tcW w:w="1360"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lang w:val="en-US" w:eastAsia="zh-CN"/>
                    </w:rPr>
                    <w:t>300-001-46</w:t>
                  </w:r>
                </w:p>
              </w:tc>
              <w:tc>
                <w:tcPr>
                  <w:tcW w:w="857"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3.03</w:t>
                  </w:r>
                </w:p>
              </w:tc>
              <w:tc>
                <w:tcPr>
                  <w:tcW w:w="2333" w:type="dxa"/>
                  <w:vMerge w:val="continue"/>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675"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废机油</w:t>
                  </w:r>
                </w:p>
              </w:tc>
              <w:tc>
                <w:tcPr>
                  <w:tcW w:w="1214" w:type="dxa"/>
                  <w:vMerge w:val="restar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设备运维</w:t>
                  </w:r>
                </w:p>
              </w:tc>
              <w:tc>
                <w:tcPr>
                  <w:tcW w:w="882"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液态</w:t>
                  </w:r>
                </w:p>
              </w:tc>
              <w:tc>
                <w:tcPr>
                  <w:tcW w:w="1360"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900-214-08</w:t>
                  </w:r>
                </w:p>
              </w:tc>
              <w:tc>
                <w:tcPr>
                  <w:tcW w:w="857"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0.02</w:t>
                  </w:r>
                </w:p>
              </w:tc>
              <w:tc>
                <w:tcPr>
                  <w:tcW w:w="2333"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暂存于危废暂存间，定期交由具有相关处理资质的单位处理</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1675"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废含油手套、抹布</w:t>
                  </w:r>
                </w:p>
              </w:tc>
              <w:tc>
                <w:tcPr>
                  <w:tcW w:w="1214" w:type="dxa"/>
                  <w:vMerge w:val="continue"/>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882"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固态</w:t>
                  </w:r>
                </w:p>
              </w:tc>
              <w:tc>
                <w:tcPr>
                  <w:tcW w:w="1360"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lang w:val="en-US" w:eastAsia="zh-CN"/>
                    </w:rPr>
                    <w:t>900-041-49</w:t>
                  </w:r>
                </w:p>
              </w:tc>
              <w:tc>
                <w:tcPr>
                  <w:tcW w:w="857"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20kg</w:t>
                  </w:r>
                  <w:r>
                    <w:rPr>
                      <w:rFonts w:hint="default"/>
                      <w:color w:val="auto"/>
                      <w:highlight w:val="none"/>
                      <w:lang w:val="en-US" w:eastAsia="zh-CN"/>
                    </w:rPr>
                    <w:t>/a</w:t>
                  </w:r>
                </w:p>
              </w:tc>
              <w:tc>
                <w:tcPr>
                  <w:tcW w:w="2333" w:type="dxa"/>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袋装收集后混入生活垃圾中拉运至和硕县垃圾填埋场处理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lang w:val="en-US" w:eastAsia="zh-CN"/>
              </w:rPr>
            </w:pPr>
            <w:r>
              <w:rPr>
                <w:rFonts w:hint="eastAsia" w:ascii="Times New Roman" w:hAnsi="Times New Roman" w:eastAsia="宋体" w:cs="Times New Roman"/>
                <w:b w:val="0"/>
                <w:bCs w:val="0"/>
                <w:color w:val="auto"/>
                <w:sz w:val="24"/>
                <w:szCs w:val="24"/>
                <w:highlight w:val="none"/>
                <w:lang w:val="en-US" w:eastAsia="zh-CN"/>
              </w:rPr>
              <w:t>综上所述，项目营运期产生的固体废物采取上述利用方式进行处置，对环境的影响较小。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b w:val="0"/>
                <w:bCs w:val="0"/>
                <w:color w:val="auto"/>
                <w:sz w:val="24"/>
                <w:szCs w:val="24"/>
                <w:highlight w:val="none"/>
                <w:lang w:val="en-US" w:eastAsia="zh-CN"/>
              </w:rPr>
            </w:pPr>
            <w:r>
              <w:rPr>
                <w:rFonts w:hint="eastAsia"/>
                <w:b w:val="0"/>
                <w:bCs w:val="0"/>
                <w:color w:val="auto"/>
                <w:sz w:val="24"/>
                <w:szCs w:val="24"/>
                <w:highlight w:val="none"/>
                <w:lang w:val="en-US" w:eastAsia="zh-CN"/>
              </w:rPr>
              <w:t>5</w:t>
            </w:r>
            <w:r>
              <w:rPr>
                <w:rFonts w:hint="eastAsia"/>
                <w:b w:val="0"/>
                <w:bCs w:val="0"/>
                <w:color w:val="auto"/>
                <w:sz w:val="24"/>
                <w:szCs w:val="24"/>
                <w:highlight w:val="none"/>
              </w:rPr>
              <w:t>、环境风险</w:t>
            </w:r>
            <w:r>
              <w:rPr>
                <w:rFonts w:hint="eastAsia"/>
                <w:b w:val="0"/>
                <w:bCs w:val="0"/>
                <w:color w:val="auto"/>
                <w:sz w:val="24"/>
                <w:szCs w:val="24"/>
                <w:highlight w:val="none"/>
                <w:lang w:val="en-US" w:eastAsia="zh-CN"/>
              </w:rPr>
              <w:t>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 w:val="0"/>
                <w:bCs w:val="0"/>
                <w:color w:val="auto"/>
                <w:sz w:val="24"/>
                <w:szCs w:val="24"/>
                <w:highlight w:val="none"/>
              </w:rPr>
            </w:pPr>
            <w:r>
              <w:rPr>
                <w:rFonts w:hint="eastAsia"/>
                <w:b w:val="0"/>
                <w:bCs w:val="0"/>
                <w:color w:val="auto"/>
                <w:sz w:val="24"/>
                <w:szCs w:val="24"/>
                <w:highlight w:val="none"/>
                <w:lang w:eastAsia="zh-CN"/>
              </w:rPr>
              <w:t>（</w:t>
            </w:r>
            <w:r>
              <w:rPr>
                <w:rFonts w:hint="eastAsia"/>
                <w:b w:val="0"/>
                <w:bCs w:val="0"/>
                <w:color w:val="auto"/>
                <w:sz w:val="24"/>
                <w:szCs w:val="24"/>
                <w:highlight w:val="none"/>
                <w:lang w:val="en-US" w:eastAsia="zh-CN"/>
              </w:rPr>
              <w:t>1</w:t>
            </w:r>
            <w:r>
              <w:rPr>
                <w:rFonts w:hint="eastAsia"/>
                <w:b w:val="0"/>
                <w:bCs w:val="0"/>
                <w:color w:val="auto"/>
                <w:sz w:val="24"/>
                <w:szCs w:val="24"/>
                <w:highlight w:val="none"/>
                <w:lang w:eastAsia="zh-CN"/>
              </w:rPr>
              <w:t>）</w:t>
            </w:r>
            <w:r>
              <w:rPr>
                <w:rFonts w:hint="eastAsia"/>
                <w:b w:val="0"/>
                <w:bCs w:val="0"/>
                <w:color w:val="auto"/>
                <w:sz w:val="24"/>
                <w:szCs w:val="24"/>
                <w:highlight w:val="none"/>
              </w:rPr>
              <w:t>风险识别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根据《建设项目环境风险评价技术导则》（HJ169-2018）附录B和《危险化学品重大危险源辨识》（GB18218-2018）目录，本项目的环境风险物质为废润机油，储存于危险废物暂存间内。</w:t>
            </w:r>
          </w:p>
          <w:p>
            <w:pPr>
              <w:keepLines w:val="0"/>
              <w:pageBreakBefore w:val="0"/>
              <w:kinsoku/>
              <w:topLinePunct w:val="0"/>
              <w:bidi w:val="0"/>
              <w:jc w:val="center"/>
              <w:rPr>
                <w:rFonts w:hint="default" w:ascii="Times New Roman" w:hAnsi="宋体" w:eastAsia="宋体" w:cs="Times New Roman"/>
                <w:b/>
                <w:bCs/>
                <w:color w:val="auto"/>
                <w:sz w:val="22"/>
                <w:szCs w:val="28"/>
                <w:lang w:val="en-US" w:eastAsia="zh-CN"/>
              </w:rPr>
            </w:pPr>
            <w:r>
              <w:rPr>
                <w:rFonts w:hint="eastAsia" w:ascii="Times New Roman" w:hAnsi="宋体" w:eastAsia="宋体" w:cs="Times New Roman"/>
                <w:b/>
                <w:bCs/>
                <w:color w:val="auto"/>
                <w:sz w:val="22"/>
                <w:szCs w:val="28"/>
                <w:lang w:val="en-US" w:eastAsia="zh-CN"/>
              </w:rPr>
              <w:t>表4-1</w:t>
            </w:r>
            <w:r>
              <w:rPr>
                <w:rFonts w:hint="eastAsia" w:hAnsi="宋体" w:cs="Times New Roman"/>
                <w:b/>
                <w:bCs/>
                <w:color w:val="auto"/>
                <w:sz w:val="22"/>
                <w:szCs w:val="28"/>
                <w:lang w:val="en-US" w:eastAsia="zh-CN"/>
              </w:rPr>
              <w:t>7</w:t>
            </w:r>
            <w:r>
              <w:rPr>
                <w:rFonts w:hint="default" w:ascii="Times New Roman" w:hAnsi="宋体" w:eastAsia="宋体" w:cs="Times New Roman"/>
                <w:b/>
                <w:bCs/>
                <w:color w:val="auto"/>
                <w:sz w:val="22"/>
                <w:szCs w:val="28"/>
                <w:lang w:val="en-US" w:eastAsia="zh-CN"/>
              </w:rPr>
              <w:t xml:space="preserve">    </w:t>
            </w:r>
            <w:r>
              <w:rPr>
                <w:rFonts w:hint="eastAsia" w:ascii="Times New Roman" w:hAnsi="宋体" w:eastAsia="宋体" w:cs="Times New Roman"/>
                <w:b/>
                <w:bCs/>
                <w:color w:val="auto"/>
                <w:sz w:val="22"/>
                <w:szCs w:val="28"/>
                <w:lang w:val="en-US" w:eastAsia="zh-CN"/>
              </w:rPr>
              <w:t>危险废物贮存场所基本情况表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988"/>
              <w:gridCol w:w="1982"/>
              <w:gridCol w:w="2724"/>
              <w:gridCol w:w="18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1166"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危险废物名称</w:t>
                  </w:r>
                </w:p>
              </w:tc>
              <w:tc>
                <w:tcPr>
                  <w:tcW w:w="1162"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最大储存量（</w:t>
                  </w:r>
                  <w:r>
                    <w:rPr>
                      <w:rFonts w:hint="default"/>
                      <w:color w:val="auto"/>
                      <w:highlight w:val="none"/>
                      <w:lang w:val="en-US" w:eastAsia="zh-CN"/>
                    </w:rPr>
                    <w:t>t</w:t>
                  </w:r>
                  <w:r>
                    <w:rPr>
                      <w:rFonts w:hint="eastAsia"/>
                      <w:color w:val="auto"/>
                      <w:highlight w:val="none"/>
                      <w:lang w:val="en-US" w:eastAsia="zh-CN"/>
                    </w:rPr>
                    <w:t>）</w:t>
                  </w:r>
                </w:p>
              </w:tc>
              <w:tc>
                <w:tcPr>
                  <w:tcW w:w="1597"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临界量（</w:t>
                  </w:r>
                  <w:r>
                    <w:rPr>
                      <w:rFonts w:hint="default"/>
                      <w:color w:val="auto"/>
                      <w:highlight w:val="none"/>
                      <w:lang w:val="en-US" w:eastAsia="zh-CN"/>
                    </w:rPr>
                    <w:t>t</w:t>
                  </w:r>
                  <w:r>
                    <w:rPr>
                      <w:rFonts w:hint="eastAsia"/>
                      <w:color w:val="auto"/>
                      <w:highlight w:val="none"/>
                      <w:lang w:val="en-US" w:eastAsia="zh-CN"/>
                    </w:rPr>
                    <w:t>）</w:t>
                  </w:r>
                </w:p>
              </w:tc>
              <w:tc>
                <w:tcPr>
                  <w:tcW w:w="1073"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default"/>
                      <w:color w:val="auto"/>
                      <w:highlight w:val="none"/>
                      <w:lang w:val="en-US" w:eastAsia="zh-CN"/>
                    </w:rPr>
                    <w:t>q/Q</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66"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废机油</w:t>
                  </w:r>
                </w:p>
              </w:tc>
              <w:tc>
                <w:tcPr>
                  <w:tcW w:w="1162"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default"/>
                      <w:color w:val="auto"/>
                      <w:highlight w:val="none"/>
                      <w:lang w:val="en-US" w:eastAsia="zh-CN"/>
                    </w:rPr>
                    <w:t>0.</w:t>
                  </w:r>
                  <w:r>
                    <w:rPr>
                      <w:rFonts w:hint="eastAsia"/>
                      <w:color w:val="auto"/>
                      <w:highlight w:val="none"/>
                      <w:lang w:val="en-US" w:eastAsia="zh-CN"/>
                    </w:rPr>
                    <w:t>02</w:t>
                  </w:r>
                </w:p>
              </w:tc>
              <w:tc>
                <w:tcPr>
                  <w:tcW w:w="1597"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default"/>
                      <w:color w:val="auto"/>
                      <w:highlight w:val="none"/>
                      <w:lang w:val="en-US" w:eastAsia="zh-CN"/>
                    </w:rPr>
                    <w:t>2500</w:t>
                  </w:r>
                </w:p>
              </w:tc>
              <w:tc>
                <w:tcPr>
                  <w:tcW w:w="1073"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default"/>
                      <w:color w:val="auto"/>
                      <w:highlight w:val="none"/>
                      <w:lang w:val="en-US" w:eastAsia="zh-CN"/>
                    </w:rPr>
                    <w:t>0.0000</w:t>
                  </w:r>
                  <w:r>
                    <w:rPr>
                      <w:rFonts w:hint="eastAsia"/>
                      <w:color w:val="auto"/>
                      <w:highlight w:val="none"/>
                      <w:lang w:val="en-US" w:eastAsia="zh-CN"/>
                    </w:rPr>
                    <w:t>08</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根据上表可知，本项目</w:t>
            </w:r>
            <w:r>
              <w:rPr>
                <w:rFonts w:hint="default" w:ascii="Times New Roman" w:hAnsi="Times New Roman" w:eastAsia="宋体" w:cs="Times New Roman"/>
                <w:b w:val="0"/>
                <w:bCs w:val="0"/>
                <w:color w:val="auto"/>
                <w:sz w:val="24"/>
                <w:szCs w:val="24"/>
                <w:highlight w:val="none"/>
                <w:lang w:val="en-US" w:eastAsia="zh-CN"/>
              </w:rPr>
              <w:t>Q</w:t>
            </w:r>
            <w:r>
              <w:rPr>
                <w:rFonts w:hint="eastAsia" w:ascii="Times New Roman" w:hAnsi="Times New Roman" w:eastAsia="宋体" w:cs="Times New Roman"/>
                <w:b w:val="0"/>
                <w:bCs w:val="0"/>
                <w:color w:val="auto"/>
                <w:sz w:val="24"/>
                <w:szCs w:val="24"/>
                <w:highlight w:val="none"/>
                <w:lang w:val="en-US" w:eastAsia="zh-CN"/>
              </w:rPr>
              <w:t>值＜</w:t>
            </w:r>
            <w:r>
              <w:rPr>
                <w:rFonts w:hint="default" w:ascii="Times New Roman" w:hAnsi="Times New Roman" w:eastAsia="宋体"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，因此本项目环境风险潜势为</w:t>
            </w:r>
            <w:r>
              <w:rPr>
                <w:rFonts w:hint="default" w:ascii="Times New Roman" w:hAnsi="Times New Roman" w:eastAsia="宋体" w:cs="Times New Roman"/>
                <w:b w:val="0"/>
                <w:bCs w:val="0"/>
                <w:color w:val="auto"/>
                <w:sz w:val="24"/>
                <w:szCs w:val="24"/>
                <w:highlight w:val="none"/>
                <w:lang w:val="en-US" w:eastAsia="zh-CN"/>
              </w:rPr>
              <w:t>I</w:t>
            </w:r>
            <w:r>
              <w:rPr>
                <w:rFonts w:hint="eastAsia" w:ascii="Times New Roman" w:hAnsi="Times New Roman" w:eastAsia="宋体" w:cs="Times New Roman"/>
                <w:b w:val="0"/>
                <w:bCs w:val="0"/>
                <w:color w:val="auto"/>
                <w:sz w:val="24"/>
                <w:szCs w:val="24"/>
                <w:highlight w:val="none"/>
                <w:lang w:val="en-US" w:eastAsia="zh-CN"/>
              </w:rPr>
              <w:t>。根据《建设项目环境风险评价技术导则》（</w:t>
            </w:r>
            <w:r>
              <w:rPr>
                <w:rFonts w:hint="default" w:ascii="Times New Roman" w:hAnsi="Times New Roman" w:eastAsia="宋体" w:cs="Times New Roman"/>
                <w:b w:val="0"/>
                <w:bCs w:val="0"/>
                <w:color w:val="auto"/>
                <w:sz w:val="24"/>
                <w:szCs w:val="24"/>
                <w:highlight w:val="none"/>
                <w:lang w:val="en-US" w:eastAsia="zh-CN"/>
              </w:rPr>
              <w:t>HJ169-2018</w:t>
            </w:r>
            <w:r>
              <w:rPr>
                <w:rFonts w:hint="eastAsia" w:ascii="Times New Roman" w:hAnsi="Times New Roman" w:eastAsia="宋体" w:cs="Times New Roman"/>
                <w:b w:val="0"/>
                <w:bCs w:val="0"/>
                <w:color w:val="auto"/>
                <w:sz w:val="24"/>
                <w:szCs w:val="24"/>
                <w:highlight w:val="none"/>
                <w:lang w:val="en-US" w:eastAsia="zh-CN"/>
              </w:rPr>
              <w:t>），可进行简单分析。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本项目环境风险物质为废润滑油</w:t>
            </w:r>
            <w:r>
              <w:rPr>
                <w:rFonts w:hint="eastAsia" w:cs="Times New Roman"/>
                <w:b w:val="0"/>
                <w:bCs w:val="0"/>
                <w:color w:val="auto"/>
                <w:sz w:val="24"/>
                <w:szCs w:val="24"/>
                <w:highlight w:val="none"/>
                <w:lang w:val="en-US" w:eastAsia="zh-CN"/>
              </w:rPr>
              <w:t>、柴油</w:t>
            </w:r>
            <w:r>
              <w:rPr>
                <w:rFonts w:hint="eastAsia" w:ascii="Times New Roman" w:hAnsi="Times New Roman" w:eastAsia="宋体" w:cs="Times New Roman"/>
                <w:b w:val="0"/>
                <w:bCs w:val="0"/>
                <w:color w:val="auto"/>
                <w:sz w:val="24"/>
                <w:szCs w:val="24"/>
                <w:highlight w:val="none"/>
                <w:lang w:val="en-US" w:eastAsia="zh-CN"/>
              </w:rPr>
              <w:t>发生泄漏或遇明火引发火灾，从而污染大气环境、地下水和土壤。危险物质分布情况如下表。</w:t>
            </w:r>
          </w:p>
          <w:p>
            <w:pPr>
              <w:keepLines w:val="0"/>
              <w:pageBreakBefore w:val="0"/>
              <w:kinsoku/>
              <w:topLinePunct w:val="0"/>
              <w:bidi w:val="0"/>
              <w:jc w:val="center"/>
              <w:rPr>
                <w:rFonts w:hint="default" w:ascii="Times New Roman" w:hAnsi="宋体" w:eastAsia="宋体" w:cs="Times New Roman"/>
                <w:b/>
                <w:bCs/>
                <w:color w:val="auto"/>
                <w:sz w:val="22"/>
                <w:szCs w:val="28"/>
                <w:lang w:val="en-US" w:eastAsia="zh-CN"/>
              </w:rPr>
            </w:pPr>
            <w:r>
              <w:rPr>
                <w:rFonts w:hint="eastAsia" w:ascii="Times New Roman" w:hAnsi="宋体" w:eastAsia="宋体" w:cs="Times New Roman"/>
                <w:b/>
                <w:bCs/>
                <w:color w:val="auto"/>
                <w:sz w:val="22"/>
                <w:szCs w:val="28"/>
                <w:lang w:val="en-US" w:eastAsia="zh-CN"/>
              </w:rPr>
              <w:t>表4-1</w:t>
            </w:r>
            <w:r>
              <w:rPr>
                <w:rFonts w:hint="eastAsia" w:hAnsi="宋体" w:cs="Times New Roman"/>
                <w:b/>
                <w:bCs/>
                <w:color w:val="auto"/>
                <w:sz w:val="22"/>
                <w:szCs w:val="28"/>
                <w:lang w:val="en-US" w:eastAsia="zh-CN"/>
              </w:rPr>
              <w:t>8</w:t>
            </w:r>
            <w:r>
              <w:rPr>
                <w:rFonts w:hint="eastAsia" w:ascii="Times New Roman" w:hAnsi="宋体" w:eastAsia="宋体" w:cs="Times New Roman"/>
                <w:b/>
                <w:bCs/>
                <w:color w:val="auto"/>
                <w:sz w:val="22"/>
                <w:szCs w:val="28"/>
                <w:lang w:val="en-US" w:eastAsia="zh-CN"/>
              </w:rPr>
              <w:t xml:space="preserve">  </w:t>
            </w:r>
            <w:r>
              <w:rPr>
                <w:rFonts w:hint="default" w:ascii="Times New Roman" w:hAnsi="宋体" w:eastAsia="宋体" w:cs="Times New Roman"/>
                <w:b/>
                <w:bCs/>
                <w:color w:val="auto"/>
                <w:sz w:val="22"/>
                <w:szCs w:val="28"/>
                <w:lang w:val="en-US" w:eastAsia="zh-CN"/>
              </w:rPr>
              <w:t xml:space="preserve">  </w:t>
            </w:r>
            <w:r>
              <w:rPr>
                <w:rFonts w:hint="eastAsia" w:ascii="Times New Roman" w:hAnsi="宋体" w:eastAsia="宋体" w:cs="Times New Roman"/>
                <w:b/>
                <w:bCs/>
                <w:color w:val="auto"/>
                <w:sz w:val="22"/>
                <w:szCs w:val="28"/>
                <w:lang w:val="en-US" w:eastAsia="zh-CN"/>
              </w:rPr>
              <w:t>环境风险识别表</w:t>
            </w:r>
          </w:p>
          <w:tbl>
            <w:tblPr>
              <w:tblStyle w:val="2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991"/>
              <w:gridCol w:w="1344"/>
              <w:gridCol w:w="2590"/>
              <w:gridCol w:w="25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68"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危险废物名称</w:t>
                  </w:r>
                </w:p>
              </w:tc>
              <w:tc>
                <w:tcPr>
                  <w:tcW w:w="788"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分布情况</w:t>
                  </w:r>
                </w:p>
              </w:tc>
              <w:tc>
                <w:tcPr>
                  <w:tcW w:w="1519"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风险类型</w:t>
                  </w:r>
                </w:p>
              </w:tc>
              <w:tc>
                <w:tcPr>
                  <w:tcW w:w="1524"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环境影响途径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1168"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废机油</w:t>
                  </w:r>
                </w:p>
              </w:tc>
              <w:tc>
                <w:tcPr>
                  <w:tcW w:w="788"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危废暂存间</w:t>
                  </w:r>
                </w:p>
              </w:tc>
              <w:tc>
                <w:tcPr>
                  <w:tcW w:w="1519"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泄漏、火灾</w:t>
                  </w:r>
                </w:p>
              </w:tc>
              <w:tc>
                <w:tcPr>
                  <w:tcW w:w="1524" w:type="pct"/>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right="0" w:firstLine="0"/>
                    <w:rPr>
                      <w:rFonts w:hint="default"/>
                      <w:color w:val="auto"/>
                      <w:highlight w:val="none"/>
                      <w:lang w:val="en-US" w:eastAsia="zh-CN"/>
                    </w:rPr>
                  </w:pPr>
                  <w:r>
                    <w:rPr>
                      <w:rFonts w:hint="eastAsia"/>
                      <w:color w:val="auto"/>
                      <w:highlight w:val="none"/>
                      <w:lang w:val="en-US" w:eastAsia="zh-CN"/>
                    </w:rPr>
                    <w:t>大气、地下水、土壤</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b w:val="0"/>
                <w:bCs w:val="0"/>
                <w:color w:val="auto"/>
                <w:sz w:val="24"/>
                <w:lang w:val="en-US" w:eastAsia="zh-CN"/>
              </w:rPr>
            </w:pPr>
            <w:r>
              <w:rPr>
                <w:rFonts w:hint="eastAsia" w:eastAsia="宋体"/>
                <w:b w:val="0"/>
                <w:bCs w:val="0"/>
                <w:color w:val="auto"/>
                <w:sz w:val="24"/>
                <w:lang w:val="en-US" w:eastAsia="zh-CN"/>
              </w:rPr>
              <w:t>（2）环境风险防范措施</w:t>
            </w:r>
          </w:p>
          <w:p>
            <w:pPr>
              <w:keepLines w:val="0"/>
              <w:pageBreakBefore w:val="0"/>
              <w:kinsoku/>
              <w:topLinePunct w:val="0"/>
              <w:bidi w:val="0"/>
              <w:spacing w:line="360" w:lineRule="auto"/>
              <w:ind w:firstLine="480" w:firstLineChars="200"/>
              <w:rPr>
                <w:rFonts w:hint="eastAsia"/>
                <w:color w:val="auto"/>
                <w:sz w:val="24"/>
              </w:rPr>
            </w:pPr>
            <w:r>
              <w:rPr>
                <w:rFonts w:hint="eastAsia"/>
                <w:color w:val="auto"/>
                <w:sz w:val="24"/>
              </w:rPr>
              <w:t>设置符合标准的灭火设备，设置明显的警示牌，告诫禁止明火、禁止吸烟。加强对</w:t>
            </w:r>
            <w:r>
              <w:rPr>
                <w:rFonts w:hint="eastAsia"/>
                <w:color w:val="auto"/>
                <w:sz w:val="24"/>
                <w:lang w:val="en-US" w:eastAsia="zh-CN"/>
              </w:rPr>
              <w:t>管道、阀门</w:t>
            </w:r>
            <w:r>
              <w:rPr>
                <w:rFonts w:hint="eastAsia"/>
                <w:color w:val="auto"/>
                <w:sz w:val="24"/>
              </w:rPr>
              <w:t>的防护，对</w:t>
            </w:r>
            <w:r>
              <w:rPr>
                <w:rFonts w:hint="eastAsia"/>
                <w:color w:val="auto"/>
                <w:sz w:val="24"/>
                <w:lang w:val="en-US" w:eastAsia="zh-CN"/>
              </w:rPr>
              <w:t>管道</w:t>
            </w:r>
            <w:r>
              <w:rPr>
                <w:rFonts w:hint="eastAsia"/>
                <w:color w:val="auto"/>
                <w:sz w:val="24"/>
              </w:rPr>
              <w:t>、阀门等进行定期检测，减少着火的机会，</w:t>
            </w:r>
            <w:r>
              <w:rPr>
                <w:rFonts w:hint="eastAsia"/>
                <w:color w:val="auto"/>
                <w:sz w:val="24"/>
                <w:lang w:val="en-US" w:eastAsia="zh-CN"/>
              </w:rPr>
              <w:t>一旦</w:t>
            </w:r>
            <w:r>
              <w:rPr>
                <w:rFonts w:hint="eastAsia"/>
                <w:color w:val="auto"/>
                <w:sz w:val="24"/>
              </w:rPr>
              <w:t>发生火灾事故，要尽快使用已有的消防设施扑救，疏散周围人群，远离事故区。</w:t>
            </w:r>
          </w:p>
          <w:p>
            <w:pPr>
              <w:keepLines w:val="0"/>
              <w:pageBreakBefore w:val="0"/>
              <w:kinsoku/>
              <w:topLinePunct w:val="0"/>
              <w:bidi w:val="0"/>
              <w:spacing w:line="360" w:lineRule="auto"/>
              <w:ind w:firstLine="480" w:firstLineChars="200"/>
              <w:rPr>
                <w:rFonts w:hint="eastAsia"/>
                <w:color w:val="auto"/>
                <w:sz w:val="24"/>
              </w:rPr>
            </w:pPr>
            <w:r>
              <w:rPr>
                <w:rFonts w:hint="eastAsia"/>
                <w:color w:val="auto"/>
                <w:sz w:val="24"/>
              </w:rPr>
              <w:t>站内设置视频监控系统，存储时间不少于90天。视频监控系统具备将实时图像传到主控室及公安部门（有需求时）的功能。针对站区内的非正常侵入做相应的预置位报警联动。</w:t>
            </w:r>
          </w:p>
          <w:p>
            <w:pPr>
              <w:keepLines w:val="0"/>
              <w:pageBreakBefore w:val="0"/>
              <w:kinsoku/>
              <w:topLinePunct w:val="0"/>
              <w:bidi w:val="0"/>
              <w:spacing w:line="360" w:lineRule="auto"/>
              <w:ind w:firstLine="480" w:firstLineChars="200"/>
              <w:rPr>
                <w:rFonts w:hint="eastAsia" w:eastAsia="宋体"/>
                <w:color w:val="auto"/>
                <w:sz w:val="24"/>
                <w:lang w:eastAsia="zh-CN"/>
              </w:rPr>
            </w:pPr>
            <w:r>
              <w:rPr>
                <w:rFonts w:hint="eastAsia"/>
                <w:color w:val="auto"/>
                <w:sz w:val="24"/>
              </w:rPr>
              <w:t>明确了各要害部位、重点岗位的管理责任，建立了一整套安全生产管理规定、安全生产操作规程和各种设备的运行操作规范，定期进行安全生产检查，并对查出问题认真整改，做好整改记录，通过加强安全管理消灭事故隐患。编制环境风险事故应急预案并进行演练</w:t>
            </w:r>
            <w:r>
              <w:rPr>
                <w:rFonts w:hint="eastAsia"/>
                <w:color w:val="auto"/>
                <w:sz w:val="24"/>
                <w:lang w:eastAsia="zh-CN"/>
              </w:rPr>
              <w:t>。</w:t>
            </w:r>
          </w:p>
          <w:p>
            <w:pPr>
              <w:keepLines w:val="0"/>
              <w:pageBreakBefore w:val="0"/>
              <w:kinsoku/>
              <w:topLinePunct w:val="0"/>
              <w:bidi w:val="0"/>
              <w:spacing w:line="360" w:lineRule="auto"/>
              <w:ind w:firstLine="480" w:firstLineChars="200"/>
              <w:rPr>
                <w:rFonts w:hint="eastAsia"/>
                <w:color w:val="auto"/>
                <w:sz w:val="24"/>
              </w:rPr>
            </w:pPr>
            <w:r>
              <w:rPr>
                <w:rFonts w:hint="eastAsia"/>
                <w:color w:val="auto"/>
                <w:sz w:val="24"/>
              </w:rPr>
              <w:t>加强员工的责任心和</w:t>
            </w:r>
            <w:r>
              <w:rPr>
                <w:rFonts w:hint="eastAsia"/>
                <w:color w:val="auto"/>
                <w:sz w:val="24"/>
                <w:lang w:eastAsia="zh-CN"/>
              </w:rPr>
              <w:t>主观</w:t>
            </w:r>
            <w:r>
              <w:rPr>
                <w:rFonts w:hint="eastAsia"/>
                <w:color w:val="auto"/>
                <w:sz w:val="24"/>
              </w:rPr>
              <w:t>能动性；完善并严格遵守相关的操作规程，加强岗位培训，落实岗位责任制；加强设备管理，对易发生渗漏的部位加强检查；建立一套完善的安全管理制度，执行工业安全卫生、劳动保护、环保、消防等相关规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olor w:val="auto"/>
                <w:sz w:val="24"/>
                <w:lang w:eastAsia="zh-CN"/>
              </w:rPr>
              <w:t>废</w:t>
            </w:r>
            <w:r>
              <w:rPr>
                <w:rFonts w:hint="eastAsia"/>
                <w:color w:val="auto"/>
                <w:sz w:val="24"/>
                <w:lang w:val="en-US" w:eastAsia="zh-CN"/>
              </w:rPr>
              <w:t>机油</w:t>
            </w:r>
            <w:r>
              <w:rPr>
                <w:rFonts w:hint="eastAsia"/>
                <w:color w:val="auto"/>
                <w:sz w:val="24"/>
              </w:rPr>
              <w:t>在厂区使用专用容器，并将收集容器贴上标签，存储于危废暂存间内委托有资质的单位处理。在运输前到当地环保部门提交危废转移申请表，领取危险废物转移联单，在运输过程中严格按要求填写“五联单”，转移完成后将相应联单提交到相关单位，并且建立台账，并与有资质的单位</w:t>
            </w:r>
            <w:r>
              <w:rPr>
                <w:rFonts w:hint="eastAsia"/>
                <w:color w:val="auto"/>
                <w:sz w:val="24"/>
                <w:lang w:eastAsia="zh-CN"/>
              </w:rPr>
              <w:t>签署</w:t>
            </w:r>
            <w:r>
              <w:rPr>
                <w:rFonts w:hint="eastAsia"/>
                <w:color w:val="auto"/>
                <w:sz w:val="24"/>
              </w:rPr>
              <w:t>危险废物处理协议。危废暂存间必须派专人进行管理，并严格执行危废暂存间的管理制度，降低管理产生的风险。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43" w:hRule="atLeast"/>
          <w:jc w:val="center"/>
        </w:trPr>
        <w:tc>
          <w:tcPr>
            <w:tcW w:w="416" w:type="pct"/>
            <w:noWrap w:val="0"/>
            <w:tcMar>
              <w:left w:w="28" w:type="dxa"/>
              <w:right w:w="28" w:type="dxa"/>
            </w:tcMar>
            <w:vAlign w:val="center"/>
          </w:tcPr>
          <w:p>
            <w:pPr>
              <w:jc w:val="both"/>
              <w:rPr>
                <w:rFonts w:hint="eastAsia" w:cs="宋体"/>
                <w:bCs/>
                <w:color w:val="auto"/>
                <w:spacing w:val="10"/>
                <w:kern w:val="2"/>
                <w:sz w:val="24"/>
                <w:szCs w:val="24"/>
                <w:lang w:val="en-US" w:eastAsia="zh-CN"/>
              </w:rPr>
            </w:pPr>
            <w:r>
              <w:rPr>
                <w:rFonts w:hint="eastAsia" w:cs="宋体"/>
                <w:bCs/>
                <w:color w:val="auto"/>
                <w:kern w:val="2"/>
                <w:sz w:val="24"/>
                <w:szCs w:val="24"/>
              </w:rPr>
              <w:t>选址选线环境合理性分析</w:t>
            </w:r>
          </w:p>
        </w:tc>
        <w:tc>
          <w:tcPr>
            <w:tcW w:w="4583" w:type="pct"/>
            <w:noWrap w:val="0"/>
            <w:vAlign w:val="top"/>
          </w:tcPr>
          <w:p>
            <w:pPr>
              <w:pStyle w:val="17"/>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sz w:val="24"/>
                <w:lang w:eastAsia="zh-CN"/>
              </w:rPr>
            </w:pPr>
            <w:r>
              <w:rPr>
                <w:rFonts w:hint="eastAsia"/>
                <w:color w:val="auto"/>
                <w:sz w:val="24"/>
              </w:rPr>
              <w:t>本项目选址位于和硕县城</w:t>
            </w:r>
            <w:r>
              <w:rPr>
                <w:rFonts w:hint="eastAsia"/>
                <w:color w:val="auto"/>
                <w:sz w:val="24"/>
                <w:lang w:val="en-US" w:eastAsia="zh-CN"/>
              </w:rPr>
              <w:t>东南方向</w:t>
            </w:r>
            <w:r>
              <w:rPr>
                <w:rFonts w:hint="eastAsia"/>
                <w:color w:val="auto"/>
                <w:sz w:val="24"/>
              </w:rPr>
              <w:t>，距离和硕县城约</w:t>
            </w:r>
            <w:r>
              <w:rPr>
                <w:rFonts w:hint="eastAsia"/>
                <w:color w:val="auto"/>
                <w:sz w:val="24"/>
                <w:lang w:val="en-US" w:eastAsia="zh-CN"/>
              </w:rPr>
              <w:t>58</w:t>
            </w:r>
            <w:r>
              <w:rPr>
                <w:rFonts w:hint="eastAsia"/>
                <w:color w:val="auto"/>
                <w:sz w:val="24"/>
              </w:rPr>
              <w:t>km</w:t>
            </w:r>
            <w:r>
              <w:rPr>
                <w:rFonts w:hint="eastAsia"/>
                <w:color w:val="auto"/>
                <w:sz w:val="24"/>
                <w:lang w:eastAsia="zh-CN"/>
              </w:rPr>
              <w:t>，自和硕县城运距64km。从和硕县城沿乌紫线（S325）向东行驶约44千米至乌什塔拉东立交桥，为柏油路面，路况好；再由乌什塔拉东立交桥转入简易便道继续向东行驶约17千米，在G3012+110千米处转而向南驶入分岔路，行驶约3千米即到矿区。乌什塔拉回族乡向北行驶路程约2km分别可到达吐和高速（G3012）和南疆铁路马兰站；沿吐和高速（G3012）向西行驶路程约140km可到达和硕县，向东行驶路程约290km可到达吐鲁番，交通较为便利。</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本项目占地面积为0.9817平方公里，办公生活场地、排土场、荒料堆场均位于矿区范围内。项目占地类型主要为裸岩石砾地，植被稀少。项目周边无地下水环境、大气、噪声敏感点。</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新疆维吾尔自治区重点行业生态环境准入条件（2024年）》，本项目周围无重要工业区、大型水利工程设施、城镇市政工程设施所在区域，军事管理区、机场、国防工程设施圈定的区域，高速公路、国道、省道等，本项目选址合理。</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矿区规划道路：矿山道路依据原始地形布设，为连接采矿场、排土场、矿部生活区等场地所设。道路采用矿山三级公路标准，为泥结碎石路面，单车道，路面宽6m，路基宽8m，最小圆曲线半径15m，最大纵坡9%，车辆最大运输速度为20km/h，占地面积0.45h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项目规划道路不涉及生态保护红线，矿石运输过程中不经过生态保护红线所在区域，不会对生态保护红线内植被、动物等产生影响，</w:t>
            </w:r>
            <w:r>
              <w:rPr>
                <w:rFonts w:hint="default" w:ascii="Times New Roman" w:hAnsi="Times New Roman" w:eastAsia="宋体" w:cs="Times New Roman"/>
                <w:color w:val="auto"/>
              </w:rPr>
              <w:t>因此，本项目</w:t>
            </w:r>
            <w:r>
              <w:rPr>
                <w:rFonts w:hint="eastAsia" w:ascii="Times New Roman" w:hAnsi="Times New Roman" w:eastAsia="宋体" w:cs="Times New Roman"/>
                <w:color w:val="auto"/>
                <w:lang w:val="en-US" w:eastAsia="zh-CN"/>
              </w:rPr>
              <w:t>进矿道路的选线合理可行。</w:t>
            </w:r>
          </w:p>
          <w:p>
            <w:pPr>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综上所述本</w:t>
            </w:r>
            <w:r>
              <w:rPr>
                <w:rFonts w:hint="eastAsia" w:ascii="Times New Roman" w:hAnsi="Times New Roman" w:eastAsia="宋体" w:cs="Times New Roman"/>
                <w:color w:val="auto"/>
                <w:kern w:val="2"/>
                <w:sz w:val="24"/>
                <w:szCs w:val="24"/>
                <w:lang w:val="en-US" w:eastAsia="zh-CN" w:bidi="ar-SA"/>
              </w:rPr>
              <w:t>项目选址合理</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项目已取得采矿证，并已办理了用地手续。</w:t>
            </w:r>
          </w:p>
        </w:tc>
      </w:tr>
    </w:tbl>
    <w:p>
      <w:pPr>
        <w:rPr>
          <w:rFonts w:hint="eastAsia" w:ascii="黑体" w:hAnsi="黑体" w:eastAsia="黑体"/>
          <w:snapToGrid w:val="0"/>
          <w:sz w:val="30"/>
          <w:szCs w:val="30"/>
        </w:rPr>
      </w:pPr>
      <w:r>
        <w:rPr>
          <w:rFonts w:hint="eastAsia" w:ascii="黑体" w:hAnsi="黑体" w:eastAsia="黑体"/>
          <w:snapToGrid w:val="0"/>
          <w:sz w:val="30"/>
          <w:szCs w:val="30"/>
        </w:rPr>
        <w:br w:type="page"/>
      </w:r>
    </w:p>
    <w:p>
      <w:pPr>
        <w:pStyle w:val="21"/>
        <w:jc w:val="center"/>
        <w:outlineLvl w:val="0"/>
        <w:rPr>
          <w:rFonts w:ascii="黑体" w:hAnsi="黑体" w:eastAsia="黑体"/>
          <w:snapToGrid w:val="0"/>
          <w:sz w:val="30"/>
          <w:szCs w:val="30"/>
        </w:rPr>
      </w:pPr>
      <w:r>
        <w:rPr>
          <w:rFonts w:hint="eastAsia" w:ascii="黑体" w:hAnsi="黑体" w:eastAsia="黑体"/>
          <w:snapToGrid w:val="0"/>
          <w:sz w:val="30"/>
          <w:szCs w:val="30"/>
        </w:rPr>
        <w:t>五、主要生态环境保护措施</w:t>
      </w:r>
    </w:p>
    <w:tbl>
      <w:tblPr>
        <w:tblStyle w:val="23"/>
        <w:tblW w:w="94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87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84" w:type="dxa"/>
            <w:noWrap w:val="0"/>
            <w:tcMar>
              <w:left w:w="28" w:type="dxa"/>
              <w:right w:w="28" w:type="dxa"/>
            </w:tcMar>
            <w:vAlign w:val="center"/>
          </w:tcPr>
          <w:p>
            <w:pPr>
              <w:keepNext w:val="0"/>
              <w:keepLines w:val="0"/>
              <w:pageBreakBefore w:val="0"/>
              <w:kinsoku/>
              <w:wordWrap/>
              <w:topLinePunct w:val="0"/>
              <w:bidi w:val="0"/>
              <w:adjustRightInd w:val="0"/>
              <w:snapToGrid w:val="0"/>
              <w:jc w:val="center"/>
              <w:rPr>
                <w:rFonts w:ascii="宋体" w:hAnsi="宋体"/>
                <w:bCs/>
                <w:color w:val="auto"/>
                <w:sz w:val="24"/>
                <w:szCs w:val="24"/>
              </w:rPr>
            </w:pPr>
            <w:r>
              <w:rPr>
                <w:rFonts w:hint="eastAsia" w:ascii="宋体" w:hAnsi="宋体" w:cs="宋体"/>
                <w:bCs/>
                <w:color w:val="auto"/>
                <w:spacing w:val="10"/>
                <w:sz w:val="24"/>
                <w:szCs w:val="24"/>
              </w:rPr>
              <w:t>施工期生态环境保护措施</w:t>
            </w:r>
          </w:p>
        </w:tc>
        <w:tc>
          <w:tcPr>
            <w:tcW w:w="8718" w:type="dxa"/>
            <w:noWrap w:val="0"/>
            <w:vAlign w:val="top"/>
          </w:tcPr>
          <w:p>
            <w:pPr>
              <w:pStyle w:val="35"/>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占地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lang w:val="en-US" w:eastAsia="zh-CN"/>
              </w:rPr>
            </w:pPr>
            <w:r>
              <w:rPr>
                <w:rFonts w:hint="eastAsia"/>
                <w:color w:val="auto"/>
                <w:sz w:val="24"/>
                <w:highlight w:val="none"/>
              </w:rPr>
              <w:t>施工期内临时构筑物</w:t>
            </w:r>
            <w:r>
              <w:rPr>
                <w:rFonts w:hint="eastAsia"/>
                <w:color w:val="auto"/>
                <w:sz w:val="24"/>
                <w:highlight w:val="none"/>
                <w:lang w:val="en-US" w:eastAsia="zh-CN"/>
              </w:rPr>
              <w:t>及堆土</w:t>
            </w:r>
            <w:r>
              <w:rPr>
                <w:rFonts w:hint="eastAsia"/>
                <w:color w:val="auto"/>
                <w:sz w:val="24"/>
                <w:highlight w:val="none"/>
              </w:rPr>
              <w:t>的压占会造成剥离</w:t>
            </w:r>
            <w:r>
              <w:rPr>
                <w:rFonts w:hint="eastAsia"/>
                <w:color w:val="auto"/>
                <w:sz w:val="24"/>
              </w:rPr>
              <w:t>后的表层土壤过于紧实，降低土壤的通透性和渗水性</w:t>
            </w:r>
            <w:r>
              <w:rPr>
                <w:rFonts w:hint="eastAsia"/>
                <w:color w:val="auto"/>
                <w:sz w:val="24"/>
                <w:lang w:eastAsia="zh-CN"/>
              </w:rPr>
              <w:t>。</w:t>
            </w:r>
            <w:r>
              <w:rPr>
                <w:rFonts w:hint="eastAsia"/>
                <w:color w:val="auto"/>
                <w:sz w:val="24"/>
                <w:lang w:val="en-US" w:eastAsia="zh-CN"/>
              </w:rPr>
              <w:t>应做到以下措施：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Arial"/>
                <w:color w:val="auto"/>
                <w:sz w:val="24"/>
              </w:rPr>
            </w:pPr>
            <w:r>
              <w:rPr>
                <w:rFonts w:hint="eastAsia"/>
                <w:color w:val="auto"/>
                <w:sz w:val="24"/>
                <w:lang w:val="en-US" w:eastAsia="zh-CN"/>
              </w:rPr>
              <w:t>①</w:t>
            </w:r>
            <w:r>
              <w:rPr>
                <w:rFonts w:hint="eastAsia" w:ascii="宋体" w:hAnsi="宋体" w:eastAsia="宋体"/>
                <w:color w:val="auto"/>
                <w:sz w:val="24"/>
                <w:szCs w:val="24"/>
                <w:highlight w:val="none"/>
                <w:lang w:val="en-US" w:eastAsia="zh-CN"/>
              </w:rPr>
              <w:t>施工期结束后及时</w:t>
            </w:r>
            <w:r>
              <w:rPr>
                <w:rFonts w:hint="eastAsia" w:ascii="Times New Roman" w:hAnsi="Times New Roman" w:eastAsia="宋体" w:cs="Arial"/>
                <w:color w:val="auto"/>
                <w:sz w:val="24"/>
                <w:lang w:val="en-US" w:eastAsia="zh-CN"/>
              </w:rPr>
              <w:t>拆除临时施工营地，对原来有植被的表土进行复垦复绿，恢复原有地貌</w:t>
            </w:r>
            <w:r>
              <w:rPr>
                <w:rFonts w:hint="eastAsia" w:ascii="Times New Roman" w:hAnsi="Times New Roman" w:eastAsia="宋体" w:cs="Arial"/>
                <w:color w:val="auto"/>
                <w:sz w:val="24"/>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Arial"/>
                <w:color w:val="auto"/>
                <w:sz w:val="24"/>
                <w:lang w:val="en-US" w:eastAsia="zh-CN"/>
              </w:rPr>
              <w:t>②尽量优化选择施工道路的选址，尽可能保留土地原有的生物生产功能和生态服务功能。</w:t>
            </w:r>
          </w:p>
          <w:p>
            <w:pPr>
              <w:pStyle w:val="35"/>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土壤环境</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lang w:val="en-US" w:eastAsia="zh-CN"/>
              </w:rPr>
            </w:pPr>
            <w:r>
              <w:rPr>
                <w:rFonts w:hint="eastAsia"/>
                <w:color w:val="auto"/>
                <w:sz w:val="24"/>
                <w:highlight w:val="none"/>
              </w:rPr>
              <w:t>施工期内临时构筑物</w:t>
            </w:r>
            <w:r>
              <w:rPr>
                <w:rFonts w:hint="eastAsia"/>
                <w:color w:val="auto"/>
                <w:sz w:val="24"/>
                <w:highlight w:val="none"/>
                <w:lang w:val="en-US" w:eastAsia="zh-CN"/>
              </w:rPr>
              <w:t>及堆土</w:t>
            </w:r>
            <w:r>
              <w:rPr>
                <w:rFonts w:hint="eastAsia"/>
                <w:color w:val="auto"/>
                <w:sz w:val="24"/>
                <w:highlight w:val="none"/>
              </w:rPr>
              <w:t>的压占会造成剥离</w:t>
            </w:r>
            <w:r>
              <w:rPr>
                <w:rFonts w:hint="eastAsia"/>
                <w:color w:val="auto"/>
                <w:sz w:val="24"/>
              </w:rPr>
              <w:t>后的表层土壤过于紧实，降低土壤的通透性和渗水性，</w:t>
            </w:r>
            <w:r>
              <w:rPr>
                <w:rFonts w:hint="eastAsia"/>
                <w:color w:val="auto"/>
                <w:sz w:val="24"/>
                <w:lang w:val="en-US" w:eastAsia="zh-CN"/>
              </w:rPr>
              <w:t>工程建设临时压占土地，主要是使这些土地失去原有的生物生产功能和生态服务功能，会对局部的土地利用产生一定的影响。应做到以下措施：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10"/>
                <w:sz w:val="24"/>
              </w:rPr>
            </w:pPr>
            <w:r>
              <w:rPr>
                <w:rFonts w:hint="eastAsia" w:cs="Arial"/>
                <w:color w:val="auto"/>
                <w:sz w:val="24"/>
                <w:szCs w:val="24"/>
                <w:highlight w:val="none"/>
                <w:lang w:val="en-US" w:eastAsia="zh-CN"/>
              </w:rPr>
              <w:t>①</w:t>
            </w:r>
            <w:r>
              <w:rPr>
                <w:rFonts w:hint="default" w:ascii="Times New Roman" w:hAnsi="Times New Roman" w:eastAsia="宋体" w:cs="Times New Roman"/>
                <w:bCs/>
                <w:color w:val="auto"/>
                <w:spacing w:val="10"/>
                <w:sz w:val="24"/>
              </w:rPr>
              <w:t>优化</w:t>
            </w:r>
            <w:r>
              <w:rPr>
                <w:rFonts w:hint="eastAsia" w:ascii="Times New Roman" w:hAnsi="Times New Roman" w:eastAsia="宋体" w:cs="Times New Roman"/>
                <w:bCs/>
                <w:color w:val="auto"/>
                <w:spacing w:val="10"/>
                <w:sz w:val="24"/>
                <w:lang w:val="en-US" w:eastAsia="zh-CN"/>
              </w:rPr>
              <w:t>施工</w:t>
            </w:r>
            <w:r>
              <w:rPr>
                <w:rFonts w:hint="default" w:ascii="Times New Roman" w:hAnsi="Times New Roman" w:eastAsia="宋体" w:cs="Times New Roman"/>
                <w:bCs/>
                <w:color w:val="auto"/>
                <w:spacing w:val="10"/>
                <w:sz w:val="24"/>
              </w:rPr>
              <w:t>道路的布设，</w:t>
            </w:r>
            <w:r>
              <w:rPr>
                <w:rFonts w:hint="eastAsia" w:ascii="Times New Roman" w:hAnsi="Times New Roman" w:eastAsia="宋体" w:cs="Times New Roman"/>
                <w:bCs/>
                <w:color w:val="auto"/>
                <w:spacing w:val="10"/>
                <w:sz w:val="24"/>
                <w:lang w:val="en-US" w:eastAsia="zh-CN"/>
              </w:rPr>
              <w:t>施工</w:t>
            </w:r>
            <w:r>
              <w:rPr>
                <w:rFonts w:hint="default" w:ascii="Times New Roman" w:hAnsi="Times New Roman" w:eastAsia="宋体" w:cs="Times New Roman"/>
                <w:bCs/>
                <w:color w:val="auto"/>
                <w:spacing w:val="10"/>
                <w:sz w:val="24"/>
              </w:rPr>
              <w:t>道路应尽量利用已有简易道路</w:t>
            </w:r>
            <w:r>
              <w:rPr>
                <w:rFonts w:hint="eastAsia" w:cs="Times New Roman"/>
                <w:bCs/>
                <w:color w:val="auto"/>
                <w:spacing w:val="10"/>
                <w:sz w:val="24"/>
                <w:lang w:eastAsia="zh-CN"/>
              </w:rPr>
              <w:t>，</w:t>
            </w:r>
            <w:r>
              <w:rPr>
                <w:rFonts w:hint="default" w:ascii="Times New Roman" w:hAnsi="Times New Roman" w:eastAsia="宋体" w:cs="Times New Roman"/>
                <w:bCs/>
                <w:color w:val="auto"/>
                <w:spacing w:val="10"/>
                <w:sz w:val="24"/>
              </w:rPr>
              <w:t>减少土地的占用，</w:t>
            </w:r>
            <w:r>
              <w:rPr>
                <w:rFonts w:hint="eastAsia" w:cs="Times New Roman"/>
                <w:bCs/>
                <w:color w:val="auto"/>
                <w:spacing w:val="10"/>
                <w:sz w:val="24"/>
                <w:lang w:val="en-US" w:eastAsia="zh-CN"/>
              </w:rPr>
              <w:t>优化</w:t>
            </w:r>
            <w:r>
              <w:rPr>
                <w:rFonts w:hint="default" w:ascii="Times New Roman" w:hAnsi="Times New Roman" w:eastAsia="宋体" w:cs="Times New Roman"/>
                <w:bCs/>
                <w:color w:val="auto"/>
                <w:spacing w:val="10"/>
                <w:sz w:val="24"/>
              </w:rPr>
              <w:t>设计标高以减少开挖、回填土石方量的设计；场内施工道路，尽量以半挖半填方式施工，减少施工土石方量和弃渣量，从而减少地面扰动面积。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eastAsia" w:cs="Arial"/>
                <w:color w:val="auto"/>
                <w:sz w:val="24"/>
                <w:szCs w:val="24"/>
                <w:highlight w:val="none"/>
                <w:lang w:val="en-US" w:eastAsia="zh-CN"/>
              </w:rPr>
              <w:t>②</w:t>
            </w:r>
            <w:r>
              <w:rPr>
                <w:rFonts w:hint="default" w:ascii="Times New Roman" w:hAnsi="Times New Roman" w:eastAsia="宋体" w:cs="Times New Roman"/>
                <w:bCs/>
                <w:color w:val="auto"/>
                <w:spacing w:val="10"/>
                <w:sz w:val="24"/>
              </w:rPr>
              <w:t>优化临时</w:t>
            </w:r>
            <w:r>
              <w:rPr>
                <w:rFonts w:hint="eastAsia" w:ascii="Times New Roman" w:hAnsi="Times New Roman" w:eastAsia="宋体" w:cs="Times New Roman"/>
                <w:bCs/>
                <w:color w:val="auto"/>
                <w:spacing w:val="10"/>
                <w:sz w:val="24"/>
                <w:lang w:val="en-US" w:eastAsia="zh-CN"/>
              </w:rPr>
              <w:t>堆场</w:t>
            </w:r>
            <w:r>
              <w:rPr>
                <w:rFonts w:hint="default" w:ascii="Times New Roman" w:hAnsi="Times New Roman" w:eastAsia="宋体" w:cs="Times New Roman"/>
                <w:bCs/>
                <w:color w:val="auto"/>
                <w:spacing w:val="10"/>
                <w:sz w:val="24"/>
              </w:rPr>
              <w:t>的选址，本工程临时占地区主要有</w:t>
            </w:r>
            <w:r>
              <w:rPr>
                <w:rFonts w:hint="eastAsia" w:ascii="Times New Roman" w:hAnsi="Times New Roman" w:eastAsia="宋体" w:cs="Times New Roman"/>
                <w:bCs/>
                <w:color w:val="auto"/>
                <w:spacing w:val="10"/>
                <w:sz w:val="24"/>
                <w:lang w:val="en-US" w:eastAsia="zh-CN"/>
              </w:rPr>
              <w:t>修筑的简易道路</w:t>
            </w:r>
            <w:r>
              <w:rPr>
                <w:rFonts w:hint="default" w:ascii="Times New Roman" w:hAnsi="Times New Roman" w:eastAsia="宋体" w:cs="Times New Roman"/>
                <w:bCs/>
                <w:color w:val="auto"/>
                <w:spacing w:val="10"/>
                <w:sz w:val="24"/>
              </w:rPr>
              <w:t>、</w:t>
            </w:r>
            <w:r>
              <w:rPr>
                <w:rFonts w:hint="eastAsia" w:ascii="Times New Roman" w:hAnsi="Times New Roman" w:eastAsia="宋体" w:cs="Times New Roman"/>
                <w:bCs/>
                <w:color w:val="auto"/>
                <w:spacing w:val="10"/>
                <w:sz w:val="24"/>
                <w:lang w:val="en-US" w:eastAsia="zh-CN"/>
              </w:rPr>
              <w:t>临时</w:t>
            </w:r>
            <w:r>
              <w:rPr>
                <w:rFonts w:hint="default" w:ascii="Times New Roman" w:hAnsi="Times New Roman" w:eastAsia="宋体" w:cs="Times New Roman"/>
                <w:bCs/>
                <w:color w:val="auto"/>
                <w:spacing w:val="10"/>
                <w:sz w:val="24"/>
              </w:rPr>
              <w:t>堆</w:t>
            </w:r>
            <w:r>
              <w:rPr>
                <w:rFonts w:hint="eastAsia" w:ascii="Times New Roman" w:hAnsi="Times New Roman" w:eastAsia="宋体" w:cs="Times New Roman"/>
                <w:bCs/>
                <w:color w:val="auto"/>
                <w:spacing w:val="10"/>
                <w:sz w:val="24"/>
                <w:lang w:val="en-US" w:eastAsia="zh-CN"/>
              </w:rPr>
              <w:t>场</w:t>
            </w:r>
            <w:r>
              <w:rPr>
                <w:rFonts w:hint="default" w:ascii="Times New Roman" w:hAnsi="Times New Roman" w:eastAsia="宋体" w:cs="Times New Roman"/>
                <w:bCs/>
                <w:color w:val="auto"/>
                <w:spacing w:val="10"/>
                <w:sz w:val="24"/>
              </w:rPr>
              <w:t>等，</w:t>
            </w:r>
            <w:r>
              <w:rPr>
                <w:rFonts w:hint="eastAsia" w:cs="Times New Roman"/>
                <w:bCs/>
                <w:color w:val="auto"/>
                <w:spacing w:val="10"/>
                <w:sz w:val="24"/>
                <w:lang w:eastAsia="zh-CN"/>
              </w:rPr>
              <w:t>尽量减少</w:t>
            </w:r>
            <w:r>
              <w:rPr>
                <w:rFonts w:hint="default" w:ascii="Times New Roman" w:hAnsi="Times New Roman" w:eastAsia="宋体" w:cs="Times New Roman"/>
                <w:bCs/>
                <w:color w:val="auto"/>
                <w:spacing w:val="10"/>
                <w:sz w:val="24"/>
              </w:rPr>
              <w:t>本工程地面扰动面积。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植物</w:t>
            </w:r>
          </w:p>
          <w:p>
            <w:pPr>
              <w:pStyle w:val="3"/>
              <w:keepNext w:val="0"/>
              <w:keepLines w:val="0"/>
              <w:pageBreakBefore w:val="0"/>
              <w:widowControl w:val="0"/>
              <w:numPr>
                <w:ilvl w:val="0"/>
                <w:numId w:val="0"/>
              </w:numPr>
              <w:kinsoku/>
              <w:wordWrap/>
              <w:overflowPunct/>
              <w:topLinePunct w:val="0"/>
              <w:autoSpaceDE/>
              <w:autoSpaceDN/>
              <w:bidi w:val="0"/>
              <w:spacing w:after="0" w:line="360" w:lineRule="auto"/>
              <w:ind w:firstLine="480" w:firstLineChars="200"/>
              <w:jc w:val="left"/>
              <w:textAlignment w:val="auto"/>
              <w:rPr>
                <w:rFonts w:hint="eastAsia" w:ascii="宋体" w:hAnsi="宋体" w:eastAsia="宋体" w:cs="宋体"/>
                <w:snapToGrid/>
                <w:color w:val="auto"/>
                <w:spacing w:val="0"/>
                <w:kern w:val="2"/>
                <w:sz w:val="24"/>
                <w:szCs w:val="24"/>
                <w:lang w:val="en-US" w:eastAsia="zh-CN" w:bidi="ar-SA"/>
              </w:rPr>
            </w:pPr>
            <w:r>
              <w:rPr>
                <w:rFonts w:hint="eastAsia" w:ascii="宋体" w:hAnsi="宋体" w:eastAsia="宋体" w:cs="宋体"/>
                <w:snapToGrid/>
                <w:color w:val="auto"/>
                <w:spacing w:val="0"/>
                <w:kern w:val="2"/>
                <w:sz w:val="24"/>
                <w:szCs w:val="24"/>
                <w:lang w:val="en-US" w:eastAsia="zh-CN" w:bidi="ar-SA"/>
              </w:rPr>
              <w:t>本次工程施工场地的布置将临时改变占地区土地利用状况，同样对一些植被造成损坏。所以施工期应做到以下保护措施：</w:t>
            </w:r>
          </w:p>
          <w:p>
            <w:pPr>
              <w:pStyle w:val="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28" w:firstLineChars="200"/>
              <w:jc w:val="left"/>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color w:val="auto"/>
                <w:sz w:val="24"/>
                <w:szCs w:val="24"/>
                <w:highlight w:val="none"/>
              </w:rPr>
              <w:t>①</w:t>
            </w:r>
            <w:r>
              <w:rPr>
                <w:rFonts w:hint="eastAsia" w:ascii="宋体" w:hAnsi="宋体" w:eastAsia="宋体" w:cs="宋体"/>
                <w:snapToGrid w:val="0"/>
                <w:color w:val="auto"/>
                <w:spacing w:val="0"/>
                <w:kern w:val="0"/>
                <w:sz w:val="24"/>
                <w:szCs w:val="24"/>
                <w:highlight w:val="none"/>
                <w:lang w:val="en-US" w:eastAsia="zh-CN" w:bidi="ar-SA"/>
              </w:rPr>
              <w:t>施工期间应严格规划行驶道路，尽可能减少对野生植物的扰动，尽量使用当地已有道路、牧道、不开辟新路线。</w:t>
            </w:r>
          </w:p>
          <w:p>
            <w:pPr>
              <w:pStyle w:val="3"/>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left"/>
              <w:textAlignment w:val="auto"/>
              <w:rPr>
                <w:rFonts w:hint="eastAsia" w:ascii="宋体" w:hAnsi="宋体" w:eastAsia="宋体" w:cs="宋体"/>
                <w:snapToGrid w:val="0"/>
                <w:color w:val="auto"/>
                <w:spacing w:val="0"/>
                <w:kern w:val="0"/>
                <w:sz w:val="24"/>
                <w:szCs w:val="24"/>
                <w:highlight w:val="none"/>
                <w:lang w:val="en-US" w:eastAsia="zh-CN" w:bidi="ar-SA"/>
              </w:rPr>
            </w:pPr>
            <w:r>
              <w:rPr>
                <w:rFonts w:hint="eastAsia" w:ascii="宋体" w:hAnsi="宋体" w:eastAsia="宋体" w:cs="宋体"/>
                <w:snapToGrid w:val="0"/>
                <w:color w:val="auto"/>
                <w:spacing w:val="0"/>
                <w:kern w:val="0"/>
                <w:sz w:val="24"/>
                <w:szCs w:val="24"/>
                <w:highlight w:val="none"/>
                <w:lang w:val="en-US" w:eastAsia="zh-CN" w:bidi="ar-SA"/>
              </w:rPr>
              <w:t>②对确需碾压地段及时进行迹地的恢复治理，尽早对裸露地表进行复垦。</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ascii="宋体" w:hAnsi="宋体" w:eastAsia="宋体" w:cs="宋体"/>
                <w:color w:val="auto"/>
                <w:sz w:val="24"/>
                <w:szCs w:val="24"/>
                <w:lang w:val="en-US" w:eastAsia="zh-CN"/>
              </w:rPr>
              <w:t>③加强员工对野生植物的保护意识，</w:t>
            </w:r>
            <w:r>
              <w:rPr>
                <w:rFonts w:hint="eastAsia" w:ascii="宋体" w:hAnsi="宋体" w:eastAsia="宋体" w:cs="宋体"/>
                <w:color w:val="auto"/>
                <w:sz w:val="24"/>
                <w:szCs w:val="24"/>
                <w:highlight w:val="none"/>
                <w:lang w:val="en-US" w:eastAsia="zh-CN"/>
              </w:rPr>
              <w:t>施工</w:t>
            </w:r>
            <w:r>
              <w:rPr>
                <w:rFonts w:hint="eastAsia" w:ascii="宋体" w:hAnsi="宋体" w:eastAsia="宋体" w:cs="宋体"/>
                <w:color w:val="auto"/>
                <w:sz w:val="24"/>
                <w:szCs w:val="24"/>
                <w:highlight w:val="none"/>
              </w:rPr>
              <w:t>过程中应注意</w:t>
            </w:r>
            <w:r>
              <w:rPr>
                <w:rFonts w:hint="eastAsia" w:ascii="宋体" w:hAnsi="宋体" w:eastAsia="宋体" w:cs="宋体"/>
                <w:color w:val="auto"/>
                <w:sz w:val="24"/>
                <w:szCs w:val="24"/>
                <w:highlight w:val="none"/>
                <w:lang w:eastAsia="zh-CN"/>
              </w:rPr>
              <w:t>避让</w:t>
            </w:r>
            <w:r>
              <w:rPr>
                <w:rFonts w:hint="eastAsia" w:ascii="宋体" w:hAnsi="宋体" w:eastAsia="宋体" w:cs="宋体"/>
                <w:color w:val="auto"/>
                <w:sz w:val="24"/>
                <w:szCs w:val="24"/>
                <w:highlight w:val="none"/>
              </w:rPr>
              <w:t>保护植物，不因项目建设对其生境造成破坏影响</w:t>
            </w:r>
            <w:r>
              <w:rPr>
                <w:rFonts w:hint="eastAsia" w:ascii="宋体" w:hAnsi="宋体" w:eastAsia="宋体" w:cs="宋体"/>
                <w:color w:val="auto"/>
                <w:sz w:val="24"/>
                <w:szCs w:val="24"/>
                <w:highlight w:val="none"/>
                <w:lang w:eastAsia="zh-CN"/>
              </w:rPr>
              <w:t>。</w:t>
            </w:r>
          </w:p>
          <w:p>
            <w:pPr>
              <w:pStyle w:val="35"/>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动物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sz w:val="24"/>
                <w:lang w:val="en-US" w:eastAsia="zh-CN"/>
              </w:rPr>
            </w:pPr>
            <w:r>
              <w:rPr>
                <w:rFonts w:hint="eastAsia"/>
                <w:color w:val="auto"/>
                <w:sz w:val="24"/>
                <w:highlight w:val="none"/>
              </w:rPr>
              <w:t>区域内各种野生动物经过长期的适应已形成较稳定的取</w:t>
            </w:r>
            <w:r>
              <w:rPr>
                <w:rFonts w:hint="eastAsia"/>
                <w:color w:val="auto"/>
                <w:sz w:val="24"/>
              </w:rPr>
              <w:t>食、饮水、栖息活动范围和分布，</w:t>
            </w:r>
            <w:r>
              <w:rPr>
                <w:rFonts w:hint="eastAsia"/>
                <w:color w:val="auto"/>
                <w:sz w:val="24"/>
                <w:lang w:val="en-US" w:eastAsia="zh-CN"/>
              </w:rPr>
              <w:t>施工</w:t>
            </w:r>
            <w:r>
              <w:rPr>
                <w:rFonts w:hint="eastAsia"/>
                <w:color w:val="auto"/>
                <w:sz w:val="24"/>
              </w:rPr>
              <w:t>过程中</w:t>
            </w:r>
            <w:r>
              <w:rPr>
                <w:rFonts w:hint="eastAsia"/>
                <w:color w:val="auto"/>
                <w:sz w:val="24"/>
                <w:lang w:val="en-US" w:eastAsia="zh-CN"/>
              </w:rPr>
              <w:t>道路</w:t>
            </w:r>
            <w:r>
              <w:rPr>
                <w:rFonts w:hint="eastAsia"/>
                <w:color w:val="auto"/>
                <w:sz w:val="24"/>
              </w:rPr>
              <w:t>建设</w:t>
            </w:r>
            <w:r>
              <w:rPr>
                <w:rFonts w:hint="eastAsia"/>
                <w:color w:val="auto"/>
                <w:sz w:val="24"/>
                <w:lang w:val="en-US" w:eastAsia="zh-CN"/>
              </w:rPr>
              <w:t>与施工营地的建设</w:t>
            </w:r>
            <w:r>
              <w:rPr>
                <w:rFonts w:hint="eastAsia"/>
                <w:color w:val="auto"/>
                <w:sz w:val="24"/>
              </w:rPr>
              <w:t>占地将使原有的野生动物的分布、栖息活动范围受到压缩。</w:t>
            </w:r>
            <w:r>
              <w:rPr>
                <w:rFonts w:hint="eastAsia"/>
                <w:color w:val="auto"/>
                <w:sz w:val="24"/>
                <w:lang w:val="en-US" w:eastAsia="zh-CN"/>
              </w:rPr>
              <w:t>所以施工期应做到以下保护措施：</w:t>
            </w:r>
          </w:p>
          <w:p>
            <w:pPr>
              <w:pStyle w:val="3"/>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default" w:ascii="Times New Roman" w:hAnsi="Times New Roman" w:eastAsia="宋体" w:cs="Arial"/>
                <w:snapToGrid w:val="0"/>
                <w:color w:val="auto"/>
                <w:spacing w:val="0"/>
                <w:kern w:val="0"/>
                <w:sz w:val="24"/>
                <w:szCs w:val="24"/>
                <w:highlight w:val="none"/>
                <w:lang w:val="en-US" w:eastAsia="zh-CN" w:bidi="ar-SA"/>
              </w:rPr>
            </w:pPr>
            <w:r>
              <w:rPr>
                <w:rFonts w:hint="default" w:ascii="Times New Roman" w:hAnsi="Times New Roman" w:eastAsia="宋体" w:cs="Times New Roman"/>
                <w:color w:val="auto"/>
                <w:sz w:val="24"/>
                <w:szCs w:val="24"/>
                <w:highlight w:val="none"/>
              </w:rPr>
              <w:t>①</w:t>
            </w:r>
            <w:r>
              <w:rPr>
                <w:rFonts w:hint="eastAsia" w:ascii="Times New Roman" w:hAnsi="Times New Roman" w:eastAsia="宋体" w:cs="Arial"/>
                <w:snapToGrid w:val="0"/>
                <w:color w:val="auto"/>
                <w:spacing w:val="0"/>
                <w:kern w:val="0"/>
                <w:sz w:val="24"/>
                <w:szCs w:val="24"/>
                <w:highlight w:val="none"/>
                <w:lang w:val="en-US" w:eastAsia="zh-CN" w:bidi="ar-SA"/>
              </w:rPr>
              <w:t>施工</w:t>
            </w:r>
            <w:r>
              <w:rPr>
                <w:rFonts w:hint="default" w:ascii="Times New Roman" w:hAnsi="Times New Roman" w:eastAsia="宋体" w:cs="Arial"/>
                <w:snapToGrid w:val="0"/>
                <w:color w:val="auto"/>
                <w:spacing w:val="0"/>
                <w:kern w:val="0"/>
                <w:sz w:val="24"/>
                <w:szCs w:val="24"/>
                <w:highlight w:val="none"/>
                <w:lang w:val="en-US" w:eastAsia="zh-CN" w:bidi="ar-SA"/>
              </w:rPr>
              <w:t>期间应严格规划</w:t>
            </w:r>
            <w:r>
              <w:rPr>
                <w:rFonts w:hint="eastAsia" w:ascii="Times New Roman" w:hAnsi="Times New Roman" w:eastAsia="宋体" w:cs="Arial"/>
                <w:snapToGrid w:val="0"/>
                <w:color w:val="auto"/>
                <w:spacing w:val="0"/>
                <w:kern w:val="0"/>
                <w:sz w:val="24"/>
                <w:szCs w:val="24"/>
                <w:highlight w:val="none"/>
                <w:lang w:val="en-US" w:eastAsia="zh-CN" w:bidi="ar-SA"/>
              </w:rPr>
              <w:t>施工</w:t>
            </w:r>
            <w:r>
              <w:rPr>
                <w:rFonts w:hint="default" w:ascii="Times New Roman" w:hAnsi="Times New Roman" w:eastAsia="宋体" w:cs="Arial"/>
                <w:snapToGrid w:val="0"/>
                <w:color w:val="auto"/>
                <w:spacing w:val="0"/>
                <w:kern w:val="0"/>
                <w:sz w:val="24"/>
                <w:szCs w:val="24"/>
                <w:highlight w:val="none"/>
                <w:lang w:val="en-US" w:eastAsia="zh-CN" w:bidi="ar-SA"/>
              </w:rPr>
              <w:t>道路，尽可能减少对野生动物的扰动，尽量使用当地已有道路、牧道、不开辟新路线。</w:t>
            </w:r>
          </w:p>
          <w:p>
            <w:pPr>
              <w:pStyle w:val="3"/>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default" w:ascii="Times New Roman" w:hAnsi="Times New Roman" w:eastAsia="宋体" w:cs="Arial"/>
                <w:snapToGrid w:val="0"/>
                <w:color w:val="auto"/>
                <w:spacing w:val="0"/>
                <w:kern w:val="0"/>
                <w:sz w:val="24"/>
                <w:szCs w:val="24"/>
                <w:highlight w:val="none"/>
                <w:lang w:val="en-US" w:eastAsia="zh-CN" w:bidi="ar-SA"/>
              </w:rPr>
            </w:pPr>
            <w:r>
              <w:rPr>
                <w:rFonts w:hint="eastAsia" w:ascii="Times New Roman" w:hAnsi="Times New Roman" w:eastAsia="宋体" w:cs="Arial"/>
                <w:snapToGrid w:val="0"/>
                <w:color w:val="auto"/>
                <w:spacing w:val="0"/>
                <w:kern w:val="0"/>
                <w:sz w:val="24"/>
                <w:szCs w:val="24"/>
                <w:highlight w:val="none"/>
                <w:lang w:val="en-US" w:eastAsia="zh-CN" w:bidi="ar-SA"/>
              </w:rPr>
              <w:t>②</w:t>
            </w:r>
            <w:r>
              <w:rPr>
                <w:rFonts w:hint="default" w:ascii="Times New Roman" w:hAnsi="Times New Roman" w:eastAsia="宋体" w:cs="Arial"/>
                <w:snapToGrid w:val="0"/>
                <w:color w:val="auto"/>
                <w:spacing w:val="0"/>
                <w:kern w:val="0"/>
                <w:sz w:val="24"/>
                <w:szCs w:val="24"/>
                <w:highlight w:val="none"/>
                <w:lang w:val="en-US" w:eastAsia="zh-CN" w:bidi="ar-SA"/>
              </w:rPr>
              <w:t>对确需碾压地段及时进行迹地的恢复治理，</w:t>
            </w:r>
            <w:r>
              <w:rPr>
                <w:rFonts w:hint="eastAsia" w:ascii="Times New Roman" w:hAnsi="Times New Roman" w:eastAsia="宋体" w:cs="Arial"/>
                <w:snapToGrid w:val="0"/>
                <w:color w:val="auto"/>
                <w:spacing w:val="0"/>
                <w:kern w:val="0"/>
                <w:sz w:val="24"/>
                <w:szCs w:val="24"/>
                <w:highlight w:val="none"/>
                <w:lang w:val="en-US" w:eastAsia="zh-CN" w:bidi="ar-SA"/>
              </w:rPr>
              <w:t>施工</w:t>
            </w:r>
            <w:r>
              <w:rPr>
                <w:rFonts w:hint="default" w:ascii="Times New Roman" w:hAnsi="Times New Roman" w:eastAsia="宋体" w:cs="Arial"/>
                <w:snapToGrid w:val="0"/>
                <w:color w:val="auto"/>
                <w:spacing w:val="0"/>
                <w:kern w:val="0"/>
                <w:sz w:val="24"/>
                <w:szCs w:val="24"/>
                <w:highlight w:val="none"/>
                <w:lang w:val="en-US" w:eastAsia="zh-CN" w:bidi="ar-SA"/>
              </w:rPr>
              <w:t>时避让野生动物，不追逐，不惊吓。</w:t>
            </w:r>
          </w:p>
          <w:p>
            <w:pPr>
              <w:pStyle w:val="3"/>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default" w:ascii="Times New Roman" w:hAnsi="Times New Roman" w:eastAsia="宋体" w:cs="Arial"/>
                <w:snapToGrid w:val="0"/>
                <w:color w:val="auto"/>
                <w:spacing w:val="0"/>
                <w:kern w:val="0"/>
                <w:sz w:val="24"/>
                <w:szCs w:val="24"/>
                <w:highlight w:val="none"/>
                <w:lang w:val="en-US" w:eastAsia="zh-CN" w:bidi="ar-SA"/>
              </w:rPr>
            </w:pPr>
            <w:r>
              <w:rPr>
                <w:rFonts w:hint="eastAsia" w:ascii="Times New Roman" w:hAnsi="Times New Roman" w:eastAsia="宋体" w:cs="Arial"/>
                <w:snapToGrid w:val="0"/>
                <w:color w:val="auto"/>
                <w:spacing w:val="0"/>
                <w:kern w:val="0"/>
                <w:sz w:val="24"/>
                <w:szCs w:val="24"/>
                <w:highlight w:val="none"/>
                <w:lang w:val="en-US" w:eastAsia="zh-CN" w:bidi="ar-SA"/>
              </w:rPr>
              <w:t>③</w:t>
            </w:r>
            <w:r>
              <w:rPr>
                <w:rFonts w:hint="default" w:ascii="Times New Roman" w:hAnsi="Times New Roman" w:eastAsia="宋体" w:cs="Arial"/>
                <w:snapToGrid w:val="0"/>
                <w:color w:val="auto"/>
                <w:spacing w:val="0"/>
                <w:kern w:val="0"/>
                <w:sz w:val="24"/>
                <w:szCs w:val="24"/>
                <w:highlight w:val="none"/>
                <w:lang w:val="en-US" w:eastAsia="zh-CN" w:bidi="ar-SA"/>
              </w:rPr>
              <w:t>应尽量将</w:t>
            </w:r>
            <w:r>
              <w:rPr>
                <w:rFonts w:hint="eastAsia" w:ascii="Times New Roman" w:hAnsi="Times New Roman" w:eastAsia="宋体" w:cs="Arial"/>
                <w:snapToGrid w:val="0"/>
                <w:color w:val="auto"/>
                <w:spacing w:val="0"/>
                <w:kern w:val="0"/>
                <w:sz w:val="24"/>
                <w:szCs w:val="24"/>
                <w:highlight w:val="none"/>
                <w:lang w:val="en-US" w:eastAsia="zh-CN" w:bidi="ar-SA"/>
              </w:rPr>
              <w:t>施工</w:t>
            </w:r>
            <w:r>
              <w:rPr>
                <w:rFonts w:hint="default" w:ascii="Times New Roman" w:hAnsi="Times New Roman" w:eastAsia="宋体" w:cs="Arial"/>
                <w:snapToGrid w:val="0"/>
                <w:color w:val="auto"/>
                <w:spacing w:val="0"/>
                <w:kern w:val="0"/>
                <w:sz w:val="24"/>
                <w:szCs w:val="24"/>
                <w:highlight w:val="none"/>
                <w:lang w:val="en-US" w:eastAsia="zh-CN" w:bidi="ar-SA"/>
              </w:rPr>
              <w:t>作业安排在白天，避免夜间</w:t>
            </w:r>
            <w:r>
              <w:rPr>
                <w:rFonts w:hint="eastAsia" w:ascii="Times New Roman" w:hAnsi="Times New Roman" w:eastAsia="宋体" w:cs="Arial"/>
                <w:snapToGrid w:val="0"/>
                <w:color w:val="auto"/>
                <w:spacing w:val="0"/>
                <w:kern w:val="0"/>
                <w:sz w:val="24"/>
                <w:szCs w:val="24"/>
                <w:highlight w:val="none"/>
                <w:lang w:val="en-US" w:eastAsia="zh-CN" w:bidi="ar-SA"/>
              </w:rPr>
              <w:t>施工</w:t>
            </w:r>
            <w:r>
              <w:rPr>
                <w:rFonts w:hint="default" w:ascii="Times New Roman" w:hAnsi="Times New Roman" w:eastAsia="宋体" w:cs="Arial"/>
                <w:snapToGrid w:val="0"/>
                <w:color w:val="auto"/>
                <w:spacing w:val="0"/>
                <w:kern w:val="0"/>
                <w:sz w:val="24"/>
                <w:szCs w:val="24"/>
                <w:highlight w:val="none"/>
                <w:lang w:val="en-US" w:eastAsia="zh-CN" w:bidi="ar-SA"/>
              </w:rPr>
              <w:t>对野生动物的影响。</w:t>
            </w:r>
          </w:p>
          <w:p>
            <w:pPr>
              <w:pStyle w:val="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snapToGrid w:val="0"/>
                <w:color w:val="auto"/>
                <w:kern w:val="0"/>
                <w:sz w:val="24"/>
                <w:szCs w:val="24"/>
                <w:lang w:val="en-US" w:eastAsia="zh-CN" w:bidi="ar-SA"/>
              </w:rPr>
            </w:pPr>
            <w:r>
              <w:rPr>
                <w:rFonts w:hint="eastAsia" w:ascii="Times New Roman" w:hAnsi="Times New Roman" w:eastAsia="宋体" w:cs="Arial"/>
                <w:snapToGrid w:val="0"/>
                <w:color w:val="auto"/>
                <w:spacing w:val="0"/>
                <w:kern w:val="0"/>
                <w:sz w:val="24"/>
                <w:szCs w:val="24"/>
                <w:highlight w:val="none"/>
                <w:lang w:val="en-US" w:eastAsia="zh-CN" w:bidi="ar-SA"/>
              </w:rPr>
              <w:t>④</w:t>
            </w:r>
            <w:r>
              <w:rPr>
                <w:rFonts w:hint="default" w:ascii="Times New Roman" w:hAnsi="Times New Roman" w:eastAsia="宋体" w:cs="Arial"/>
                <w:snapToGrid w:val="0"/>
                <w:color w:val="auto"/>
                <w:spacing w:val="0"/>
                <w:kern w:val="0"/>
                <w:sz w:val="24"/>
                <w:szCs w:val="24"/>
                <w:highlight w:val="none"/>
                <w:lang w:val="en-US" w:eastAsia="zh-CN" w:bidi="ar-SA"/>
              </w:rPr>
              <w:t>加强</w:t>
            </w:r>
            <w:r>
              <w:rPr>
                <w:rFonts w:hint="eastAsia" w:ascii="Times New Roman" w:hAnsi="Times New Roman" w:eastAsia="宋体" w:cs="Arial"/>
                <w:snapToGrid w:val="0"/>
                <w:color w:val="auto"/>
                <w:spacing w:val="0"/>
                <w:kern w:val="0"/>
                <w:sz w:val="24"/>
                <w:szCs w:val="24"/>
                <w:highlight w:val="none"/>
                <w:lang w:val="en-US" w:eastAsia="zh-CN" w:bidi="ar-SA"/>
              </w:rPr>
              <w:t>工作人员</w:t>
            </w:r>
            <w:r>
              <w:rPr>
                <w:rFonts w:hint="default" w:ascii="Times New Roman" w:hAnsi="Times New Roman" w:eastAsia="宋体" w:cs="Arial"/>
                <w:snapToGrid w:val="0"/>
                <w:color w:val="auto"/>
                <w:spacing w:val="0"/>
                <w:kern w:val="0"/>
                <w:sz w:val="24"/>
                <w:szCs w:val="24"/>
                <w:highlight w:val="none"/>
                <w:lang w:val="en-US" w:eastAsia="zh-CN" w:bidi="ar-SA"/>
              </w:rPr>
              <w:t>对野生动物的保护意识，禁止捕捉野生动物，减少作业人员在矿区作业区以外活动区域，避免惊吓野生动物。</w:t>
            </w:r>
          </w:p>
          <w:p>
            <w:pPr>
              <w:pStyle w:val="3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snapToGrid w:val="0"/>
                <w:color w:val="auto"/>
                <w:kern w:val="0"/>
                <w:sz w:val="24"/>
                <w:szCs w:val="24"/>
                <w:lang w:val="en-US" w:eastAsia="zh-CN" w:bidi="ar-SA"/>
              </w:rPr>
              <w:t>5、</w:t>
            </w:r>
            <w:r>
              <w:rPr>
                <w:rFonts w:hint="default" w:ascii="Times New Roman" w:hAnsi="Times New Roman" w:cs="Times New Roman"/>
                <w:color w:val="auto"/>
                <w:sz w:val="24"/>
                <w:szCs w:val="24"/>
                <w:highlight w:val="none"/>
                <w:lang w:val="en-US" w:eastAsia="zh-CN"/>
              </w:rPr>
              <w:t>自然景观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cs="Times New Roman"/>
                <w:snapToGrid w:val="0"/>
                <w:color w:val="auto"/>
                <w:kern w:val="0"/>
                <w:sz w:val="24"/>
                <w:szCs w:val="24"/>
                <w:lang w:val="en-US" w:eastAsia="zh-CN" w:bidi="ar-SA"/>
              </w:rPr>
            </w:pPr>
            <w:r>
              <w:rPr>
                <w:rFonts w:hint="eastAsia" w:ascii="Times New Roman" w:hAnsi="Times New Roman" w:eastAsia="宋体" w:cs="Times New Roman"/>
                <w:bCs/>
                <w:color w:val="auto"/>
                <w:sz w:val="24"/>
                <w:highlight w:val="none"/>
              </w:rPr>
              <w:t>项目实施阶段，工程施工行为会对区域自然景观产生一定不利影响，项目实施过程中的开挖、弃渣堆放、营地设置，行车道路、施工迹地等若不能全面处理，则可出现渣土、生活垃圾及造成的植被枯死的景象，进而引发斑块状和条带状地形地貌使自然景观的整体性美感遭受破坏。</w:t>
            </w:r>
            <w:r>
              <w:rPr>
                <w:rFonts w:hint="default" w:ascii="Times New Roman" w:hAnsi="Times New Roman" w:eastAsia="宋体" w:cs="Times New Roman"/>
                <w:color w:val="auto"/>
                <w:sz w:val="24"/>
                <w:szCs w:val="24"/>
                <w:highlight w:val="none"/>
              </w:rPr>
              <w:t>项目已制定具体的复垦方案，预留了复垦保障资金，采取边</w:t>
            </w:r>
            <w:r>
              <w:rPr>
                <w:rFonts w:hint="eastAsia" w:cs="Times New Roman"/>
                <w:color w:val="auto"/>
                <w:sz w:val="24"/>
                <w:szCs w:val="24"/>
                <w:highlight w:val="none"/>
                <w:lang w:val="en-US" w:eastAsia="zh-CN"/>
              </w:rPr>
              <w:t>开挖</w:t>
            </w:r>
            <w:r>
              <w:rPr>
                <w:rFonts w:hint="default" w:ascii="Times New Roman" w:hAnsi="Times New Roman" w:eastAsia="宋体" w:cs="Times New Roman"/>
                <w:color w:val="auto"/>
                <w:sz w:val="24"/>
                <w:szCs w:val="24"/>
                <w:highlight w:val="none"/>
              </w:rPr>
              <w:t>边恢复</w:t>
            </w:r>
            <w:r>
              <w:rPr>
                <w:rFonts w:hint="eastAsia" w:cs="Times New Roman"/>
                <w:color w:val="auto"/>
                <w:sz w:val="24"/>
                <w:szCs w:val="24"/>
                <w:highlight w:val="none"/>
                <w:lang w:val="en-US" w:eastAsia="zh-CN"/>
              </w:rPr>
              <w:t>开挖</w:t>
            </w:r>
            <w:r>
              <w:rPr>
                <w:rFonts w:hint="default" w:ascii="Times New Roman" w:hAnsi="Times New Roman" w:eastAsia="宋体" w:cs="Times New Roman"/>
                <w:color w:val="auto"/>
                <w:sz w:val="24"/>
                <w:szCs w:val="24"/>
                <w:highlight w:val="none"/>
              </w:rPr>
              <w:t>迹地的方法，</w:t>
            </w:r>
            <w:r>
              <w:rPr>
                <w:rFonts w:hint="eastAsia" w:cs="Times New Roman"/>
                <w:color w:val="auto"/>
                <w:sz w:val="24"/>
                <w:szCs w:val="24"/>
                <w:highlight w:val="none"/>
                <w:lang w:val="en-US" w:eastAsia="zh-CN"/>
              </w:rPr>
              <w:t>对施工迹地</w:t>
            </w:r>
            <w:r>
              <w:rPr>
                <w:rFonts w:hint="default" w:ascii="Times New Roman" w:hAnsi="Times New Roman" w:eastAsia="宋体" w:cs="Times New Roman"/>
                <w:color w:val="auto"/>
                <w:sz w:val="24"/>
                <w:szCs w:val="24"/>
                <w:highlight w:val="none"/>
              </w:rPr>
              <w:t>进行恢复，</w:t>
            </w:r>
            <w:r>
              <w:rPr>
                <w:rFonts w:hint="eastAsia" w:cs="Times New Roman"/>
                <w:color w:val="auto"/>
                <w:sz w:val="24"/>
                <w:szCs w:val="24"/>
                <w:highlight w:val="none"/>
                <w:lang w:val="en-US" w:eastAsia="zh-CN"/>
              </w:rPr>
              <w:t>确保项目区占地区域基本恢复到采矿前地貌。</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eastAsia" w:cs="Times New Roman"/>
                <w:snapToGrid w:val="0"/>
                <w:color w:val="auto"/>
                <w:kern w:val="0"/>
                <w:sz w:val="24"/>
                <w:szCs w:val="24"/>
                <w:lang w:val="en-US" w:eastAsia="zh-CN" w:bidi="ar-SA"/>
              </w:rPr>
              <w:t>6、</w:t>
            </w:r>
            <w:r>
              <w:rPr>
                <w:rFonts w:hint="default" w:ascii="Times New Roman" w:hAnsi="Times New Roman" w:cs="Times New Roman"/>
                <w:color w:val="auto"/>
                <w:sz w:val="24"/>
                <w:szCs w:val="24"/>
                <w:highlight w:val="none"/>
              </w:rPr>
              <w:t>水土流失</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eastAsia" w:cs="Arial"/>
                <w:color w:val="auto"/>
                <w:sz w:val="24"/>
                <w:szCs w:val="24"/>
                <w:highlight w:val="none"/>
                <w:lang w:val="en-US" w:eastAsia="zh-CN"/>
              </w:rPr>
            </w:pPr>
            <w:r>
              <w:rPr>
                <w:rFonts w:hint="eastAsia" w:cs="Arial"/>
                <w:color w:val="auto"/>
                <w:sz w:val="24"/>
                <w:szCs w:val="24"/>
                <w:highlight w:val="none"/>
                <w:lang w:val="en-US" w:eastAsia="zh-CN"/>
              </w:rPr>
              <w:t>本项目施工过程中</w:t>
            </w:r>
            <w:r>
              <w:rPr>
                <w:rFonts w:hint="eastAsia" w:cs="Arial"/>
                <w:color w:val="auto"/>
                <w:sz w:val="24"/>
                <w:szCs w:val="24"/>
                <w:highlight w:val="none"/>
              </w:rPr>
              <w:t>要进行开挖和地面建设，施工活动对实施区域的地表造成局地性和扰动，不同程度</w:t>
            </w:r>
            <w:r>
              <w:rPr>
                <w:rFonts w:hint="eastAsia" w:cs="Arial"/>
                <w:color w:val="auto"/>
                <w:sz w:val="24"/>
                <w:szCs w:val="24"/>
                <w:highlight w:val="none"/>
                <w:lang w:eastAsia="zh-CN"/>
              </w:rPr>
              <w:t>地</w:t>
            </w:r>
            <w:r>
              <w:rPr>
                <w:rFonts w:hint="eastAsia" w:cs="Arial"/>
                <w:color w:val="auto"/>
                <w:sz w:val="24"/>
                <w:szCs w:val="24"/>
                <w:highlight w:val="none"/>
              </w:rPr>
              <w:t>破坏施工区域的土壤结构，扰动地表土壤层，导致土壤中水分的损失，易引起水土流失。此外，施工中机械碾压、人员践踏、土方堆放等等，也将扰动原有相对稳定的地表，使土壤松动，产生一定面积的裸露地面，地表植被覆盖率</w:t>
            </w:r>
            <w:r>
              <w:rPr>
                <w:rFonts w:hint="eastAsia" w:cs="Arial"/>
                <w:color w:val="auto"/>
                <w:sz w:val="24"/>
                <w:szCs w:val="24"/>
                <w:highlight w:val="none"/>
                <w:lang w:val="en-US" w:eastAsia="zh-CN"/>
              </w:rPr>
              <w:t>高</w:t>
            </w:r>
            <w:r>
              <w:rPr>
                <w:rFonts w:hint="eastAsia" w:cs="Arial"/>
                <w:color w:val="auto"/>
                <w:sz w:val="24"/>
                <w:szCs w:val="24"/>
                <w:highlight w:val="none"/>
              </w:rPr>
              <w:t>，土壤肥力降低，</w:t>
            </w:r>
            <w:r>
              <w:rPr>
                <w:rFonts w:hint="eastAsia" w:cs="Arial"/>
                <w:color w:val="auto"/>
                <w:sz w:val="24"/>
                <w:szCs w:val="24"/>
                <w:highlight w:val="none"/>
                <w:lang w:val="en-US" w:eastAsia="zh-CN"/>
              </w:rPr>
              <w:t>容</w:t>
            </w:r>
            <w:r>
              <w:rPr>
                <w:rFonts w:hint="eastAsia" w:cs="Arial"/>
                <w:color w:val="auto"/>
                <w:sz w:val="24"/>
                <w:szCs w:val="24"/>
                <w:highlight w:val="none"/>
              </w:rPr>
              <w:t>易发生土壤侵蚀，造成水土流失。</w:t>
            </w:r>
            <w:r>
              <w:rPr>
                <w:rFonts w:hint="eastAsia" w:cs="Arial"/>
                <w:color w:val="auto"/>
                <w:sz w:val="24"/>
                <w:szCs w:val="24"/>
                <w:highlight w:val="none"/>
                <w:lang w:val="en-US" w:eastAsia="zh-CN"/>
              </w:rPr>
              <w:t>应做到以下保护措施：</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eastAsia" w:eastAsia="宋体" w:cs="Arial"/>
                <w:color w:val="auto"/>
                <w:sz w:val="24"/>
                <w:szCs w:val="24"/>
                <w:highlight w:val="none"/>
                <w:lang w:eastAsia="zh-CN"/>
              </w:rPr>
            </w:pPr>
            <w:r>
              <w:rPr>
                <w:rFonts w:hint="default" w:ascii="Times New Roman" w:hAnsi="Times New Roman" w:eastAsia="宋体" w:cs="Times New Roman"/>
                <w:color w:val="auto"/>
                <w:sz w:val="24"/>
                <w:szCs w:val="24"/>
                <w:highlight w:val="none"/>
              </w:rPr>
              <w:t>①</w:t>
            </w:r>
            <w:r>
              <w:rPr>
                <w:rFonts w:hint="eastAsia" w:cs="Arial"/>
                <w:color w:val="auto"/>
                <w:sz w:val="24"/>
                <w:szCs w:val="24"/>
                <w:highlight w:val="none"/>
              </w:rPr>
              <w:t>加强水土保持管理工作，严格控制和管理运输车辆及重型机械的运行范围；划定适宜的堆料场，严禁材料乱堆乱放，尽量减少对地表植被及地表形态的扰动和破坏，</w:t>
            </w:r>
            <w:r>
              <w:rPr>
                <w:rFonts w:hint="eastAsia" w:cs="Arial"/>
                <w:color w:val="auto"/>
                <w:sz w:val="24"/>
                <w:szCs w:val="24"/>
                <w:highlight w:val="none"/>
                <w:lang w:eastAsia="zh-CN"/>
              </w:rPr>
              <w:t>边</w:t>
            </w:r>
            <w:r>
              <w:rPr>
                <w:rFonts w:hint="eastAsia" w:cs="Arial"/>
                <w:color w:val="auto"/>
                <w:sz w:val="24"/>
                <w:szCs w:val="24"/>
                <w:highlight w:val="none"/>
                <w:lang w:val="en-US" w:eastAsia="zh-CN"/>
              </w:rPr>
              <w:t>施工</w:t>
            </w:r>
            <w:r>
              <w:rPr>
                <w:rFonts w:hint="eastAsia" w:cs="Arial"/>
                <w:color w:val="auto"/>
                <w:sz w:val="24"/>
                <w:szCs w:val="24"/>
                <w:highlight w:val="none"/>
                <w:lang w:eastAsia="zh-CN"/>
              </w:rPr>
              <w:t>、边回填</w:t>
            </w:r>
            <w:r>
              <w:rPr>
                <w:rFonts w:hint="eastAsia" w:cs="Arial"/>
                <w:color w:val="auto"/>
                <w:sz w:val="24"/>
                <w:szCs w:val="24"/>
                <w:highlight w:val="none"/>
              </w:rPr>
              <w:t>，减小中间堆放量，减少水土流失</w:t>
            </w:r>
            <w:r>
              <w:rPr>
                <w:rFonts w:hint="eastAsia" w:cs="Arial"/>
                <w:color w:val="auto"/>
                <w:sz w:val="24"/>
                <w:szCs w:val="24"/>
                <w:highlight w:val="none"/>
                <w:lang w:eastAsia="zh-CN"/>
              </w:rPr>
              <w:t>。</w:t>
            </w:r>
          </w:p>
          <w:p>
            <w:pPr>
              <w:pStyle w:val="35"/>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eastAsia="宋体" w:cs="Arial"/>
                <w:color w:val="auto"/>
                <w:sz w:val="24"/>
                <w:szCs w:val="24"/>
                <w:highlight w:val="none"/>
                <w:lang w:eastAsia="zh-CN"/>
              </w:rPr>
            </w:pPr>
            <w:r>
              <w:rPr>
                <w:rFonts w:hint="default" w:ascii="Times New Roman" w:hAnsi="Times New Roman" w:eastAsia="宋体" w:cs="Times New Roman"/>
                <w:color w:val="auto"/>
                <w:sz w:val="24"/>
                <w:szCs w:val="24"/>
                <w:highlight w:val="none"/>
              </w:rPr>
              <w:t>②</w:t>
            </w:r>
            <w:r>
              <w:rPr>
                <w:rFonts w:hint="eastAsia" w:cs="Arial"/>
                <w:color w:val="auto"/>
                <w:sz w:val="24"/>
                <w:szCs w:val="24"/>
                <w:highlight w:val="none"/>
              </w:rPr>
              <w:t>加强管理，大风天气、雨季不得作业</w:t>
            </w:r>
            <w:r>
              <w:rPr>
                <w:rFonts w:hint="eastAsia" w:cs="Arial"/>
                <w:color w:val="auto"/>
                <w:sz w:val="24"/>
                <w:szCs w:val="24"/>
                <w:highlight w:val="none"/>
                <w:lang w:eastAsia="zh-CN"/>
              </w:rPr>
              <w:t>。</w:t>
            </w:r>
          </w:p>
          <w:p>
            <w:pPr>
              <w:keepNext w:val="0"/>
              <w:keepLines w:val="0"/>
              <w:pageBreakBefore w:val="0"/>
              <w:kinsoku/>
              <w:wordWrap/>
              <w:topLinePunct w:val="0"/>
              <w:bidi w:val="0"/>
              <w:adjustRightInd w:val="0"/>
              <w:snapToGrid w:val="0"/>
              <w:spacing w:line="360" w:lineRule="auto"/>
              <w:ind w:firstLine="480" w:firstLineChars="200"/>
              <w:rPr>
                <w:rFonts w:hint="eastAsia" w:cs="Arial"/>
                <w:color w:val="auto"/>
                <w:sz w:val="24"/>
                <w:szCs w:val="24"/>
                <w:highlight w:val="none"/>
              </w:rPr>
            </w:pPr>
            <w:r>
              <w:rPr>
                <w:rFonts w:hint="default" w:ascii="Times New Roman" w:hAnsi="Times New Roman" w:eastAsia="宋体" w:cs="Times New Roman"/>
                <w:color w:val="auto"/>
                <w:sz w:val="24"/>
                <w:szCs w:val="24"/>
                <w:highlight w:val="none"/>
              </w:rPr>
              <w:t>③</w:t>
            </w:r>
            <w:r>
              <w:rPr>
                <w:rFonts w:hint="eastAsia" w:cs="Arial"/>
                <w:color w:val="auto"/>
                <w:sz w:val="24"/>
                <w:szCs w:val="24"/>
                <w:highlight w:val="none"/>
                <w:lang w:val="en-US" w:eastAsia="zh-CN"/>
              </w:rPr>
              <w:t>施工</w:t>
            </w:r>
            <w:r>
              <w:rPr>
                <w:rFonts w:hint="eastAsia" w:cs="Arial"/>
                <w:color w:val="auto"/>
                <w:sz w:val="24"/>
                <w:szCs w:val="24"/>
                <w:highlight w:val="none"/>
                <w:lang w:eastAsia="zh-CN"/>
              </w:rPr>
              <w:t>完成</w:t>
            </w:r>
            <w:r>
              <w:rPr>
                <w:rFonts w:hint="eastAsia" w:cs="Arial"/>
                <w:color w:val="auto"/>
                <w:sz w:val="24"/>
                <w:szCs w:val="24"/>
                <w:highlight w:val="none"/>
              </w:rPr>
              <w:t>后，将其</w:t>
            </w:r>
            <w:r>
              <w:rPr>
                <w:rFonts w:hint="eastAsia" w:cs="Arial"/>
                <w:color w:val="auto"/>
                <w:sz w:val="24"/>
                <w:szCs w:val="24"/>
                <w:highlight w:val="none"/>
                <w:lang w:val="en-US" w:eastAsia="zh-CN"/>
              </w:rPr>
              <w:t>施工</w:t>
            </w:r>
            <w:r>
              <w:rPr>
                <w:rFonts w:hint="eastAsia" w:cs="Arial"/>
                <w:color w:val="auto"/>
                <w:sz w:val="24"/>
                <w:szCs w:val="24"/>
                <w:highlight w:val="none"/>
                <w:lang w:eastAsia="zh-CN"/>
              </w:rPr>
              <w:t>区</w:t>
            </w:r>
            <w:r>
              <w:rPr>
                <w:rFonts w:hint="eastAsia" w:cs="Arial"/>
                <w:color w:val="auto"/>
                <w:sz w:val="24"/>
                <w:szCs w:val="24"/>
                <w:highlight w:val="none"/>
              </w:rPr>
              <w:t>土地进行复垦</w:t>
            </w:r>
            <w:r>
              <w:rPr>
                <w:rFonts w:hint="eastAsia" w:cs="Arial"/>
                <w:color w:val="auto"/>
                <w:sz w:val="24"/>
                <w:szCs w:val="24"/>
                <w:highlight w:val="none"/>
                <w:lang w:eastAsia="zh-CN"/>
              </w:rPr>
              <w:t>，对</w:t>
            </w:r>
            <w:r>
              <w:rPr>
                <w:rFonts w:hint="eastAsia" w:cs="Arial"/>
                <w:color w:val="auto"/>
                <w:sz w:val="24"/>
                <w:szCs w:val="24"/>
                <w:highlight w:val="none"/>
              </w:rPr>
              <w:t>周边进行表层回填和迹地覆土恢复及时对周围生态植被进行修复，增加区域防冲和固土能力，减小水土流失的影响。</w:t>
            </w:r>
          </w:p>
          <w:p>
            <w:pPr>
              <w:keepNext w:val="0"/>
              <w:keepLines w:val="0"/>
              <w:pageBreakBefore w:val="0"/>
              <w:kinsoku/>
              <w:wordWrap/>
              <w:topLinePunct w:val="0"/>
              <w:bidi w:val="0"/>
              <w:adjustRightInd w:val="0"/>
              <w:snapToGrid w:val="0"/>
              <w:spacing w:line="360" w:lineRule="auto"/>
              <w:ind w:firstLine="480" w:firstLineChars="200"/>
              <w:rPr>
                <w:rFonts w:hint="default" w:ascii="Times New Roman" w:hAnsi="Times New Roman" w:eastAsia="宋体" w:cs="Times New Roman"/>
                <w:bCs/>
                <w:color w:val="auto"/>
                <w:spacing w:val="10"/>
                <w:sz w:val="24"/>
              </w:rPr>
            </w:pPr>
            <w:r>
              <w:rPr>
                <w:rFonts w:hint="eastAsia" w:cs="Arial"/>
                <w:color w:val="auto"/>
                <w:sz w:val="24"/>
                <w:szCs w:val="24"/>
                <w:highlight w:val="none"/>
                <w:lang w:val="en-US" w:eastAsia="zh-CN"/>
              </w:rPr>
              <w:t>④</w:t>
            </w:r>
            <w:r>
              <w:rPr>
                <w:rFonts w:hint="default" w:ascii="Times New Roman" w:hAnsi="Times New Roman" w:eastAsia="宋体" w:cs="Times New Roman"/>
                <w:bCs/>
                <w:color w:val="auto"/>
                <w:spacing w:val="10"/>
                <w:sz w:val="24"/>
              </w:rPr>
              <w:t>施工期应避免在</w:t>
            </w:r>
            <w:r>
              <w:rPr>
                <w:rFonts w:hint="eastAsia" w:cs="Times New Roman"/>
                <w:bCs/>
                <w:color w:val="auto"/>
                <w:spacing w:val="10"/>
                <w:sz w:val="24"/>
                <w:lang w:val="en-US" w:eastAsia="zh-CN"/>
              </w:rPr>
              <w:t>风</w:t>
            </w:r>
            <w:r>
              <w:rPr>
                <w:rFonts w:hint="default" w:ascii="Times New Roman" w:hAnsi="Times New Roman" w:eastAsia="宋体" w:cs="Times New Roman"/>
                <w:bCs/>
                <w:color w:val="auto"/>
                <w:spacing w:val="10"/>
                <w:sz w:val="24"/>
              </w:rPr>
              <w:t>季施工，同时减少土石方的开挖，减少施工垃圾量的产生及时清除多余的土方和石料，减少地面的压占，同时采取护坡、</w:t>
            </w:r>
            <w:r>
              <w:rPr>
                <w:rFonts w:hint="eastAsia" w:cs="Times New Roman"/>
                <w:bCs/>
                <w:color w:val="auto"/>
                <w:spacing w:val="10"/>
                <w:sz w:val="24"/>
                <w:lang w:val="en-US" w:eastAsia="zh-CN"/>
              </w:rPr>
              <w:t>拦挡</w:t>
            </w:r>
            <w:r>
              <w:rPr>
                <w:rFonts w:hint="default" w:ascii="Times New Roman" w:hAnsi="Times New Roman" w:eastAsia="宋体" w:cs="Times New Roman"/>
                <w:bCs/>
                <w:color w:val="auto"/>
                <w:spacing w:val="10"/>
                <w:sz w:val="24"/>
              </w:rPr>
              <w:t>等防护措施，避免水土流失。</w:t>
            </w:r>
          </w:p>
          <w:p>
            <w:pPr>
              <w:keepNext w:val="0"/>
              <w:keepLines w:val="0"/>
              <w:pageBreakBefore w:val="0"/>
              <w:kinsoku/>
              <w:wordWrap/>
              <w:topLinePunct w:val="0"/>
              <w:bidi w:val="0"/>
              <w:adjustRightInd w:val="0"/>
              <w:snapToGrid w:val="0"/>
              <w:spacing w:line="360" w:lineRule="auto"/>
              <w:ind w:firstLine="480" w:firstLineChars="200"/>
              <w:rPr>
                <w:rFonts w:hint="default" w:ascii="Times New Roman" w:hAnsi="Times New Roman" w:cs="Times New Roman"/>
                <w:snapToGrid w:val="0"/>
                <w:color w:val="auto"/>
                <w:kern w:val="0"/>
                <w:sz w:val="24"/>
                <w:szCs w:val="24"/>
                <w:lang w:val="en-US" w:eastAsia="zh-CN" w:bidi="ar-SA"/>
              </w:rPr>
            </w:pPr>
            <w:r>
              <w:rPr>
                <w:rFonts w:hint="eastAsia" w:cs="Arial"/>
                <w:color w:val="auto"/>
                <w:sz w:val="24"/>
                <w:szCs w:val="24"/>
                <w:highlight w:val="none"/>
                <w:lang w:val="en-US" w:eastAsia="zh-CN"/>
              </w:rPr>
              <w:t>⑤</w:t>
            </w:r>
            <w:r>
              <w:rPr>
                <w:rFonts w:hint="eastAsia" w:ascii="Times New Roman" w:hAnsi="Times New Roman" w:eastAsia="宋体" w:cs="Times New Roman"/>
                <w:color w:val="auto"/>
                <w:kern w:val="0"/>
                <w:sz w:val="24"/>
                <w:szCs w:val="24"/>
                <w:lang w:val="en-US" w:eastAsia="zh-CN"/>
              </w:rPr>
              <w:t>施工期应接受当地保护管理部门的监督、检查。开展环境监理工作，采用巡检监理的方式，对材料堆放、施工方式、施工机械和施工场地进行环境监控，检查生态保护措施的落实及施工人员的生态保护行为</w:t>
            </w:r>
            <w:r>
              <w:rPr>
                <w:rFonts w:hint="default" w:ascii="Times New Roman" w:hAnsi="Times New Roman" w:eastAsia="宋体" w:cs="Times New Roman"/>
                <w:bCs/>
                <w:color w:val="auto"/>
                <w:spacing w:val="10"/>
                <w:sz w:val="24"/>
              </w:rPr>
              <w:t>。</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eastAsia="宋体" w:cs="Arial"/>
                <w:color w:val="auto"/>
                <w:sz w:val="24"/>
                <w:szCs w:val="24"/>
                <w:highlight w:val="none"/>
                <w:lang w:eastAsia="zh-CN"/>
              </w:rPr>
            </w:pPr>
            <w:r>
              <w:rPr>
                <w:rFonts w:hint="eastAsia" w:cs="Times New Roman"/>
                <w:snapToGrid w:val="0"/>
                <w:color w:val="auto"/>
                <w:kern w:val="0"/>
                <w:sz w:val="24"/>
                <w:szCs w:val="24"/>
                <w:lang w:val="en-US" w:eastAsia="zh-CN" w:bidi="ar-SA"/>
              </w:rPr>
              <w:t>7、</w:t>
            </w:r>
            <w:r>
              <w:rPr>
                <w:rFonts w:hint="default" w:ascii="Times New Roman" w:hAnsi="Times New Roman" w:cs="Times New Roman"/>
                <w:color w:val="auto"/>
                <w:sz w:val="24"/>
                <w:szCs w:val="24"/>
                <w:highlight w:val="none"/>
                <w:lang w:val="en-US" w:eastAsia="zh-CN"/>
              </w:rPr>
              <w:t>防沙治</w:t>
            </w:r>
            <w:r>
              <w:rPr>
                <w:rFonts w:hint="eastAsia" w:cs="Arial"/>
                <w:color w:val="auto"/>
                <w:sz w:val="24"/>
                <w:szCs w:val="24"/>
                <w:highlight w:val="none"/>
                <w:lang w:val="en-US" w:eastAsia="zh-CN"/>
              </w:rPr>
              <w:t>沙措施</w:t>
            </w:r>
          </w:p>
          <w:p>
            <w:pPr>
              <w:keepNext w:val="0"/>
              <w:keepLines w:val="0"/>
              <w:pageBreakBefore w:val="0"/>
              <w:kinsoku/>
              <w:wordWrap/>
              <w:topLinePunct w:val="0"/>
              <w:bidi w:val="0"/>
              <w:adjustRightInd w:val="0"/>
              <w:snapToGrid w:val="0"/>
              <w:spacing w:line="360" w:lineRule="auto"/>
              <w:ind w:firstLine="480" w:firstLineChars="200"/>
              <w:rPr>
                <w:rFonts w:hint="eastAsia" w:ascii="Times New Roman" w:hAnsi="Times New Roman" w:eastAsia="宋体" w:cs="Arial"/>
                <w:color w:val="auto"/>
                <w:sz w:val="24"/>
                <w:szCs w:val="24"/>
                <w:highlight w:val="none"/>
              </w:rPr>
            </w:pPr>
            <w:r>
              <w:rPr>
                <w:rFonts w:hint="eastAsia" w:ascii="Times New Roman" w:hAnsi="Times New Roman" w:eastAsia="宋体" w:cs="Arial"/>
                <w:color w:val="auto"/>
                <w:sz w:val="24"/>
                <w:szCs w:val="24"/>
                <w:highlight w:val="none"/>
              </w:rPr>
              <w:t>①土地临时使用过程中发现具有明显沙化趋势土地沙化的，应当及时报告当地人民政府。</w:t>
            </w:r>
          </w:p>
          <w:p>
            <w:pPr>
              <w:keepNext w:val="0"/>
              <w:keepLines w:val="0"/>
              <w:pageBreakBefore w:val="0"/>
              <w:kinsoku/>
              <w:wordWrap/>
              <w:topLinePunct w:val="0"/>
              <w:bidi w:val="0"/>
              <w:adjustRightInd w:val="0"/>
              <w:snapToGrid w:val="0"/>
              <w:spacing w:line="360" w:lineRule="auto"/>
              <w:ind w:firstLine="480" w:firstLineChars="200"/>
              <w:rPr>
                <w:rFonts w:hint="eastAsia" w:ascii="Times New Roman" w:hAnsi="Times New Roman" w:eastAsia="宋体" w:cs="Arial"/>
                <w:color w:val="auto"/>
                <w:sz w:val="24"/>
                <w:szCs w:val="24"/>
                <w:highlight w:val="none"/>
              </w:rPr>
            </w:pPr>
            <w:r>
              <w:rPr>
                <w:rFonts w:hint="eastAsia" w:ascii="Times New Roman" w:hAnsi="Times New Roman" w:eastAsia="宋体" w:cs="Arial"/>
                <w:color w:val="auto"/>
                <w:sz w:val="24"/>
                <w:szCs w:val="24"/>
                <w:highlight w:val="none"/>
              </w:rPr>
              <w:t>②严格控制施工活动范围，严禁乱碾乱轧，避免对占地范围外的区域造成扰动，保护地表原有稳定结皮不被破坏。</w:t>
            </w:r>
          </w:p>
          <w:p>
            <w:pPr>
              <w:keepNext w:val="0"/>
              <w:keepLines w:val="0"/>
              <w:pageBreakBefore w:val="0"/>
              <w:kinsoku/>
              <w:wordWrap/>
              <w:topLinePunct w:val="0"/>
              <w:bidi w:val="0"/>
              <w:adjustRightInd w:val="0"/>
              <w:snapToGrid w:val="0"/>
              <w:spacing w:line="360" w:lineRule="auto"/>
              <w:ind w:firstLine="480" w:firstLineChars="200"/>
              <w:rPr>
                <w:rFonts w:hint="eastAsia" w:ascii="Times New Roman" w:hAnsi="Times New Roman" w:eastAsia="宋体" w:cs="Arial"/>
                <w:color w:val="auto"/>
                <w:sz w:val="24"/>
                <w:szCs w:val="24"/>
                <w:highlight w:val="none"/>
              </w:rPr>
            </w:pPr>
            <w:r>
              <w:rPr>
                <w:rFonts w:hint="eastAsia" w:ascii="Times New Roman" w:hAnsi="Times New Roman" w:eastAsia="宋体" w:cs="Arial"/>
                <w:color w:val="auto"/>
                <w:sz w:val="24"/>
                <w:szCs w:val="24"/>
                <w:highlight w:val="none"/>
              </w:rPr>
              <w:t>③优化施工组织缩短工时，避免在大风天气作业，施工结束后对场地进行清理、平整并压实，以免地表土壤受到风力侵蚀。</w:t>
            </w:r>
          </w:p>
          <w:p>
            <w:pPr>
              <w:keepNext w:val="0"/>
              <w:keepLines w:val="0"/>
              <w:pageBreakBefore w:val="0"/>
              <w:kinsoku/>
              <w:wordWrap/>
              <w:topLinePunct w:val="0"/>
              <w:bidi w:val="0"/>
              <w:adjustRightInd w:val="0"/>
              <w:snapToGrid w:val="0"/>
              <w:spacing w:line="360" w:lineRule="auto"/>
              <w:ind w:firstLine="480" w:firstLineChars="200"/>
              <w:rPr>
                <w:rFonts w:hint="eastAsia"/>
                <w:b/>
                <w:bCs/>
                <w:color w:val="auto"/>
                <w:sz w:val="24"/>
                <w:szCs w:val="24"/>
                <w:highlight w:val="none"/>
                <w:lang w:val="en-US" w:eastAsia="zh-CN"/>
              </w:rPr>
            </w:pPr>
            <w:r>
              <w:rPr>
                <w:rFonts w:hint="eastAsia" w:ascii="Times New Roman" w:hAnsi="Times New Roman" w:eastAsia="宋体" w:cs="Arial"/>
                <w:color w:val="auto"/>
                <w:sz w:val="24"/>
                <w:szCs w:val="24"/>
                <w:highlight w:val="none"/>
              </w:rPr>
              <w:t>④大力宣传《</w:t>
            </w:r>
            <w:r>
              <w:rPr>
                <w:rFonts w:hint="eastAsia" w:cs="Arial"/>
                <w:color w:val="auto"/>
                <w:sz w:val="24"/>
                <w:szCs w:val="24"/>
                <w:highlight w:val="none"/>
                <w:lang w:val="en-US" w:eastAsia="zh-CN"/>
              </w:rPr>
              <w:t>中华人民共和国</w:t>
            </w:r>
            <w:r>
              <w:rPr>
                <w:rFonts w:hint="eastAsia" w:ascii="Times New Roman" w:hAnsi="Times New Roman" w:eastAsia="宋体" w:cs="Arial"/>
                <w:color w:val="auto"/>
                <w:sz w:val="24"/>
                <w:szCs w:val="24"/>
                <w:highlight w:val="none"/>
              </w:rPr>
              <w:t>防沙治沙法》，使施工人员知法、懂法、守法，自觉保护林草植被，自觉履行防治义务。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Arial"/>
                <w:b w:val="0"/>
                <w:bCs w:val="0"/>
                <w:color w:val="auto"/>
                <w:sz w:val="24"/>
                <w:szCs w:val="24"/>
                <w:highlight w:val="none"/>
              </w:rPr>
            </w:pPr>
            <w:r>
              <w:rPr>
                <w:rFonts w:hint="eastAsia"/>
                <w:b w:val="0"/>
                <w:bCs w:val="0"/>
                <w:color w:val="auto"/>
                <w:sz w:val="24"/>
                <w:szCs w:val="24"/>
                <w:highlight w:val="none"/>
                <w:lang w:val="en-US" w:eastAsia="zh-CN"/>
              </w:rPr>
              <w:t>8、施工期大气环境保护措施</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（1）土石方及散装物料装卸应尽可能降低落差、轻装慢卸，并在背风面进行，车辆应覆盖篷布。车辆进入施工场地后，车速应控制在20km/h以内，减少车辆碾压起尘量。</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（2）施工场地、施工道路的每天洒水4～5次，并及时清扫道路，碾压或覆盖裸露地表。</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（3）易起尘物料应尽可能避免露天堆放，若露天堆放应加以覆盖。</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（4）对于开挖和回填区域应在作业完成后及时压实地面，临时性使用完毕后，应恢复植被，可以有效防止交通扬尘和自然扬尘。</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（5）合理安排施工设备工作时间，并使用低硫清洁燃油，减少施工设备废气的影响。</w:t>
            </w:r>
          </w:p>
          <w:p>
            <w:pPr>
              <w:pStyle w:val="3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b w:val="0"/>
                <w:bCs w:val="0"/>
                <w:color w:val="auto"/>
                <w:sz w:val="24"/>
                <w:szCs w:val="24"/>
                <w:highlight w:val="none"/>
              </w:rPr>
            </w:pPr>
            <w:r>
              <w:rPr>
                <w:rFonts w:hint="eastAsia"/>
                <w:b w:val="0"/>
                <w:bCs w:val="0"/>
                <w:color w:val="auto"/>
                <w:sz w:val="24"/>
                <w:szCs w:val="24"/>
                <w:highlight w:val="none"/>
                <w:lang w:val="en-US" w:eastAsia="zh-CN"/>
              </w:rPr>
              <w:t>9、</w:t>
            </w:r>
            <w:r>
              <w:rPr>
                <w:rFonts w:hint="eastAsia"/>
                <w:b w:val="0"/>
                <w:bCs w:val="0"/>
                <w:color w:val="auto"/>
                <w:sz w:val="24"/>
                <w:szCs w:val="24"/>
                <w:highlight w:val="none"/>
              </w:rPr>
              <w:t>施工期水环境</w:t>
            </w:r>
            <w:r>
              <w:rPr>
                <w:rFonts w:hint="eastAsia" w:ascii="宋体" w:hAnsi="宋体" w:eastAsia="宋体"/>
                <w:b w:val="0"/>
                <w:bCs w:val="0"/>
                <w:color w:val="auto"/>
                <w:sz w:val="24"/>
                <w:szCs w:val="24"/>
                <w:lang w:val="en-US" w:eastAsia="zh-CN"/>
              </w:rPr>
              <w:t>保护措施</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为防止施工废水对周围环境产生不利影响，本环评提出以下防治措施。</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）划定施工范围界限，禁止任何施工行为越过界限。</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eastAsia" w:ascii="Times New Roman" w:hAnsi="Times New Roman" w:eastAsia="宋体" w:cs="Times New Roman"/>
                <w:b w:val="0"/>
                <w:bCs w:val="0"/>
                <w:color w:val="auto"/>
                <w:sz w:val="24"/>
                <w:szCs w:val="24"/>
                <w:highlight w:val="none"/>
                <w:lang w:val="en-US" w:eastAsia="zh-CN"/>
              </w:rPr>
              <w:t>）应根据其废水量在施工区域内就近空地设置相应简易的沉淀池，将施工废水集中在沉淀池内进行处理后用于工具清洗、养护和施工现场洒水降尘，沉淀物可清掏填于低洼处裸面。施工单位对施工场地用水应严格管理，贯彻“一水多用、重复利用、节约用水”的原则，尽量减少废水的排放量，尽可能避免施工用水过程中的</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跑、冒、滴、漏</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，减轻废水排放对周围环境的影响。工程完工后，尽快对周边进行土地平整，地面恢复。</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（3）施工结束后不得闲置土地，应尽快建设水土保持设施。</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（4）施工时应对地面水的排放进行组织设计，严禁乱排、乱流而污染区域水环境。</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本项目的施工期较短，这种影响会随着施工期的结束而消失，施工废水对区域水环境影响很小。</w:t>
            </w:r>
          </w:p>
          <w:p>
            <w:pPr>
              <w:pStyle w:val="3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b w:val="0"/>
                <w:bCs w:val="0"/>
                <w:color w:val="auto"/>
                <w:sz w:val="24"/>
                <w:szCs w:val="24"/>
                <w:highlight w:val="none"/>
                <w:lang w:val="en-US" w:eastAsia="zh-CN"/>
              </w:rPr>
            </w:pPr>
            <w:r>
              <w:rPr>
                <w:rFonts w:hint="eastAsia"/>
                <w:b w:val="0"/>
                <w:bCs w:val="0"/>
                <w:color w:val="auto"/>
                <w:sz w:val="24"/>
                <w:szCs w:val="24"/>
                <w:highlight w:val="none"/>
                <w:lang w:val="en-US" w:eastAsia="zh-CN"/>
              </w:rPr>
              <w:t>10、</w:t>
            </w:r>
            <w:r>
              <w:rPr>
                <w:rFonts w:hint="eastAsia"/>
                <w:b w:val="0"/>
                <w:bCs w:val="0"/>
                <w:color w:val="auto"/>
                <w:sz w:val="24"/>
                <w:szCs w:val="24"/>
                <w:highlight w:val="none"/>
              </w:rPr>
              <w:t>施工期噪声环境</w:t>
            </w:r>
            <w:r>
              <w:rPr>
                <w:rFonts w:hint="eastAsia"/>
                <w:b w:val="0"/>
                <w:bCs w:val="0"/>
                <w:color w:val="auto"/>
                <w:sz w:val="24"/>
                <w:szCs w:val="24"/>
                <w:highlight w:val="none"/>
                <w:lang w:val="en-US" w:eastAsia="zh-CN"/>
              </w:rPr>
              <w:t>保护措施</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（1）设备选型上尽量采用低噪声设备，对动力机械要定期维护，有效降低机械设备运转的噪声源强。</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（2）在施工作业中必须合理安排各类施工机械的工作时间，对不同施工阶段，按《建筑施工场界环境噪声排放标准》（GB12523-2011）对施工场界进行噪声控制。</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（3）制定</w:t>
            </w:r>
            <w:r>
              <w:rPr>
                <w:rFonts w:hint="eastAsia" w:ascii="Times New Roman" w:hAnsi="Times New Roman" w:eastAsia="宋体" w:cs="Times New Roman"/>
                <w:b w:val="0"/>
                <w:bCs w:val="0"/>
                <w:color w:val="auto"/>
                <w:sz w:val="24"/>
                <w:szCs w:val="24"/>
                <w:highlight w:val="none"/>
                <w:lang w:val="en-US" w:eastAsia="zh-CN"/>
              </w:rPr>
              <w:t>科学</w:t>
            </w:r>
            <w:r>
              <w:rPr>
                <w:rFonts w:hint="default" w:ascii="Times New Roman" w:hAnsi="Times New Roman" w:eastAsia="宋体" w:cs="Times New Roman"/>
                <w:b w:val="0"/>
                <w:bCs w:val="0"/>
                <w:color w:val="auto"/>
                <w:sz w:val="24"/>
                <w:szCs w:val="24"/>
                <w:highlight w:val="none"/>
                <w:lang w:val="en-US" w:eastAsia="zh-CN"/>
              </w:rPr>
              <w:t>施工计划，节省施工时间，尽量缩短施工周期</w:t>
            </w:r>
            <w:r>
              <w:rPr>
                <w:rFonts w:hint="eastAsia" w:ascii="Times New Roman" w:hAnsi="Times New Roman" w:eastAsia="宋体" w:cs="Times New Roman"/>
                <w:b w:val="0"/>
                <w:bCs w:val="0"/>
                <w:color w:val="auto"/>
                <w:sz w:val="24"/>
                <w:szCs w:val="24"/>
                <w:highlight w:val="none"/>
                <w:lang w:val="en-US" w:eastAsia="zh-CN"/>
              </w:rPr>
              <w:t>。</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b/>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（4）合理安排施工时间，对施工机械操作人员应按照劳动卫生标准控制作业时间，并采取个人防护措施，如戴头盔、耳塞等。</w:t>
            </w:r>
          </w:p>
          <w:p>
            <w:pPr>
              <w:pStyle w:val="3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b w:val="0"/>
                <w:bCs/>
                <w:color w:val="auto"/>
                <w:sz w:val="24"/>
                <w:szCs w:val="24"/>
                <w:lang w:val="en-US" w:eastAsia="zh-CN"/>
              </w:rPr>
            </w:pPr>
            <w:r>
              <w:rPr>
                <w:rFonts w:hint="eastAsia" w:ascii="宋体" w:hAnsi="宋体"/>
                <w:b w:val="0"/>
                <w:bCs/>
                <w:color w:val="auto"/>
                <w:sz w:val="24"/>
                <w:szCs w:val="24"/>
                <w:highlight w:val="none"/>
                <w:lang w:val="en-US" w:eastAsia="zh-CN"/>
              </w:rPr>
              <w:t>11</w:t>
            </w:r>
            <w:r>
              <w:rPr>
                <w:rFonts w:hint="eastAsia" w:ascii="宋体" w:hAnsi="宋体" w:eastAsia="宋体"/>
                <w:b w:val="0"/>
                <w:bCs/>
                <w:color w:val="auto"/>
                <w:sz w:val="24"/>
                <w:szCs w:val="24"/>
                <w:highlight w:val="none"/>
                <w:lang w:val="en-US" w:eastAsia="zh-CN"/>
              </w:rPr>
              <w:t>、</w:t>
            </w:r>
            <w:r>
              <w:rPr>
                <w:rFonts w:hint="eastAsia" w:ascii="宋体" w:hAnsi="宋体" w:eastAsia="宋体"/>
                <w:b w:val="0"/>
                <w:bCs/>
                <w:color w:val="auto"/>
                <w:sz w:val="24"/>
                <w:szCs w:val="24"/>
                <w:highlight w:val="none"/>
              </w:rPr>
              <w:t>施工期固废</w:t>
            </w:r>
            <w:r>
              <w:rPr>
                <w:rFonts w:hint="eastAsia" w:ascii="宋体" w:hAnsi="宋体" w:eastAsia="宋体"/>
                <w:b w:val="0"/>
                <w:bCs/>
                <w:color w:val="auto"/>
                <w:sz w:val="24"/>
                <w:szCs w:val="24"/>
                <w:lang w:val="en-US" w:eastAsia="zh-CN"/>
              </w:rPr>
              <w:t>保护措施</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施工过程中产生的土石方，待项目完毕后，项目区的土坑回填。残留的废建筑材料如混凝土块、弃渣等均为无机物，拉运至和硕县垃圾填埋场填埋处理。</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施工期施工人员将会产生一定量的生活垃圾，应集中收集到指定垃圾箱内，施工期结束后清运至生活垃圾收集点统一处置。</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b/>
                <w:color w:val="auto"/>
                <w:sz w:val="24"/>
                <w:szCs w:val="24"/>
                <w:lang w:val="en-US" w:eastAsia="zh-CN"/>
              </w:rPr>
            </w:pPr>
            <w:r>
              <w:rPr>
                <w:rFonts w:hint="default" w:ascii="Times New Roman" w:hAnsi="Times New Roman" w:eastAsia="宋体" w:cs="Times New Roman"/>
                <w:b w:val="0"/>
                <w:bCs w:val="0"/>
                <w:color w:val="auto"/>
                <w:sz w:val="24"/>
                <w:szCs w:val="24"/>
                <w:highlight w:val="none"/>
                <w:lang w:val="en-US" w:eastAsia="zh-CN"/>
              </w:rPr>
              <w:t>因此只要项目加强管理，妥善处置各种施工期固体废物，则项目施工期固体废物不会对环境造成</w:t>
            </w:r>
            <w:r>
              <w:rPr>
                <w:rFonts w:hint="eastAsia" w:ascii="Times New Roman" w:hAnsi="Times New Roman" w:eastAsia="宋体" w:cs="Times New Roman"/>
                <w:b w:val="0"/>
                <w:bCs w:val="0"/>
                <w:color w:val="auto"/>
                <w:sz w:val="24"/>
                <w:szCs w:val="24"/>
                <w:highlight w:val="none"/>
                <w:lang w:val="en-US" w:eastAsia="zh-CN"/>
              </w:rPr>
              <w:t>很大</w:t>
            </w:r>
            <w:r>
              <w:rPr>
                <w:rFonts w:hint="default" w:ascii="Times New Roman" w:hAnsi="Times New Roman" w:eastAsia="宋体" w:cs="Times New Roman"/>
                <w:b w:val="0"/>
                <w:bCs w:val="0"/>
                <w:color w:val="auto"/>
                <w:sz w:val="24"/>
                <w:szCs w:val="24"/>
                <w:highlight w:val="none"/>
                <w:lang w:val="en-US" w:eastAsia="zh-CN"/>
              </w:rPr>
              <w:t>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9" w:hRule="atLeast"/>
          <w:jc w:val="center"/>
        </w:trPr>
        <w:tc>
          <w:tcPr>
            <w:tcW w:w="684" w:type="dxa"/>
            <w:noWrap w:val="0"/>
            <w:tcMar>
              <w:left w:w="28" w:type="dxa"/>
              <w:right w:w="28" w:type="dxa"/>
            </w:tcMar>
            <w:vAlign w:val="center"/>
          </w:tcPr>
          <w:p>
            <w:pPr>
              <w:keepNext w:val="0"/>
              <w:keepLines w:val="0"/>
              <w:pageBreakBefore w:val="0"/>
              <w:kinsoku/>
              <w:wordWrap/>
              <w:topLinePunct w:val="0"/>
              <w:bidi w:val="0"/>
              <w:adjustRightInd w:val="0"/>
              <w:snapToGrid w:val="0"/>
              <w:jc w:val="center"/>
              <w:rPr>
                <w:rFonts w:ascii="宋体" w:hAnsi="宋体" w:cs="宋体"/>
                <w:bCs/>
                <w:color w:val="auto"/>
                <w:spacing w:val="10"/>
                <w:sz w:val="24"/>
                <w:szCs w:val="24"/>
              </w:rPr>
            </w:pPr>
            <w:r>
              <w:rPr>
                <w:rFonts w:hint="eastAsia" w:ascii="宋体" w:hAnsi="宋体" w:cs="宋体"/>
                <w:bCs/>
                <w:color w:val="auto"/>
                <w:spacing w:val="10"/>
                <w:sz w:val="24"/>
                <w:szCs w:val="24"/>
                <w:lang w:val="en-US" w:eastAsia="zh-CN"/>
              </w:rPr>
              <w:t>运营期</w:t>
            </w:r>
            <w:r>
              <w:rPr>
                <w:rFonts w:hint="eastAsia" w:ascii="宋体" w:hAnsi="宋体" w:cs="宋体"/>
                <w:bCs/>
                <w:color w:val="auto"/>
                <w:spacing w:val="10"/>
                <w:sz w:val="24"/>
                <w:szCs w:val="24"/>
              </w:rPr>
              <w:t>生态环境保护措施</w:t>
            </w:r>
          </w:p>
        </w:tc>
        <w:tc>
          <w:tcPr>
            <w:tcW w:w="8718" w:type="dxa"/>
            <w:noWrap w:val="0"/>
            <w:vAlign w:val="top"/>
          </w:tcPr>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占地</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永久占地由于项目区域内自然条件的限制，植被的自然恢复极其困难，项目区内永久占地为未利用裸地；根据矿产资源开发利用与生态保护修复方案可知，项目区内道路全部为砂石路面，减少风蚀量。</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①保护方案</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采用露天开采方式，开采区边坡需进行边坡灾害防治工作。要求在开采期间，边开采边恢复、终止采矿活动时必须完成恢复治理。</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②开采区生态保护</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A.开采区应进行生态环境影响和经济损益评估，按评估结果及相关规定进行控制性开采，减少对生态空间的占用，不影响区域主导生态功能。</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B.开采区开采前应在区域范围及砂石矿开采活动的可能影响区进行生物多样性现状调查，保护项目区生物多样性。</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C.设置堆场时，应严格控制临时施工场地与施工道路面积和范围，减少对地表植被的破坏。</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D.应科学设置堆场，并采取边坡防护、工程拦挡等水土保持措施。</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E.开采过程产生的固体废物，应在专用场所堆放，并采取措施防止二次污染。</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F.开采结束后应平整后进行生态恢复，并与周边地表景观相协调。</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开采结束后应加强对开采矿坑的生态治理恢复及时清运废料，使全场趋于平缓，为自然生态环境恢复提供条件，减轻水土流失造成的影响。</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恢复后的露天采矿场进行土地资源再利用时，在坡度、土层厚度、稳定性土壤环境安全性等方面应满足相关用地要求。本项目严格遵守国家和地方有关野生动植物保护和水土保持等法律法规。主要采取以下生态保护措施，这些措施对于减少植被破坏，减缓水土流失，抵制沙漠化发展起到了一定的积极作用。</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土壤环境</w:t>
            </w:r>
          </w:p>
          <w:p>
            <w:pPr>
              <w:pStyle w:val="35"/>
              <w:keepNext w:val="0"/>
              <w:keepLines w:val="0"/>
              <w:pageBreakBefore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①按照设计合理建设、生产及堆放矿石等，按照设计堆放在对应场地内，堆放边坡不超过</w:t>
            </w:r>
            <w:r>
              <w:rPr>
                <w:rFonts w:hint="eastAsia"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，减少对原生土壤的损毁。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Arial"/>
                <w:color w:val="auto"/>
                <w:sz w:val="24"/>
                <w:szCs w:val="24"/>
                <w:highlight w:val="none"/>
                <w:lang w:val="en-US" w:eastAsia="zh-CN"/>
              </w:rPr>
            </w:pPr>
            <w:r>
              <w:rPr>
                <w:rFonts w:hint="eastAsia" w:cs="Arial"/>
                <w:color w:val="auto"/>
                <w:sz w:val="24"/>
                <w:szCs w:val="24"/>
                <w:highlight w:val="none"/>
                <w:lang w:val="en-US" w:eastAsia="zh-CN"/>
              </w:rPr>
              <w:t>②应加强运输车辆行驶路线的管理，划定明确的作业范围和行驶路线，严禁越界和偏离简易便道进行无监管活动，减少作业人员在矿区作业区以外活动区域。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val="en-US" w:eastAsia="zh-CN"/>
              </w:rPr>
              <w:t>应严格控制施工区域，尽可能缩小施工范围，减少开挖量和生态破</w:t>
            </w:r>
            <w:r>
              <w:rPr>
                <w:rFonts w:hint="eastAsia" w:ascii="Times New Roman" w:hAnsi="Times New Roman" w:eastAsia="宋体" w:cs="Times New Roman"/>
                <w:color w:val="auto"/>
                <w:sz w:val="24"/>
                <w:szCs w:val="24"/>
                <w:highlight w:val="none"/>
                <w:lang w:val="en-US" w:eastAsia="zh-CN"/>
              </w:rPr>
              <w:t>坏</w:t>
            </w:r>
            <w:r>
              <w:rPr>
                <w:rFonts w:hint="default" w:ascii="Times New Roman" w:hAnsi="Times New Roman" w:eastAsia="宋体" w:cs="Times New Roman"/>
                <w:color w:val="auto"/>
                <w:sz w:val="24"/>
                <w:szCs w:val="24"/>
                <w:highlight w:val="none"/>
                <w:lang w:val="en-US" w:eastAsia="zh-CN"/>
              </w:rPr>
              <w:t>面积，从而减少开挖和恢复面积；优化土石方平衡，减少水土流失。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植物</w:t>
            </w:r>
          </w:p>
          <w:p>
            <w:pPr>
              <w:pStyle w:val="35"/>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为尽可能地减小项目对当地动植物的影响，建议采取以下措施：</w:t>
            </w:r>
          </w:p>
          <w:p>
            <w:pPr>
              <w:pStyle w:val="35"/>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①建设单位需加强管理，对项目周围坍塌面采取防护设施，严格控制活动范围，严禁项目对矿区及评价区内零星分布的植被进行随意碾压等破坏活动。</w:t>
            </w:r>
          </w:p>
          <w:p>
            <w:pPr>
              <w:pStyle w:val="35"/>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②道路布设须避开植被，严禁运输车辆超载行驶，车辆必须覆盖，防止运送物料沿途洒落，占压道路沿线植被。</w:t>
            </w:r>
          </w:p>
          <w:p>
            <w:pPr>
              <w:pStyle w:val="35"/>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③加强职工的环境保护意识，尽量将生产活动限制在矿区范围内，避免对周边植物造成人为损害，尽量减小因项目建设方面导致的生态环境影响程度和范围。</w:t>
            </w:r>
          </w:p>
          <w:p>
            <w:pPr>
              <w:pStyle w:val="35"/>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④矿区范围内的非开采区，尽量保留原有生态，防止人为破坏行为，禁止</w:t>
            </w:r>
            <w:r>
              <w:rPr>
                <w:rFonts w:hint="eastAsia" w:cs="Times New Roman"/>
                <w:color w:val="auto"/>
                <w:sz w:val="24"/>
                <w:szCs w:val="24"/>
                <w:highlight w:val="none"/>
                <w:lang w:val="en-US" w:eastAsia="zh-CN"/>
              </w:rPr>
              <w:t>乱砍滥伐</w:t>
            </w:r>
            <w:r>
              <w:rPr>
                <w:rFonts w:hint="default" w:ascii="Times New Roman" w:hAnsi="Times New Roman" w:cs="Times New Roman"/>
                <w:color w:val="auto"/>
                <w:sz w:val="24"/>
                <w:szCs w:val="24"/>
                <w:highlight w:val="none"/>
                <w:lang w:val="en-US" w:eastAsia="zh-CN"/>
              </w:rPr>
              <w:t>；露天开采区及时进行植被恢复；矿区范围外禁止越界开采，杜绝压覆占用界限外的林地。严格控制地表剥离，加强地表剥离后对破坏植被的恢复。</w:t>
            </w:r>
          </w:p>
          <w:p>
            <w:pPr>
              <w:pStyle w:val="35"/>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⑤加强工作人员宣传工作，项目区设置关于保护野生动物的警示牌；加强对工作人员及外来人员的管理工作，禁止捕杀野生动物；在施工、开采过程中注意保护野生动物的栖息地，如不破坏鸟巢、爬行类动物的巢穴等。</w:t>
            </w:r>
          </w:p>
          <w:p>
            <w:pPr>
              <w:pStyle w:val="35"/>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⑥加强对施工人员的教育，强化保护野生动植物的观念，严禁捕杀任何野生动物；遇到受伤、病残饥饿、受困、迷途的野生动物及野生动物的幼崽和繁殖场所，应立即采取保护措施，并上报相关主管部门。</w:t>
            </w:r>
          </w:p>
          <w:p>
            <w:pPr>
              <w:pStyle w:val="35"/>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通过采取上述控制措施，可有效降低项目生产活动对周边动植物的影响程度。</w:t>
            </w:r>
          </w:p>
          <w:p>
            <w:pPr>
              <w:pStyle w:val="35"/>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动物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sz w:val="24"/>
                <w:lang w:val="en-US" w:eastAsia="zh-CN"/>
              </w:rPr>
            </w:pPr>
            <w:r>
              <w:rPr>
                <w:rFonts w:hint="eastAsia"/>
                <w:color w:val="auto"/>
                <w:sz w:val="24"/>
                <w:highlight w:val="none"/>
              </w:rPr>
              <w:t>区域内各种野生动物经过长期的适应已形成较稳定的取</w:t>
            </w:r>
            <w:r>
              <w:rPr>
                <w:rFonts w:hint="eastAsia"/>
                <w:color w:val="auto"/>
                <w:sz w:val="24"/>
              </w:rPr>
              <w:t>食、饮水、栖息活动范围和分布，</w:t>
            </w:r>
            <w:r>
              <w:rPr>
                <w:rFonts w:hint="eastAsia"/>
                <w:color w:val="auto"/>
                <w:sz w:val="24"/>
                <w:lang w:val="en-US" w:eastAsia="zh-CN"/>
              </w:rPr>
              <w:t>运营过程</w:t>
            </w:r>
            <w:r>
              <w:rPr>
                <w:rFonts w:hint="eastAsia"/>
                <w:color w:val="auto"/>
                <w:sz w:val="24"/>
              </w:rPr>
              <w:t>将使原有的野生动物的分布、栖息活动范围受到压缩。</w:t>
            </w:r>
            <w:r>
              <w:rPr>
                <w:rFonts w:hint="eastAsia"/>
                <w:color w:val="auto"/>
                <w:sz w:val="24"/>
                <w:lang w:val="en-US" w:eastAsia="zh-CN"/>
              </w:rPr>
              <w:t>所以运营期应做到以下保护措施：</w:t>
            </w:r>
          </w:p>
          <w:p>
            <w:pPr>
              <w:pStyle w:val="3"/>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default" w:ascii="Times New Roman" w:hAnsi="Times New Roman" w:eastAsia="宋体" w:cs="Arial"/>
                <w:snapToGrid w:val="0"/>
                <w:color w:val="auto"/>
                <w:spacing w:val="0"/>
                <w:kern w:val="0"/>
                <w:sz w:val="24"/>
                <w:szCs w:val="24"/>
                <w:highlight w:val="none"/>
                <w:lang w:val="en-US" w:eastAsia="zh-CN" w:bidi="ar-SA"/>
              </w:rPr>
            </w:pPr>
            <w:r>
              <w:rPr>
                <w:rFonts w:hint="default" w:ascii="Times New Roman" w:hAnsi="Times New Roman" w:eastAsia="宋体" w:cs="Times New Roman"/>
                <w:color w:val="auto"/>
                <w:sz w:val="24"/>
                <w:szCs w:val="24"/>
                <w:highlight w:val="none"/>
              </w:rPr>
              <w:t>①</w:t>
            </w:r>
            <w:r>
              <w:rPr>
                <w:rFonts w:hint="eastAsia" w:ascii="Times New Roman" w:hAnsi="Times New Roman" w:eastAsia="宋体" w:cs="Times New Roman"/>
                <w:color w:val="auto"/>
                <w:sz w:val="24"/>
                <w:szCs w:val="24"/>
                <w:highlight w:val="none"/>
                <w:lang w:val="en-US" w:eastAsia="zh-CN"/>
              </w:rPr>
              <w:t>运营</w:t>
            </w:r>
            <w:r>
              <w:rPr>
                <w:rFonts w:hint="eastAsia" w:ascii="Times New Roman" w:hAnsi="Times New Roman" w:eastAsia="宋体" w:cs="Arial"/>
                <w:snapToGrid w:val="0"/>
                <w:color w:val="auto"/>
                <w:spacing w:val="0"/>
                <w:kern w:val="0"/>
                <w:sz w:val="24"/>
                <w:szCs w:val="24"/>
                <w:highlight w:val="none"/>
                <w:lang w:val="en-US" w:eastAsia="zh-CN" w:bidi="ar-SA"/>
              </w:rPr>
              <w:t>期</w:t>
            </w:r>
            <w:r>
              <w:rPr>
                <w:rFonts w:hint="default" w:ascii="Times New Roman" w:hAnsi="Times New Roman" w:eastAsia="宋体" w:cs="Arial"/>
                <w:snapToGrid w:val="0"/>
                <w:color w:val="auto"/>
                <w:spacing w:val="0"/>
                <w:kern w:val="0"/>
                <w:sz w:val="24"/>
                <w:szCs w:val="24"/>
                <w:highlight w:val="none"/>
                <w:lang w:val="en-US" w:eastAsia="zh-CN" w:bidi="ar-SA"/>
              </w:rPr>
              <w:t>间应严格规划行驶道路，尽可能减少对野生动物的扰动，尽量使用当地已有道路、牧道、不开辟新路线。</w:t>
            </w:r>
          </w:p>
          <w:p>
            <w:pPr>
              <w:pStyle w:val="3"/>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default" w:ascii="Times New Roman" w:hAnsi="Times New Roman" w:eastAsia="宋体" w:cs="Arial"/>
                <w:snapToGrid w:val="0"/>
                <w:color w:val="auto"/>
                <w:spacing w:val="0"/>
                <w:kern w:val="0"/>
                <w:sz w:val="24"/>
                <w:szCs w:val="24"/>
                <w:highlight w:val="none"/>
                <w:lang w:val="en-US" w:eastAsia="zh-CN" w:bidi="ar-SA"/>
              </w:rPr>
            </w:pPr>
            <w:r>
              <w:rPr>
                <w:rFonts w:hint="eastAsia" w:ascii="Times New Roman" w:hAnsi="Times New Roman" w:eastAsia="宋体" w:cs="Arial"/>
                <w:snapToGrid w:val="0"/>
                <w:color w:val="auto"/>
                <w:spacing w:val="0"/>
                <w:kern w:val="0"/>
                <w:sz w:val="24"/>
                <w:szCs w:val="24"/>
                <w:highlight w:val="none"/>
                <w:lang w:val="en-US" w:eastAsia="zh-CN" w:bidi="ar-SA"/>
              </w:rPr>
              <w:t>②</w:t>
            </w:r>
            <w:r>
              <w:rPr>
                <w:rFonts w:hint="default" w:ascii="Times New Roman" w:hAnsi="Times New Roman" w:eastAsia="宋体" w:cs="Arial"/>
                <w:snapToGrid w:val="0"/>
                <w:color w:val="auto"/>
                <w:spacing w:val="0"/>
                <w:kern w:val="0"/>
                <w:sz w:val="24"/>
                <w:szCs w:val="24"/>
                <w:highlight w:val="none"/>
                <w:lang w:val="en-US" w:eastAsia="zh-CN" w:bidi="ar-SA"/>
              </w:rPr>
              <w:t>对确需碾压地段及时进行迹地的恢复治理，行驶时避让野生动物，不追逐，不惊吓。</w:t>
            </w:r>
          </w:p>
          <w:p>
            <w:pPr>
              <w:pStyle w:val="3"/>
              <w:keepNext w:val="0"/>
              <w:keepLines w:val="0"/>
              <w:pageBreakBefore w:val="0"/>
              <w:widowControl w:val="0"/>
              <w:kinsoku/>
              <w:wordWrap/>
              <w:overflowPunct/>
              <w:topLinePunct w:val="0"/>
              <w:autoSpaceDE/>
              <w:autoSpaceDN/>
              <w:bidi w:val="0"/>
              <w:adjustRightInd w:val="0"/>
              <w:snapToGrid w:val="0"/>
              <w:spacing w:after="0" w:line="360" w:lineRule="auto"/>
              <w:ind w:left="0" w:leftChars="0"/>
              <w:textAlignment w:val="auto"/>
              <w:rPr>
                <w:rFonts w:hint="default" w:ascii="Times New Roman" w:hAnsi="Times New Roman" w:eastAsia="宋体" w:cs="Arial"/>
                <w:snapToGrid w:val="0"/>
                <w:color w:val="auto"/>
                <w:spacing w:val="0"/>
                <w:kern w:val="0"/>
                <w:sz w:val="24"/>
                <w:szCs w:val="24"/>
                <w:highlight w:val="none"/>
                <w:lang w:val="en-US" w:eastAsia="zh-CN" w:bidi="ar-SA"/>
              </w:rPr>
            </w:pPr>
            <w:r>
              <w:rPr>
                <w:rFonts w:hint="eastAsia" w:ascii="Times New Roman" w:hAnsi="Times New Roman" w:eastAsia="宋体" w:cs="Arial"/>
                <w:snapToGrid w:val="0"/>
                <w:color w:val="auto"/>
                <w:spacing w:val="0"/>
                <w:kern w:val="0"/>
                <w:sz w:val="24"/>
                <w:szCs w:val="24"/>
                <w:highlight w:val="none"/>
                <w:lang w:val="en-US" w:eastAsia="zh-CN" w:bidi="ar-SA"/>
              </w:rPr>
              <w:t>③</w:t>
            </w:r>
            <w:r>
              <w:rPr>
                <w:rFonts w:hint="default" w:ascii="Times New Roman" w:hAnsi="Times New Roman" w:eastAsia="宋体" w:cs="Arial"/>
                <w:snapToGrid w:val="0"/>
                <w:color w:val="auto"/>
                <w:spacing w:val="0"/>
                <w:kern w:val="0"/>
                <w:sz w:val="24"/>
                <w:szCs w:val="24"/>
                <w:highlight w:val="none"/>
                <w:lang w:val="en-US" w:eastAsia="zh-CN" w:bidi="ar-SA"/>
              </w:rPr>
              <w:t>应尽量将</w:t>
            </w:r>
            <w:r>
              <w:rPr>
                <w:rFonts w:hint="eastAsia" w:ascii="Times New Roman" w:hAnsi="Times New Roman" w:eastAsia="宋体" w:cs="Arial"/>
                <w:snapToGrid w:val="0"/>
                <w:color w:val="auto"/>
                <w:spacing w:val="0"/>
                <w:kern w:val="0"/>
                <w:sz w:val="24"/>
                <w:szCs w:val="24"/>
                <w:highlight w:val="none"/>
                <w:lang w:val="en-US" w:eastAsia="zh-CN" w:bidi="ar-SA"/>
              </w:rPr>
              <w:t>采矿</w:t>
            </w:r>
            <w:r>
              <w:rPr>
                <w:rFonts w:hint="default" w:ascii="Times New Roman" w:hAnsi="Times New Roman" w:eastAsia="宋体" w:cs="Arial"/>
                <w:snapToGrid w:val="0"/>
                <w:color w:val="auto"/>
                <w:spacing w:val="0"/>
                <w:kern w:val="0"/>
                <w:sz w:val="24"/>
                <w:szCs w:val="24"/>
                <w:highlight w:val="none"/>
                <w:lang w:val="en-US" w:eastAsia="zh-CN" w:bidi="ar-SA"/>
              </w:rPr>
              <w:t>作业安排在白天，避免夜间</w:t>
            </w:r>
            <w:r>
              <w:rPr>
                <w:rFonts w:hint="eastAsia" w:ascii="Times New Roman" w:hAnsi="Times New Roman" w:eastAsia="宋体" w:cs="Arial"/>
                <w:snapToGrid w:val="0"/>
                <w:color w:val="auto"/>
                <w:spacing w:val="0"/>
                <w:kern w:val="0"/>
                <w:sz w:val="24"/>
                <w:szCs w:val="24"/>
                <w:highlight w:val="none"/>
                <w:lang w:val="en-US" w:eastAsia="zh-CN" w:bidi="ar-SA"/>
              </w:rPr>
              <w:t>工作</w:t>
            </w:r>
            <w:r>
              <w:rPr>
                <w:rFonts w:hint="default" w:ascii="Times New Roman" w:hAnsi="Times New Roman" w:eastAsia="宋体" w:cs="Arial"/>
                <w:snapToGrid w:val="0"/>
                <w:color w:val="auto"/>
                <w:spacing w:val="0"/>
                <w:kern w:val="0"/>
                <w:sz w:val="24"/>
                <w:szCs w:val="24"/>
                <w:highlight w:val="none"/>
                <w:lang w:val="en-US" w:eastAsia="zh-CN" w:bidi="ar-SA"/>
              </w:rPr>
              <w:t>对野生动物的影响。</w:t>
            </w:r>
          </w:p>
          <w:p>
            <w:pPr>
              <w:pStyle w:val="3"/>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snapToGrid w:val="0"/>
                <w:color w:val="auto"/>
                <w:kern w:val="0"/>
                <w:sz w:val="24"/>
                <w:szCs w:val="24"/>
                <w:lang w:val="en-US" w:eastAsia="zh-CN" w:bidi="ar-SA"/>
              </w:rPr>
            </w:pPr>
            <w:r>
              <w:rPr>
                <w:rFonts w:hint="eastAsia" w:ascii="Times New Roman" w:hAnsi="Times New Roman" w:eastAsia="宋体" w:cs="Arial"/>
                <w:snapToGrid w:val="0"/>
                <w:color w:val="auto"/>
                <w:spacing w:val="0"/>
                <w:kern w:val="0"/>
                <w:sz w:val="24"/>
                <w:szCs w:val="24"/>
                <w:highlight w:val="none"/>
                <w:lang w:val="en-US" w:eastAsia="zh-CN" w:bidi="ar-SA"/>
              </w:rPr>
              <w:t>④</w:t>
            </w:r>
            <w:r>
              <w:rPr>
                <w:rFonts w:hint="default" w:ascii="Times New Roman" w:hAnsi="Times New Roman" w:eastAsia="宋体" w:cs="Arial"/>
                <w:snapToGrid w:val="0"/>
                <w:color w:val="auto"/>
                <w:spacing w:val="0"/>
                <w:kern w:val="0"/>
                <w:sz w:val="24"/>
                <w:szCs w:val="24"/>
                <w:highlight w:val="none"/>
                <w:lang w:val="en-US" w:eastAsia="zh-CN" w:bidi="ar-SA"/>
              </w:rPr>
              <w:t>加强员工对野生动物的保护意识，禁止捕捉野生动物，</w:t>
            </w:r>
            <w:r>
              <w:rPr>
                <w:rFonts w:hint="eastAsia" w:ascii="Times New Roman" w:hAnsi="Times New Roman" w:eastAsia="宋体" w:cs="Arial"/>
                <w:snapToGrid w:val="0"/>
                <w:color w:val="auto"/>
                <w:spacing w:val="0"/>
                <w:kern w:val="0"/>
                <w:sz w:val="24"/>
                <w:szCs w:val="24"/>
                <w:highlight w:val="none"/>
                <w:lang w:val="en-US" w:eastAsia="zh-CN" w:bidi="ar-SA"/>
              </w:rPr>
              <w:t>不得越界勘察，</w:t>
            </w:r>
            <w:r>
              <w:rPr>
                <w:rFonts w:hint="default" w:ascii="Times New Roman" w:hAnsi="Times New Roman" w:eastAsia="宋体" w:cs="Arial"/>
                <w:snapToGrid w:val="0"/>
                <w:color w:val="auto"/>
                <w:spacing w:val="0"/>
                <w:kern w:val="0"/>
                <w:sz w:val="24"/>
                <w:szCs w:val="24"/>
                <w:highlight w:val="none"/>
                <w:lang w:val="en-US" w:eastAsia="zh-CN" w:bidi="ar-SA"/>
              </w:rPr>
              <w:t>减少作业人员在矿区作业区以外活动区域，避免惊吓野生动物。</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snapToGrid w:val="0"/>
                <w:color w:val="auto"/>
                <w:kern w:val="0"/>
                <w:sz w:val="24"/>
                <w:szCs w:val="24"/>
                <w:lang w:val="en-US" w:eastAsia="zh-CN" w:bidi="ar-SA"/>
              </w:rPr>
              <w:t>5、</w:t>
            </w:r>
            <w:r>
              <w:rPr>
                <w:rFonts w:hint="default" w:ascii="Times New Roman" w:hAnsi="Times New Roman" w:cs="Times New Roman"/>
                <w:color w:val="auto"/>
                <w:sz w:val="24"/>
                <w:szCs w:val="24"/>
                <w:highlight w:val="none"/>
                <w:lang w:val="en-US" w:eastAsia="zh-CN"/>
              </w:rPr>
              <w:t>自然景观</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napToGrid w:val="0"/>
                <w:color w:val="auto"/>
                <w:kern w:val="0"/>
                <w:sz w:val="24"/>
                <w:szCs w:val="24"/>
                <w:lang w:val="en-US" w:eastAsia="zh-CN" w:bidi="ar-SA"/>
              </w:rPr>
            </w:pPr>
            <w:r>
              <w:rPr>
                <w:rFonts w:hint="default" w:ascii="Times New Roman" w:hAnsi="Times New Roman" w:cs="Times New Roman"/>
                <w:snapToGrid w:val="0"/>
                <w:color w:val="auto"/>
                <w:kern w:val="0"/>
                <w:sz w:val="24"/>
                <w:szCs w:val="24"/>
                <w:lang w:val="en-US" w:eastAsia="zh-CN" w:bidi="ar-SA"/>
              </w:rPr>
              <w:t>矿区地形地貌景观破坏主要为建筑工程施工破坏和露天采矿场地面挖损破坏，其中建筑用地随着施工期结束而停止，且随着自然恢复将逐渐减少其影响程度。主要预防措施如下：</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napToGrid w:val="0"/>
                <w:color w:val="auto"/>
                <w:kern w:val="0"/>
                <w:sz w:val="24"/>
                <w:szCs w:val="24"/>
                <w:lang w:val="en-US" w:eastAsia="zh-CN" w:bidi="ar-SA"/>
              </w:rPr>
            </w:pPr>
            <w:r>
              <w:rPr>
                <w:rFonts w:hint="default" w:ascii="Times New Roman" w:hAnsi="Times New Roman" w:cs="Times New Roman"/>
                <w:snapToGrid w:val="0"/>
                <w:color w:val="auto"/>
                <w:kern w:val="0"/>
                <w:sz w:val="24"/>
                <w:szCs w:val="24"/>
                <w:lang w:val="en-US" w:eastAsia="zh-CN" w:bidi="ar-SA"/>
              </w:rPr>
              <w:t>①露天采矿场：对矿山开采形成的露天采坑边坡，应建立监测机制，针对露天采坑边坡上的危岩体及时进行清理，禁止越界开采，从而降低对矿区地形地貌景观的破坏。</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napToGrid w:val="0"/>
                <w:color w:val="auto"/>
                <w:kern w:val="0"/>
                <w:sz w:val="24"/>
                <w:szCs w:val="24"/>
                <w:lang w:val="en-US" w:eastAsia="zh-CN" w:bidi="ar-SA"/>
              </w:rPr>
            </w:pPr>
            <w:r>
              <w:rPr>
                <w:rFonts w:hint="default" w:ascii="Times New Roman" w:hAnsi="Times New Roman" w:cs="Times New Roman"/>
                <w:snapToGrid w:val="0"/>
                <w:color w:val="auto"/>
                <w:kern w:val="0"/>
                <w:sz w:val="24"/>
                <w:szCs w:val="24"/>
                <w:lang w:val="en-US" w:eastAsia="zh-CN" w:bidi="ar-SA"/>
              </w:rPr>
              <w:t>②矿区道路：矿区道路尽量利用现有道路，控制新建道路长度，道路走向尽量和周边的地形地貌相协调，减少土方开挖工程量，降低路基高度以减少路基占地。</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napToGrid w:val="0"/>
                <w:color w:val="auto"/>
                <w:kern w:val="0"/>
                <w:sz w:val="24"/>
                <w:szCs w:val="24"/>
                <w:lang w:val="en-US" w:eastAsia="zh-CN" w:bidi="ar-SA"/>
              </w:rPr>
            </w:pPr>
            <w:r>
              <w:rPr>
                <w:rFonts w:hint="default" w:ascii="Times New Roman" w:hAnsi="Times New Roman" w:cs="Times New Roman"/>
                <w:snapToGrid w:val="0"/>
                <w:color w:val="auto"/>
                <w:kern w:val="0"/>
                <w:sz w:val="24"/>
                <w:szCs w:val="24"/>
                <w:lang w:val="en-US" w:eastAsia="zh-CN" w:bidi="ar-SA"/>
              </w:rPr>
              <w:t>③废料场、堆放场：为废料堆放对地形地貌的影响及次级灾害，在矿山生产期，控制废料堆放坡角小于</w:t>
            </w:r>
            <w:r>
              <w:rPr>
                <w:rFonts w:hint="eastAsia" w:cs="Times New Roman"/>
                <w:snapToGrid w:val="0"/>
                <w:color w:val="auto"/>
                <w:kern w:val="0"/>
                <w:sz w:val="24"/>
                <w:szCs w:val="24"/>
                <w:lang w:val="en-US" w:eastAsia="zh-CN" w:bidi="ar-SA"/>
              </w:rPr>
              <w:t>35</w:t>
            </w:r>
            <w:r>
              <w:rPr>
                <w:rFonts w:hint="default" w:ascii="Times New Roman" w:hAnsi="Times New Roman" w:cs="Times New Roman"/>
                <w:snapToGrid w:val="0"/>
                <w:color w:val="auto"/>
                <w:kern w:val="0"/>
                <w:sz w:val="24"/>
                <w:szCs w:val="24"/>
                <w:lang w:val="en-US" w:eastAsia="zh-CN" w:bidi="ar-SA"/>
              </w:rPr>
              <w:t>°，尽量减少对地形地貌景观的破坏。</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eastAsia" w:cs="Times New Roman"/>
                <w:snapToGrid w:val="0"/>
                <w:color w:val="auto"/>
                <w:kern w:val="0"/>
                <w:sz w:val="24"/>
                <w:szCs w:val="24"/>
                <w:lang w:val="en-US" w:eastAsia="zh-CN" w:bidi="ar-SA"/>
              </w:rPr>
              <w:t>6、</w:t>
            </w:r>
            <w:r>
              <w:rPr>
                <w:rFonts w:hint="default" w:ascii="Times New Roman" w:hAnsi="Times New Roman" w:cs="Times New Roman"/>
                <w:color w:val="auto"/>
                <w:sz w:val="24"/>
                <w:szCs w:val="24"/>
                <w:highlight w:val="none"/>
              </w:rPr>
              <w:t>水土流失</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napToGrid w:val="0"/>
                <w:color w:val="auto"/>
                <w:kern w:val="0"/>
                <w:sz w:val="24"/>
                <w:szCs w:val="24"/>
                <w:lang w:val="en-US" w:eastAsia="zh-CN" w:bidi="ar-SA"/>
              </w:rPr>
            </w:pPr>
            <w:r>
              <w:rPr>
                <w:rFonts w:hint="default" w:ascii="Times New Roman" w:hAnsi="Times New Roman" w:cs="Times New Roman"/>
                <w:snapToGrid w:val="0"/>
                <w:color w:val="auto"/>
                <w:kern w:val="0"/>
                <w:sz w:val="24"/>
                <w:szCs w:val="24"/>
                <w:lang w:val="en-US" w:eastAsia="zh-CN" w:bidi="ar-SA"/>
              </w:rPr>
              <w:t>土壤流失主要发生在矿石的开采期。土壤流失发生的重点区域为露天采坑、成品堆场、表土与废料堆场建设，一般区域为生活区等辅助生产系统，按国家相关政策应编制水土保持方案，并严格按照要求做好水土保持设施设计、施工和监理。</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napToGrid w:val="0"/>
                <w:color w:val="auto"/>
                <w:kern w:val="0"/>
                <w:sz w:val="24"/>
                <w:szCs w:val="24"/>
                <w:lang w:val="en-US" w:eastAsia="zh-CN" w:bidi="ar-SA"/>
              </w:rPr>
            </w:pPr>
            <w:r>
              <w:rPr>
                <w:rFonts w:hint="default" w:ascii="Times New Roman" w:hAnsi="Times New Roman" w:cs="Times New Roman"/>
                <w:snapToGrid w:val="0"/>
                <w:color w:val="auto"/>
                <w:kern w:val="0"/>
                <w:sz w:val="24"/>
                <w:szCs w:val="24"/>
                <w:lang w:val="en-US" w:eastAsia="zh-CN" w:bidi="ar-SA"/>
              </w:rPr>
              <w:t>为了尽量减轻由于项目建设造成的水土流失，建设单位在开采过程中应采取以下控制措施：</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napToGrid w:val="0"/>
                <w:color w:val="auto"/>
                <w:kern w:val="0"/>
                <w:sz w:val="24"/>
                <w:szCs w:val="24"/>
                <w:lang w:val="en-US" w:eastAsia="zh-CN" w:bidi="ar-SA"/>
              </w:rPr>
            </w:pPr>
            <w:r>
              <w:rPr>
                <w:rFonts w:hint="default" w:ascii="Times New Roman" w:hAnsi="Times New Roman" w:cs="Times New Roman"/>
                <w:snapToGrid w:val="0"/>
                <w:color w:val="auto"/>
                <w:kern w:val="0"/>
                <w:sz w:val="24"/>
                <w:szCs w:val="24"/>
                <w:lang w:val="en-US" w:eastAsia="zh-CN" w:bidi="ar-SA"/>
              </w:rPr>
              <w:t>①地表开挖或回填施工区域，施工前应采取表土剥离措施。</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napToGrid w:val="0"/>
                <w:color w:val="auto"/>
                <w:kern w:val="0"/>
                <w:sz w:val="24"/>
                <w:szCs w:val="24"/>
                <w:lang w:val="en-US" w:eastAsia="zh-CN" w:bidi="ar-SA"/>
              </w:rPr>
            </w:pPr>
            <w:r>
              <w:rPr>
                <w:rFonts w:hint="default" w:ascii="Times New Roman" w:hAnsi="Times New Roman" w:cs="Times New Roman"/>
                <w:snapToGrid w:val="0"/>
                <w:color w:val="auto"/>
                <w:kern w:val="0"/>
                <w:sz w:val="24"/>
                <w:szCs w:val="24"/>
                <w:lang w:val="en-US" w:eastAsia="zh-CN" w:bidi="ar-SA"/>
              </w:rPr>
              <w:t>②施工结束后，应将表土回覆到复耕区域；有剩余表土时，应明确其利用方向。</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napToGrid w:val="0"/>
                <w:color w:val="auto"/>
                <w:kern w:val="0"/>
                <w:sz w:val="24"/>
                <w:szCs w:val="24"/>
                <w:lang w:val="en-US" w:eastAsia="zh-CN" w:bidi="ar-SA"/>
              </w:rPr>
            </w:pPr>
            <w:r>
              <w:rPr>
                <w:rFonts w:hint="default" w:ascii="Times New Roman" w:hAnsi="Times New Roman" w:cs="Times New Roman"/>
                <w:snapToGrid w:val="0"/>
                <w:color w:val="auto"/>
                <w:kern w:val="0"/>
                <w:sz w:val="24"/>
                <w:szCs w:val="24"/>
                <w:lang w:val="en-US" w:eastAsia="zh-CN" w:bidi="ar-SA"/>
              </w:rPr>
              <w:t>③临时占地范围内扰动深度小于20cm的表土可不剥离，宜采取铺垫等保护措施。</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napToGrid w:val="0"/>
                <w:color w:val="auto"/>
                <w:kern w:val="0"/>
                <w:sz w:val="24"/>
                <w:szCs w:val="24"/>
                <w:lang w:val="en-US" w:eastAsia="zh-CN" w:bidi="ar-SA"/>
              </w:rPr>
            </w:pPr>
            <w:r>
              <w:rPr>
                <w:rFonts w:hint="default" w:ascii="Times New Roman" w:hAnsi="Times New Roman" w:cs="Times New Roman"/>
                <w:snapToGrid w:val="0"/>
                <w:color w:val="auto"/>
                <w:kern w:val="0"/>
                <w:sz w:val="24"/>
                <w:szCs w:val="24"/>
                <w:lang w:val="en-US" w:eastAsia="zh-CN" w:bidi="ar-SA"/>
              </w:rPr>
              <w:t>④应初步明确剥离表土的范围、厚度、数量和堆存位置以及铺垫保护表土的位置和面积。</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napToGrid w:val="0"/>
                <w:color w:val="auto"/>
                <w:kern w:val="0"/>
                <w:sz w:val="24"/>
                <w:szCs w:val="24"/>
                <w:lang w:val="en-US" w:eastAsia="zh-CN" w:bidi="ar-SA"/>
              </w:rPr>
            </w:pPr>
            <w:r>
              <w:rPr>
                <w:rFonts w:hint="default" w:ascii="Times New Roman" w:hAnsi="Times New Roman" w:cs="Times New Roman"/>
                <w:snapToGrid w:val="0"/>
                <w:color w:val="auto"/>
                <w:kern w:val="0"/>
                <w:sz w:val="24"/>
                <w:szCs w:val="24"/>
                <w:lang w:val="en-US" w:eastAsia="zh-CN" w:bidi="ar-SA"/>
              </w:rPr>
              <w:t>⑤建设单位预计停止采矿前1个月，应做相关准备工作，包括施工准备器材、设备、施工方案等。</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napToGrid w:val="0"/>
                <w:color w:val="auto"/>
                <w:kern w:val="0"/>
                <w:sz w:val="24"/>
                <w:szCs w:val="24"/>
                <w:lang w:val="en-US" w:eastAsia="zh-CN" w:bidi="ar-SA"/>
              </w:rPr>
            </w:pPr>
            <w:r>
              <w:rPr>
                <w:rFonts w:hint="default" w:ascii="Times New Roman" w:hAnsi="Times New Roman" w:cs="Times New Roman"/>
                <w:snapToGrid w:val="0"/>
                <w:color w:val="auto"/>
                <w:kern w:val="0"/>
                <w:sz w:val="24"/>
                <w:szCs w:val="24"/>
                <w:lang w:val="en-US" w:eastAsia="zh-CN" w:bidi="ar-SA"/>
              </w:rPr>
              <w:t>⑥闭矿后的第二天，施工开始，浮土清理-边坡修筑-边坡加固-建设排土墙、覆土回填等。</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napToGrid w:val="0"/>
                <w:color w:val="auto"/>
                <w:kern w:val="0"/>
                <w:sz w:val="24"/>
                <w:szCs w:val="24"/>
                <w:lang w:val="en-US" w:eastAsia="zh-CN" w:bidi="ar-SA"/>
              </w:rPr>
            </w:pPr>
            <w:r>
              <w:rPr>
                <w:rFonts w:hint="default" w:ascii="Times New Roman" w:hAnsi="Times New Roman" w:cs="Times New Roman"/>
                <w:snapToGrid w:val="0"/>
                <w:color w:val="auto"/>
                <w:kern w:val="0"/>
                <w:sz w:val="24"/>
                <w:szCs w:val="24"/>
                <w:lang w:val="en-US" w:eastAsia="zh-CN" w:bidi="ar-SA"/>
              </w:rPr>
              <w:t>⑦来年开春查看治理效果，恢复效果等，若未达到预期，应再次治理。</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cs="Times New Roman"/>
                <w:snapToGrid w:val="0"/>
                <w:color w:val="auto"/>
                <w:kern w:val="0"/>
                <w:sz w:val="24"/>
                <w:szCs w:val="24"/>
                <w:lang w:val="en-US" w:eastAsia="zh-CN" w:bidi="ar-SA"/>
              </w:rPr>
              <w:t>7、</w:t>
            </w:r>
            <w:r>
              <w:rPr>
                <w:rFonts w:hint="default" w:ascii="Times New Roman" w:hAnsi="Times New Roman" w:cs="Times New Roman"/>
                <w:color w:val="auto"/>
                <w:sz w:val="24"/>
                <w:szCs w:val="24"/>
                <w:highlight w:val="none"/>
                <w:lang w:val="en-US" w:eastAsia="zh-CN"/>
              </w:rPr>
              <w:t>防沙治沙措施</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bCs/>
                <w:color w:val="auto"/>
                <w:spacing w:val="10"/>
                <w:sz w:val="24"/>
                <w:szCs w:val="24"/>
              </w:rPr>
            </w:pPr>
            <w:r>
              <w:rPr>
                <w:rFonts w:hint="default" w:ascii="Times New Roman" w:hAnsi="Times New Roman" w:eastAsia="宋体" w:cs="Times New Roman"/>
                <w:snapToGrid w:val="0"/>
                <w:color w:val="auto"/>
                <w:kern w:val="0"/>
                <w:sz w:val="24"/>
                <w:szCs w:val="24"/>
                <w:lang w:val="en-US" w:eastAsia="zh-CN" w:bidi="ar-SA"/>
              </w:rPr>
              <w:t>要求对开采区域采用洒水降尘措施，密封运输物料。采矿结束后，使用废料回填采坑，并覆盖剥离的表土后，播撒草籽，进行植被恢复，降低土地沙化影响。因此，本项目采矿结束后，通过采坑回填，植被恢复后，项目的建设将对区域防沙治沙起到部分改善作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noWrap w:val="0"/>
            <w:tcMar>
              <w:left w:w="28" w:type="dxa"/>
              <w:right w:w="28" w:type="dxa"/>
            </w:tcMar>
            <w:vAlign w:val="center"/>
          </w:tcPr>
          <w:p>
            <w:pPr>
              <w:keepNext w:val="0"/>
              <w:keepLines w:val="0"/>
              <w:pageBreakBefore w:val="0"/>
              <w:kinsoku/>
              <w:wordWrap/>
              <w:topLinePunct w:val="0"/>
              <w:bidi w:val="0"/>
              <w:adjustRightInd w:val="0"/>
              <w:snapToGrid w:val="0"/>
              <w:jc w:val="center"/>
              <w:rPr>
                <w:rFonts w:hint="eastAsia" w:ascii="宋体" w:hAnsi="宋体" w:cs="宋体"/>
                <w:bCs/>
                <w:color w:val="auto"/>
                <w:spacing w:val="10"/>
                <w:sz w:val="24"/>
                <w:szCs w:val="24"/>
                <w:lang w:val="en-US" w:eastAsia="zh-CN"/>
              </w:rPr>
            </w:pPr>
            <w:r>
              <w:rPr>
                <w:rFonts w:hint="default" w:ascii="Times New Roman" w:hAnsi="Times New Roman" w:eastAsia="宋体" w:cs="Times New Roman"/>
                <w:bCs/>
                <w:color w:val="auto"/>
                <w:spacing w:val="10"/>
                <w:sz w:val="24"/>
                <w:szCs w:val="24"/>
              </w:rPr>
              <w:t>运营期生态环境保护措施</w:t>
            </w:r>
          </w:p>
        </w:tc>
        <w:tc>
          <w:tcPr>
            <w:tcW w:w="8718" w:type="dxa"/>
            <w:noWrap w:val="0"/>
            <w:vAlign w:val="top"/>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1、生态环境保护措施</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生态环境保护预防控制措施</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按照“统一规划、源头控制、防复结合”的原则，根据</w:t>
            </w:r>
            <w:r>
              <w:rPr>
                <w:rFonts w:hint="eastAsia"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rPr>
              <w:t>周边环境特征、矿业活动特征、矿业活动对环境的破坏类型、程度及规模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为了预防地质环境进一步恶化，经济更合理，技术更有效，应采取的生态环境保护预防措施如下：</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1）占地工程生态保护措施要求</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永久占地由于项目区域内自然条件的限制，植被的自然恢复极其困难，项目区内永久占地为</w:t>
            </w:r>
            <w:r>
              <w:rPr>
                <w:rFonts w:hint="eastAsia" w:ascii="Times New Roman" w:hAnsi="Times New Roman" w:eastAsia="宋体" w:cs="Times New Roman"/>
                <w:color w:val="auto"/>
                <w:sz w:val="24"/>
                <w:szCs w:val="24"/>
                <w:lang w:val="en-US" w:eastAsia="zh-CN"/>
              </w:rPr>
              <w:t>天然牧草地</w:t>
            </w:r>
            <w:r>
              <w:rPr>
                <w:rFonts w:hint="default" w:ascii="Times New Roman" w:hAnsi="Times New Roman" w:eastAsia="宋体" w:cs="Times New Roman"/>
                <w:color w:val="auto"/>
                <w:sz w:val="24"/>
                <w:szCs w:val="24"/>
                <w:lang w:val="en-US" w:eastAsia="zh-CN"/>
              </w:rPr>
              <w:t>；根据矿产资源开发利用与生态保护修复方案可知，项目区内道路全部为砂石路面，减少风蚀量。</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①保护方案</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采用露天开采方式，开采区边坡需进行边坡灾害防治工作。要求在开采期间，边开采边恢复、终止采矿活动时必须完成恢复治理。</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②开采区生态保护</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开采区应进行生态环境影响和经济损益评估，按评估结果及相关规定进行控制性开采，减少对生态空间的占用，不影响区域主导生态功能。</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B</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开采区开采前应在区域范围及砂石矿开采活动的可能影响区进行生物多样性现状调查，保护项目区生物多样性。</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设置堆场时，应严格控制临时施工场地与施工道路面积和范围，减少对地表植被的破坏。</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应科学设置堆场，并采取防洪、排水、边坡防护、工程拦挡等水土保持措施。</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E</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开采过程产生的固体废物，应在专用场所堆放，并采取措施防止二次污染。</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F</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开采结束后应平整后进行生态恢复，并与周边地表景观相协调。</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开采结束后应加强对开采矿坑的生态治理恢复，及时清运砂石废料，使全场趋于平缓，为自然生态环境恢复提供条件，减轻水土流失造成的影响。</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恢复后的露天采矿场进行土地资源再利用时，在坡度、土层厚度、稳定性土壤环境安全性等方面应满足相关用地要求。本项目严格遵守国家和地方有关野生动植物保护和水土保持等法律法规。主要采取以下生态保护措施，这些措施对于减少植被破坏，减缓水土流失，抵制沙漠化发展起到了一定的积极作用。</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（2）矿区地形地貌景观和土地资源破坏预防措施</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矿区地形地貌景观破坏主要为建筑工程施工破坏和露天采矿场地面挖损破坏，其中建筑用地随着施工期结束而停止，且随着自然恢复将逐渐减少其影响程度。主要预防措施如下：</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①露天采矿场：对矿山开采形成的露天采坑边坡，应建立监测机制，针对露天采坑边坡上的危岩体及时进行清理，禁止越界开采，从而降低对矿区地形地貌景观的破坏。</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②矿区道路：控制新建道路长度，道路走向尽量和周边的地形地貌相协调，减少土方开挖工程量，降低路基高度以减少路基占地。</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③废料场、堆放场：为废料堆放对地形地貌的影响及次级灾害，在矿山生产期，控制废料堆放坡角，尽量减少对地形地貌景观的破坏。</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（3）野生动物保护措施</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加强对工作人员的环境保护教育；在运行期内，严禁工作人员、车辆离开项目区进行活动，坚决禁止偷猎和捕杀野生动物等的非法活动；临时占地时禁止占用保护区土地；服务期满后，将矿坑进行回填，如不能回填应在矿坑周围设置栅栏或其他障碍物，保障野生动物不会跌入矿坑等，可有效减缓对野生动物的影响。</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（4）野生植物保护措施</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根据现场调查，矿区大面积第四系砂石裸露，矿区内自然植物类型单一，种类、数量均较少，以嗜碱类草本植物为主，每年5～7月在该区域生长。根据实地调查，仅在上坡坡脚处有少量耐旱植被，如</w:t>
            </w:r>
            <w:r>
              <w:rPr>
                <w:rFonts w:hint="eastAsia" w:ascii="Times New Roman" w:hAnsi="Times New Roman" w:eastAsia="宋体" w:cs="Times New Roman"/>
                <w:color w:val="auto"/>
                <w:sz w:val="24"/>
                <w:szCs w:val="24"/>
                <w:lang w:val="en-US" w:eastAsia="zh-CN"/>
              </w:rPr>
              <w:t>中麻黄、灌木紫菀木、沙生针茅、寒生羊茅、冰草等野生植物</w:t>
            </w:r>
            <w:r>
              <w:rPr>
                <w:rFonts w:hint="default" w:ascii="Times New Roman" w:hAnsi="Times New Roman" w:eastAsia="宋体" w:cs="Times New Roman"/>
                <w:color w:val="auto"/>
                <w:sz w:val="24"/>
                <w:szCs w:val="24"/>
                <w:lang w:val="en-US" w:eastAsia="zh-CN"/>
              </w:rPr>
              <w:t>等。</w:t>
            </w:r>
            <w:r>
              <w:rPr>
                <w:rFonts w:hint="eastAsia" w:ascii="Times New Roman" w:hAnsi="Times New Roman" w:eastAsia="宋体" w:cs="Times New Roman"/>
                <w:color w:val="auto"/>
                <w:sz w:val="24"/>
                <w:szCs w:val="24"/>
                <w:lang w:val="en-US" w:eastAsia="zh-CN"/>
              </w:rPr>
              <w:t>无保护野生动植物分布。</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对于荒漠植物的生态保护要求如下：</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t>设计选线过程中，尽量避开植被较丰富的区域，避免破坏荒漠植物。</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lang w:val="en-US" w:eastAsia="zh-CN"/>
              </w:rPr>
              <w:t>施工过程中严格规定各类工作人员的活动范围，使之限于在各工区和生活区</w:t>
            </w:r>
            <w:r>
              <w:rPr>
                <w:rFonts w:hint="eastAsia" w:ascii="Times New Roman" w:hAnsi="Times New Roman" w:eastAsia="宋体" w:cs="Times New Roman"/>
                <w:color w:val="auto"/>
                <w:sz w:val="24"/>
                <w:szCs w:val="24"/>
                <w:lang w:val="en-US" w:eastAsia="zh-CN"/>
              </w:rPr>
              <w:t>范围内活动，最大限度减少对荒漠植物生存环境的践踏破坏。</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lang w:val="en-US" w:eastAsia="zh-CN"/>
              </w:rPr>
              <w:t>强化风险意识，制定切实可行的风险防范与应急预案，最大限度降低风险概</w:t>
            </w:r>
            <w:r>
              <w:rPr>
                <w:rFonts w:hint="eastAsia" w:ascii="Times New Roman" w:hAnsi="Times New Roman" w:eastAsia="宋体" w:cs="Times New Roman"/>
                <w:color w:val="auto"/>
                <w:sz w:val="24"/>
                <w:szCs w:val="24"/>
                <w:lang w:val="en-US" w:eastAsia="zh-CN"/>
              </w:rPr>
              <w:t>率，避免可能发生的油品泄漏事故对荒漠野生植物生存环境造成威胁。</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lang w:val="en-US" w:eastAsia="zh-CN"/>
              </w:rPr>
              <w:t>加强对施工人员和职工的教育，强化保护野生植物的观念，不得随意踩踏野生</w:t>
            </w:r>
            <w:r>
              <w:rPr>
                <w:rFonts w:hint="eastAsia" w:ascii="Times New Roman" w:hAnsi="Times New Roman" w:eastAsia="宋体" w:cs="Times New Roman"/>
                <w:color w:val="auto"/>
                <w:sz w:val="24"/>
                <w:szCs w:val="24"/>
                <w:lang w:val="en-US" w:eastAsia="zh-CN"/>
              </w:rPr>
              <w:t>植物。</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（5）闭矿期生态恢复</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根据《矿山生态环境保护与恢复治理技术规范</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试行</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HJ651-2013</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、《矿山生态环境保护与恢复治理方案</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规划</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编制规范</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试行</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HJ652-2013</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相关要求，闭矿后必须按照安全、水土保持、地质恢复、环境保护的有关规定，拆除无用的地面建筑，将破坏的地表推平，对受破坏的地表恢复原貌等工作。运营期已经进行了一些生态恢复的基础工作，闭矿后要做的主要工作是全场修整、表土覆盖及绿化（选择与矿区原有植被相同的草籽）等土地复垦措施</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1）表土处置</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土壤具有层次性，由于人类生产活动和自然因素的综合作用，使天然土壤产生层次划分，其剖面从上而下大体可分为：表土层，厚度约在30cm左右：心土层，位于表土层以下，厚度约为23-30cm</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底土层，一般位于土体表面50-60cm以下的深度，此层植物根系分布较少。而露天矿复垦时人工堆造的土体构型常常是覆盖土层、土岩混合层及砾石层，若不考虑复垦要求，最终形成的地表层则可能通体为土岩混合层。在采矿时，应保留表层土壤以备复垦工程用，依据剥离区的表土的性质特征、数量、分布以及复垦后土地的用途来决定开采区域应保留的表土。采区表层的土壤是土地复垦时进行再种植成功的关键。因此，必须妥善就近储存并与底土分别堆放，尽可能做到恢复后保持原有的土壤结构，以利种植。建立临时的表土堆放场，贮存表土，在土地复垦时将表土覆盖在复垦平整后的地表，以恢复植被或种树种草。在采区剥离、开采、土地复垦时，可将采前剥离的表土直接铺覆于已回填废石的采空区，避免二次搬运。</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2）覆土</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结合露天开采工艺及开采进度，将开采中剥离的废弃表土单独堆存。回填</w:t>
            </w:r>
            <w:r>
              <w:rPr>
                <w:rFonts w:hint="eastAsia" w:ascii="Times New Roman" w:hAnsi="Times New Roman" w:eastAsia="宋体" w:cs="Times New Roman"/>
                <w:color w:val="auto"/>
                <w:sz w:val="24"/>
                <w:szCs w:val="24"/>
                <w:lang w:val="en-US" w:eastAsia="zh-CN"/>
              </w:rPr>
              <w:t>覆土后</w:t>
            </w:r>
            <w:r>
              <w:rPr>
                <w:rFonts w:hint="default" w:ascii="Times New Roman" w:hAnsi="Times New Roman" w:eastAsia="宋体" w:cs="Times New Roman"/>
                <w:color w:val="auto"/>
                <w:sz w:val="24"/>
                <w:szCs w:val="24"/>
                <w:lang w:val="en-US" w:eastAsia="zh-CN"/>
              </w:rPr>
              <w:t>将进行土地平整、覆盖表土最终达到设计要求。本矿生态综合整治工作应与露天矿开发同时进行，由建设单位负责，在基建期可委托施工单位实施，并做好生态建设工程的监理。设立环境管理机构，制定并组织实施全公司的生态建设环境保护规划和计划，并负责采掘场、覆土堆场恢复的监督管理，由当地生态环境部门、水保部门和国家资源部门监督。企业应委托有资质单位编制本项目的土地复垦方案，并严格按照复垦设计进行生态环境的修复。</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3）废石场生态恢复</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项目废石临时存放于</w:t>
            </w:r>
            <w:r>
              <w:rPr>
                <w:rFonts w:hint="eastAsia" w:ascii="Times New Roman" w:hAnsi="Times New Roman" w:eastAsia="宋体" w:cs="Times New Roman"/>
                <w:color w:val="auto"/>
                <w:sz w:val="24"/>
                <w:szCs w:val="24"/>
                <w:lang w:val="en-US" w:eastAsia="zh-CN"/>
              </w:rPr>
              <w:t>排土</w:t>
            </w:r>
            <w:r>
              <w:rPr>
                <w:rFonts w:hint="default" w:ascii="Times New Roman" w:hAnsi="Times New Roman" w:eastAsia="宋体" w:cs="Times New Roman"/>
                <w:color w:val="auto"/>
                <w:sz w:val="24"/>
                <w:szCs w:val="24"/>
                <w:lang w:val="en-US" w:eastAsia="zh-CN"/>
              </w:rPr>
              <w:t>场，边开采边回填，矿山开采结束后全部回填于采坑，平整场地。本项目属于干旱荒漠戈壁区，废石场不具备植被恢复条件的，应采用砂石等材料覆盖，防止风蚀。</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4）采矿场</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环评建议建设单位采用剥离-排土-复垦一体化理念，边开采，边回填，边复垦。对于项目排放的剥离表土进行及时回填采坑，及时复垦，表层腐殖质剥离土分开堆放，剥离土仍作为表层土，一块片区开采完毕后分层回填，进行平整后，表土覆盖在表层，播撒草籽，适当洒水，恢复地表植被。闭矿后应加强对矿坑的生态治理恢复，表土回填采坑，使全场趋于平缓。尽量为植被的自然恢复提供条件</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减轻水土流失造成的影响。场地整治与覆土：露天采场的场地整治和覆土方法根据场地坡度来确定。水平地和15°以下缓坡地可采用物料充填、底板耕松、挖高垫低等方法，15°以上陡坡地可采用挖穴填土、砌筑</w:t>
            </w:r>
            <w:r>
              <w:rPr>
                <w:rFonts w:hint="eastAsia" w:cs="Times New Roman"/>
                <w:color w:val="auto"/>
                <w:sz w:val="24"/>
                <w:szCs w:val="24"/>
                <w:lang w:val="en-US" w:eastAsia="zh-CN"/>
              </w:rPr>
              <w:t>植物</w:t>
            </w:r>
            <w:r>
              <w:rPr>
                <w:rFonts w:hint="default" w:ascii="Times New Roman" w:hAnsi="Times New Roman" w:eastAsia="宋体" w:cs="Times New Roman"/>
                <w:color w:val="auto"/>
                <w:sz w:val="24"/>
                <w:szCs w:val="24"/>
                <w:lang w:val="en-US" w:eastAsia="zh-CN"/>
              </w:rPr>
              <w:t>盆（糟）填土、喷混、阶梯整形覆土、安放植物袋、石壁挂笼填土等方法。恢复后的露天采场进行土地资源再利用时，在坡度、土层厚度、稳定性、土壤环境安全性等方面应满足相关用地要求。</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5）矿区专用道路恢复</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①矿区专用道路用地应严格控制占地面积和范围。开挖路基及取弃土工程，均应根据道路施工进度有计划地进行表土剥离并保存。</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②矿区专用道路取弃土工程结束后，取弃土场应及时回填、整平、压实，并利用堆存的表土进行地貌恢复。</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③道路建设施工结束后，临时占地应及时恢复，与原有地貌和景观协调。</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矿山生产生活区不再使用的厂房、生活区设施、管线等各项建（</w:t>
            </w:r>
            <w:r>
              <w:rPr>
                <w:rFonts w:hint="default" w:ascii="Times New Roman" w:hAnsi="Times New Roman" w:eastAsia="宋体" w:cs="Times New Roman"/>
                <w:color w:val="auto"/>
                <w:sz w:val="24"/>
                <w:szCs w:val="24"/>
                <w:lang w:val="en-US" w:eastAsia="zh-CN"/>
              </w:rPr>
              <w:t>构</w:t>
            </w:r>
            <w:r>
              <w:rPr>
                <w:rFonts w:hint="eastAsia" w:ascii="Times New Roman" w:hAnsi="Times New Roman" w:eastAsia="宋体" w:cs="Times New Roman"/>
                <w:color w:val="auto"/>
                <w:sz w:val="24"/>
                <w:szCs w:val="24"/>
                <w:lang w:val="en-US" w:eastAsia="zh-CN"/>
              </w:rPr>
              <w:t>）筑物和基础设施应全部拆除，并进行景观和植被恢复，应开展污染场地调查、风险评估与修复治理。具体拆除类别如下：</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a拆除无后期需要的建筑物、构筑物。</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b保留适当数量的住宅，为后期生态管理人员使用。</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c保留集水池等设施，以便生态管理人员能加以利用。</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d将拆除产生的建筑垃圾等用于回填采坑等。</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e拆除矿山所有生产、生活设施，全场整理，自然恢复植被。</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闭矿后及时进行环境恢复治理和土地恢复工作尽可能恢复矿区环境和土地使用功能，保持矿山环境与周边生态环境相协调。</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8）复垦区与复垦责任范围</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本方案土地复垦区面积为</w:t>
            </w:r>
            <w:r>
              <w:rPr>
                <w:rFonts w:hint="eastAsia"/>
                <w:color w:val="auto"/>
                <w:sz w:val="24"/>
                <w:szCs w:val="24"/>
                <w:lang w:val="en-US" w:eastAsia="zh-CN"/>
              </w:rPr>
              <w:t>0.9817km</w:t>
            </w:r>
            <w:r>
              <w:rPr>
                <w:rFonts w:hint="eastAsia"/>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，复垦责任范围为</w:t>
            </w:r>
            <w:r>
              <w:rPr>
                <w:rFonts w:hint="eastAsia"/>
                <w:color w:val="auto"/>
                <w:sz w:val="24"/>
                <w:szCs w:val="24"/>
                <w:lang w:val="en-US" w:eastAsia="zh-CN"/>
              </w:rPr>
              <w:t>0.9817km</w:t>
            </w:r>
            <w:r>
              <w:rPr>
                <w:rFonts w:hint="eastAsia"/>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矿山土地复垦共划分为露天采场、排土场、生活区、生产车间、荒料堆场和矿山道路6个复垦单元，完成土地复垦面积为</w:t>
            </w:r>
            <w:r>
              <w:rPr>
                <w:rFonts w:hint="eastAsia"/>
                <w:color w:val="auto"/>
                <w:sz w:val="24"/>
                <w:szCs w:val="24"/>
                <w:lang w:val="en-US" w:eastAsia="zh-CN"/>
              </w:rPr>
              <w:t>0.9817km</w:t>
            </w:r>
            <w:r>
              <w:rPr>
                <w:rFonts w:hint="eastAsia"/>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，土地复垦方向为天然牧草地和乡村道路用地。本方案复垦率为100％。</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（5）防风防沙措施</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矿区土地类型为未利用裸地，矿区内主要为第四系上更新统洪积物，由砂、砾石及少量沙土组成，局部砾石层呈微胶结状，矿山开采破坏了开采境界内的地形，为进一步降低项目实施对土地沙化产生的影响</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拟采取以下措施：</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严格依法坚持封禁保护，加强管理，严禁不合理利用土地资源行为，避免项目所在区域资源遭到破坏。</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在矿区露天采挖时减少作业面面积，采装时及时洒水，对暂不开挖的砂石矿表面，定期洒水。</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对原料和成品车辆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自卸汽车</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运输时，车辆需采用篷布遮盖，对矿区道路洒水降尘，控制车速。</w:t>
            </w:r>
          </w:p>
          <w:p>
            <w:pPr>
              <w:keepNext w:val="0"/>
              <w:keepLines w:val="0"/>
              <w:pageBreakBefore w:val="0"/>
              <w:widowControl w:val="0"/>
              <w:kinsoku/>
              <w:wordWrap/>
              <w:overflowPunct/>
              <w:topLinePunct w:val="0"/>
              <w:autoSpaceDE/>
              <w:autoSpaceDN/>
              <w:bidi w:val="0"/>
              <w:adjustRightInd w:val="0"/>
              <w:snapToGrid w:val="0"/>
              <w:spacing w:line="44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由于冬季风力较强，加上干燥的气候条件以及地表无植被覆盖，风沙较大。建设单位要重视防沙固沙工作，有效利用周围的环境条件</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可在项目区域增设沙障</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避免地表少量沙土随大风肆意扩散，减少沙土的扩散范围。</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其他要求</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①在可能诱发的崩塌、塌陷、滑坡、泥石流的区域外围设立多文字的警示标志和防护网，禁止靠近。在矿区范围入口处设置标识，提示进入矿区的危险性。</w:t>
            </w:r>
          </w:p>
          <w:p>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②闭坑后及时进行环境恢复治理和土地复垦，应尽可能恢复矿区原有环境和土地使用功能，保持矿山环境与周边生态环境相协调。</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color w:val="auto"/>
                <w:sz w:val="24"/>
                <w:szCs w:val="24"/>
              </w:rPr>
              <w:t>采取以上措施后，矿区生态环境将逐步得到改善和恢复。</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napToGrid w:val="0"/>
                <w:color w:val="auto"/>
                <w:kern w:val="0"/>
                <w:sz w:val="24"/>
                <w:szCs w:val="24"/>
                <w:lang w:val="en-US" w:eastAsia="zh-CN" w:bidi="ar-SA"/>
              </w:rPr>
            </w:pPr>
            <w:r>
              <w:rPr>
                <w:rFonts w:hint="eastAsia" w:cs="Times New Roman"/>
                <w:snapToGrid w:val="0"/>
                <w:color w:val="auto"/>
                <w:kern w:val="0"/>
                <w:sz w:val="24"/>
                <w:szCs w:val="24"/>
                <w:lang w:val="en-US" w:eastAsia="zh-CN" w:bidi="ar-SA"/>
              </w:rPr>
              <w:t>2</w:t>
            </w:r>
            <w:r>
              <w:rPr>
                <w:rFonts w:hint="eastAsia" w:ascii="Times New Roman" w:hAnsi="Times New Roman" w:eastAsia="宋体" w:cs="Times New Roman"/>
                <w:snapToGrid w:val="0"/>
                <w:color w:val="auto"/>
                <w:kern w:val="0"/>
                <w:sz w:val="24"/>
                <w:szCs w:val="24"/>
                <w:lang w:val="en-US" w:eastAsia="zh-CN" w:bidi="ar-SA"/>
              </w:rPr>
              <w:t>、废气治理措施</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本项目建成后，大气污染源主要是采矿区、</w:t>
            </w:r>
            <w:r>
              <w:rPr>
                <w:rFonts w:hint="eastAsia" w:ascii="Times New Roman" w:hAnsi="Times New Roman" w:eastAsia="宋体" w:cs="Times New Roman"/>
                <w:snapToGrid w:val="0"/>
                <w:color w:val="auto"/>
                <w:kern w:val="0"/>
                <w:sz w:val="24"/>
                <w:szCs w:val="24"/>
                <w:lang w:val="en-US" w:eastAsia="zh-CN" w:bidi="ar-SA"/>
              </w:rPr>
              <w:t>生产车间</w:t>
            </w:r>
            <w:r>
              <w:rPr>
                <w:rFonts w:hint="default" w:ascii="Times New Roman" w:hAnsi="Times New Roman" w:eastAsia="宋体" w:cs="Times New Roman"/>
                <w:snapToGrid w:val="0"/>
                <w:color w:val="auto"/>
                <w:kern w:val="0"/>
                <w:sz w:val="24"/>
                <w:szCs w:val="24"/>
                <w:lang w:val="en-US" w:eastAsia="zh-CN" w:bidi="ar-SA"/>
              </w:rPr>
              <w:t>和运输过程中产生的粉尘（扬尘），对矿区工作人员及空气环境质量将造成一定的伤害和影响，结合《新疆维吾尔自治区大气污染防治条例》（2019）扬尘污染防治相关要求，本项目大气环境保护措施如下</w:t>
            </w:r>
            <w:r>
              <w:rPr>
                <w:rFonts w:hint="eastAsia" w:ascii="Times New Roman" w:hAnsi="Times New Roman" w:eastAsia="宋体" w:cs="Times New Roman"/>
                <w:snapToGrid w:val="0"/>
                <w:color w:val="auto"/>
                <w:kern w:val="0"/>
                <w:sz w:val="24"/>
                <w:szCs w:val="24"/>
                <w:lang w:val="en-US" w:eastAsia="zh-CN" w:bidi="ar-SA"/>
              </w:rPr>
              <w:t>：</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（1）采矿区开采过程采用洒水降尘措施，减少粉尘排放，保证施工过程与防尘措施同步进行。</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（2）运输车辆加盖篷布，采取遮盖、密闭措施，以防洒落，以减少起尘量；项目区车辆严禁超载，超速行驶，减少汽车尾气的排放；道路定时洒水降尘，保持道路清洁。</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（3）下料装卸时间尽量避免大风及下雨天气，加强运行管理和维护，保证喷淋设施运行平稳。</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（4）在开采过程中无间断进行喷淋，减少粉尘排放，保证达标排放。</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（5）加强工人的劳动保护措施，要求上岗戴防尘面罩，减少粉尘对工人身体的危害；施工现场出入口公示现场负责人、环保监督员、扬尘污染主要控制措施、举报电话等信息。</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（6）项目成品堆场、废石堆场应该尽量减少储场积存量，开采掘进后第一时间回填采坑；成品、待回填物料应进行集中堆放，堆放过程中加盖防尘布，定时洒水，减少二次粉尘污染。</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w:t>
            </w:r>
            <w:r>
              <w:rPr>
                <w:rFonts w:hint="eastAsia" w:ascii="Times New Roman" w:hAnsi="Times New Roman" w:eastAsia="宋体" w:cs="Times New Roman"/>
                <w:snapToGrid w:val="0"/>
                <w:color w:val="auto"/>
                <w:kern w:val="0"/>
                <w:sz w:val="24"/>
                <w:szCs w:val="24"/>
                <w:lang w:val="en-US" w:eastAsia="zh-CN" w:bidi="ar-SA"/>
              </w:rPr>
              <w:t>7</w:t>
            </w:r>
            <w:r>
              <w:rPr>
                <w:rFonts w:hint="default" w:ascii="Times New Roman" w:hAnsi="Times New Roman" w:eastAsia="宋体" w:cs="Times New Roman"/>
                <w:snapToGrid w:val="0"/>
                <w:color w:val="auto"/>
                <w:kern w:val="0"/>
                <w:sz w:val="24"/>
                <w:szCs w:val="24"/>
                <w:lang w:val="en-US" w:eastAsia="zh-CN" w:bidi="ar-SA"/>
              </w:rPr>
              <w:t>）</w:t>
            </w:r>
            <w:r>
              <w:rPr>
                <w:rFonts w:hint="eastAsia" w:ascii="Times New Roman" w:hAnsi="Times New Roman" w:eastAsia="宋体" w:cs="Times New Roman"/>
                <w:snapToGrid w:val="0"/>
                <w:color w:val="auto"/>
                <w:kern w:val="0"/>
                <w:sz w:val="24"/>
                <w:szCs w:val="24"/>
                <w:lang w:val="en-US" w:eastAsia="zh-CN" w:bidi="ar-SA"/>
              </w:rPr>
              <w:t>工业场地石板生产过程中产生的粉尘采用湿法作业的方式来抑制粉尘的产生，喷砂过程采用集气罩+布袋除尘器的方式进行废气处理。</w:t>
            </w:r>
          </w:p>
          <w:p>
            <w:pPr>
              <w:pStyle w:val="3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color w:val="auto"/>
                <w:sz w:val="24"/>
                <w:szCs w:val="24"/>
                <w:highlight w:val="none"/>
              </w:rPr>
            </w:pPr>
            <w:r>
              <w:rPr>
                <w:rFonts w:hint="eastAsia"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rPr>
              <w:t>水环境</w:t>
            </w:r>
            <w:r>
              <w:rPr>
                <w:rFonts w:hint="default" w:ascii="Times New Roman" w:hAnsi="Times New Roman" w:eastAsia="宋体" w:cs="Times New Roman"/>
                <w:b w:val="0"/>
                <w:bCs w:val="0"/>
                <w:color w:val="auto"/>
                <w:sz w:val="24"/>
                <w:szCs w:val="24"/>
                <w:lang w:val="en-US" w:eastAsia="zh-CN"/>
              </w:rPr>
              <w:t>保护措施</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（1）废水治理措施</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本项目用水主要为洒水降尘用水</w:t>
            </w:r>
            <w:r>
              <w:rPr>
                <w:rFonts w:hint="eastAsia" w:cs="Times New Roman"/>
                <w:b w:val="0"/>
                <w:bCs w:val="0"/>
                <w:color w:val="auto"/>
                <w:sz w:val="24"/>
                <w:szCs w:val="24"/>
                <w:highlight w:val="none"/>
                <w:lang w:val="en-US" w:eastAsia="zh-CN"/>
              </w:rPr>
              <w:t>、生产车间用水以及生活用水。</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①降尘用水处理措施</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采矿过程中的降尘用水，经矿石吸收，自然蒸发损耗，无废水产生。生产车间加工过程中的降尘用水排入沉淀池中，经沉淀池处理后回用于生产车间，不外排。</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②生活污水处理措施</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b w:val="0"/>
                <w:bCs w:val="0"/>
                <w:color w:val="auto"/>
                <w:sz w:val="24"/>
                <w:szCs w:val="24"/>
                <w:highlight w:val="none"/>
                <w:lang w:val="en-US" w:eastAsia="zh-CN"/>
              </w:rPr>
            </w:pPr>
            <w:r>
              <w:rPr>
                <w:rFonts w:hint="default" w:cs="Times New Roman"/>
                <w:b w:val="0"/>
                <w:bCs w:val="0"/>
                <w:color w:val="auto"/>
                <w:sz w:val="24"/>
                <w:szCs w:val="24"/>
                <w:highlight w:val="none"/>
                <w:lang w:val="en-US" w:eastAsia="zh-CN"/>
              </w:rPr>
              <w:t>生活污水中成分简单，不含有毒害物质。其主要污染因子SS、COD、BOD</w:t>
            </w:r>
            <w:r>
              <w:rPr>
                <w:rFonts w:hint="default" w:cs="Times New Roman"/>
                <w:b w:val="0"/>
                <w:bCs w:val="0"/>
                <w:color w:val="auto"/>
                <w:sz w:val="24"/>
                <w:szCs w:val="24"/>
                <w:highlight w:val="none"/>
                <w:vertAlign w:val="subscript"/>
                <w:lang w:val="en-US" w:eastAsia="zh-CN"/>
              </w:rPr>
              <w:t>5</w:t>
            </w:r>
            <w:r>
              <w:rPr>
                <w:rFonts w:hint="default" w:cs="Times New Roman"/>
                <w:b w:val="0"/>
                <w:bCs w:val="0"/>
                <w:color w:val="auto"/>
                <w:sz w:val="24"/>
                <w:szCs w:val="24"/>
                <w:highlight w:val="none"/>
                <w:lang w:val="en-US" w:eastAsia="zh-CN"/>
              </w:rPr>
              <w:t>、NH</w:t>
            </w:r>
            <w:r>
              <w:rPr>
                <w:rFonts w:hint="default" w:cs="Times New Roman"/>
                <w:b w:val="0"/>
                <w:bCs w:val="0"/>
                <w:color w:val="auto"/>
                <w:sz w:val="24"/>
                <w:szCs w:val="24"/>
                <w:highlight w:val="none"/>
                <w:vertAlign w:val="subscript"/>
                <w:lang w:val="en-US" w:eastAsia="zh-CN"/>
              </w:rPr>
              <w:t>3</w:t>
            </w:r>
            <w:r>
              <w:rPr>
                <w:rFonts w:hint="default" w:cs="Times New Roman"/>
                <w:b w:val="0"/>
                <w:bCs w:val="0"/>
                <w:color w:val="auto"/>
                <w:sz w:val="24"/>
                <w:szCs w:val="24"/>
                <w:highlight w:val="none"/>
                <w:lang w:val="en-US" w:eastAsia="zh-CN"/>
              </w:rPr>
              <w:t>-N。生活污水</w:t>
            </w:r>
            <w:r>
              <w:rPr>
                <w:rFonts w:hint="eastAsia" w:cs="Times New Roman"/>
                <w:b w:val="0"/>
                <w:bCs w:val="0"/>
                <w:color w:val="auto"/>
                <w:sz w:val="24"/>
                <w:szCs w:val="24"/>
                <w:highlight w:val="none"/>
                <w:lang w:val="en-US" w:eastAsia="zh-CN"/>
              </w:rPr>
              <w:t>经</w:t>
            </w:r>
            <w:r>
              <w:rPr>
                <w:rFonts w:hint="default" w:cs="Times New Roman"/>
                <w:b w:val="0"/>
                <w:bCs w:val="0"/>
                <w:color w:val="auto"/>
                <w:sz w:val="24"/>
                <w:szCs w:val="24"/>
                <w:highlight w:val="none"/>
                <w:lang w:val="en-US" w:eastAsia="zh-CN"/>
              </w:rPr>
              <w:t>地埋式污水处理设施处理后</w:t>
            </w:r>
            <w:r>
              <w:rPr>
                <w:rFonts w:hint="eastAsia" w:cs="Times New Roman"/>
                <w:b w:val="0"/>
                <w:bCs w:val="0"/>
                <w:color w:val="auto"/>
                <w:sz w:val="24"/>
                <w:szCs w:val="24"/>
                <w:highlight w:val="none"/>
                <w:lang w:val="en-US" w:eastAsia="zh-CN"/>
              </w:rPr>
              <w:t>满足</w:t>
            </w:r>
            <w:r>
              <w:rPr>
                <w:rFonts w:hint="eastAsia"/>
                <w:color w:val="auto"/>
                <w:sz w:val="24"/>
                <w:szCs w:val="32"/>
                <w:highlight w:val="none"/>
                <w:lang w:val="en-US" w:eastAsia="zh-CN"/>
              </w:rPr>
              <w:t>《农村生活污水处理排放标准》（DB654575-2019）表C级标准（CODCr：200mg/L、SS：100mg/L）用于项目区周边荒漠生态恢复的灌溉</w:t>
            </w:r>
            <w:r>
              <w:rPr>
                <w:rFonts w:hint="eastAsia" w:cs="Times New Roman"/>
                <w:b w:val="0"/>
                <w:bCs w:val="0"/>
                <w:color w:val="auto"/>
                <w:sz w:val="24"/>
                <w:szCs w:val="24"/>
                <w:highlight w:val="none"/>
                <w:lang w:val="en-US" w:eastAsia="zh-CN"/>
              </w:rPr>
              <w:t>。</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③</w:t>
            </w:r>
            <w:r>
              <w:rPr>
                <w:rFonts w:hint="eastAsia" w:ascii="Times New Roman" w:hAnsi="Times New Roman" w:eastAsia="宋体" w:cs="Times New Roman"/>
                <w:b w:val="0"/>
                <w:bCs w:val="0"/>
                <w:color w:val="auto"/>
                <w:sz w:val="24"/>
                <w:szCs w:val="24"/>
                <w:highlight w:val="none"/>
                <w:lang w:val="en-US" w:eastAsia="zh-CN"/>
              </w:rPr>
              <w:t>生产车间废水</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snapToGrid w:val="0"/>
                <w:color w:val="auto"/>
                <w:kern w:val="0"/>
                <w:sz w:val="24"/>
                <w:szCs w:val="24"/>
                <w:lang w:val="en-US" w:eastAsia="zh-CN" w:bidi="ar-SA"/>
              </w:rPr>
            </w:pPr>
            <w:r>
              <w:rPr>
                <w:rFonts w:hint="eastAsia" w:ascii="Times New Roman" w:hAnsi="Times New Roman" w:eastAsia="宋体" w:cs="Times New Roman"/>
                <w:b w:val="0"/>
                <w:bCs w:val="0"/>
                <w:snapToGrid w:val="0"/>
                <w:color w:val="auto"/>
                <w:kern w:val="0"/>
                <w:sz w:val="24"/>
                <w:szCs w:val="24"/>
                <w:lang w:val="en-US" w:eastAsia="zh-CN" w:bidi="ar-SA"/>
              </w:rPr>
              <w:t>生产的废水收集</w:t>
            </w:r>
            <w:r>
              <w:rPr>
                <w:rFonts w:hint="eastAsia" w:cs="Times New Roman"/>
                <w:b w:val="0"/>
                <w:bCs w:val="0"/>
                <w:snapToGrid w:val="0"/>
                <w:color w:val="auto"/>
                <w:kern w:val="0"/>
                <w:sz w:val="24"/>
                <w:szCs w:val="24"/>
                <w:lang w:val="en-US" w:eastAsia="zh-CN" w:bidi="ar-SA"/>
              </w:rPr>
              <w:t>至</w:t>
            </w:r>
            <w:r>
              <w:rPr>
                <w:rFonts w:hint="eastAsia" w:ascii="Times New Roman" w:hAnsi="Times New Roman" w:eastAsia="宋体" w:cs="Times New Roman"/>
                <w:b w:val="0"/>
                <w:bCs w:val="0"/>
                <w:snapToGrid w:val="0"/>
                <w:color w:val="auto"/>
                <w:kern w:val="0"/>
                <w:sz w:val="24"/>
                <w:szCs w:val="24"/>
                <w:lang w:val="en-US" w:eastAsia="zh-CN" w:bidi="ar-SA"/>
              </w:rPr>
              <w:t>沉淀池中，经循沉淀池处理后，回用于生产车间，不外排，沉淀池中的泥沙定期清掏，为一般工业固废</w:t>
            </w:r>
            <w:r>
              <w:rPr>
                <w:rFonts w:hint="eastAsia" w:cs="Times New Roman"/>
                <w:b w:val="0"/>
                <w:bCs w:val="0"/>
                <w:snapToGrid w:val="0"/>
                <w:color w:val="auto"/>
                <w:kern w:val="0"/>
                <w:sz w:val="24"/>
                <w:szCs w:val="24"/>
                <w:lang w:val="en-US" w:eastAsia="zh-CN" w:bidi="ar-SA"/>
              </w:rPr>
              <w:t>，暂时堆放在排土场，边开采边回填，矿山开采结束后全部回填于采坑，平整场地</w:t>
            </w:r>
            <w:r>
              <w:rPr>
                <w:rFonts w:hint="eastAsia" w:ascii="Times New Roman" w:hAnsi="Times New Roman" w:eastAsia="宋体" w:cs="Times New Roman"/>
                <w:b w:val="0"/>
                <w:bCs w:val="0"/>
                <w:snapToGrid w:val="0"/>
                <w:color w:val="auto"/>
                <w:kern w:val="0"/>
                <w:sz w:val="24"/>
                <w:szCs w:val="24"/>
                <w:lang w:val="en-US" w:eastAsia="zh-CN" w:bidi="ar-SA"/>
              </w:rPr>
              <w:t>。</w:t>
            </w:r>
          </w:p>
          <w:p>
            <w:pPr>
              <w:pStyle w:val="3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b w:val="0"/>
                <w:bCs w:val="0"/>
                <w:color w:val="auto"/>
                <w:sz w:val="24"/>
                <w:szCs w:val="24"/>
                <w:highlight w:val="none"/>
                <w:lang w:val="en-US" w:eastAsia="zh-CN"/>
              </w:rPr>
            </w:pPr>
            <w:r>
              <w:rPr>
                <w:rFonts w:hint="eastAsia" w:ascii="Times New Roman" w:hAnsi="Times New Roman" w:eastAsia="宋体" w:cs="Times New Roman"/>
                <w:b w:val="0"/>
                <w:bCs w:val="0"/>
                <w:snapToGrid w:val="0"/>
                <w:color w:val="auto"/>
                <w:kern w:val="0"/>
                <w:sz w:val="24"/>
                <w:szCs w:val="24"/>
                <w:lang w:val="en-US" w:eastAsia="zh-CN" w:bidi="ar-SA"/>
              </w:rPr>
              <w:t>（2）</w:t>
            </w:r>
            <w:r>
              <w:rPr>
                <w:rFonts w:hint="eastAsia" w:cs="Times New Roman"/>
                <w:b w:val="0"/>
                <w:bCs w:val="0"/>
                <w:color w:val="auto"/>
                <w:sz w:val="24"/>
                <w:szCs w:val="24"/>
                <w:highlight w:val="none"/>
                <w:lang w:val="en-US" w:eastAsia="zh-CN"/>
              </w:rPr>
              <w:t>地下水环境保护措施</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根据分区防治的原则本项目对污水处理设备、生产区及办公区等进行分区防渗，对照《环境影响技术导则 地下水环境》（</w:t>
            </w:r>
            <w:r>
              <w:rPr>
                <w:rFonts w:hint="default" w:ascii="Times New Roman" w:hAnsi="Times New Roman" w:eastAsia="宋体" w:cs="Times New Roman"/>
                <w:b w:val="0"/>
                <w:bCs w:val="0"/>
                <w:color w:val="auto"/>
                <w:sz w:val="24"/>
                <w:szCs w:val="24"/>
                <w:highlight w:val="none"/>
                <w:lang w:val="en-US" w:eastAsia="zh-CN"/>
              </w:rPr>
              <w:t>HJ610-2016</w:t>
            </w:r>
            <w:r>
              <w:rPr>
                <w:rFonts w:hint="eastAsia" w:ascii="Times New Roman" w:hAnsi="Times New Roman" w:eastAsia="宋体" w:cs="Times New Roman"/>
                <w:b w:val="0"/>
                <w:bCs w:val="0"/>
                <w:color w:val="auto"/>
                <w:sz w:val="24"/>
                <w:szCs w:val="24"/>
                <w:highlight w:val="none"/>
                <w:lang w:val="en-US" w:eastAsia="zh-CN"/>
              </w:rPr>
              <w:t>），地下水污染防渗分区参照表，项目各区采取的地下水防治措施如下。</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①重点防渗区</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w:t>
            </w:r>
            <w:r>
              <w:rPr>
                <w:rFonts w:hint="eastAsia" w:cs="Times New Roman"/>
                <w:b w:val="0"/>
                <w:bCs w:val="0"/>
                <w:color w:val="auto"/>
                <w:sz w:val="24"/>
                <w:szCs w:val="24"/>
                <w:highlight w:val="none"/>
                <w:lang w:val="en-US" w:eastAsia="zh-CN"/>
              </w:rPr>
              <w:t>危废暂存间和机修间</w:t>
            </w:r>
            <w:r>
              <w:rPr>
                <w:rFonts w:hint="eastAsia" w:ascii="Times New Roman" w:hAnsi="Times New Roman" w:eastAsia="宋体" w:cs="Times New Roman"/>
                <w:b w:val="0"/>
                <w:bCs w:val="0"/>
                <w:color w:val="auto"/>
                <w:sz w:val="24"/>
                <w:szCs w:val="24"/>
                <w:highlight w:val="none"/>
                <w:lang w:val="en-US" w:eastAsia="zh-CN"/>
              </w:rPr>
              <w:t>为重点防渗区。污水处理设备应采取表面防渗措施；表面防渗材料应与所接触的物料或污染物相容，可采用抗渗混凝土、高密度聚乙烯膜、钠基膨润土防水毯或其他防渗性能等效的材料。污水处理设备还应进行基础防渗，</w:t>
            </w:r>
            <w:r>
              <w:rPr>
                <w:rFonts w:hint="default" w:ascii="Times New Roman" w:hAnsi="Times New Roman" w:eastAsia="宋体" w:cs="Times New Roman"/>
                <w:b w:val="0"/>
                <w:bCs w:val="0"/>
                <w:color w:val="auto"/>
                <w:sz w:val="24"/>
                <w:szCs w:val="24"/>
                <w:highlight w:val="none"/>
                <w:lang w:val="en-US" w:eastAsia="zh-CN"/>
              </w:rPr>
              <w:t>防渗层为至少1m厚黏土层（渗透系数不大于10</w:t>
            </w:r>
            <w:r>
              <w:rPr>
                <w:rFonts w:hint="default" w:ascii="Times New Roman" w:hAnsi="Times New Roman" w:eastAsia="宋体" w:cs="Times New Roman"/>
                <w:b w:val="0"/>
                <w:bCs w:val="0"/>
                <w:color w:val="auto"/>
                <w:sz w:val="24"/>
                <w:szCs w:val="24"/>
                <w:highlight w:val="none"/>
                <w:vertAlign w:val="superscript"/>
                <w:lang w:val="en-US" w:eastAsia="zh-CN"/>
              </w:rPr>
              <w:t>-7</w:t>
            </w:r>
            <w:r>
              <w:rPr>
                <w:rFonts w:hint="default" w:ascii="Times New Roman" w:hAnsi="Times New Roman" w:eastAsia="宋体" w:cs="Times New Roman"/>
                <w:b w:val="0"/>
                <w:bCs w:val="0"/>
                <w:color w:val="auto"/>
                <w:sz w:val="24"/>
                <w:szCs w:val="24"/>
                <w:highlight w:val="none"/>
                <w:lang w:val="en-US" w:eastAsia="zh-CN"/>
              </w:rPr>
              <w:t>cm/s），或至少2mm厚高密度聚乙烯膜等人工防渗材料（渗透系数不大于10</w:t>
            </w:r>
            <w:r>
              <w:rPr>
                <w:rFonts w:hint="default" w:ascii="Times New Roman" w:hAnsi="Times New Roman" w:eastAsia="宋体" w:cs="Times New Roman"/>
                <w:b w:val="0"/>
                <w:bCs w:val="0"/>
                <w:color w:val="auto"/>
                <w:sz w:val="24"/>
                <w:szCs w:val="24"/>
                <w:highlight w:val="none"/>
                <w:vertAlign w:val="superscript"/>
                <w:lang w:val="en-US" w:eastAsia="zh-CN"/>
              </w:rPr>
              <w:t>-10</w:t>
            </w:r>
            <w:r>
              <w:rPr>
                <w:rFonts w:hint="default" w:ascii="Times New Roman" w:hAnsi="Times New Roman" w:eastAsia="宋体" w:cs="Times New Roman"/>
                <w:b w:val="0"/>
                <w:bCs w:val="0"/>
                <w:color w:val="auto"/>
                <w:sz w:val="24"/>
                <w:szCs w:val="24"/>
                <w:highlight w:val="none"/>
                <w:lang w:val="en-US" w:eastAsia="zh-CN"/>
              </w:rPr>
              <w:t>cm/s），或其他防渗性能等效的材料。</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②一般防渗区</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生产区地面为一般防渗区，主要进行一般地面硬化措施。在抗渗混凝土面层（包括钢筋混凝土、钢纤维混凝土）中掺水泥基渗透结晶型防水剂，其下铺砌砂石基层，原土夯实达到防渗的目的。对于混凝土中间的伸缩缝和实体基础的缝隙，通过填充柔性材料达到防渗目的。</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一般防渗区等效黏土防渗层渗透系数≤1×10</w:t>
            </w:r>
            <w:r>
              <w:rPr>
                <w:rFonts w:hint="eastAsia" w:ascii="Times New Roman" w:hAnsi="Times New Roman" w:eastAsia="宋体" w:cs="Times New Roman"/>
                <w:b w:val="0"/>
                <w:bCs w:val="0"/>
                <w:color w:val="auto"/>
                <w:sz w:val="24"/>
                <w:szCs w:val="24"/>
                <w:highlight w:val="none"/>
                <w:vertAlign w:val="superscript"/>
                <w:lang w:val="en-US" w:eastAsia="zh-CN"/>
              </w:rPr>
              <w:t>-7</w:t>
            </w:r>
            <w:r>
              <w:rPr>
                <w:rFonts w:hint="eastAsia" w:ascii="Times New Roman" w:hAnsi="Times New Roman" w:eastAsia="宋体" w:cs="Times New Roman"/>
                <w:b w:val="0"/>
                <w:bCs w:val="0"/>
                <w:color w:val="auto"/>
                <w:sz w:val="24"/>
                <w:szCs w:val="24"/>
                <w:highlight w:val="none"/>
                <w:lang w:val="en-US" w:eastAsia="zh-CN"/>
              </w:rPr>
              <w:t>cm/s，渗透系数≤渗透系数等效黏土防渗，与《环境影响评价技术导则</w:t>
            </w:r>
            <w:r>
              <w:rPr>
                <w:rFonts w:hint="eastAsia" w:cs="Times New Roman"/>
                <w:b w:val="0"/>
                <w:bCs w:val="0"/>
                <w:color w:val="auto"/>
                <w:sz w:val="24"/>
                <w:szCs w:val="24"/>
                <w:highlight w:val="none"/>
                <w:lang w:val="en-US" w:eastAsia="zh-CN"/>
              </w:rPr>
              <w:t xml:space="preserve"> </w:t>
            </w:r>
            <w:r>
              <w:rPr>
                <w:rFonts w:hint="eastAsia" w:ascii="Times New Roman" w:hAnsi="Times New Roman" w:eastAsia="宋体" w:cs="Times New Roman"/>
                <w:b w:val="0"/>
                <w:bCs w:val="0"/>
                <w:color w:val="auto"/>
                <w:sz w:val="24"/>
                <w:szCs w:val="24"/>
                <w:highlight w:val="none"/>
                <w:lang w:val="en-US" w:eastAsia="zh-CN"/>
              </w:rPr>
              <w:t>地下水环境》（HJ610-2016）中的防渗技术要求相符。</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③简单防渗区</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简单防渗区为</w:t>
            </w:r>
            <w:r>
              <w:rPr>
                <w:rFonts w:hint="eastAsia" w:cs="Times New Roman"/>
                <w:b w:val="0"/>
                <w:bCs w:val="0"/>
                <w:color w:val="auto"/>
                <w:sz w:val="24"/>
                <w:szCs w:val="24"/>
                <w:highlight w:val="none"/>
                <w:lang w:val="en-US" w:eastAsia="zh-CN"/>
              </w:rPr>
              <w:t>办公生活</w:t>
            </w:r>
            <w:r>
              <w:rPr>
                <w:rFonts w:hint="eastAsia" w:ascii="Times New Roman" w:hAnsi="Times New Roman" w:eastAsia="宋体" w:cs="Times New Roman"/>
                <w:b w:val="0"/>
                <w:bCs w:val="0"/>
                <w:color w:val="auto"/>
                <w:sz w:val="24"/>
                <w:szCs w:val="24"/>
                <w:highlight w:val="none"/>
                <w:lang w:val="en-US" w:eastAsia="zh-CN"/>
              </w:rPr>
              <w:t>区域地面，采用混凝土材质防渗，不会对地下水产生污染。</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综上所述，在采取上述防渗、防腐处理措施后，可有效防止项目污染物渗漏污染地下水。</w:t>
            </w:r>
          </w:p>
          <w:p>
            <w:pPr>
              <w:pStyle w:val="3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4</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rPr>
              <w:t>噪声环境</w:t>
            </w:r>
            <w:r>
              <w:rPr>
                <w:rFonts w:hint="default" w:ascii="Times New Roman" w:hAnsi="Times New Roman" w:cs="Times New Roman"/>
                <w:b w:val="0"/>
                <w:bCs w:val="0"/>
                <w:color w:val="auto"/>
                <w:sz w:val="24"/>
                <w:szCs w:val="24"/>
                <w:highlight w:val="none"/>
                <w:lang w:val="en-US" w:eastAsia="zh-CN"/>
              </w:rPr>
              <w:t>保护措施</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为有效减轻运营过程中噪声对工作人员的影响，建设单位应采取如下措施：</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（1）加强车辆管理，避免车辆不必要的怠速、制动、启动以及鸣笛。</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（2）加强设备维护，对各机械设备及运输车辆进行定期检查，维护以及维修及时更换一些破损零部件，确保机械设备正常运转，减少非正常生产噪声。</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（3）加强职工劳动保护，高噪声接触岗位要求职工佩戴耳罩，采用轮岗制度减少职工对高噪声接触时间。</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（4）高噪声设备采取集中控制，远离生活区布置，采取密闭隔离，减振等措施。</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5</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对于工业场地内的加工设备采取加设声屏蔽、</w:t>
            </w:r>
            <w:r>
              <w:rPr>
                <w:rFonts w:hint="eastAsia" w:ascii="Times New Roman" w:hAnsi="Times New Roman" w:eastAsia="宋体" w:cs="Times New Roman"/>
                <w:b w:val="0"/>
                <w:bCs w:val="0"/>
                <w:color w:val="auto"/>
                <w:sz w:val="24"/>
                <w:szCs w:val="24"/>
                <w:highlight w:val="none"/>
                <w:lang w:val="en-US" w:eastAsia="zh-CN"/>
              </w:rPr>
              <w:t>减振</w:t>
            </w:r>
            <w:r>
              <w:rPr>
                <w:rFonts w:hint="eastAsia" w:cs="Times New Roman"/>
                <w:b w:val="0"/>
                <w:bCs w:val="0"/>
                <w:color w:val="auto"/>
                <w:sz w:val="24"/>
                <w:szCs w:val="24"/>
                <w:highlight w:val="none"/>
                <w:lang w:val="en-US" w:eastAsia="zh-CN"/>
              </w:rPr>
              <w:t>等措施。</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经预测，各噪声源的叠加影响范围在</w:t>
            </w:r>
            <w:r>
              <w:rPr>
                <w:rFonts w:hint="default" w:ascii="Times New Roman" w:hAnsi="Times New Roman" w:eastAsia="宋体" w:cs="Times New Roman"/>
                <w:b w:val="0"/>
                <w:bCs w:val="0"/>
                <w:color w:val="auto"/>
                <w:sz w:val="24"/>
                <w:szCs w:val="24"/>
                <w:highlight w:val="none"/>
                <w:lang w:val="en-US" w:eastAsia="zh-CN"/>
              </w:rPr>
              <w:t>100m</w:t>
            </w:r>
            <w:r>
              <w:rPr>
                <w:rFonts w:hint="eastAsia" w:ascii="Times New Roman" w:hAnsi="Times New Roman" w:eastAsia="宋体" w:cs="Times New Roman"/>
                <w:b w:val="0"/>
                <w:bCs w:val="0"/>
                <w:color w:val="auto"/>
                <w:sz w:val="24"/>
                <w:szCs w:val="24"/>
                <w:highlight w:val="none"/>
                <w:lang w:val="en-US" w:eastAsia="zh-CN"/>
              </w:rPr>
              <w:t>之内，即在</w:t>
            </w:r>
            <w:r>
              <w:rPr>
                <w:rFonts w:hint="default" w:ascii="Times New Roman" w:hAnsi="Times New Roman" w:eastAsia="宋体" w:cs="Times New Roman"/>
                <w:b w:val="0"/>
                <w:bCs w:val="0"/>
                <w:color w:val="auto"/>
                <w:sz w:val="24"/>
                <w:szCs w:val="24"/>
                <w:highlight w:val="none"/>
                <w:lang w:val="en-US" w:eastAsia="zh-CN"/>
              </w:rPr>
              <w:t>100m</w:t>
            </w:r>
            <w:r>
              <w:rPr>
                <w:rFonts w:hint="eastAsia" w:ascii="Times New Roman" w:hAnsi="Times New Roman" w:eastAsia="宋体" w:cs="Times New Roman"/>
                <w:b w:val="0"/>
                <w:bCs w:val="0"/>
                <w:color w:val="auto"/>
                <w:sz w:val="24"/>
                <w:szCs w:val="24"/>
                <w:highlight w:val="none"/>
                <w:lang w:val="en-US" w:eastAsia="zh-CN"/>
              </w:rPr>
              <w:t>以外预测点噪声值低于《工业企业厂界环境噪声排放标准》（</w:t>
            </w:r>
            <w:r>
              <w:rPr>
                <w:rFonts w:hint="default" w:ascii="Times New Roman" w:hAnsi="Times New Roman" w:eastAsia="宋体" w:cs="Times New Roman"/>
                <w:b w:val="0"/>
                <w:bCs w:val="0"/>
                <w:color w:val="auto"/>
                <w:sz w:val="24"/>
                <w:szCs w:val="24"/>
                <w:highlight w:val="none"/>
                <w:lang w:val="en-US" w:eastAsia="zh-CN"/>
              </w:rPr>
              <w:t>GB</w:t>
            </w:r>
            <w:r>
              <w:rPr>
                <w:rFonts w:hint="eastAsia"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2348-2008</w:t>
            </w:r>
            <w:r>
              <w:rPr>
                <w:rFonts w:hint="eastAsia" w:ascii="Times New Roman" w:hAnsi="Times New Roman" w:eastAsia="宋体" w:cs="Times New Roman"/>
                <w:b w:val="0"/>
                <w:bCs w:val="0"/>
                <w:color w:val="auto"/>
                <w:sz w:val="24"/>
                <w:szCs w:val="24"/>
                <w:highlight w:val="none"/>
                <w:lang w:val="en-US" w:eastAsia="zh-CN"/>
              </w:rPr>
              <w:t>）2类功能区限值，由于矿区评价范围内无居住区，对周围环境影响甚微。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eastAsia" w:cs="Times New Roman"/>
                <w:b w:val="0"/>
                <w:bCs/>
                <w:color w:val="auto"/>
                <w:sz w:val="24"/>
                <w:szCs w:val="24"/>
                <w:highlight w:val="none"/>
                <w:lang w:val="en-US" w:eastAsia="zh-CN"/>
              </w:rPr>
              <w:t>5</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rPr>
              <w:t>固废</w:t>
            </w:r>
            <w:r>
              <w:rPr>
                <w:rFonts w:hint="default" w:ascii="Times New Roman" w:hAnsi="Times New Roman" w:eastAsia="宋体" w:cs="Times New Roman"/>
                <w:b w:val="0"/>
                <w:bCs/>
                <w:color w:val="auto"/>
                <w:sz w:val="24"/>
                <w:szCs w:val="24"/>
                <w:lang w:val="en-US" w:eastAsia="zh-CN"/>
              </w:rPr>
              <w:t>保护措施</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）环评要求采矿过程中剥离废石定点堆放于排土场，做好防尘、防水措施并妥善储存，闭矿期回填矿坑。</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运营期生活垃圾</w:t>
            </w:r>
            <w:r>
              <w:rPr>
                <w:rFonts w:hint="eastAsia"/>
                <w:color w:val="auto"/>
                <w:highlight w:val="none"/>
                <w:lang w:val="en-US" w:eastAsia="zh-CN"/>
              </w:rPr>
              <w:t>集中收集后，定期清运至硕县垃圾填埋场</w:t>
            </w:r>
            <w:r>
              <w:rPr>
                <w:rFonts w:hint="eastAsia" w:ascii="Times New Roman" w:hAnsi="Times New Roman" w:eastAsia="宋体" w:cs="Times New Roman"/>
                <w:b w:val="0"/>
                <w:bCs w:val="0"/>
                <w:color w:val="auto"/>
                <w:sz w:val="24"/>
                <w:szCs w:val="24"/>
                <w:highlight w:val="none"/>
                <w:lang w:val="en-US" w:eastAsia="zh-CN"/>
              </w:rPr>
              <w:t>。</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3）生产车间循环水池中含有泥沙、砾石，需定期清运至堆放在排土场；喷砂工序产生的自然沉降粉尘和布袋除尘灰，集中收集后与喷砂机布袋除尘灰一同清运至堆放在排土场，矿山开采结束后全部回填于采坑，平整场地。</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4</w:t>
            </w:r>
            <w:r>
              <w:rPr>
                <w:rFonts w:hint="eastAsia" w:ascii="Times New Roman" w:hAnsi="Times New Roman" w:eastAsia="宋体" w:cs="Times New Roman"/>
                <w:b w:val="0"/>
                <w:bCs w:val="0"/>
                <w:color w:val="auto"/>
                <w:sz w:val="24"/>
                <w:szCs w:val="24"/>
                <w:highlight w:val="none"/>
                <w:lang w:val="en-US" w:eastAsia="zh-CN"/>
              </w:rPr>
              <w:t>）废机油收集、储存于危废暂存间，交由有资质的机构处理。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cs="Times New Roman"/>
                <w:b w:val="0"/>
                <w:bCs/>
                <w:color w:val="auto"/>
                <w:sz w:val="24"/>
                <w:szCs w:val="24"/>
                <w:highlight w:val="none"/>
                <w:lang w:val="en-US" w:eastAsia="zh-CN"/>
              </w:rPr>
              <w:t>6</w:t>
            </w: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运营期环境风险防范措施</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（1）危废暂存间的管理，远离火源；</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（2）发生泄漏时及时用吸油毡吸附并放置到密闭的容器中储存，防止接触火源引发火灾。</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（3）制定事故应急救援方案，发生事故时及时采取应急行动，保护工作人员及周边人员安全，并防止事故扩大，最大限度地减少事故损失。</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eastAsia="宋体" w:cs="Times New Roman"/>
                <w:b w:val="0"/>
                <w:bCs w:val="0"/>
                <w:color w:val="auto"/>
                <w:sz w:val="24"/>
                <w:szCs w:val="24"/>
                <w:highlight w:val="none"/>
                <w:lang w:val="en-US" w:eastAsia="zh-CN"/>
              </w:rPr>
              <w:t>（4）废机油桶</w:t>
            </w:r>
            <w:r>
              <w:rPr>
                <w:rFonts w:hint="default" w:ascii="Times New Roman" w:hAnsi="Times New Roman" w:eastAsia="宋体" w:cs="Times New Roman"/>
                <w:b w:val="0"/>
                <w:bCs w:val="0"/>
                <w:color w:val="auto"/>
                <w:sz w:val="24"/>
                <w:szCs w:val="24"/>
                <w:highlight w:val="none"/>
                <w:lang w:val="en-US" w:eastAsia="zh-CN"/>
              </w:rPr>
              <w:t>收集后放置在铺设防渗地膜的暂存区暂存，</w:t>
            </w:r>
            <w:r>
              <w:rPr>
                <w:rFonts w:hint="eastAsia" w:ascii="Times New Roman" w:hAnsi="Times New Roman" w:eastAsia="宋体" w:cs="Times New Roman"/>
                <w:b w:val="0"/>
                <w:bCs w:val="0"/>
                <w:color w:val="auto"/>
                <w:sz w:val="24"/>
                <w:szCs w:val="24"/>
                <w:highlight w:val="none"/>
                <w:lang w:val="en-US" w:eastAsia="zh-CN"/>
              </w:rPr>
              <w:t>定期</w:t>
            </w:r>
            <w:r>
              <w:rPr>
                <w:rFonts w:hint="default" w:ascii="Times New Roman" w:hAnsi="Times New Roman" w:eastAsia="宋体" w:cs="Times New Roman"/>
                <w:b w:val="0"/>
                <w:bCs w:val="0"/>
                <w:color w:val="auto"/>
                <w:sz w:val="24"/>
                <w:szCs w:val="24"/>
                <w:highlight w:val="none"/>
                <w:lang w:val="en-US" w:eastAsia="zh-CN"/>
              </w:rPr>
              <w:t>委托有资质的处置单位处置</w:t>
            </w:r>
            <w:r>
              <w:rPr>
                <w:rFonts w:hint="eastAsia" w:ascii="Times New Roman" w:hAnsi="Times New Roman" w:eastAsia="宋体" w:cs="Times New Roman"/>
                <w:b w:val="0"/>
                <w:bCs w:val="0"/>
                <w:color w:val="auto"/>
                <w:sz w:val="24"/>
                <w:szCs w:val="24"/>
                <w:highlight w:val="none"/>
                <w:lang w:val="en-US" w:eastAsia="zh-CN"/>
              </w:rPr>
              <w:t>。</w:t>
            </w:r>
          </w:p>
          <w:p>
            <w:pPr>
              <w:pStyle w:val="17"/>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eastAsia" w:cs="Times New Roman"/>
                <w:b w:val="0"/>
                <w:bCs/>
                <w:color w:val="auto"/>
                <w:kern w:val="2"/>
                <w:sz w:val="24"/>
                <w:szCs w:val="24"/>
                <w:lang w:val="en-US" w:eastAsia="zh-CN" w:bidi="ar-SA"/>
              </w:rPr>
              <w:t>7</w:t>
            </w:r>
            <w:r>
              <w:rPr>
                <w:rFonts w:hint="default" w:ascii="Times New Roman" w:hAnsi="Times New Roman" w:eastAsia="宋体" w:cs="Times New Roman"/>
                <w:b w:val="0"/>
                <w:bCs/>
                <w:color w:val="auto"/>
                <w:kern w:val="2"/>
                <w:sz w:val="24"/>
                <w:szCs w:val="24"/>
                <w:lang w:val="en-US" w:eastAsia="zh-CN" w:bidi="ar-SA"/>
              </w:rPr>
              <w:t>、生态影响恢复措施的合理性和可行性分析</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关于加快建设绿色矿山的实施意见》《关于印发〈新疆维吾尔自治区绿色矿山建设管理办法（试行）〉的通知》，《矿山生态环境保护与恢复治理技术规范》并结合《生产建设项目水土保持技术标准》（GB50433-2018），本项目生态恢复方案如下。</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本项目闭矿后生态恢复重点为开采引起的地质，灾害防治、地形与地貌恢复。</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矿山通过土地复垦改善当地生态环境，使损毁的土地得到恢复。对露天采矿场进行回填，消除采坑对地形地貌的影响；将地面建筑全部拆除；利用废石、清除危岩和浮石方量回填采坑；对各复垦单元进行地面平整，使其与周边环境相适宜；对各场地进行覆土和植被恢复工程，以达到恢复至裸岩石砾地的复垦标准。</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闭矿期开采工作不再进行，但是采矿期间遗留下对生态环境产生影响的因素主要有：长度、宽度、深度及其可能造成的影响，根据本项目的工程特点，生态恢复区主要涉及废石堆场、生活办公区、矿区道路及工业区建筑物。针对以上防治重点，本项目主要应采取如下生态保护措施：</w:t>
            </w:r>
          </w:p>
          <w:p>
            <w:pPr>
              <w:pStyle w:val="3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按</w:t>
            </w:r>
            <w:r>
              <w:rPr>
                <w:rFonts w:hint="eastAsia" w:ascii="宋体" w:hAnsi="宋体" w:eastAsia="宋体" w:cs="宋体"/>
                <w:b w:val="0"/>
                <w:bCs w:val="0"/>
                <w:color w:val="auto"/>
                <w:sz w:val="24"/>
                <w:szCs w:val="24"/>
                <w:highlight w:val="none"/>
                <w:lang w:val="en-US" w:eastAsia="zh-CN"/>
              </w:rPr>
              <w:t>照“边开采，边治理”</w:t>
            </w:r>
            <w:r>
              <w:rPr>
                <w:rFonts w:hint="default" w:ascii="Times New Roman" w:hAnsi="Times New Roman" w:eastAsia="宋体" w:cs="Times New Roman"/>
                <w:b w:val="0"/>
                <w:bCs w:val="0"/>
                <w:color w:val="auto"/>
                <w:sz w:val="24"/>
                <w:szCs w:val="24"/>
                <w:highlight w:val="none"/>
                <w:lang w:val="en-US" w:eastAsia="zh-CN"/>
              </w:rPr>
              <w:t>的方针，制定详细的矿山生态环境治理恢复方案，并严格落实，从矿山生产收益中抽取一定比例作为矿山生态环境治理资金。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84" w:type="dxa"/>
            <w:noWrap w:val="0"/>
            <w:vAlign w:val="center"/>
          </w:tcPr>
          <w:p>
            <w:pPr>
              <w:keepNext w:val="0"/>
              <w:keepLines w:val="0"/>
              <w:pageBreakBefore w:val="0"/>
              <w:kinsoku/>
              <w:wordWrap/>
              <w:topLinePunct w:val="0"/>
              <w:bidi w:val="0"/>
              <w:adjustRightInd w:val="0"/>
              <w:snapToGrid w:val="0"/>
              <w:jc w:val="center"/>
              <w:rPr>
                <w:rFonts w:ascii="宋体" w:hAnsi="宋体" w:cs="宋体"/>
                <w:bCs/>
                <w:color w:val="auto"/>
                <w:spacing w:val="10"/>
                <w:sz w:val="24"/>
                <w:szCs w:val="24"/>
              </w:rPr>
            </w:pPr>
            <w:r>
              <w:rPr>
                <w:rFonts w:hint="eastAsia" w:ascii="宋体" w:hAnsi="宋体"/>
                <w:bCs/>
                <w:color w:val="auto"/>
                <w:sz w:val="24"/>
                <w:szCs w:val="24"/>
              </w:rPr>
              <w:t>其他</w:t>
            </w:r>
          </w:p>
        </w:tc>
        <w:tc>
          <w:tcPr>
            <w:tcW w:w="8718" w:type="dxa"/>
            <w:noWrap w:val="0"/>
            <w:vAlign w:val="center"/>
          </w:tcPr>
          <w:p>
            <w:pPr>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rPr>
            </w:pPr>
            <w:r>
              <w:rPr>
                <w:rFonts w:hint="eastAsia" w:cs="Times New Roman"/>
                <w:b w:val="0"/>
                <w:bCs w:val="0"/>
                <w:color w:val="auto"/>
                <w:sz w:val="24"/>
                <w:szCs w:val="24"/>
                <w:lang w:val="en-US" w:eastAsia="zh-CN"/>
              </w:rPr>
              <w:t>1</w:t>
            </w:r>
            <w:r>
              <w:rPr>
                <w:rFonts w:hint="default"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rPr>
              <w:t>环境管理计划</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kern w:val="0"/>
                <w:sz w:val="24"/>
                <w:szCs w:val="24"/>
              </w:rPr>
            </w:pPr>
            <w:r>
              <w:rPr>
                <w:rFonts w:hint="eastAsia" w:cs="Times New Roman"/>
                <w:b w:val="0"/>
                <w:bCs w:val="0"/>
                <w:color w:val="auto"/>
                <w:kern w:val="0"/>
                <w:sz w:val="24"/>
                <w:szCs w:val="24"/>
                <w:lang w:val="en-US" w:eastAsia="zh-CN"/>
              </w:rPr>
              <w:t>1</w:t>
            </w:r>
            <w:r>
              <w:rPr>
                <w:rFonts w:hint="default" w:ascii="Times New Roman" w:hAnsi="Times New Roman" w:cs="Times New Roman"/>
                <w:b w:val="0"/>
                <w:bCs w:val="0"/>
                <w:color w:val="auto"/>
                <w:kern w:val="0"/>
                <w:sz w:val="24"/>
                <w:szCs w:val="24"/>
                <w:lang w:val="en-US" w:eastAsia="zh-CN"/>
              </w:rPr>
              <w:t>.1</w:t>
            </w:r>
            <w:r>
              <w:rPr>
                <w:rFonts w:hint="default" w:ascii="Times New Roman" w:hAnsi="Times New Roman" w:cs="Times New Roman"/>
                <w:b w:val="0"/>
                <w:bCs w:val="0"/>
                <w:color w:val="auto"/>
                <w:kern w:val="0"/>
                <w:sz w:val="24"/>
                <w:szCs w:val="24"/>
              </w:rPr>
              <w:t>环境管理职责</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（1）最高管理者的职责</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根据国家、自治区及地方各项环保政策、法规、标准制定环境方针；明确规定管理者代表的作用、职责权限，为环境管理工作提供包括人力、财力、技术等方面资源。</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（2）管理者代表的职责</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在环境管理事务中代表最高管理者行使职权，监督环境管理体系的实施。其职责主要包括：</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color w:val="auto"/>
                <w:kern w:val="0"/>
                <w:sz w:val="24"/>
                <w:szCs w:val="24"/>
              </w:rPr>
            </w:pPr>
            <w:r>
              <w:rPr>
                <w:rFonts w:hint="default" w:ascii="Times New Roman" w:hAnsi="Times New Roman" w:cs="Times New Roman"/>
                <w:color w:val="auto"/>
                <w:kern w:val="0"/>
                <w:sz w:val="24"/>
                <w:szCs w:val="24"/>
              </w:rPr>
              <w:t>①贯彻执行国</w:t>
            </w:r>
            <w:r>
              <w:rPr>
                <w:rFonts w:hint="eastAsia"/>
                <w:color w:val="auto"/>
                <w:kern w:val="0"/>
                <w:sz w:val="24"/>
                <w:szCs w:val="24"/>
              </w:rPr>
              <w:t>家相关的法律法规，根据本企业实际，编制环境保护规划和实施细则，并组织实施，监督执行。</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color w:val="auto"/>
                <w:kern w:val="0"/>
                <w:sz w:val="24"/>
                <w:szCs w:val="24"/>
              </w:rPr>
            </w:pPr>
            <w:r>
              <w:rPr>
                <w:rFonts w:hint="eastAsia" w:cs="宋体"/>
                <w:color w:val="auto"/>
                <w:kern w:val="0"/>
                <w:sz w:val="24"/>
                <w:szCs w:val="24"/>
              </w:rPr>
              <w:t>②</w:t>
            </w:r>
            <w:r>
              <w:rPr>
                <w:rFonts w:hint="eastAsia"/>
                <w:color w:val="auto"/>
                <w:kern w:val="0"/>
                <w:sz w:val="24"/>
                <w:szCs w:val="24"/>
              </w:rPr>
              <w:t>负责采矿区环境统计工作，污染源建档，定期进</w:t>
            </w:r>
            <w:r>
              <w:rPr>
                <w:rFonts w:hint="eastAsia" w:ascii="宋体" w:hAnsi="宋体" w:eastAsia="宋体" w:cs="宋体"/>
                <w:color w:val="auto"/>
                <w:kern w:val="0"/>
                <w:sz w:val="24"/>
                <w:szCs w:val="24"/>
              </w:rPr>
              <w:t>行“三废”</w:t>
            </w:r>
            <w:r>
              <w:rPr>
                <w:rFonts w:hint="eastAsia"/>
                <w:color w:val="auto"/>
                <w:kern w:val="0"/>
                <w:sz w:val="24"/>
                <w:szCs w:val="24"/>
              </w:rPr>
              <w:t>排放及噪声的监测，掌握厂内污染源</w:t>
            </w:r>
            <w:r>
              <w:rPr>
                <w:rFonts w:hint="eastAsia"/>
                <w:color w:val="auto"/>
                <w:kern w:val="0"/>
                <w:sz w:val="24"/>
                <w:szCs w:val="24"/>
                <w:lang w:eastAsia="zh-CN"/>
              </w:rPr>
              <w:t>“</w:t>
            </w:r>
            <w:r>
              <w:rPr>
                <w:rFonts w:hint="eastAsia"/>
                <w:color w:val="auto"/>
                <w:kern w:val="0"/>
                <w:sz w:val="24"/>
                <w:szCs w:val="24"/>
              </w:rPr>
              <w:t>三废</w:t>
            </w:r>
            <w:r>
              <w:rPr>
                <w:rFonts w:hint="eastAsia"/>
                <w:color w:val="auto"/>
                <w:kern w:val="0"/>
                <w:sz w:val="24"/>
                <w:szCs w:val="24"/>
                <w:lang w:eastAsia="zh-CN"/>
              </w:rPr>
              <w:t>”</w:t>
            </w:r>
            <w:r>
              <w:rPr>
                <w:rFonts w:hint="eastAsia"/>
                <w:color w:val="auto"/>
                <w:kern w:val="0"/>
                <w:sz w:val="24"/>
                <w:szCs w:val="24"/>
              </w:rPr>
              <w:t>排放动态，编制环境监测报告等，为环境管理和污染防治提供依据。</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color w:val="auto"/>
                <w:kern w:val="0"/>
                <w:sz w:val="24"/>
                <w:szCs w:val="24"/>
              </w:rPr>
            </w:pPr>
            <w:r>
              <w:rPr>
                <w:rFonts w:hint="eastAsia" w:cs="宋体"/>
                <w:color w:val="auto"/>
                <w:kern w:val="0"/>
                <w:sz w:val="24"/>
                <w:szCs w:val="24"/>
              </w:rPr>
              <w:t>③</w:t>
            </w:r>
            <w:r>
              <w:rPr>
                <w:rFonts w:hint="eastAsia"/>
                <w:color w:val="auto"/>
                <w:kern w:val="0"/>
                <w:sz w:val="24"/>
                <w:szCs w:val="24"/>
              </w:rPr>
              <w:t>制定切实可行的</w:t>
            </w:r>
            <w:r>
              <w:rPr>
                <w:rFonts w:hint="eastAsia"/>
                <w:color w:val="auto"/>
                <w:kern w:val="0"/>
                <w:sz w:val="24"/>
                <w:szCs w:val="24"/>
                <w:lang w:eastAsia="zh-CN"/>
              </w:rPr>
              <w:t>“</w:t>
            </w:r>
            <w:r>
              <w:rPr>
                <w:rFonts w:hint="eastAsia"/>
                <w:color w:val="auto"/>
                <w:kern w:val="0"/>
                <w:sz w:val="24"/>
                <w:szCs w:val="24"/>
              </w:rPr>
              <w:t>三废</w:t>
            </w:r>
            <w:r>
              <w:rPr>
                <w:rFonts w:hint="eastAsia"/>
                <w:color w:val="auto"/>
                <w:kern w:val="0"/>
                <w:sz w:val="24"/>
                <w:szCs w:val="24"/>
                <w:lang w:eastAsia="zh-CN"/>
              </w:rPr>
              <w:t>”</w:t>
            </w:r>
            <w:r>
              <w:rPr>
                <w:rFonts w:hint="eastAsia"/>
                <w:color w:val="auto"/>
                <w:kern w:val="0"/>
                <w:sz w:val="24"/>
                <w:szCs w:val="24"/>
              </w:rPr>
              <w:t>排放控制指标，环保治理设施运行考核指标，组织落实实施，定期进行考核。</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color w:val="auto"/>
                <w:kern w:val="0"/>
                <w:sz w:val="24"/>
                <w:szCs w:val="24"/>
              </w:rPr>
            </w:pPr>
            <w:r>
              <w:rPr>
                <w:rFonts w:hint="eastAsia" w:cs="宋体"/>
                <w:color w:val="auto"/>
                <w:kern w:val="0"/>
                <w:sz w:val="24"/>
                <w:szCs w:val="24"/>
              </w:rPr>
              <w:t>④</w:t>
            </w:r>
            <w:r>
              <w:rPr>
                <w:rFonts w:hint="eastAsia"/>
                <w:color w:val="auto"/>
                <w:kern w:val="0"/>
                <w:sz w:val="24"/>
                <w:szCs w:val="24"/>
              </w:rPr>
              <w:t>组织和管理采矿区污染治理工作，负责环保治理设施的运行及管理工作，建立污染物浓度和排放总量双项控制制度，做到达标排放。</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rPr>
            </w:pPr>
            <w:r>
              <w:rPr>
                <w:rFonts w:hint="eastAsia" w:cs="宋体"/>
                <w:color w:val="auto"/>
                <w:kern w:val="0"/>
                <w:sz w:val="24"/>
                <w:szCs w:val="24"/>
              </w:rPr>
              <w:t>⑤</w:t>
            </w:r>
            <w:r>
              <w:rPr>
                <w:rFonts w:hint="eastAsia"/>
                <w:color w:val="auto"/>
                <w:kern w:val="0"/>
                <w:sz w:val="24"/>
                <w:szCs w:val="24"/>
              </w:rPr>
              <w:t>通过工程建设，不断提高治理设施的水平和可操作性。将在环境管理体系运行中所掌</w:t>
            </w:r>
            <w:r>
              <w:rPr>
                <w:rFonts w:hint="default" w:ascii="Times New Roman" w:hAnsi="Times New Roman" w:cs="Times New Roman"/>
                <w:color w:val="auto"/>
                <w:kern w:val="0"/>
                <w:sz w:val="24"/>
                <w:szCs w:val="24"/>
              </w:rPr>
              <w:t>握的情况及时向最高管理者汇报，并提出建议。</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（3）全体员工职责</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全体员工应以对环境负责的态度和方式从事自己的工作，并在各自的岗位上承担有关环境责任。</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rPr>
            </w:pPr>
            <w:r>
              <w:rPr>
                <w:rFonts w:hint="eastAsia" w:cs="Times New Roman"/>
                <w:b w:val="0"/>
                <w:bCs w:val="0"/>
                <w:color w:val="auto"/>
                <w:kern w:val="0"/>
                <w:sz w:val="24"/>
                <w:szCs w:val="24"/>
                <w:lang w:val="en-US" w:eastAsia="zh-CN"/>
              </w:rPr>
              <w:t>1.2</w:t>
            </w:r>
            <w:r>
              <w:rPr>
                <w:rFonts w:hint="default" w:ascii="Times New Roman" w:hAnsi="Times New Roman" w:eastAsia="宋体" w:cs="Times New Roman"/>
                <w:b w:val="0"/>
                <w:bCs w:val="0"/>
                <w:color w:val="auto"/>
                <w:kern w:val="0"/>
                <w:sz w:val="24"/>
                <w:szCs w:val="24"/>
              </w:rPr>
              <w:t>环境管理的目标</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本项目环境管理的目标应达到国家规定的水、气、声、渣等污染物排放标准，确保环境管理的持续改进。</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rPr>
            </w:pPr>
            <w:r>
              <w:rPr>
                <w:rFonts w:hint="eastAsia" w:cs="Times New Roman"/>
                <w:b w:val="0"/>
                <w:bCs w:val="0"/>
                <w:color w:val="auto"/>
                <w:kern w:val="0"/>
                <w:sz w:val="24"/>
                <w:szCs w:val="24"/>
                <w:lang w:val="en-US" w:eastAsia="zh-CN"/>
              </w:rPr>
              <w:t>1.3</w:t>
            </w:r>
            <w:r>
              <w:rPr>
                <w:rFonts w:hint="default" w:ascii="Times New Roman" w:hAnsi="Times New Roman" w:eastAsia="宋体" w:cs="Times New Roman"/>
                <w:b w:val="0"/>
                <w:bCs w:val="0"/>
                <w:color w:val="auto"/>
                <w:kern w:val="0"/>
                <w:sz w:val="24"/>
                <w:szCs w:val="24"/>
              </w:rPr>
              <w:t>环境管理的主要内容</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color w:val="auto"/>
              </w:rPr>
            </w:pPr>
            <w:r>
              <w:rPr>
                <w:rFonts w:hint="default" w:ascii="Times New Roman" w:hAnsi="Times New Roman" w:eastAsia="宋体" w:cs="Times New Roman"/>
                <w:color w:val="auto"/>
                <w:kern w:val="0"/>
                <w:sz w:val="24"/>
                <w:szCs w:val="24"/>
              </w:rPr>
              <w:t>本项目针对不同工作阶段，制定环境管理工作计划，项目建设管理工作计划见表</w:t>
            </w:r>
            <w:r>
              <w:rPr>
                <w:rFonts w:hint="default" w:ascii="Times New Roman" w:hAnsi="Times New Roman" w:eastAsia="宋体" w:cs="Times New Roman"/>
                <w:color w:val="auto"/>
                <w:kern w:val="0"/>
                <w:sz w:val="24"/>
                <w:szCs w:val="24"/>
                <w:lang w:val="en-US" w:eastAsia="zh-CN"/>
              </w:rPr>
              <w:t>5-</w:t>
            </w:r>
            <w:r>
              <w:rPr>
                <w:rFonts w:hint="eastAsia"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w:t>
            </w:r>
          </w:p>
          <w:p>
            <w:pPr>
              <w:keepLines w:val="0"/>
              <w:pageBreakBefore w:val="0"/>
              <w:kinsoku/>
              <w:topLinePunct w:val="0"/>
              <w:bidi w:val="0"/>
              <w:jc w:val="center"/>
              <w:rPr>
                <w:rFonts w:hint="default" w:ascii="Times New Roman" w:hAnsi="宋体" w:eastAsia="宋体" w:cs="Times New Roman"/>
                <w:b/>
                <w:bCs/>
                <w:color w:val="auto"/>
                <w:sz w:val="22"/>
                <w:szCs w:val="28"/>
                <w:lang w:val="en-US" w:eastAsia="zh-CN"/>
              </w:rPr>
            </w:pPr>
            <w:r>
              <w:rPr>
                <w:rFonts w:hint="default" w:ascii="Times New Roman" w:hAnsi="宋体" w:eastAsia="宋体" w:cs="Times New Roman"/>
                <w:b/>
                <w:bCs/>
                <w:color w:val="auto"/>
                <w:sz w:val="22"/>
                <w:szCs w:val="28"/>
                <w:lang w:val="en-US" w:eastAsia="zh-CN"/>
              </w:rPr>
              <w:t>表5-</w:t>
            </w:r>
            <w:r>
              <w:rPr>
                <w:rFonts w:hint="eastAsia" w:hAnsi="宋体" w:cs="Times New Roman"/>
                <w:b/>
                <w:bCs/>
                <w:color w:val="auto"/>
                <w:sz w:val="22"/>
                <w:szCs w:val="28"/>
                <w:lang w:val="en-US" w:eastAsia="zh-CN"/>
              </w:rPr>
              <w:t>1</w:t>
            </w:r>
            <w:r>
              <w:rPr>
                <w:rFonts w:hint="default" w:ascii="Times New Roman" w:hAnsi="宋体" w:eastAsia="宋体" w:cs="Times New Roman"/>
                <w:b/>
                <w:bCs/>
                <w:color w:val="auto"/>
                <w:sz w:val="22"/>
                <w:szCs w:val="28"/>
                <w:lang w:val="en-US" w:eastAsia="zh-CN"/>
              </w:rPr>
              <w:t xml:space="preserve">    各阶段环境管理工作主要内容</w:t>
            </w:r>
          </w:p>
          <w:tbl>
            <w:tblPr>
              <w:tblStyle w:val="23"/>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71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6" w:type="pct"/>
                  <w:tcBorders>
                    <w:tl2br w:val="nil"/>
                    <w:tr2bl w:val="nil"/>
                  </w:tcBorders>
                  <w:noWrap w:val="0"/>
                  <w:vAlign w:val="center"/>
                </w:tcPr>
                <w:p>
                  <w:pPr>
                    <w:keepNext w:val="0"/>
                    <w:keepLines w:val="0"/>
                    <w:pageBreakBefore w:val="0"/>
                    <w:kinsoku/>
                    <w:wordWrap/>
                    <w:topLinePunct w:val="0"/>
                    <w:bidi w:val="0"/>
                    <w:spacing w:line="240" w:lineRule="auto"/>
                    <w:jc w:val="center"/>
                    <w:textAlignment w:val="baseline"/>
                    <w:rPr>
                      <w:rFonts w:hint="default" w:ascii="Times New Roman" w:hAnsi="Times New Roman" w:cs="Times New Roman"/>
                      <w:bCs/>
                      <w:color w:val="auto"/>
                      <w:szCs w:val="21"/>
                    </w:rPr>
                  </w:pPr>
                  <w:r>
                    <w:rPr>
                      <w:rFonts w:hint="default" w:ascii="Times New Roman" w:hAnsi="Times New Roman" w:cs="Times New Roman"/>
                      <w:bCs/>
                      <w:color w:val="auto"/>
                      <w:szCs w:val="21"/>
                    </w:rPr>
                    <w:t>阶段</w:t>
                  </w:r>
                </w:p>
              </w:tc>
              <w:tc>
                <w:tcPr>
                  <w:tcW w:w="4233" w:type="pct"/>
                  <w:tcBorders>
                    <w:tl2br w:val="nil"/>
                    <w:tr2bl w:val="nil"/>
                  </w:tcBorders>
                  <w:noWrap w:val="0"/>
                  <w:vAlign w:val="center"/>
                </w:tcPr>
                <w:p>
                  <w:pPr>
                    <w:keepNext w:val="0"/>
                    <w:keepLines w:val="0"/>
                    <w:pageBreakBefore w:val="0"/>
                    <w:kinsoku/>
                    <w:wordWrap/>
                    <w:topLinePunct w:val="0"/>
                    <w:bidi w:val="0"/>
                    <w:spacing w:line="240" w:lineRule="auto"/>
                    <w:jc w:val="center"/>
                    <w:textAlignment w:val="baseline"/>
                    <w:rPr>
                      <w:rFonts w:hint="default" w:ascii="Times New Roman" w:hAnsi="Times New Roman" w:cs="Times New Roman"/>
                      <w:bCs/>
                      <w:color w:val="auto"/>
                      <w:szCs w:val="21"/>
                    </w:rPr>
                  </w:pPr>
                  <w:r>
                    <w:rPr>
                      <w:rFonts w:hint="default" w:ascii="Times New Roman" w:hAnsi="Times New Roman" w:cs="Times New Roman"/>
                      <w:bCs/>
                      <w:color w:val="auto"/>
                      <w:szCs w:val="21"/>
                    </w:rPr>
                    <w:t>环境管理工作计划的具体内容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6" w:type="pct"/>
                  <w:tcBorders>
                    <w:tl2br w:val="nil"/>
                    <w:tr2bl w:val="nil"/>
                  </w:tcBorders>
                  <w:noWrap w:val="0"/>
                  <w:vAlign w:val="center"/>
                </w:tcPr>
                <w:p>
                  <w:pPr>
                    <w:keepNext w:val="0"/>
                    <w:keepLines w:val="0"/>
                    <w:pageBreakBefore w:val="0"/>
                    <w:kinsoku/>
                    <w:wordWrap/>
                    <w:topLinePunct w:val="0"/>
                    <w:bidi w:val="0"/>
                    <w:spacing w:line="240" w:lineRule="auto"/>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环境管理机构职能</w:t>
                  </w:r>
                </w:p>
              </w:tc>
              <w:tc>
                <w:tcPr>
                  <w:tcW w:w="4233" w:type="pct"/>
                  <w:tcBorders>
                    <w:tl2br w:val="nil"/>
                    <w:tr2bl w:val="nil"/>
                  </w:tcBorders>
                  <w:noWrap w:val="0"/>
                  <w:vAlign w:val="center"/>
                </w:tcPr>
                <w:p>
                  <w:pPr>
                    <w:keepNext w:val="0"/>
                    <w:keepLines w:val="0"/>
                    <w:pageBreakBefore w:val="0"/>
                    <w:kinsoku/>
                    <w:wordWrap/>
                    <w:topLinePunct w:val="0"/>
                    <w:bidi w:val="0"/>
                    <w:spacing w:line="240" w:lineRule="auto"/>
                    <w:ind w:firstLine="420"/>
                    <w:jc w:val="left"/>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根据国家建设项目环境管理规定，认真落实各项环保手续，完成各级主管部门对本企业提出的环境管理要求，对本企业内部各项管理计划的执行及完成情况进行监督、控制，确保环境管理工作真正发挥作用。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6" w:type="pct"/>
                  <w:tcBorders>
                    <w:tl2br w:val="nil"/>
                    <w:tr2bl w:val="nil"/>
                  </w:tcBorders>
                  <w:noWrap w:val="0"/>
                  <w:vAlign w:val="center"/>
                </w:tcPr>
                <w:p>
                  <w:pPr>
                    <w:keepNext w:val="0"/>
                    <w:keepLines w:val="0"/>
                    <w:pageBreakBefore w:val="0"/>
                    <w:kinsoku/>
                    <w:wordWrap/>
                    <w:topLinePunct w:val="0"/>
                    <w:bidi w:val="0"/>
                    <w:spacing w:line="240" w:lineRule="auto"/>
                    <w:jc w:val="center"/>
                    <w:textAlignment w:val="baseline"/>
                    <w:rPr>
                      <w:color w:val="auto"/>
                      <w:szCs w:val="21"/>
                    </w:rPr>
                  </w:pPr>
                  <w:r>
                    <w:rPr>
                      <w:rFonts w:hint="eastAsia"/>
                      <w:color w:val="auto"/>
                      <w:szCs w:val="21"/>
                    </w:rPr>
                    <w:t>准备阶段</w:t>
                  </w:r>
                </w:p>
              </w:tc>
              <w:tc>
                <w:tcPr>
                  <w:tcW w:w="4233" w:type="pct"/>
                  <w:tcBorders>
                    <w:tl2br w:val="nil"/>
                    <w:tr2bl w:val="nil"/>
                  </w:tcBorders>
                  <w:noWrap w:val="0"/>
                  <w:vAlign w:val="center"/>
                </w:tcPr>
                <w:p>
                  <w:pPr>
                    <w:keepNext w:val="0"/>
                    <w:keepLines w:val="0"/>
                    <w:pageBreakBefore w:val="0"/>
                    <w:kinsoku/>
                    <w:wordWrap/>
                    <w:topLinePunct w:val="0"/>
                    <w:bidi w:val="0"/>
                    <w:spacing w:line="240" w:lineRule="auto"/>
                    <w:jc w:val="left"/>
                    <w:textAlignment w:val="baseline"/>
                    <w:rPr>
                      <w:color w:val="auto"/>
                      <w:szCs w:val="21"/>
                    </w:rPr>
                  </w:pPr>
                  <w:r>
                    <w:rPr>
                      <w:rFonts w:hint="eastAsia"/>
                      <w:color w:val="auto"/>
                      <w:szCs w:val="21"/>
                    </w:rPr>
                    <w:t>（</w:t>
                  </w:r>
                  <w:r>
                    <w:rPr>
                      <w:color w:val="auto"/>
                      <w:szCs w:val="21"/>
                    </w:rPr>
                    <w:t>1</w:t>
                  </w:r>
                  <w:r>
                    <w:rPr>
                      <w:rFonts w:hint="eastAsia"/>
                      <w:color w:val="auto"/>
                      <w:szCs w:val="21"/>
                    </w:rPr>
                    <w:t>）与项目可行性研究同期，委托持有</w:t>
                  </w:r>
                  <w:r>
                    <w:rPr>
                      <w:color w:val="auto"/>
                      <w:szCs w:val="21"/>
                    </w:rPr>
                    <w:t>“</w:t>
                  </w:r>
                  <w:r>
                    <w:rPr>
                      <w:rFonts w:hint="eastAsia"/>
                      <w:color w:val="auto"/>
                      <w:szCs w:val="21"/>
                    </w:rPr>
                    <w:t>建设项目环境影响评价资质证书</w:t>
                  </w:r>
                  <w:r>
                    <w:rPr>
                      <w:color w:val="auto"/>
                      <w:szCs w:val="21"/>
                    </w:rPr>
                    <w:t>”</w:t>
                  </w:r>
                  <w:r>
                    <w:rPr>
                      <w:rFonts w:hint="eastAsia"/>
                      <w:color w:val="auto"/>
                      <w:szCs w:val="21"/>
                    </w:rPr>
                    <w:t>的环评单位进行项目的环境影响评价工作；</w:t>
                  </w:r>
                </w:p>
                <w:p>
                  <w:pPr>
                    <w:keepNext w:val="0"/>
                    <w:keepLines w:val="0"/>
                    <w:pageBreakBefore w:val="0"/>
                    <w:kinsoku/>
                    <w:wordWrap/>
                    <w:topLinePunct w:val="0"/>
                    <w:bidi w:val="0"/>
                    <w:spacing w:line="240" w:lineRule="auto"/>
                    <w:jc w:val="left"/>
                    <w:textAlignment w:val="baseline"/>
                    <w:rPr>
                      <w:color w:val="auto"/>
                      <w:szCs w:val="21"/>
                    </w:rPr>
                  </w:pPr>
                  <w:r>
                    <w:rPr>
                      <w:rFonts w:hint="eastAsia"/>
                      <w:color w:val="auto"/>
                      <w:szCs w:val="21"/>
                    </w:rPr>
                    <w:t>（</w:t>
                  </w:r>
                  <w:r>
                    <w:rPr>
                      <w:color w:val="auto"/>
                      <w:szCs w:val="21"/>
                    </w:rPr>
                    <w:t>2</w:t>
                  </w:r>
                  <w:r>
                    <w:rPr>
                      <w:rFonts w:hint="eastAsia"/>
                      <w:color w:val="auto"/>
                      <w:szCs w:val="21"/>
                    </w:rPr>
                    <w:t>）积极配合可研和环评工作所需进行现场调研；</w:t>
                  </w:r>
                </w:p>
                <w:p>
                  <w:pPr>
                    <w:keepNext w:val="0"/>
                    <w:keepLines w:val="0"/>
                    <w:pageBreakBefore w:val="0"/>
                    <w:kinsoku/>
                    <w:wordWrap/>
                    <w:topLinePunct w:val="0"/>
                    <w:bidi w:val="0"/>
                    <w:spacing w:line="240" w:lineRule="auto"/>
                    <w:jc w:val="left"/>
                    <w:textAlignment w:val="baseline"/>
                    <w:rPr>
                      <w:color w:val="auto"/>
                      <w:szCs w:val="21"/>
                    </w:rPr>
                  </w:pPr>
                  <w:r>
                    <w:rPr>
                      <w:rFonts w:hint="eastAsia"/>
                      <w:color w:val="auto"/>
                      <w:szCs w:val="21"/>
                    </w:rPr>
                    <w:t>（</w:t>
                  </w:r>
                  <w:r>
                    <w:rPr>
                      <w:color w:val="auto"/>
                      <w:szCs w:val="21"/>
                    </w:rPr>
                    <w:t>3</w:t>
                  </w:r>
                  <w:r>
                    <w:rPr>
                      <w:rFonts w:hint="eastAsia"/>
                      <w:color w:val="auto"/>
                      <w:szCs w:val="21"/>
                    </w:rPr>
                    <w:t>）针对项目具体情况，制定本企业所必需的环境管理与监测制度；</w:t>
                  </w:r>
                </w:p>
                <w:p>
                  <w:pPr>
                    <w:keepNext w:val="0"/>
                    <w:keepLines w:val="0"/>
                    <w:pageBreakBefore w:val="0"/>
                    <w:kinsoku/>
                    <w:wordWrap/>
                    <w:topLinePunct w:val="0"/>
                    <w:bidi w:val="0"/>
                    <w:spacing w:line="240" w:lineRule="auto"/>
                    <w:jc w:val="left"/>
                    <w:textAlignment w:val="baseline"/>
                    <w:rPr>
                      <w:color w:val="auto"/>
                      <w:szCs w:val="21"/>
                    </w:rPr>
                  </w:pPr>
                  <w:r>
                    <w:rPr>
                      <w:rFonts w:hint="eastAsia"/>
                      <w:color w:val="auto"/>
                      <w:szCs w:val="21"/>
                    </w:rPr>
                    <w:t>（</w:t>
                  </w:r>
                  <w:r>
                    <w:rPr>
                      <w:color w:val="auto"/>
                      <w:szCs w:val="21"/>
                    </w:rPr>
                    <w:t>4</w:t>
                  </w:r>
                  <w:r>
                    <w:rPr>
                      <w:rFonts w:hint="eastAsia"/>
                      <w:color w:val="auto"/>
                      <w:szCs w:val="21"/>
                    </w:rPr>
                    <w:t>）对所聘生产方面的员工进行岗位培训。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6" w:type="pct"/>
                  <w:tcBorders>
                    <w:tl2br w:val="nil"/>
                    <w:tr2bl w:val="nil"/>
                  </w:tcBorders>
                  <w:noWrap w:val="0"/>
                  <w:vAlign w:val="center"/>
                </w:tcPr>
                <w:p>
                  <w:pPr>
                    <w:keepNext w:val="0"/>
                    <w:keepLines w:val="0"/>
                    <w:pageBreakBefore w:val="0"/>
                    <w:kinsoku/>
                    <w:wordWrap/>
                    <w:topLinePunct w:val="0"/>
                    <w:bidi w:val="0"/>
                    <w:spacing w:line="240" w:lineRule="auto"/>
                    <w:jc w:val="center"/>
                    <w:textAlignment w:val="baseline"/>
                    <w:rPr>
                      <w:color w:val="auto"/>
                      <w:szCs w:val="21"/>
                    </w:rPr>
                  </w:pPr>
                  <w:r>
                    <w:rPr>
                      <w:rFonts w:hint="eastAsia"/>
                      <w:color w:val="auto"/>
                      <w:szCs w:val="21"/>
                    </w:rPr>
                    <w:t>施工阶段</w:t>
                  </w:r>
                </w:p>
              </w:tc>
              <w:tc>
                <w:tcPr>
                  <w:tcW w:w="4233" w:type="pct"/>
                  <w:tcBorders>
                    <w:tl2br w:val="nil"/>
                    <w:tr2bl w:val="nil"/>
                  </w:tcBorders>
                  <w:noWrap w:val="0"/>
                  <w:vAlign w:val="center"/>
                </w:tcPr>
                <w:p>
                  <w:pPr>
                    <w:keepNext w:val="0"/>
                    <w:keepLines w:val="0"/>
                    <w:pageBreakBefore w:val="0"/>
                    <w:kinsoku/>
                    <w:wordWrap/>
                    <w:topLinePunct w:val="0"/>
                    <w:bidi w:val="0"/>
                    <w:spacing w:line="240" w:lineRule="auto"/>
                    <w:jc w:val="left"/>
                    <w:textAlignment w:val="baseline"/>
                    <w:rPr>
                      <w:color w:val="auto"/>
                    </w:rPr>
                  </w:pPr>
                  <w:r>
                    <w:rPr>
                      <w:rFonts w:hint="eastAsia"/>
                      <w:color w:val="auto"/>
                    </w:rPr>
                    <w:t>（</w:t>
                  </w:r>
                  <w:r>
                    <w:rPr>
                      <w:rFonts w:hint="eastAsia" w:ascii="Times New Roman" w:hAnsi="Times New Roman" w:eastAsia="宋体" w:cs="Times New Roman"/>
                      <w:color w:val="auto"/>
                    </w:rPr>
                    <w:t>1）严格执行各项生产及环境管理制度；</w:t>
                  </w:r>
                </w:p>
                <w:p>
                  <w:pPr>
                    <w:keepNext w:val="0"/>
                    <w:keepLines w:val="0"/>
                    <w:pageBreakBefore w:val="0"/>
                    <w:kinsoku/>
                    <w:wordWrap/>
                    <w:topLinePunct w:val="0"/>
                    <w:bidi w:val="0"/>
                    <w:spacing w:line="240" w:lineRule="auto"/>
                    <w:jc w:val="left"/>
                    <w:textAlignment w:val="baseline"/>
                    <w:rPr>
                      <w:color w:val="auto"/>
                    </w:rPr>
                  </w:pPr>
                  <w:r>
                    <w:rPr>
                      <w:rFonts w:hint="eastAsia"/>
                      <w:color w:val="auto"/>
                    </w:rPr>
                    <w:t>（</w:t>
                  </w:r>
                  <w:r>
                    <w:rPr>
                      <w:color w:val="auto"/>
                    </w:rPr>
                    <w:t>2</w:t>
                  </w:r>
                  <w:r>
                    <w:rPr>
                      <w:rFonts w:hint="eastAsia"/>
                      <w:color w:val="auto"/>
                    </w:rPr>
                    <w:t>）按照环评报告书中提出的要求，制定出建设项目施工措施实施计划表，并与当地环保部门签订落实计划内的目标责任书；</w:t>
                  </w:r>
                </w:p>
                <w:p>
                  <w:pPr>
                    <w:keepNext w:val="0"/>
                    <w:keepLines w:val="0"/>
                    <w:pageBreakBefore w:val="0"/>
                    <w:kinsoku/>
                    <w:wordWrap/>
                    <w:topLinePunct w:val="0"/>
                    <w:bidi w:val="0"/>
                    <w:spacing w:line="240" w:lineRule="auto"/>
                    <w:jc w:val="left"/>
                    <w:textAlignment w:val="baseline"/>
                    <w:rPr>
                      <w:color w:val="auto"/>
                    </w:rPr>
                  </w:pPr>
                  <w:r>
                    <w:rPr>
                      <w:rFonts w:hint="eastAsia"/>
                      <w:color w:val="auto"/>
                    </w:rPr>
                    <w:t>（</w:t>
                  </w:r>
                  <w:r>
                    <w:rPr>
                      <w:color w:val="auto"/>
                    </w:rPr>
                    <w:t>3</w:t>
                  </w:r>
                  <w:r>
                    <w:rPr>
                      <w:rFonts w:hint="eastAsia"/>
                      <w:color w:val="auto"/>
                    </w:rPr>
                    <w:t>）施工噪声与振动要符合有关噪声污染防治规定，不得干扰周围群众的正常生活和工作；</w:t>
                  </w:r>
                </w:p>
                <w:p>
                  <w:pPr>
                    <w:keepNext w:val="0"/>
                    <w:keepLines w:val="0"/>
                    <w:pageBreakBefore w:val="0"/>
                    <w:kinsoku/>
                    <w:wordWrap/>
                    <w:topLinePunct w:val="0"/>
                    <w:bidi w:val="0"/>
                    <w:spacing w:line="240" w:lineRule="auto"/>
                    <w:jc w:val="left"/>
                    <w:textAlignment w:val="baseline"/>
                    <w:rPr>
                      <w:rFonts w:hint="eastAsia" w:ascii="Times New Roman" w:hAnsi="Times New Roman" w:eastAsia="宋体" w:cs="Times New Roman"/>
                      <w:color w:val="auto"/>
                    </w:rPr>
                  </w:pPr>
                  <w:r>
                    <w:rPr>
                      <w:rFonts w:hint="eastAsia"/>
                      <w:color w:val="auto"/>
                    </w:rPr>
                    <w:t>（</w:t>
                  </w:r>
                  <w:r>
                    <w:rPr>
                      <w:color w:val="auto"/>
                    </w:rPr>
                    <w:t>4</w:t>
                  </w:r>
                  <w:r>
                    <w:rPr>
                      <w:rFonts w:hint="eastAsia"/>
                      <w:color w:val="auto"/>
                    </w:rPr>
                    <w:t>）建设项目竣工后，应督促施工单位及时恢复建设过程中受到破坏的环境</w:t>
                  </w:r>
                  <w:r>
                    <w:rPr>
                      <w:rFonts w:hint="eastAsia" w:ascii="Times New Roman" w:hAnsi="Times New Roman" w:eastAsia="宋体" w:cs="Times New Roman"/>
                      <w:color w:val="auto"/>
                    </w:rPr>
                    <w:t>。</w:t>
                  </w:r>
                </w:p>
                <w:p>
                  <w:pPr>
                    <w:keepNext w:val="0"/>
                    <w:keepLines w:val="0"/>
                    <w:pageBreakBefore w:val="0"/>
                    <w:kinsoku/>
                    <w:wordWrap/>
                    <w:topLinePunct w:val="0"/>
                    <w:bidi w:val="0"/>
                    <w:spacing w:line="240" w:lineRule="auto"/>
                    <w:jc w:val="left"/>
                    <w:textAlignment w:val="baseline"/>
                    <w:rPr>
                      <w:color w:val="auto"/>
                    </w:rPr>
                  </w:pPr>
                  <w:r>
                    <w:rPr>
                      <w:rFonts w:hint="eastAsia" w:ascii="Times New Roman" w:hAnsi="Times New Roman" w:eastAsia="宋体" w:cs="Times New Roman"/>
                      <w:color w:val="auto"/>
                    </w:rPr>
                    <w:t>（5）重视群众监督作用，提高企业职工环保意识，鼓励职工及外部人员对生产状况提出意见，并通过积极吸收宝贵意见，提高企业环境管理水平；（6）积极配合环保部门的检查、验收。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6" w:type="pct"/>
                  <w:tcBorders>
                    <w:tl2br w:val="nil"/>
                    <w:tr2bl w:val="nil"/>
                  </w:tcBorders>
                  <w:noWrap w:val="0"/>
                  <w:vAlign w:val="center"/>
                </w:tcPr>
                <w:p>
                  <w:pPr>
                    <w:keepNext w:val="0"/>
                    <w:keepLines w:val="0"/>
                    <w:pageBreakBefore w:val="0"/>
                    <w:kinsoku/>
                    <w:wordWrap/>
                    <w:topLinePunct w:val="0"/>
                    <w:bidi w:val="0"/>
                    <w:spacing w:line="240" w:lineRule="auto"/>
                    <w:jc w:val="center"/>
                    <w:textAlignment w:val="baseline"/>
                    <w:rPr>
                      <w:color w:val="auto"/>
                      <w:szCs w:val="21"/>
                    </w:rPr>
                  </w:pPr>
                  <w:r>
                    <w:rPr>
                      <w:rFonts w:hint="eastAsia"/>
                      <w:color w:val="auto"/>
                      <w:szCs w:val="21"/>
                    </w:rPr>
                    <w:t>生产运</w:t>
                  </w:r>
                </w:p>
                <w:p>
                  <w:pPr>
                    <w:keepNext w:val="0"/>
                    <w:keepLines w:val="0"/>
                    <w:pageBreakBefore w:val="0"/>
                    <w:kinsoku/>
                    <w:wordWrap/>
                    <w:topLinePunct w:val="0"/>
                    <w:bidi w:val="0"/>
                    <w:spacing w:line="240" w:lineRule="auto"/>
                    <w:jc w:val="center"/>
                    <w:textAlignment w:val="baseline"/>
                    <w:rPr>
                      <w:color w:val="auto"/>
                      <w:szCs w:val="21"/>
                    </w:rPr>
                  </w:pPr>
                  <w:r>
                    <w:rPr>
                      <w:rFonts w:hint="eastAsia"/>
                      <w:color w:val="auto"/>
                      <w:szCs w:val="21"/>
                    </w:rPr>
                    <w:t>行阶段</w:t>
                  </w:r>
                </w:p>
              </w:tc>
              <w:tc>
                <w:tcPr>
                  <w:tcW w:w="4233" w:type="pct"/>
                  <w:tcBorders>
                    <w:tl2br w:val="nil"/>
                    <w:tr2bl w:val="nil"/>
                  </w:tcBorders>
                  <w:noWrap w:val="0"/>
                  <w:vAlign w:val="center"/>
                </w:tcPr>
                <w:p>
                  <w:pPr>
                    <w:keepNext w:val="0"/>
                    <w:keepLines w:val="0"/>
                    <w:pageBreakBefore w:val="0"/>
                    <w:kinsoku/>
                    <w:wordWrap/>
                    <w:topLinePunct w:val="0"/>
                    <w:bidi w:val="0"/>
                    <w:spacing w:line="240" w:lineRule="auto"/>
                    <w:jc w:val="center"/>
                    <w:textAlignment w:val="baseline"/>
                    <w:rPr>
                      <w:rFonts w:hint="default" w:eastAsia="宋体"/>
                      <w:color w:val="auto"/>
                      <w:szCs w:val="21"/>
                      <w:lang w:val="en-US" w:eastAsia="zh-CN"/>
                    </w:rPr>
                  </w:pPr>
                  <w:r>
                    <w:rPr>
                      <w:rFonts w:hint="eastAsia"/>
                      <w:color w:val="auto"/>
                      <w:szCs w:val="21"/>
                      <w:lang w:val="en-US" w:eastAsia="zh-CN"/>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6" w:type="pct"/>
                  <w:tcBorders>
                    <w:tl2br w:val="nil"/>
                    <w:tr2bl w:val="nil"/>
                  </w:tcBorders>
                  <w:noWrap w:val="0"/>
                  <w:vAlign w:val="center"/>
                </w:tcPr>
                <w:p>
                  <w:pPr>
                    <w:keepNext w:val="0"/>
                    <w:keepLines w:val="0"/>
                    <w:pageBreakBefore w:val="0"/>
                    <w:kinsoku/>
                    <w:wordWrap/>
                    <w:topLinePunct w:val="0"/>
                    <w:bidi w:val="0"/>
                    <w:spacing w:line="240" w:lineRule="auto"/>
                    <w:jc w:val="center"/>
                    <w:textAlignment w:val="baseline"/>
                    <w:rPr>
                      <w:color w:val="auto"/>
                      <w:szCs w:val="21"/>
                    </w:rPr>
                  </w:pPr>
                  <w:r>
                    <w:rPr>
                      <w:rFonts w:hint="eastAsia"/>
                      <w:color w:val="auto"/>
                      <w:szCs w:val="21"/>
                    </w:rPr>
                    <w:t>矿区封场</w:t>
                  </w:r>
                </w:p>
              </w:tc>
              <w:tc>
                <w:tcPr>
                  <w:tcW w:w="4233" w:type="pct"/>
                  <w:tcBorders>
                    <w:tl2br w:val="nil"/>
                    <w:tr2bl w:val="nil"/>
                  </w:tcBorders>
                  <w:noWrap w:val="0"/>
                  <w:vAlign w:val="center"/>
                </w:tcPr>
                <w:p>
                  <w:pPr>
                    <w:keepNext w:val="0"/>
                    <w:keepLines w:val="0"/>
                    <w:pageBreakBefore w:val="0"/>
                    <w:kinsoku/>
                    <w:wordWrap/>
                    <w:topLinePunct w:val="0"/>
                    <w:bidi w:val="0"/>
                    <w:spacing w:line="240" w:lineRule="auto"/>
                    <w:jc w:val="left"/>
                    <w:textAlignment w:val="baseline"/>
                    <w:rPr>
                      <w:color w:val="auto"/>
                      <w:szCs w:val="21"/>
                    </w:rPr>
                  </w:pPr>
                  <w:r>
                    <w:rPr>
                      <w:rFonts w:hint="eastAsia"/>
                      <w:color w:val="auto"/>
                      <w:szCs w:val="21"/>
                    </w:rPr>
                    <w:t>（</w:t>
                  </w:r>
                  <w:r>
                    <w:rPr>
                      <w:color w:val="auto"/>
                      <w:szCs w:val="21"/>
                    </w:rPr>
                    <w:t>1</w:t>
                  </w:r>
                  <w:r>
                    <w:rPr>
                      <w:rFonts w:hint="eastAsia"/>
                      <w:color w:val="auto"/>
                      <w:szCs w:val="21"/>
                    </w:rPr>
                    <w:t>）</w:t>
                  </w:r>
                  <w:r>
                    <w:rPr>
                      <w:rFonts w:hint="eastAsia"/>
                      <w:color w:val="auto"/>
                      <w:szCs w:val="21"/>
                      <w:lang w:eastAsia="zh-CN"/>
                    </w:rPr>
                    <w:t>勘探工作完成后</w:t>
                  </w:r>
                  <w:r>
                    <w:rPr>
                      <w:rFonts w:hint="eastAsia"/>
                      <w:color w:val="auto"/>
                      <w:szCs w:val="21"/>
                    </w:rPr>
                    <w:t>，应</w:t>
                  </w:r>
                  <w:r>
                    <w:rPr>
                      <w:rFonts w:hint="eastAsia"/>
                      <w:color w:val="auto"/>
                      <w:szCs w:val="21"/>
                      <w:lang w:eastAsia="zh-CN"/>
                    </w:rPr>
                    <w:t>及时回填并恢复原有地貌</w:t>
                  </w:r>
                  <w:r>
                    <w:rPr>
                      <w:rFonts w:hint="eastAsia"/>
                      <w:color w:val="auto"/>
                      <w:szCs w:val="21"/>
                    </w:rPr>
                    <w:t>及时进行生态恢复。</w:t>
                  </w:r>
                </w:p>
                <w:p>
                  <w:pPr>
                    <w:keepNext w:val="0"/>
                    <w:keepLines w:val="0"/>
                    <w:pageBreakBefore w:val="0"/>
                    <w:kinsoku/>
                    <w:wordWrap/>
                    <w:topLinePunct w:val="0"/>
                    <w:bidi w:val="0"/>
                    <w:spacing w:line="240" w:lineRule="auto"/>
                    <w:jc w:val="left"/>
                    <w:textAlignment w:val="baseline"/>
                    <w:rPr>
                      <w:color w:val="auto"/>
                      <w:szCs w:val="21"/>
                    </w:rPr>
                  </w:pPr>
                  <w:r>
                    <w:rPr>
                      <w:rFonts w:hint="eastAsia"/>
                      <w:color w:val="auto"/>
                      <w:szCs w:val="21"/>
                    </w:rPr>
                    <w:t>（</w:t>
                  </w:r>
                  <w:r>
                    <w:rPr>
                      <w:color w:val="auto"/>
                      <w:szCs w:val="21"/>
                    </w:rPr>
                    <w:t>2</w:t>
                  </w:r>
                  <w:r>
                    <w:rPr>
                      <w:rFonts w:hint="eastAsia"/>
                      <w:color w:val="auto"/>
                      <w:szCs w:val="21"/>
                    </w:rPr>
                    <w:t>）落实专项资金、加强监督管理</w:t>
                  </w:r>
                </w:p>
                <w:p>
                  <w:pPr>
                    <w:keepNext w:val="0"/>
                    <w:keepLines w:val="0"/>
                    <w:pageBreakBefore w:val="0"/>
                    <w:kinsoku/>
                    <w:wordWrap/>
                    <w:topLinePunct w:val="0"/>
                    <w:bidi w:val="0"/>
                    <w:spacing w:line="240" w:lineRule="auto"/>
                    <w:jc w:val="left"/>
                    <w:textAlignment w:val="baseline"/>
                    <w:rPr>
                      <w:rFonts w:hint="eastAsia"/>
                      <w:color w:val="auto"/>
                      <w:szCs w:val="21"/>
                    </w:rPr>
                  </w:pPr>
                  <w:r>
                    <w:rPr>
                      <w:rFonts w:hint="eastAsia" w:cs="宋体"/>
                      <w:color w:val="auto"/>
                      <w:szCs w:val="21"/>
                    </w:rPr>
                    <w:t>①</w:t>
                  </w:r>
                  <w:r>
                    <w:rPr>
                      <w:rFonts w:hint="eastAsia"/>
                      <w:color w:val="auto"/>
                      <w:szCs w:val="21"/>
                    </w:rPr>
                    <w:t>认真落实已编制的生态环境恢复治理方案，</w:t>
                  </w:r>
                  <w:r>
                    <w:rPr>
                      <w:rFonts w:hint="eastAsia"/>
                      <w:color w:val="auto"/>
                      <w:szCs w:val="21"/>
                      <w:lang w:eastAsia="zh-CN"/>
                    </w:rPr>
                    <w:t>做好地质普查后</w:t>
                  </w:r>
                  <w:r>
                    <w:rPr>
                      <w:rFonts w:hint="eastAsia"/>
                      <w:color w:val="auto"/>
                      <w:szCs w:val="21"/>
                    </w:rPr>
                    <w:t>环境整治及土地复垦等工作。</w:t>
                  </w:r>
                </w:p>
                <w:p>
                  <w:pPr>
                    <w:keepNext w:val="0"/>
                    <w:keepLines w:val="0"/>
                    <w:pageBreakBefore w:val="0"/>
                    <w:kinsoku/>
                    <w:wordWrap/>
                    <w:topLinePunct w:val="0"/>
                    <w:bidi w:val="0"/>
                    <w:spacing w:line="240" w:lineRule="auto"/>
                    <w:jc w:val="left"/>
                    <w:textAlignment w:val="baseline"/>
                    <w:rPr>
                      <w:color w:val="auto"/>
                      <w:szCs w:val="21"/>
                    </w:rPr>
                  </w:pPr>
                  <w:r>
                    <w:rPr>
                      <w:rFonts w:hint="eastAsia" w:cs="宋体"/>
                      <w:color w:val="auto"/>
                      <w:szCs w:val="21"/>
                    </w:rPr>
                    <w:t>②</w:t>
                  </w:r>
                  <w:r>
                    <w:rPr>
                      <w:rFonts w:hint="eastAsia"/>
                      <w:color w:val="auto"/>
                      <w:szCs w:val="21"/>
                    </w:rPr>
                    <w:t>建立环保设施档案，主动接受环保部门监督，配合环保部门的检查、验收。</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w:t>
            </w:r>
            <w:r>
              <w:rPr>
                <w:rFonts w:hint="eastAsia" w:ascii="Times New Roman" w:hAnsi="Times New Roman" w:eastAsia="宋体" w:cs="Times New Roman"/>
                <w:b w:val="0"/>
                <w:bCs w:val="0"/>
                <w:color w:val="auto"/>
                <w:sz w:val="24"/>
                <w:szCs w:val="24"/>
                <w:lang w:val="en-US" w:eastAsia="zh-CN"/>
              </w:rPr>
              <w:t>排污许可证制度</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根据《固定污染源排污许可分类管理名录》（</w:t>
            </w:r>
            <w:r>
              <w:rPr>
                <w:rFonts w:hint="default" w:ascii="Times New Roman" w:hAnsi="Times New Roman" w:eastAsia="宋体" w:cs="Times New Roman"/>
                <w:color w:val="auto"/>
                <w:kern w:val="0"/>
                <w:sz w:val="24"/>
                <w:szCs w:val="24"/>
                <w:lang w:val="en-US" w:eastAsia="zh-CN"/>
              </w:rPr>
              <w:t>2019</w:t>
            </w:r>
            <w:r>
              <w:rPr>
                <w:rFonts w:hint="eastAsia" w:ascii="Times New Roman" w:hAnsi="Times New Roman" w:eastAsia="宋体" w:cs="Times New Roman"/>
                <w:color w:val="auto"/>
                <w:kern w:val="0"/>
                <w:sz w:val="24"/>
                <w:szCs w:val="24"/>
                <w:lang w:val="en-US" w:eastAsia="zh-CN"/>
              </w:rPr>
              <w:t>年版），本项目为“六、非金属矿采选业”中“</w:t>
            </w:r>
            <w:r>
              <w:rPr>
                <w:rFonts w:hint="default" w:ascii="Times New Roman" w:hAnsi="Times New Roman" w:eastAsia="宋体" w:cs="Times New Roman"/>
                <w:color w:val="auto"/>
                <w:kern w:val="0"/>
                <w:sz w:val="24"/>
                <w:szCs w:val="24"/>
                <w:lang w:val="en-US" w:eastAsia="zh-CN"/>
              </w:rPr>
              <w:t>7.</w:t>
            </w:r>
            <w:r>
              <w:rPr>
                <w:rFonts w:hint="eastAsia" w:ascii="Times New Roman" w:hAnsi="Times New Roman" w:eastAsia="宋体" w:cs="Times New Roman"/>
                <w:color w:val="auto"/>
                <w:kern w:val="0"/>
                <w:sz w:val="24"/>
                <w:szCs w:val="24"/>
                <w:lang w:val="en-US" w:eastAsia="zh-CN"/>
              </w:rPr>
              <w:t>土砂石开采”，由于本项目不涉及“通用工序重点管理的”以及“通用工序简化管理”，因此本项目属于“其他”类别，应实行排污登记管理，生产前应当在全国排污许可证管理信息平台填报排污登记表，登记基本信息，污染物排放去向、执行的污染物排放标准以及采取的污染防治措施等信息。</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3、环保竣工验收</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建设项目环境保护管理条例》《建设项目竣工环境保护验收暂行办法》及《建设项目竣工环境保护验收技术规范生态影响类》的规定，该项目必须进行竣工环境保护验收及时进行竣工环保验收，并进行环境质量及污染物排放情况的验收监测工作，验收监测的主要内容详见下表。</w:t>
            </w:r>
          </w:p>
          <w:p>
            <w:pPr>
              <w:keepLines w:val="0"/>
              <w:pageBreakBefore w:val="0"/>
              <w:kinsoku/>
              <w:topLinePunct w:val="0"/>
              <w:bidi w:val="0"/>
              <w:jc w:val="center"/>
              <w:rPr>
                <w:rFonts w:hint="default" w:ascii="Times New Roman" w:hAnsi="宋体" w:eastAsia="宋体" w:cs="Times New Roman"/>
                <w:b/>
                <w:bCs/>
                <w:color w:val="auto"/>
                <w:sz w:val="22"/>
                <w:szCs w:val="28"/>
                <w:lang w:val="en-US" w:eastAsia="zh-CN"/>
              </w:rPr>
            </w:pPr>
            <w:r>
              <w:rPr>
                <w:rFonts w:hint="default" w:ascii="Times New Roman" w:hAnsi="宋体" w:eastAsia="宋体" w:cs="Times New Roman"/>
                <w:b/>
                <w:bCs/>
                <w:color w:val="auto"/>
                <w:sz w:val="22"/>
                <w:szCs w:val="28"/>
                <w:lang w:val="en-US" w:eastAsia="zh-CN"/>
              </w:rPr>
              <w:t>表5-</w:t>
            </w:r>
            <w:r>
              <w:rPr>
                <w:rFonts w:hint="eastAsia" w:hAnsi="宋体" w:cs="Times New Roman"/>
                <w:b/>
                <w:bCs/>
                <w:color w:val="auto"/>
                <w:sz w:val="22"/>
                <w:szCs w:val="28"/>
                <w:lang w:val="en-US" w:eastAsia="zh-CN"/>
              </w:rPr>
              <w:t>2</w:t>
            </w:r>
            <w:r>
              <w:rPr>
                <w:rFonts w:hint="eastAsia" w:ascii="Times New Roman" w:hAnsi="宋体" w:eastAsia="宋体" w:cs="Times New Roman"/>
                <w:b/>
                <w:bCs/>
                <w:color w:val="auto"/>
                <w:sz w:val="22"/>
                <w:szCs w:val="28"/>
                <w:lang w:val="en-US" w:eastAsia="zh-CN"/>
              </w:rPr>
              <w:t xml:space="preserve">  </w:t>
            </w:r>
            <w:r>
              <w:rPr>
                <w:rFonts w:hint="default" w:ascii="Times New Roman" w:hAnsi="宋体" w:eastAsia="宋体" w:cs="Times New Roman"/>
                <w:b/>
                <w:bCs/>
                <w:color w:val="auto"/>
                <w:sz w:val="22"/>
                <w:szCs w:val="28"/>
                <w:lang w:val="en-US" w:eastAsia="zh-CN"/>
              </w:rPr>
              <w:t>环保验</w:t>
            </w:r>
            <w:r>
              <w:rPr>
                <w:rFonts w:hint="eastAsia" w:ascii="Times New Roman" w:hAnsi="宋体" w:eastAsia="宋体" w:cs="Times New Roman"/>
                <w:b/>
                <w:bCs/>
                <w:color w:val="auto"/>
                <w:sz w:val="22"/>
                <w:szCs w:val="28"/>
                <w:lang w:val="en-US" w:eastAsia="zh-CN"/>
              </w:rPr>
              <w:t>收“三同时”计</w:t>
            </w:r>
            <w:r>
              <w:rPr>
                <w:rFonts w:hint="default" w:ascii="Times New Roman" w:hAnsi="宋体" w:eastAsia="宋体" w:cs="Times New Roman"/>
                <w:b/>
                <w:bCs/>
                <w:color w:val="auto"/>
                <w:sz w:val="22"/>
                <w:szCs w:val="28"/>
                <w:lang w:val="en-US" w:eastAsia="zh-CN"/>
              </w:rPr>
              <w:t>划一览表</w:t>
            </w:r>
          </w:p>
          <w:tbl>
            <w:tblPr>
              <w:tblStyle w:val="2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950"/>
              <w:gridCol w:w="3668"/>
              <w:gridCol w:w="33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污染类别</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污染物</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环保措施</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验收标准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3" w:hRule="atLeast"/>
                <w:jc w:val="center"/>
              </w:trPr>
              <w:tc>
                <w:tcPr>
                  <w:tcW w:w="0" w:type="auto"/>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废气</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颗粒物</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开采</w:t>
                  </w:r>
                  <w:r>
                    <w:rPr>
                      <w:rFonts w:hint="eastAsia"/>
                      <w:color w:val="auto"/>
                      <w:sz w:val="21"/>
                      <w:szCs w:val="21"/>
                      <w:vertAlign w:val="baseline"/>
                    </w:rPr>
                    <w:t>粉尘采用洒水降尘，增加</w:t>
                  </w:r>
                  <w:r>
                    <w:rPr>
                      <w:rFonts w:hint="eastAsia"/>
                      <w:color w:val="auto"/>
                      <w:sz w:val="21"/>
                      <w:szCs w:val="21"/>
                      <w:vertAlign w:val="baseline"/>
                      <w:lang w:val="en-US" w:eastAsia="zh-CN"/>
                    </w:rPr>
                    <w:t>矿</w:t>
                  </w:r>
                  <w:r>
                    <w:rPr>
                      <w:rFonts w:hint="eastAsia"/>
                      <w:color w:val="auto"/>
                      <w:sz w:val="21"/>
                      <w:szCs w:val="21"/>
                      <w:vertAlign w:val="baseline"/>
                    </w:rPr>
                    <w:t>石含水率；运输扬尘采取洒水车路面洒水抑尘、控制车速治理；堆场扬尘采取洒水抑尘，篷布遮盖治理</w:t>
                  </w:r>
                  <w:r>
                    <w:rPr>
                      <w:rFonts w:hint="eastAsia"/>
                      <w:color w:val="auto"/>
                      <w:sz w:val="21"/>
                      <w:szCs w:val="21"/>
                      <w:vertAlign w:val="baseline"/>
                      <w:lang w:eastAsia="zh-CN"/>
                    </w:rPr>
                    <w:t>。</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olor w:val="auto"/>
                      <w:sz w:val="21"/>
                      <w:szCs w:val="21"/>
                      <w:vertAlign w:val="baseline"/>
                      <w:lang w:val="en-US" w:eastAsia="zh-CN"/>
                    </w:rPr>
                  </w:pPr>
                  <w:r>
                    <w:rPr>
                      <w:rFonts w:hint="eastAsia"/>
                      <w:color w:val="auto"/>
                      <w:sz w:val="21"/>
                      <w:szCs w:val="21"/>
                      <w:vertAlign w:val="baseline"/>
                    </w:rPr>
                    <w:t>《大气污染物综合排放标准》（GB16297-1996）中</w:t>
                  </w:r>
                  <w:r>
                    <w:rPr>
                      <w:rFonts w:hint="eastAsia"/>
                      <w:color w:val="auto"/>
                      <w:sz w:val="21"/>
                      <w:szCs w:val="21"/>
                      <w:vertAlign w:val="baseline"/>
                      <w:lang w:val="en-US" w:eastAsia="zh-CN"/>
                    </w:rPr>
                    <w:t>有关标准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111" w:hRule="atLeast"/>
                <w:jc w:val="center"/>
              </w:trPr>
              <w:tc>
                <w:tcPr>
                  <w:tcW w:w="0" w:type="auto"/>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油烟</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eastAsia="宋体"/>
                      <w:color w:val="auto"/>
                      <w:sz w:val="21"/>
                      <w:szCs w:val="21"/>
                      <w:vertAlign w:val="baseline"/>
                      <w:lang w:eastAsia="zh-CN"/>
                    </w:rPr>
                  </w:pPr>
                  <w:r>
                    <w:rPr>
                      <w:rFonts w:hint="eastAsia"/>
                      <w:color w:val="auto"/>
                      <w:sz w:val="21"/>
                      <w:szCs w:val="21"/>
                      <w:vertAlign w:val="baseline"/>
                    </w:rPr>
                    <w:t>食堂油烟经油烟净化器处理后屋顶排放</w:t>
                  </w:r>
                  <w:r>
                    <w:rPr>
                      <w:rFonts w:hint="eastAsia"/>
                      <w:color w:val="auto"/>
                      <w:sz w:val="21"/>
                      <w:szCs w:val="21"/>
                      <w:vertAlign w:val="baseline"/>
                      <w:lang w:eastAsia="zh-CN"/>
                    </w:rPr>
                    <w:t>。</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vertAlign w:val="baseline"/>
                    </w:rPr>
                  </w:pPr>
                  <w:r>
                    <w:rPr>
                      <w:rFonts w:hint="eastAsia"/>
                      <w:color w:val="auto"/>
                      <w:sz w:val="21"/>
                      <w:szCs w:val="21"/>
                      <w:vertAlign w:val="baseline"/>
                    </w:rPr>
                    <w:t>《饮食业油烟排放标准（试行）》（GB18483-2001）中相关标准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0" w:type="auto"/>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废水</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生活污水</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地埋式污水处理设施</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《农村生活污水处理排放标准》(DB 654275-2019)C级标准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0" w:type="auto"/>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color w:val="auto"/>
                    </w:rPr>
                  </w:pP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生产废水</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工采矿过程废水自然蒸干。</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噪声</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设备噪声</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生产车间废水经沉淀池处理后回用，不外排，合理布局、隔声、减振等。</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vertAlign w:val="baseline"/>
                    </w:rPr>
                  </w:pPr>
                  <w:r>
                    <w:rPr>
                      <w:rFonts w:hint="eastAsia"/>
                      <w:color w:val="auto"/>
                      <w:sz w:val="21"/>
                      <w:szCs w:val="21"/>
                      <w:vertAlign w:val="baseline"/>
                    </w:rPr>
                    <w:t>《工业企业厂界环境噪声排放标准》（GB12348-2008）中</w:t>
                  </w:r>
                  <w:r>
                    <w:rPr>
                      <w:rFonts w:hint="eastAsia"/>
                      <w:color w:val="auto"/>
                      <w:sz w:val="21"/>
                      <w:szCs w:val="21"/>
                      <w:vertAlign w:val="baseline"/>
                      <w:lang w:val="en-US" w:eastAsia="zh-CN"/>
                    </w:rPr>
                    <w:t>2</w:t>
                  </w:r>
                  <w:r>
                    <w:rPr>
                      <w:rFonts w:hint="eastAsia"/>
                      <w:color w:val="auto"/>
                      <w:sz w:val="21"/>
                      <w:szCs w:val="21"/>
                      <w:vertAlign w:val="baseline"/>
                    </w:rPr>
                    <w:t>类标准限值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0" w:type="auto"/>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固体废物</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生活垃圾</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生活垃</w:t>
                  </w:r>
                  <w:r>
                    <w:rPr>
                      <w:rFonts w:hint="eastAsia" w:ascii="Times New Roman" w:hAnsi="Times New Roman" w:eastAsia="宋体" w:cs="Times New Roman"/>
                      <w:color w:val="auto"/>
                      <w:sz w:val="21"/>
                      <w:szCs w:val="21"/>
                      <w:vertAlign w:val="baseline"/>
                      <w:lang w:val="en-US" w:eastAsia="zh-CN"/>
                    </w:rPr>
                    <w:t>圾收集后送</w:t>
                  </w:r>
                  <w:r>
                    <w:rPr>
                      <w:rFonts w:hint="default" w:ascii="Times New Roman" w:hAnsi="Times New Roman" w:eastAsia="宋体" w:cs="Times New Roman"/>
                      <w:color w:val="auto"/>
                      <w:sz w:val="21"/>
                      <w:szCs w:val="21"/>
                      <w:vertAlign w:val="baseline"/>
                      <w:lang w:val="en-US" w:eastAsia="zh-CN"/>
                    </w:rPr>
                    <w:t>运至和硕县垃圾填埋场处理</w:t>
                  </w:r>
                  <w:r>
                    <w:rPr>
                      <w:rFonts w:hint="eastAsia" w:ascii="Times New Roman" w:hAnsi="Times New Roman" w:eastAsia="宋体" w:cs="Times New Roman"/>
                      <w:color w:val="auto"/>
                      <w:sz w:val="21"/>
                      <w:szCs w:val="21"/>
                      <w:vertAlign w:val="baseline"/>
                      <w:lang w:val="en-US" w:eastAsia="zh-CN"/>
                    </w:rPr>
                    <w:t>。</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59" w:hRule="atLeast"/>
                <w:jc w:val="center"/>
              </w:trPr>
              <w:tc>
                <w:tcPr>
                  <w:tcW w:w="0" w:type="auto"/>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0" w:type="auto"/>
                  <w:tcBorders>
                    <w:tl2br w:val="nil"/>
                    <w:tr2bl w:val="nil"/>
                  </w:tcBorders>
                  <w:shd w:val="clear" w:color="auto" w:fill="auto"/>
                  <w:vAlign w:val="center"/>
                </w:tcPr>
                <w:p>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废石、泥渣</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highlight w:val="none"/>
                      <w:lang w:val="en-US" w:eastAsia="zh-CN"/>
                    </w:rPr>
                    <w:t>暂时堆放在排土场，边开采边回填，矿山开采结束后全部回填于采坑，平整场地</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eastAsia="宋体"/>
                      <w:color w:val="auto"/>
                      <w:sz w:val="21"/>
                      <w:szCs w:val="21"/>
                      <w:vertAlign w:val="baseline"/>
                      <w:lang w:val="en-US" w:eastAsia="zh-CN"/>
                    </w:rPr>
                  </w:pPr>
                  <w:r>
                    <w:rPr>
                      <w:rFonts w:hint="eastAsia"/>
                      <w:color w:val="auto"/>
                      <w:sz w:val="21"/>
                      <w:szCs w:val="21"/>
                    </w:rPr>
                    <w:t>《一般工业固体废物贮存和填埋污染控制标准》</w:t>
                  </w:r>
                  <w:r>
                    <w:rPr>
                      <w:rFonts w:hint="eastAsia"/>
                      <w:color w:val="auto"/>
                      <w:sz w:val="21"/>
                      <w:szCs w:val="21"/>
                      <w:lang w:eastAsia="zh-CN"/>
                    </w:rPr>
                    <w:t>（</w:t>
                  </w:r>
                  <w:r>
                    <w:rPr>
                      <w:rFonts w:hint="eastAsia"/>
                      <w:color w:val="auto"/>
                      <w:sz w:val="21"/>
                      <w:szCs w:val="21"/>
                    </w:rPr>
                    <w:t>GB18599-2020</w:t>
                  </w:r>
                  <w:r>
                    <w:rPr>
                      <w:rFonts w:hint="eastAsia"/>
                      <w:color w:val="auto"/>
                      <w:sz w:val="21"/>
                      <w:szCs w:val="21"/>
                      <w:lang w:eastAsia="zh-CN"/>
                    </w:rPr>
                    <w:t>）</w:t>
                  </w:r>
                  <w:r>
                    <w:rPr>
                      <w:rFonts w:hint="eastAsia"/>
                      <w:color w:val="auto"/>
                      <w:sz w:val="21"/>
                      <w:szCs w:val="21"/>
                    </w:rPr>
                    <w:t>中相关要求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0" w:type="auto"/>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废机油</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highlight w:val="none"/>
                      <w:lang w:val="en-US" w:eastAsia="zh-CN"/>
                    </w:rPr>
                    <w:t>暂存于危废暂存间，定期交由具有相关处理资质的单位处理</w:t>
                  </w:r>
                </w:p>
              </w:tc>
              <w:tc>
                <w:tcPr>
                  <w:tcW w:w="0" w:type="auto"/>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《危险废物贮存污染控制标准》（GB18597-2023）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0" w:type="auto"/>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废含油手套、抹布</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袋装收集后混入生活垃圾中拉运至和硕县垃圾填埋场处理</w:t>
                  </w:r>
                </w:p>
              </w:tc>
              <w:tc>
                <w:tcPr>
                  <w:tcW w:w="0" w:type="auto"/>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0" w:type="auto"/>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生态</w:t>
                  </w:r>
                </w:p>
              </w:tc>
              <w:tc>
                <w:tcPr>
                  <w:tcW w:w="0" w:type="auto"/>
                  <w:gridSpan w:val="2"/>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随着开采的进行，建设单位回填采出的废石，表土覆盖，进行生态恢复。</w:t>
                  </w:r>
                </w:p>
              </w:tc>
              <w:tc>
                <w:tcPr>
                  <w:tcW w:w="0" w:type="auto"/>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0" w:type="auto"/>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0" w:type="auto"/>
                  <w:gridSpan w:val="2"/>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闭矿期建筑物拆除、场地恢复、边坡防治。</w:t>
                  </w:r>
                </w:p>
              </w:tc>
              <w:tc>
                <w:tcPr>
                  <w:tcW w:w="0" w:type="auto"/>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color w:val="auto"/>
                      <w:sz w:val="21"/>
                      <w:szCs w:val="21"/>
                      <w:vertAlign w:val="baseline"/>
                    </w:rPr>
                  </w:pPr>
                </w:p>
              </w:tc>
            </w:tr>
          </w:tbl>
          <w:p>
            <w:pPr>
              <w:pStyle w:val="2"/>
              <w:rPr>
                <w:rFonts w:hint="eastAsia" w:ascii="Times New Roman" w:hAnsi="Times New Roman" w:eastAsia="宋体" w:cs="Times New Roman"/>
                <w:color w:val="auto"/>
                <w:kern w:val="0"/>
                <w:sz w:val="24"/>
                <w:szCs w:val="24"/>
                <w:lang w:val="en-US" w:eastAsia="zh-CN"/>
              </w:rPr>
            </w:pPr>
          </w:p>
          <w:p>
            <w:pPr>
              <w:pStyle w:val="3"/>
              <w:rPr>
                <w:rFonts w:hint="eastAsia" w:ascii="Times New Roman" w:hAnsi="Times New Roman" w:eastAsia="宋体" w:cs="Times New Roman"/>
                <w:color w:val="auto"/>
                <w:kern w:val="0"/>
                <w:sz w:val="24"/>
                <w:szCs w:val="24"/>
                <w:lang w:val="en-US" w:eastAsia="zh-CN"/>
              </w:rPr>
            </w:pPr>
          </w:p>
          <w:p>
            <w:pPr>
              <w:rPr>
                <w:rFonts w:hint="eastAsia"/>
                <w:color w:val="auto"/>
                <w:lang w:val="en-US" w:eastAsia="zh-CN"/>
              </w:rPr>
            </w:pPr>
          </w:p>
          <w:p>
            <w:pPr>
              <w:pStyle w:val="2"/>
              <w:rPr>
                <w:rFonts w:hint="eastAsia"/>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35" w:hRule="atLeast"/>
          <w:jc w:val="center"/>
        </w:trPr>
        <w:tc>
          <w:tcPr>
            <w:tcW w:w="684" w:type="dxa"/>
            <w:noWrap w:val="0"/>
            <w:vAlign w:val="center"/>
          </w:tcPr>
          <w:p>
            <w:pPr>
              <w:keepNext w:val="0"/>
              <w:keepLines w:val="0"/>
              <w:pageBreakBefore w:val="0"/>
              <w:kinsoku/>
              <w:wordWrap/>
              <w:topLinePunct w:val="0"/>
              <w:bidi w:val="0"/>
              <w:adjustRightInd w:val="0"/>
              <w:snapToGrid w:val="0"/>
              <w:jc w:val="center"/>
              <w:rPr>
                <w:rFonts w:ascii="宋体" w:hAnsi="宋体" w:cs="宋体"/>
                <w:bCs/>
                <w:color w:val="auto"/>
                <w:spacing w:val="10"/>
                <w:sz w:val="24"/>
                <w:szCs w:val="24"/>
              </w:rPr>
            </w:pPr>
            <w:r>
              <w:rPr>
                <w:rFonts w:hint="eastAsia" w:ascii="宋体" w:hAnsi="宋体"/>
                <w:bCs/>
                <w:color w:val="auto"/>
                <w:sz w:val="24"/>
                <w:szCs w:val="24"/>
              </w:rPr>
              <w:t>环保投资</w:t>
            </w:r>
          </w:p>
        </w:tc>
        <w:tc>
          <w:tcPr>
            <w:tcW w:w="8718"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520" w:firstLineChars="200"/>
              <w:textAlignment w:val="auto"/>
              <w:rPr>
                <w:rFonts w:hint="default" w:ascii="Times New Roman" w:hAnsi="Times New Roman" w:cs="Times New Roman"/>
                <w:bCs/>
                <w:color w:val="auto"/>
                <w:spacing w:val="10"/>
                <w:sz w:val="24"/>
                <w:highlight w:val="none"/>
              </w:rPr>
            </w:pPr>
            <w:r>
              <w:rPr>
                <w:rFonts w:hint="eastAsia" w:ascii="宋体" w:hAnsi="宋体" w:cs="宋体"/>
                <w:bCs/>
                <w:color w:val="auto"/>
                <w:spacing w:val="10"/>
                <w:sz w:val="24"/>
                <w:highlight w:val="none"/>
              </w:rPr>
              <w:t>项目总</w:t>
            </w:r>
            <w:r>
              <w:rPr>
                <w:rFonts w:hint="default" w:ascii="Times New Roman" w:hAnsi="Times New Roman" w:cs="Times New Roman"/>
                <w:bCs/>
                <w:color w:val="auto"/>
                <w:spacing w:val="10"/>
                <w:sz w:val="24"/>
                <w:highlight w:val="none"/>
              </w:rPr>
              <w:t>投资</w:t>
            </w:r>
            <w:r>
              <w:rPr>
                <w:rFonts w:hint="eastAsia" w:cs="Times New Roman"/>
                <w:color w:val="auto"/>
                <w:sz w:val="24"/>
                <w:szCs w:val="24"/>
                <w:lang w:val="en-US" w:eastAsia="zh-CN"/>
              </w:rPr>
              <w:t>750</w:t>
            </w:r>
            <w:r>
              <w:rPr>
                <w:rFonts w:hint="default" w:ascii="Times New Roman" w:hAnsi="Times New Roman" w:cs="Times New Roman"/>
                <w:bCs/>
                <w:color w:val="auto"/>
                <w:spacing w:val="10"/>
                <w:sz w:val="24"/>
                <w:highlight w:val="none"/>
              </w:rPr>
              <w:t>万元，其中环保投资</w:t>
            </w:r>
            <w:r>
              <w:rPr>
                <w:rFonts w:hint="eastAsia" w:cs="Times New Roman"/>
                <w:bCs/>
                <w:color w:val="auto"/>
                <w:spacing w:val="10"/>
                <w:sz w:val="24"/>
                <w:highlight w:val="none"/>
                <w:lang w:val="en-US" w:eastAsia="zh-CN"/>
              </w:rPr>
              <w:t>59.6</w:t>
            </w:r>
            <w:r>
              <w:rPr>
                <w:rFonts w:hint="default" w:ascii="Times New Roman" w:hAnsi="Times New Roman" w:cs="Times New Roman"/>
                <w:bCs/>
                <w:color w:val="auto"/>
                <w:spacing w:val="10"/>
                <w:sz w:val="24"/>
                <w:highlight w:val="none"/>
              </w:rPr>
              <w:t>万元，占总投资的</w:t>
            </w:r>
            <w:r>
              <w:rPr>
                <w:rFonts w:hint="eastAsia" w:cs="Times New Roman"/>
                <w:bCs/>
                <w:color w:val="auto"/>
                <w:spacing w:val="10"/>
                <w:sz w:val="24"/>
                <w:highlight w:val="none"/>
                <w:lang w:val="en-US" w:eastAsia="zh-CN"/>
              </w:rPr>
              <w:t>7.95</w:t>
            </w:r>
            <w:r>
              <w:rPr>
                <w:rFonts w:hint="default" w:ascii="Times New Roman" w:hAnsi="Times New Roman" w:cs="Times New Roman"/>
                <w:bCs/>
                <w:color w:val="auto"/>
                <w:spacing w:val="10"/>
                <w:sz w:val="24"/>
                <w:highlight w:val="none"/>
              </w:rPr>
              <w:t>％。环保投资情况见下表。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lang w:val="en-US" w:eastAsia="zh-CN"/>
              </w:rPr>
              <w:t>表5-</w:t>
            </w:r>
            <w:r>
              <w:rPr>
                <w:rFonts w:hint="eastAsia" w:cs="Times New Roman"/>
                <w:b/>
                <w:bCs/>
                <w:color w:val="auto"/>
                <w:sz w:val="22"/>
                <w:szCs w:val="22"/>
                <w:lang w:val="en-US" w:eastAsia="zh-CN"/>
              </w:rPr>
              <w:t>3</w:t>
            </w:r>
            <w:r>
              <w:rPr>
                <w:rFonts w:hint="default" w:ascii="Times New Roman" w:hAnsi="Times New Roman" w:eastAsia="宋体" w:cs="Times New Roman"/>
                <w:b/>
                <w:bCs/>
                <w:color w:val="auto"/>
                <w:sz w:val="22"/>
                <w:szCs w:val="22"/>
                <w:lang w:val="en-US" w:eastAsia="zh-CN"/>
              </w:rPr>
              <w:t xml:space="preserve">    本项目环保投资估算表</w:t>
            </w:r>
          </w:p>
          <w:tbl>
            <w:tblPr>
              <w:tblStyle w:val="2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518"/>
              <w:gridCol w:w="884"/>
              <w:gridCol w:w="5214"/>
              <w:gridCol w:w="11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工程阶段</w:t>
                  </w:r>
                </w:p>
              </w:tc>
              <w:tc>
                <w:tcPr>
                  <w:tcW w:w="0" w:type="auto"/>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项目</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环保措施</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default"/>
                      <w:color w:val="auto"/>
                      <w:sz w:val="21"/>
                      <w:szCs w:val="21"/>
                      <w:vertAlign w:val="baseline"/>
                      <w:lang w:val="en-US" w:eastAsia="zh-CN"/>
                    </w:rPr>
                    <w:t>环保投资（万元）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pPr>
                    <w:pStyle w:val="5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Lines="0" w:afterAutospacing="0" w:line="240" w:lineRule="auto"/>
                    <w:ind w:left="0" w:leftChars="0" w:right="0" w:firstLine="0" w:firstLineChars="0"/>
                    <w:jc w:val="center"/>
                    <w:textAlignment w:val="baseline"/>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olor w:val="auto"/>
                      <w:sz w:val="21"/>
                      <w:szCs w:val="21"/>
                      <w:vertAlign w:val="baseline"/>
                      <w:lang w:val="en-US" w:eastAsia="zh-CN"/>
                    </w:rPr>
                    <w:t>施工期</w:t>
                  </w:r>
                </w:p>
              </w:tc>
              <w:tc>
                <w:tcPr>
                  <w:tcW w:w="0" w:type="auto"/>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ascii="Times New Roman" w:hAnsi="Times New Roman"/>
                      <w:color w:val="auto"/>
                      <w:sz w:val="21"/>
                      <w:szCs w:val="21"/>
                      <w:vertAlign w:val="baseline"/>
                      <w:lang w:val="en-US" w:eastAsia="zh-CN"/>
                    </w:rPr>
                    <w:t>废气</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default"/>
                      <w:color w:val="auto"/>
                      <w:sz w:val="21"/>
                      <w:szCs w:val="21"/>
                      <w:vertAlign w:val="baseline"/>
                      <w:lang w:val="en-US" w:eastAsia="zh-CN"/>
                    </w:rPr>
                    <w:t>定期洒水降尘、</w:t>
                  </w:r>
                  <w:r>
                    <w:rPr>
                      <w:rFonts w:hint="eastAsia"/>
                      <w:color w:val="auto"/>
                      <w:sz w:val="21"/>
                      <w:szCs w:val="21"/>
                      <w:vertAlign w:val="baseline"/>
                      <w:lang w:val="en-US" w:eastAsia="zh-CN"/>
                    </w:rPr>
                    <w:t>篷布遮盖</w:t>
                  </w:r>
                  <w:r>
                    <w:rPr>
                      <w:rFonts w:hint="default"/>
                      <w:color w:val="auto"/>
                      <w:sz w:val="21"/>
                      <w:szCs w:val="21"/>
                      <w:vertAlign w:val="baseline"/>
                      <w:lang w:val="en-US" w:eastAsia="zh-CN"/>
                    </w:rPr>
                    <w:t>、围挡</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p>
              </w:tc>
              <w:tc>
                <w:tcPr>
                  <w:tcW w:w="0" w:type="auto"/>
                  <w:gridSpan w:val="2"/>
                  <w:tcBorders>
                    <w:tl2br w:val="nil"/>
                    <w:tr2bl w:val="nil"/>
                  </w:tcBorders>
                  <w:vAlign w:val="center"/>
                </w:tcPr>
                <w:p>
                  <w:pPr>
                    <w:pStyle w:val="5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Lines="0" w:afterAutospacing="0" w:line="240" w:lineRule="auto"/>
                    <w:ind w:left="0" w:leftChars="0" w:right="0" w:firstLine="0" w:firstLineChars="0"/>
                    <w:jc w:val="center"/>
                    <w:textAlignment w:val="baseline"/>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olor w:val="auto"/>
                      <w:sz w:val="21"/>
                      <w:szCs w:val="21"/>
                      <w:vertAlign w:val="baseline"/>
                      <w:lang w:val="en-US" w:eastAsia="zh-CN"/>
                    </w:rPr>
                    <w:t>生活污水</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生活污水经地埋式污水处理设施处理后用于项目区周边荒漠生态恢复的灌溉</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p>
              </w:tc>
              <w:tc>
                <w:tcPr>
                  <w:tcW w:w="0" w:type="auto"/>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ascii="Times New Roman" w:hAnsi="Times New Roman"/>
                      <w:color w:val="auto"/>
                      <w:sz w:val="21"/>
                      <w:szCs w:val="21"/>
                      <w:vertAlign w:val="baseline"/>
                      <w:lang w:val="en-US" w:eastAsia="zh-CN"/>
                    </w:rPr>
                    <w:t>噪声</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default"/>
                      <w:color w:val="auto"/>
                      <w:sz w:val="21"/>
                      <w:szCs w:val="21"/>
                      <w:vertAlign w:val="baseline"/>
                      <w:lang w:val="en-US" w:eastAsia="zh-CN"/>
                    </w:rPr>
                    <w:t>低噪声设备、加强管理</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p>
              </w:tc>
              <w:tc>
                <w:tcPr>
                  <w:tcW w:w="0" w:type="auto"/>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ascii="Times New Roman" w:hAnsi="Times New Roman"/>
                      <w:color w:val="auto"/>
                      <w:sz w:val="21"/>
                      <w:szCs w:val="21"/>
                      <w:vertAlign w:val="baseline"/>
                      <w:lang w:val="en-US" w:eastAsia="zh-CN"/>
                    </w:rPr>
                    <w:t>固废</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default" w:ascii="Times New Roman" w:hAnsi="Times New Roman"/>
                      <w:color w:val="auto"/>
                      <w:sz w:val="21"/>
                      <w:szCs w:val="21"/>
                      <w:vertAlign w:val="baseline"/>
                      <w:lang w:val="en-US" w:eastAsia="zh-CN"/>
                    </w:rPr>
                    <w:t>建筑垃圾拉运至和硕县垃圾填埋场填埋处理；集中收集到指定垃圾箱内，施工期结束后清运至生活垃圾收集点统一处置</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0" w:type="auto"/>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运营期</w:t>
                  </w:r>
                </w:p>
              </w:tc>
              <w:tc>
                <w:tcPr>
                  <w:tcW w:w="0" w:type="auto"/>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废气</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vertAlign w:val="baseline"/>
                      <w:lang w:val="en-US" w:eastAsia="zh-CN"/>
                    </w:rPr>
                  </w:pPr>
                  <w:r>
                    <w:rPr>
                      <w:rFonts w:hint="default" w:ascii="Times New Roman" w:hAnsi="Times New Roman"/>
                      <w:color w:val="auto"/>
                      <w:sz w:val="21"/>
                      <w:szCs w:val="21"/>
                      <w:vertAlign w:val="baseline"/>
                      <w:lang w:val="en-US" w:eastAsia="zh-CN"/>
                    </w:rPr>
                    <w:t>凿岩钻孔粉尘</w:t>
                  </w:r>
                </w:p>
              </w:tc>
              <w:tc>
                <w:tcPr>
                  <w:tcW w:w="0" w:type="auto"/>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vertAlign w:val="baseline"/>
                      <w:lang w:val="en-US" w:eastAsia="zh-CN"/>
                    </w:rPr>
                  </w:pPr>
                  <w:r>
                    <w:rPr>
                      <w:rFonts w:hint="default" w:ascii="Times New Roman" w:hAnsi="Times New Roman"/>
                      <w:color w:val="auto"/>
                      <w:sz w:val="21"/>
                      <w:szCs w:val="21"/>
                      <w:vertAlign w:val="baseline"/>
                      <w:lang w:val="en-US" w:eastAsia="zh-CN"/>
                    </w:rPr>
                    <w:t>湿式凿岩、切割工艺，采场、各堆场和运输</w:t>
                  </w:r>
                </w:p>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vertAlign w:val="baseline"/>
                      <w:lang w:val="en-US" w:eastAsia="zh-CN"/>
                    </w:rPr>
                  </w:pPr>
                  <w:r>
                    <w:rPr>
                      <w:rFonts w:hint="default" w:ascii="Times New Roman" w:hAnsi="Times New Roman"/>
                      <w:color w:val="auto"/>
                      <w:sz w:val="21"/>
                      <w:szCs w:val="21"/>
                      <w:vertAlign w:val="baseline"/>
                      <w:lang w:val="en-US" w:eastAsia="zh-CN"/>
                    </w:rPr>
                    <w:t>道路洒水抑尘，共设置洒水车1台。</w:t>
                  </w:r>
                </w:p>
              </w:tc>
              <w:tc>
                <w:tcPr>
                  <w:tcW w:w="0" w:type="auto"/>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p>
              </w:tc>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olor w:val="auto"/>
                      <w:sz w:val="21"/>
                      <w:szCs w:val="21"/>
                      <w:vertAlign w:val="baseline"/>
                      <w:lang w:val="en-US" w:eastAsia="zh-CN"/>
                    </w:rPr>
                  </w:pP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切割整形粉尘</w:t>
                  </w:r>
                </w:p>
              </w:tc>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vertAlign w:val="baseline"/>
                      <w:lang w:val="en-US" w:eastAsia="zh-CN"/>
                    </w:rPr>
                  </w:pPr>
                </w:p>
              </w:tc>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color w:val="auto"/>
                    </w:rPr>
                  </w:pPr>
                </w:p>
              </w:tc>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color w:val="auto"/>
                    </w:rPr>
                  </w:pP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color w:val="auto"/>
                    </w:rPr>
                  </w:pPr>
                  <w:r>
                    <w:rPr>
                      <w:rFonts w:hint="eastAsia"/>
                      <w:color w:val="auto"/>
                    </w:rPr>
                    <w:t>排土场扬尘</w:t>
                  </w:r>
                </w:p>
              </w:tc>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sz w:val="21"/>
                      <w:szCs w:val="21"/>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荒料堆放场</w:t>
                  </w:r>
                </w:p>
              </w:tc>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sz w:val="21"/>
                      <w:szCs w:val="21"/>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运输扬尘</w:t>
                  </w:r>
                </w:p>
              </w:tc>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rPr>
                  </w:pPr>
                </w:p>
              </w:tc>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sz w:val="21"/>
                      <w:szCs w:val="21"/>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p>
              </w:tc>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olor w:val="auto"/>
                      <w:sz w:val="21"/>
                      <w:szCs w:val="21"/>
                      <w:vertAlign w:val="baseline"/>
                      <w:lang w:val="en-US" w:eastAsia="zh-CN"/>
                    </w:rPr>
                  </w:pP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vertAlign w:val="baseline"/>
                      <w:lang w:val="en-US" w:eastAsia="zh-CN"/>
                    </w:rPr>
                  </w:pPr>
                  <w:r>
                    <w:rPr>
                      <w:rFonts w:hint="eastAsia"/>
                      <w:color w:val="auto"/>
                      <w:sz w:val="21"/>
                      <w:szCs w:val="21"/>
                      <w:vertAlign w:val="baseline"/>
                      <w:lang w:val="en-US" w:eastAsia="zh-CN"/>
                    </w:rPr>
                    <w:t>喷砂机</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sz w:val="21"/>
                      <w:szCs w:val="21"/>
                      <w:vertAlign w:val="baseline"/>
                      <w:lang w:val="en-US" w:eastAsia="zh-CN"/>
                    </w:rPr>
                  </w:pPr>
                  <w:r>
                    <w:rPr>
                      <w:rFonts w:hint="eastAsia"/>
                      <w:color w:val="auto"/>
                      <w:sz w:val="21"/>
                      <w:szCs w:val="21"/>
                      <w:vertAlign w:val="baseline"/>
                      <w:lang w:val="en-US" w:eastAsia="zh-CN"/>
                    </w:rPr>
                    <w:t>密闭空间内进行，经布袋除尘器处理后，通过15m高排气筒排放</w:t>
                  </w:r>
                </w:p>
              </w:tc>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p>
              </w:tc>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olor w:val="auto"/>
                      <w:sz w:val="21"/>
                      <w:szCs w:val="21"/>
                      <w:vertAlign w:val="baseline"/>
                      <w:lang w:val="en-US" w:eastAsia="zh-CN"/>
                    </w:rPr>
                  </w:pPr>
                </w:p>
              </w:tc>
              <w:tc>
                <w:tcPr>
                  <w:tcW w:w="0" w:type="auto"/>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vertAlign w:val="baseline"/>
                      <w:lang w:val="en-US" w:eastAsia="zh-CN"/>
                    </w:rPr>
                  </w:pPr>
                  <w:r>
                    <w:rPr>
                      <w:rFonts w:hint="eastAsia"/>
                      <w:color w:val="auto"/>
                      <w:sz w:val="21"/>
                      <w:szCs w:val="21"/>
                      <w:vertAlign w:val="baseline"/>
                      <w:lang w:val="en-US" w:eastAsia="zh-CN"/>
                    </w:rPr>
                    <w:t>油烟</w:t>
                  </w:r>
                </w:p>
              </w:tc>
              <w:tc>
                <w:tcPr>
                  <w:tcW w:w="0" w:type="auto"/>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olor w:val="auto"/>
                      <w:sz w:val="21"/>
                      <w:szCs w:val="21"/>
                      <w:vertAlign w:val="baseline"/>
                      <w:lang w:val="en-US" w:eastAsia="zh-CN"/>
                    </w:rPr>
                  </w:pPr>
                  <w:r>
                    <w:rPr>
                      <w:rFonts w:hint="eastAsia"/>
                      <w:color w:val="auto"/>
                      <w:sz w:val="21"/>
                      <w:szCs w:val="21"/>
                      <w:vertAlign w:val="baseline"/>
                      <w:lang w:val="en-US" w:eastAsia="zh-CN"/>
                    </w:rPr>
                    <w:t>食堂油烟经油烟净化器处理后屋顶排放</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p>
              </w:tc>
              <w:tc>
                <w:tcPr>
                  <w:tcW w:w="0" w:type="auto"/>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废水</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生活污水经地埋式污水处理设施处理后用于项目区周边荒漠生态恢复的灌溉</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p>
              </w:tc>
              <w:tc>
                <w:tcPr>
                  <w:tcW w:w="0" w:type="auto"/>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噪声</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减震、消声装置</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p>
              </w:tc>
              <w:tc>
                <w:tcPr>
                  <w:tcW w:w="0" w:type="auto"/>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固废</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olor w:val="auto"/>
                      <w:sz w:val="21"/>
                      <w:szCs w:val="21"/>
                      <w:vertAlign w:val="baseline"/>
                      <w:lang w:val="en-US" w:eastAsia="zh-CN"/>
                    </w:rPr>
                  </w:pPr>
                  <w:r>
                    <w:rPr>
                      <w:rFonts w:hint="eastAsia"/>
                      <w:color w:val="auto"/>
                      <w:sz w:val="21"/>
                      <w:szCs w:val="21"/>
                      <w:vertAlign w:val="baseline"/>
                      <w:lang w:val="en-US" w:eastAsia="zh-CN"/>
                    </w:rPr>
                    <w:t>生产固废</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olor w:val="auto"/>
                      <w:sz w:val="21"/>
                      <w:szCs w:val="21"/>
                      <w:vertAlign w:val="baseline"/>
                      <w:lang w:val="en-US" w:eastAsia="zh-CN"/>
                    </w:rPr>
                  </w:pPr>
                  <w:r>
                    <w:rPr>
                      <w:rFonts w:hint="eastAsia"/>
                      <w:color w:val="auto"/>
                      <w:sz w:val="21"/>
                      <w:szCs w:val="21"/>
                      <w:vertAlign w:val="baseline"/>
                      <w:lang w:val="en-US" w:eastAsia="zh-CN"/>
                    </w:rPr>
                    <w:t>废石暂时堆放在废石场，全部用作回填采坑。危废暂存间</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p>
              </w:tc>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olor w:val="auto"/>
                      <w:sz w:val="21"/>
                      <w:szCs w:val="21"/>
                      <w:vertAlign w:val="baseline"/>
                      <w:lang w:val="en-US" w:eastAsia="zh-CN"/>
                    </w:rPr>
                  </w:pP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olor w:val="auto"/>
                      <w:sz w:val="21"/>
                      <w:szCs w:val="21"/>
                      <w:vertAlign w:val="baseline"/>
                      <w:lang w:val="en-US" w:eastAsia="zh-CN"/>
                    </w:rPr>
                  </w:pPr>
                  <w:r>
                    <w:rPr>
                      <w:rFonts w:hint="eastAsia"/>
                      <w:color w:val="auto"/>
                      <w:sz w:val="21"/>
                      <w:szCs w:val="21"/>
                      <w:vertAlign w:val="baseline"/>
                      <w:lang w:val="en-US" w:eastAsia="zh-CN"/>
                    </w:rPr>
                    <w:t>生活垃圾</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color w:val="auto"/>
                      <w:sz w:val="21"/>
                      <w:szCs w:val="21"/>
                      <w:vertAlign w:val="baseline"/>
                      <w:lang w:val="en-US" w:eastAsia="zh-CN"/>
                    </w:rPr>
                  </w:pPr>
                  <w:r>
                    <w:rPr>
                      <w:rFonts w:hint="eastAsia"/>
                      <w:color w:val="auto"/>
                      <w:highlight w:val="none"/>
                      <w:lang w:val="en-US" w:eastAsia="zh-CN"/>
                    </w:rPr>
                    <w:t>集中收集后，定期清运至硕县垃圾填埋场</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color w:val="auto"/>
                      <w:sz w:val="21"/>
                      <w:szCs w:val="21"/>
                      <w:vertAlign w:val="baseline"/>
                      <w:lang w:val="en-US" w:eastAsia="zh-CN"/>
                    </w:rPr>
                  </w:pPr>
                </w:p>
              </w:tc>
              <w:tc>
                <w:tcPr>
                  <w:tcW w:w="0" w:type="auto"/>
                  <w:gridSpan w:val="2"/>
                  <w:tcBorders>
                    <w:tl2br w:val="nil"/>
                    <w:tr2bl w:val="nil"/>
                  </w:tcBorders>
                  <w:shd w:val="clear" w:color="auto" w:fill="auto"/>
                  <w:vAlign w:val="center"/>
                </w:tcPr>
                <w:p>
                  <w:pPr>
                    <w:jc w:val="center"/>
                    <w:rPr>
                      <w:rFonts w:hint="eastAsia" w:ascii="Times New Roman" w:hAnsi="Times New Roman" w:eastAsia="宋体" w:cs="Times New Roman"/>
                      <w:caps/>
                      <w:color w:val="auto"/>
                      <w:kern w:val="2"/>
                      <w:sz w:val="21"/>
                      <w:szCs w:val="21"/>
                      <w:lang w:val="en-US" w:eastAsia="zh-CN" w:bidi="ar-SA"/>
                    </w:rPr>
                  </w:pPr>
                  <w:r>
                    <w:rPr>
                      <w:rFonts w:hint="eastAsia"/>
                      <w:caps/>
                      <w:color w:val="auto"/>
                      <w:sz w:val="21"/>
                      <w:szCs w:val="21"/>
                      <w:lang w:val="en-US" w:eastAsia="zh-CN"/>
                    </w:rPr>
                    <w:t>环境风险</w:t>
                  </w:r>
                </w:p>
              </w:tc>
              <w:tc>
                <w:tcPr>
                  <w:tcW w:w="0" w:type="auto"/>
                  <w:tcBorders>
                    <w:tl2br w:val="nil"/>
                    <w:tr2bl w:val="nil"/>
                  </w:tcBorders>
                  <w:shd w:val="clear" w:color="auto" w:fill="auto"/>
                  <w:vAlign w:val="center"/>
                </w:tcPr>
                <w:p>
                  <w:pPr>
                    <w:jc w:val="both"/>
                    <w:rPr>
                      <w:rFonts w:hint="eastAsia" w:ascii="Times New Roman" w:hAnsi="Times New Roman" w:eastAsia="宋体" w:cs="Times New Roman"/>
                      <w:caps/>
                      <w:color w:val="auto"/>
                      <w:kern w:val="2"/>
                      <w:sz w:val="21"/>
                      <w:szCs w:val="21"/>
                      <w:lang w:val="en-US" w:eastAsia="zh-CN" w:bidi="ar-SA"/>
                    </w:rPr>
                  </w:pPr>
                  <w:r>
                    <w:rPr>
                      <w:rFonts w:hint="eastAsia"/>
                      <w:caps/>
                      <w:color w:val="auto"/>
                      <w:sz w:val="21"/>
                      <w:szCs w:val="21"/>
                      <w:lang w:val="en-US" w:eastAsia="zh-CN"/>
                    </w:rPr>
                    <w:t>设置警示牌、编制应急预案等</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color w:val="auto"/>
                    </w:rPr>
                  </w:pPr>
                </w:p>
              </w:tc>
              <w:tc>
                <w:tcPr>
                  <w:tcW w:w="0" w:type="auto"/>
                  <w:gridSpan w:val="2"/>
                  <w:tcBorders>
                    <w:tl2br w:val="nil"/>
                    <w:tr2bl w:val="nil"/>
                  </w:tcBorders>
                  <w:shd w:val="clear" w:color="auto" w:fill="auto"/>
                  <w:vAlign w:val="center"/>
                </w:tcPr>
                <w:p>
                  <w:pPr>
                    <w:jc w:val="center"/>
                    <w:rPr>
                      <w:rFonts w:hint="eastAsia" w:ascii="Times New Roman" w:hAnsi="Times New Roman" w:eastAsia="宋体" w:cs="Times New Roman"/>
                      <w:caps/>
                      <w:color w:val="auto"/>
                      <w:kern w:val="2"/>
                      <w:sz w:val="21"/>
                      <w:szCs w:val="21"/>
                      <w:lang w:val="en-US" w:eastAsia="zh-CN" w:bidi="ar-SA"/>
                    </w:rPr>
                  </w:pPr>
                  <w:r>
                    <w:rPr>
                      <w:rFonts w:hint="eastAsia"/>
                      <w:caps/>
                      <w:color w:val="auto"/>
                      <w:sz w:val="21"/>
                      <w:szCs w:val="21"/>
                      <w:lang w:val="en-US" w:eastAsia="zh-CN"/>
                    </w:rPr>
                    <w:t>防渗工程</w:t>
                  </w:r>
                </w:p>
              </w:tc>
              <w:tc>
                <w:tcPr>
                  <w:tcW w:w="0" w:type="auto"/>
                  <w:tcBorders>
                    <w:tl2br w:val="nil"/>
                    <w:tr2bl w:val="nil"/>
                  </w:tcBorders>
                  <w:shd w:val="clear" w:color="auto" w:fill="auto"/>
                  <w:vAlign w:val="center"/>
                </w:tcPr>
                <w:p>
                  <w:pPr>
                    <w:jc w:val="both"/>
                    <w:rPr>
                      <w:rFonts w:hint="eastAsia" w:ascii="Times New Roman" w:hAnsi="Times New Roman" w:eastAsia="宋体" w:cs="Times New Roman"/>
                      <w:caps/>
                      <w:color w:val="auto"/>
                      <w:kern w:val="2"/>
                      <w:sz w:val="21"/>
                      <w:szCs w:val="21"/>
                      <w:lang w:val="en-US" w:eastAsia="zh-CN" w:bidi="ar-SA"/>
                    </w:rPr>
                  </w:pPr>
                  <w:r>
                    <w:rPr>
                      <w:rFonts w:hint="eastAsia"/>
                      <w:caps/>
                      <w:color w:val="auto"/>
                      <w:sz w:val="21"/>
                      <w:szCs w:val="21"/>
                      <w:lang w:val="en-US" w:eastAsia="zh-CN"/>
                    </w:rPr>
                    <w:t>地面硬化、重点防渗涂层等</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aps/>
                      <w:color w:val="auto"/>
                      <w:sz w:val="21"/>
                      <w:szCs w:val="21"/>
                      <w:lang w:val="en-US" w:eastAsia="zh-CN"/>
                    </w:rPr>
                  </w:pPr>
                  <w:r>
                    <w:rPr>
                      <w:rFonts w:hint="eastAsia"/>
                      <w:caps/>
                      <w:color w:val="auto"/>
                      <w:sz w:val="21"/>
                      <w:szCs w:val="21"/>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封场期</w:t>
                  </w:r>
                </w:p>
              </w:tc>
              <w:tc>
                <w:tcPr>
                  <w:tcW w:w="0" w:type="auto"/>
                  <w:gridSpan w:val="2"/>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生态</w:t>
                  </w:r>
                </w:p>
              </w:tc>
              <w:tc>
                <w:tcPr>
                  <w:tcW w:w="0" w:type="auto"/>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采坑回填、土地平整、加强生态恢复</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合计</w:t>
                  </w:r>
                </w:p>
              </w:tc>
              <w:tc>
                <w:tcPr>
                  <w:tcW w:w="0" w:type="auto"/>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59.6</w:t>
                  </w:r>
                </w:p>
              </w:tc>
            </w:tr>
          </w:tbl>
          <w:p>
            <w:pPr>
              <w:rPr>
                <w:color w:val="auto"/>
              </w:rPr>
            </w:pPr>
          </w:p>
          <w:p>
            <w:pPr>
              <w:pStyle w:val="2"/>
              <w:rPr>
                <w:color w:val="auto"/>
              </w:rPr>
            </w:pPr>
          </w:p>
          <w:p>
            <w:pPr>
              <w:pStyle w:val="3"/>
              <w:rPr>
                <w:color w:val="auto"/>
              </w:rPr>
            </w:pPr>
          </w:p>
          <w:p>
            <w:pPr>
              <w:pStyle w:val="4"/>
              <w:rPr>
                <w:color w:val="auto"/>
              </w:rPr>
            </w:pPr>
          </w:p>
          <w:p>
            <w:pPr>
              <w:rPr>
                <w:color w:val="auto"/>
              </w:rPr>
            </w:pPr>
          </w:p>
          <w:p>
            <w:pPr>
              <w:pStyle w:val="2"/>
              <w:rPr>
                <w:color w:val="auto"/>
              </w:rPr>
            </w:pPr>
          </w:p>
          <w:p>
            <w:pPr>
              <w:pStyle w:val="4"/>
              <w:ind w:left="0" w:leftChars="0" w:firstLine="0" w:firstLineChars="0"/>
            </w:pPr>
          </w:p>
        </w:tc>
      </w:tr>
    </w:tbl>
    <w:p>
      <w:pPr>
        <w:sectPr>
          <w:pgSz w:w="11907" w:h="16840"/>
          <w:pgMar w:top="1304" w:right="1304" w:bottom="1304" w:left="1361"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21"/>
        <w:jc w:val="center"/>
        <w:outlineLvl w:val="0"/>
        <w:rPr>
          <w:rFonts w:ascii="黑体" w:hAnsi="黑体" w:eastAsia="黑体"/>
          <w:snapToGrid w:val="0"/>
          <w:sz w:val="30"/>
          <w:szCs w:val="30"/>
        </w:rPr>
      </w:pPr>
      <w:r>
        <w:rPr>
          <w:rFonts w:hint="eastAsia" w:ascii="黑体" w:hAnsi="黑体" w:eastAsia="黑体"/>
          <w:snapToGrid w:val="0"/>
          <w:sz w:val="30"/>
          <w:szCs w:val="30"/>
        </w:rPr>
        <w:t>六、生态环境保护措施监督检查清单</w:t>
      </w:r>
    </w:p>
    <w:tbl>
      <w:tblPr>
        <w:tblStyle w:val="23"/>
        <w:tblW w:w="490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067"/>
        <w:gridCol w:w="1510"/>
        <w:gridCol w:w="2830"/>
        <w:gridCol w:w="20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6" w:type="pct"/>
            <w:vMerge w:val="restart"/>
            <w:tcBorders>
              <w:tl2br w:val="single" w:color="auto" w:sz="4" w:space="0"/>
            </w:tcBorders>
            <w:noWrap w:val="0"/>
            <w:vAlign w:val="top"/>
          </w:tcPr>
          <w:p>
            <w:pPr>
              <w:pStyle w:val="21"/>
              <w:keepNext w:val="0"/>
              <w:keepLines w:val="0"/>
              <w:pageBreakBefore w:val="0"/>
              <w:kinsoku/>
              <w:wordWrap w:val="0"/>
              <w:overflowPunct/>
              <w:topLinePunct w:val="0"/>
              <w:autoSpaceDE/>
              <w:autoSpaceDN/>
              <w:bidi w:val="0"/>
              <w:adjustRightInd w:val="0"/>
              <w:snapToGrid w:val="0"/>
              <w:spacing w:before="72" w:beforeLines="30" w:beforeAutospacing="0" w:after="0" w:afterAutospacing="0"/>
              <w:ind w:left="239" w:leftChars="114" w:firstLine="0" w:firstLineChars="0"/>
              <w:jc w:val="both"/>
              <w:textAlignment w:val="auto"/>
              <w:outlineLvl w:val="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内容</w:t>
            </w:r>
          </w:p>
          <w:p>
            <w:pPr>
              <w:pStyle w:val="21"/>
              <w:keepNext w:val="0"/>
              <w:keepLines w:val="0"/>
              <w:pageBreakBefore w:val="0"/>
              <w:kinsoku/>
              <w:wordWrap w:val="0"/>
              <w:overflowPunct/>
              <w:topLinePunct w:val="0"/>
              <w:autoSpaceDE/>
              <w:autoSpaceDN/>
              <w:bidi w:val="0"/>
              <w:adjustRightInd w:val="0"/>
              <w:snapToGrid w:val="0"/>
              <w:spacing w:before="0" w:beforeAutospacing="0" w:after="0" w:afterAutospacing="0" w:line="14" w:lineRule="auto"/>
              <w:textAlignment w:val="auto"/>
              <w:outlineLvl w:val="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 xml:space="preserve">  </w:t>
            </w:r>
          </w:p>
          <w:p>
            <w:pPr>
              <w:pStyle w:val="21"/>
              <w:keepNext w:val="0"/>
              <w:keepLines w:val="0"/>
              <w:pageBreakBefore w:val="0"/>
              <w:kinsoku/>
              <w:wordWrap w:val="0"/>
              <w:overflowPunct/>
              <w:topLinePunct w:val="0"/>
              <w:autoSpaceDE/>
              <w:autoSpaceDN/>
              <w:bidi w:val="0"/>
              <w:adjustRightInd w:val="0"/>
              <w:snapToGrid w:val="0"/>
              <w:spacing w:before="0" w:beforeAutospacing="0" w:after="0" w:afterAutospacing="0"/>
              <w:textAlignment w:val="auto"/>
              <w:outlineLvl w:val="0"/>
              <w:rPr>
                <w:rFonts w:hint="default" w:ascii="Times New Roman" w:hAnsi="Times New Roman" w:eastAsia="宋体" w:cs="Times New Roman"/>
                <w:color w:val="auto"/>
                <w:kern w:val="2"/>
                <w:sz w:val="24"/>
                <w:szCs w:val="24"/>
              </w:rPr>
            </w:pPr>
          </w:p>
          <w:p>
            <w:pPr>
              <w:pStyle w:val="21"/>
              <w:keepNext w:val="0"/>
              <w:keepLines w:val="0"/>
              <w:pageBreakBefore w:val="0"/>
              <w:kinsoku/>
              <w:wordWrap w:val="0"/>
              <w:overflowPunct/>
              <w:topLinePunct w:val="0"/>
              <w:autoSpaceDE/>
              <w:autoSpaceDN/>
              <w:bidi w:val="0"/>
              <w:adjustRightInd w:val="0"/>
              <w:snapToGrid w:val="0"/>
              <w:spacing w:before="0" w:beforeAutospacing="0" w:after="0" w:afterAutospacing="0"/>
              <w:textAlignment w:val="auto"/>
              <w:outlineLvl w:val="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要素</w:t>
            </w:r>
          </w:p>
        </w:tc>
        <w:tc>
          <w:tcPr>
            <w:tcW w:w="1928" w:type="pct"/>
            <w:gridSpan w:val="2"/>
            <w:noWrap w:val="0"/>
            <w:vAlign w:val="center"/>
          </w:tcPr>
          <w:p>
            <w:pPr>
              <w:pStyle w:val="21"/>
              <w:keepNext w:val="0"/>
              <w:keepLines w:val="0"/>
              <w:pageBreakBefore w:val="0"/>
              <w:kinsoku/>
              <w:wordWrap w:val="0"/>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施工期</w:t>
            </w:r>
          </w:p>
        </w:tc>
        <w:tc>
          <w:tcPr>
            <w:tcW w:w="2634" w:type="pct"/>
            <w:gridSpan w:val="2"/>
            <w:noWrap w:val="0"/>
            <w:vAlign w:val="center"/>
          </w:tcPr>
          <w:p>
            <w:pPr>
              <w:pStyle w:val="21"/>
              <w:keepNext w:val="0"/>
              <w:keepLines w:val="0"/>
              <w:pageBreakBefore w:val="0"/>
              <w:kinsoku/>
              <w:wordWrap w:val="0"/>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4"/>
                <w:szCs w:val="24"/>
                <w:lang w:eastAsia="zh-CN"/>
              </w:rPr>
            </w:pPr>
            <w:r>
              <w:rPr>
                <w:rFonts w:hint="eastAsia" w:ascii="Times New Roman" w:hAnsi="Times New Roman" w:cs="Times New Roman"/>
                <w:color w:val="auto"/>
                <w:kern w:val="2"/>
                <w:sz w:val="24"/>
                <w:szCs w:val="24"/>
                <w:lang w:val="en-US" w:eastAsia="zh-CN"/>
              </w:rPr>
              <w:t>运营</w:t>
            </w:r>
            <w:r>
              <w:rPr>
                <w:rFonts w:hint="default" w:ascii="Times New Roman" w:hAnsi="Times New Roman" w:eastAsia="宋体" w:cs="Times New Roman"/>
                <w:color w:val="auto"/>
                <w:kern w:val="2"/>
                <w:sz w:val="24"/>
                <w:szCs w:val="24"/>
                <w:lang w:eastAsia="zh-CN"/>
              </w:rPr>
              <w:t>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6" w:type="pct"/>
            <w:vMerge w:val="continue"/>
            <w:noWrap w:val="0"/>
            <w:vAlign w:val="top"/>
          </w:tcPr>
          <w:p>
            <w:pPr>
              <w:pStyle w:val="21"/>
              <w:keepNext w:val="0"/>
              <w:keepLines w:val="0"/>
              <w:pageBreakBefore w:val="0"/>
              <w:kinsoku/>
              <w:wordWrap w:val="0"/>
              <w:overflowPunct/>
              <w:topLinePunct w:val="0"/>
              <w:autoSpaceDE/>
              <w:autoSpaceDN/>
              <w:bidi w:val="0"/>
              <w:adjustRightInd w:val="0"/>
              <w:snapToGrid w:val="0"/>
              <w:spacing w:before="0" w:beforeAutospacing="0" w:after="0" w:afterAutospacing="0"/>
              <w:ind w:firstLine="840"/>
              <w:jc w:val="center"/>
              <w:textAlignment w:val="auto"/>
              <w:outlineLvl w:val="0"/>
              <w:rPr>
                <w:rFonts w:hint="default" w:ascii="Times New Roman" w:hAnsi="Times New Roman" w:eastAsia="宋体" w:cs="Times New Roman"/>
                <w:color w:val="auto"/>
                <w:kern w:val="2"/>
                <w:sz w:val="24"/>
                <w:szCs w:val="24"/>
              </w:rPr>
            </w:pPr>
          </w:p>
        </w:tc>
        <w:tc>
          <w:tcPr>
            <w:tcW w:w="1114" w:type="pct"/>
            <w:noWrap w:val="0"/>
            <w:vAlign w:val="center"/>
          </w:tcPr>
          <w:p>
            <w:pPr>
              <w:pStyle w:val="21"/>
              <w:keepNext w:val="0"/>
              <w:keepLines w:val="0"/>
              <w:pageBreakBefore w:val="0"/>
              <w:kinsoku/>
              <w:wordWrap w:val="0"/>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环境保护措施</w:t>
            </w:r>
          </w:p>
        </w:tc>
        <w:tc>
          <w:tcPr>
            <w:tcW w:w="814" w:type="pct"/>
            <w:noWrap w:val="0"/>
            <w:vAlign w:val="center"/>
          </w:tcPr>
          <w:p>
            <w:pPr>
              <w:pStyle w:val="21"/>
              <w:keepNext w:val="0"/>
              <w:keepLines w:val="0"/>
              <w:pageBreakBefore w:val="0"/>
              <w:kinsoku/>
              <w:wordWrap w:val="0"/>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验收要求</w:t>
            </w:r>
          </w:p>
        </w:tc>
        <w:tc>
          <w:tcPr>
            <w:tcW w:w="1525" w:type="pct"/>
            <w:noWrap w:val="0"/>
            <w:vAlign w:val="center"/>
          </w:tcPr>
          <w:p>
            <w:pPr>
              <w:pStyle w:val="21"/>
              <w:keepNext w:val="0"/>
              <w:keepLines w:val="0"/>
              <w:pageBreakBefore w:val="0"/>
              <w:kinsoku/>
              <w:wordWrap w:val="0"/>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环境保护措施</w:t>
            </w:r>
          </w:p>
        </w:tc>
        <w:tc>
          <w:tcPr>
            <w:tcW w:w="1108" w:type="pct"/>
            <w:noWrap w:val="0"/>
            <w:vAlign w:val="center"/>
          </w:tcPr>
          <w:p>
            <w:pPr>
              <w:pStyle w:val="21"/>
              <w:keepNext w:val="0"/>
              <w:keepLines w:val="0"/>
              <w:pageBreakBefore w:val="0"/>
              <w:kinsoku/>
              <w:wordWrap w:val="0"/>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陆生生态</w:t>
            </w:r>
          </w:p>
        </w:tc>
        <w:tc>
          <w:tcPr>
            <w:tcW w:w="1114" w:type="pct"/>
            <w:noWrap w:val="0"/>
            <w:vAlign w:val="center"/>
          </w:tcPr>
          <w:p>
            <w:pPr>
              <w:keepNext w:val="0"/>
              <w:keepLines w:val="0"/>
              <w:pageBreakBefore w:val="0"/>
              <w:kinsoku/>
              <w:wordWrap w:val="0"/>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优化施工布置，合理安排施工时序；表土剥离与回填；加强</w:t>
            </w:r>
            <w:r>
              <w:rPr>
                <w:rFonts w:hint="default" w:ascii="Times New Roman" w:hAnsi="Times New Roman" w:eastAsia="宋体" w:cs="Times New Roman"/>
                <w:color w:val="auto"/>
                <w:sz w:val="24"/>
                <w:szCs w:val="24"/>
                <w:lang w:eastAsia="zh-CN"/>
              </w:rPr>
              <w:t>水土保持</w:t>
            </w:r>
            <w:r>
              <w:rPr>
                <w:rFonts w:hint="default" w:ascii="Times New Roman" w:hAnsi="Times New Roman" w:eastAsia="宋体" w:cs="Times New Roman"/>
                <w:color w:val="auto"/>
                <w:sz w:val="24"/>
                <w:szCs w:val="24"/>
              </w:rPr>
              <w:t>措施与土地复垦；制定生态恢复</w:t>
            </w:r>
            <w:r>
              <w:rPr>
                <w:rFonts w:hint="default" w:ascii="Times New Roman" w:hAnsi="Times New Roman" w:eastAsia="宋体" w:cs="Times New Roman"/>
                <w:color w:val="auto"/>
                <w:sz w:val="24"/>
                <w:szCs w:val="24"/>
                <w:lang w:eastAsia="zh-CN"/>
              </w:rPr>
              <w:t>方案</w:t>
            </w:r>
          </w:p>
        </w:tc>
        <w:tc>
          <w:tcPr>
            <w:tcW w:w="8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25" w:type="pct"/>
            <w:noWrap w:val="0"/>
            <w:vAlign w:val="center"/>
          </w:tcPr>
          <w:p>
            <w:pPr>
              <w:keepNext w:val="0"/>
              <w:keepLines w:val="0"/>
              <w:pageBreakBefore w:val="0"/>
              <w:kinsoku/>
              <w:wordWrap w:val="0"/>
              <w:overflowPunct/>
              <w:topLinePunct w:val="0"/>
              <w:autoSpaceDE/>
              <w:autoSpaceDN/>
              <w:bidi w:val="0"/>
              <w:adjustRightInd w:val="0"/>
              <w:snapToGrid w:val="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制定矿山开采</w:t>
            </w:r>
            <w:r>
              <w:rPr>
                <w:rFonts w:hint="default" w:ascii="Times New Roman" w:hAnsi="Times New Roman" w:eastAsia="宋体" w:cs="Times New Roman"/>
                <w:color w:val="auto"/>
                <w:sz w:val="24"/>
                <w:szCs w:val="24"/>
                <w:lang w:eastAsia="zh-CN"/>
              </w:rPr>
              <w:t>地</w:t>
            </w:r>
            <w:r>
              <w:rPr>
                <w:rFonts w:hint="default" w:ascii="Times New Roman" w:hAnsi="Times New Roman" w:eastAsia="宋体" w:cs="Times New Roman"/>
                <w:color w:val="auto"/>
                <w:sz w:val="24"/>
                <w:szCs w:val="24"/>
              </w:rPr>
              <w:t>生态环境保护措施，贯彻“边开采、边保护”的原则；落实水土保持措施与土地复垦、生态恢复方案等</w:t>
            </w:r>
            <w:r>
              <w:rPr>
                <w:rFonts w:hint="eastAsia" w:cs="Times New Roman"/>
                <w:color w:val="auto"/>
                <w:sz w:val="24"/>
                <w:szCs w:val="24"/>
                <w:lang w:eastAsia="zh-CN"/>
              </w:rPr>
              <w:t>。</w:t>
            </w:r>
          </w:p>
        </w:tc>
        <w:tc>
          <w:tcPr>
            <w:tcW w:w="1108"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落实措施，对所在区域陆生生态环境影响较小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水生生态</w:t>
            </w:r>
          </w:p>
        </w:tc>
        <w:tc>
          <w:tcPr>
            <w:tcW w:w="11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25"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108"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6" w:type="pct"/>
            <w:vMerge w:val="restar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1114" w:type="pct"/>
            <w:noWrap w:val="0"/>
            <w:vAlign w:val="center"/>
          </w:tcPr>
          <w:p>
            <w:pPr>
              <w:keepNext w:val="0"/>
              <w:keepLines w:val="0"/>
              <w:pageBreakBefore w:val="0"/>
              <w:kinsoku/>
              <w:wordWrap w:val="0"/>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生活污水：</w:t>
            </w:r>
            <w:r>
              <w:rPr>
                <w:rFonts w:hint="default" w:ascii="Times New Roman" w:hAnsi="Times New Roman" w:eastAsia="宋体" w:cs="Times New Roman"/>
                <w:color w:val="auto"/>
                <w:sz w:val="24"/>
                <w:szCs w:val="24"/>
                <w:lang w:eastAsia="zh-CN"/>
              </w:rPr>
              <w:t>生活污水经地埋式污水处理设施处理后用于项目区周边荒漠生态恢复的灌溉</w:t>
            </w:r>
          </w:p>
        </w:tc>
        <w:tc>
          <w:tcPr>
            <w:tcW w:w="8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《农村生活污水处理排放标准》(DB654275-2019) 表2中C级标准</w:t>
            </w:r>
          </w:p>
        </w:tc>
        <w:tc>
          <w:tcPr>
            <w:tcW w:w="1525" w:type="pct"/>
            <w:noWrap w:val="0"/>
            <w:vAlign w:val="center"/>
          </w:tcPr>
          <w:p>
            <w:pPr>
              <w:keepNext w:val="0"/>
              <w:keepLines w:val="0"/>
              <w:pageBreakBefore w:val="0"/>
              <w:kinsoku/>
              <w:wordWrap w:val="0"/>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生活污水：</w:t>
            </w:r>
            <w:r>
              <w:rPr>
                <w:rFonts w:hint="default" w:ascii="Times New Roman" w:hAnsi="Times New Roman" w:eastAsia="宋体" w:cs="Times New Roman"/>
                <w:color w:val="auto"/>
                <w:sz w:val="24"/>
                <w:szCs w:val="24"/>
                <w:lang w:eastAsia="zh-CN"/>
              </w:rPr>
              <w:t>生活污水经地埋式污水处理设施处理后用于项目区周边荒漠生态恢复的灌溉</w:t>
            </w:r>
            <w:r>
              <w:rPr>
                <w:rFonts w:hint="eastAsia" w:cs="Times New Roman"/>
                <w:color w:val="auto"/>
                <w:sz w:val="24"/>
                <w:szCs w:val="24"/>
                <w:lang w:eastAsia="zh-CN"/>
              </w:rPr>
              <w:t>。</w:t>
            </w:r>
          </w:p>
        </w:tc>
        <w:tc>
          <w:tcPr>
            <w:tcW w:w="1108" w:type="pct"/>
            <w:noWrap w:val="0"/>
            <w:vAlign w:val="center"/>
          </w:tcPr>
          <w:p>
            <w:pPr>
              <w:keepNext w:val="0"/>
              <w:keepLines w:val="0"/>
              <w:pageBreakBefore w:val="0"/>
              <w:kinsoku/>
              <w:wordWrap w:val="0"/>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《农村生活污水处理排放标准》（DB654275-2019）C级标准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6" w:type="pct"/>
            <w:vMerge w:val="continue"/>
            <w:noWrap w:val="0"/>
            <w:vAlign w:val="center"/>
          </w:tcPr>
          <w:p>
            <w:pPr>
              <w:keepNext w:val="0"/>
              <w:keepLines w:val="0"/>
              <w:pageBreakBefore w:val="0"/>
              <w:kinsoku/>
              <w:wordWrap w:val="0"/>
              <w:overflowPunct/>
              <w:topLinePunct w:val="0"/>
              <w:autoSpaceDE/>
              <w:autoSpaceDN/>
              <w:bidi w:val="0"/>
              <w:adjustRightInd w:val="0"/>
              <w:snapToGrid w:val="0"/>
              <w:textAlignment w:val="auto"/>
              <w:rPr>
                <w:color w:val="auto"/>
              </w:rPr>
            </w:pPr>
          </w:p>
        </w:tc>
        <w:tc>
          <w:tcPr>
            <w:tcW w:w="1114" w:type="pct"/>
            <w:noWrap w:val="0"/>
            <w:vAlign w:val="center"/>
          </w:tcPr>
          <w:p>
            <w:pPr>
              <w:keepNext w:val="0"/>
              <w:keepLines w:val="0"/>
              <w:pageBreakBefore w:val="0"/>
              <w:kinsoku/>
              <w:wordWrap w:val="0"/>
              <w:overflowPunct/>
              <w:topLinePunct w:val="0"/>
              <w:autoSpaceDE/>
              <w:autoSpaceDN/>
              <w:bidi w:val="0"/>
              <w:adjustRightInd w:val="0"/>
              <w:snapToGrid w:val="0"/>
              <w:textAlignment w:val="auto"/>
              <w:rPr>
                <w:color w:val="auto"/>
              </w:rPr>
            </w:pPr>
            <w:r>
              <w:rPr>
                <w:rFonts w:hint="eastAsia" w:cs="Times New Roman"/>
                <w:color w:val="auto"/>
                <w:sz w:val="24"/>
                <w:szCs w:val="24"/>
                <w:lang w:val="en-US" w:eastAsia="zh-CN"/>
              </w:rPr>
              <w:t>施工废水简易沉淀池处理后</w:t>
            </w:r>
            <w:r>
              <w:rPr>
                <w:rFonts w:hint="default" w:ascii="Times New Roman" w:hAnsi="Times New Roman" w:eastAsia="宋体" w:cs="Times New Roman"/>
                <w:color w:val="auto"/>
                <w:sz w:val="24"/>
                <w:szCs w:val="24"/>
              </w:rPr>
              <w:t>循环使用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不外排</w:t>
            </w:r>
            <w:r>
              <w:rPr>
                <w:rFonts w:hint="eastAsia" w:cs="Times New Roman"/>
                <w:color w:val="auto"/>
                <w:sz w:val="24"/>
                <w:szCs w:val="24"/>
                <w:lang w:val="en-US" w:eastAsia="zh-CN"/>
              </w:rPr>
              <w:t>。</w:t>
            </w:r>
          </w:p>
        </w:tc>
        <w:tc>
          <w:tcPr>
            <w:tcW w:w="8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eastAsia" w:eastAsia="宋体"/>
                <w:color w:val="auto"/>
                <w:lang w:val="en-US" w:eastAsia="zh-CN"/>
              </w:rPr>
            </w:pPr>
            <w:r>
              <w:rPr>
                <w:rFonts w:hint="eastAsia"/>
                <w:color w:val="auto"/>
                <w:lang w:val="en-US" w:eastAsia="zh-CN"/>
              </w:rPr>
              <w:t>/</w:t>
            </w:r>
          </w:p>
        </w:tc>
        <w:tc>
          <w:tcPr>
            <w:tcW w:w="1525" w:type="pct"/>
            <w:noWrap w:val="0"/>
            <w:vAlign w:val="center"/>
          </w:tcPr>
          <w:p>
            <w:pPr>
              <w:keepNext w:val="0"/>
              <w:keepLines w:val="0"/>
              <w:pageBreakBefore w:val="0"/>
              <w:kinsoku/>
              <w:wordWrap w:val="0"/>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lang w:eastAsia="zh-CN"/>
              </w:rPr>
            </w:pPr>
            <w:r>
              <w:rPr>
                <w:rFonts w:hint="eastAsia" w:cs="Times New Roman"/>
                <w:b w:val="0"/>
                <w:bCs w:val="0"/>
                <w:color w:val="auto"/>
                <w:sz w:val="24"/>
                <w:szCs w:val="24"/>
                <w:highlight w:val="none"/>
                <w:lang w:val="en-US" w:eastAsia="zh-CN"/>
              </w:rPr>
              <w:t>生产废水：采矿过程中的降尘用水，经矿石吸收，自然蒸发损耗，无废水产生。生产车间加工过程中的降尘用水排入沉淀池中，经沉淀池处理后回用于生产车间，不外排</w:t>
            </w:r>
          </w:p>
        </w:tc>
        <w:tc>
          <w:tcPr>
            <w:tcW w:w="1108"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地下水及土壤环境</w:t>
            </w:r>
          </w:p>
        </w:tc>
        <w:tc>
          <w:tcPr>
            <w:tcW w:w="11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w:t>
            </w:r>
          </w:p>
        </w:tc>
        <w:tc>
          <w:tcPr>
            <w:tcW w:w="8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25"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分区防渗</w:t>
            </w:r>
          </w:p>
        </w:tc>
        <w:tc>
          <w:tcPr>
            <w:tcW w:w="1108"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1114" w:type="pct"/>
            <w:noWrap w:val="0"/>
            <w:vAlign w:val="center"/>
          </w:tcPr>
          <w:p>
            <w:pPr>
              <w:keepNext w:val="0"/>
              <w:keepLines w:val="0"/>
              <w:pageBreakBefore w:val="0"/>
              <w:kinsoku/>
              <w:wordWrap w:val="0"/>
              <w:overflowPunct/>
              <w:topLinePunct w:val="0"/>
              <w:autoSpaceDE/>
              <w:autoSpaceDN/>
              <w:bidi w:val="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合理安排施工时间、禁止夜间施工、合理规划施工场地，合理分布施工机械；</w:t>
            </w:r>
          </w:p>
          <w:p>
            <w:pPr>
              <w:keepNext w:val="0"/>
              <w:keepLines w:val="0"/>
              <w:pageBreakBefore w:val="0"/>
              <w:kinsoku/>
              <w:wordWrap w:val="0"/>
              <w:overflowPunct/>
              <w:topLinePunct w:val="0"/>
              <w:autoSpaceDE/>
              <w:autoSpaceDN/>
              <w:bidi w:val="0"/>
              <w:adjustRightInd w:val="0"/>
              <w:snapToGrid w:val="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sz w:val="24"/>
                <w:szCs w:val="24"/>
              </w:rPr>
              <w:t>（2）施工单位应采用噪声水平满足国家相应标准的施工机械设备，加强施工机械的维修、管理，保证施工机械处于低噪声、高效率的良好工作状态</w:t>
            </w:r>
          </w:p>
        </w:tc>
        <w:tc>
          <w:tcPr>
            <w:tcW w:w="814" w:type="pct"/>
            <w:noWrap w:val="0"/>
            <w:vAlign w:val="center"/>
          </w:tcPr>
          <w:p>
            <w:pPr>
              <w:keepNext w:val="0"/>
              <w:keepLines w:val="0"/>
              <w:pageBreakBefore w:val="0"/>
              <w:kinsoku/>
              <w:wordWrap w:val="0"/>
              <w:overflowPunct/>
              <w:topLinePunct w:val="0"/>
              <w:autoSpaceDE/>
              <w:autoSpaceDN/>
              <w:bidi w:val="0"/>
              <w:adjustRightInd w:val="0"/>
              <w:snapToGrid w:val="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0"/>
                <w:sz w:val="24"/>
                <w:szCs w:val="24"/>
              </w:rPr>
              <w:t>满足执行《建筑施工场界环境噪声排放标准》（GB12523-2011）</w:t>
            </w:r>
          </w:p>
        </w:tc>
        <w:tc>
          <w:tcPr>
            <w:tcW w:w="1525" w:type="pct"/>
            <w:noWrap w:val="0"/>
            <w:vAlign w:val="center"/>
          </w:tcPr>
          <w:p>
            <w:pPr>
              <w:keepNext w:val="0"/>
              <w:keepLines w:val="0"/>
              <w:pageBreakBefore w:val="0"/>
              <w:kinsoku/>
              <w:wordWrap w:val="0"/>
              <w:overflowPunct/>
              <w:topLinePunct w:val="0"/>
              <w:autoSpaceDE/>
              <w:autoSpaceDN/>
              <w:bidi w:val="0"/>
              <w:adjustRightInd w:val="0"/>
              <w:snapToGrid w:val="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基础减震、选用低噪声设备；合理安排作业时间；高噪声接触岗位要求职工佩戴耳罩等</w:t>
            </w:r>
          </w:p>
        </w:tc>
        <w:tc>
          <w:tcPr>
            <w:tcW w:w="1108" w:type="pct"/>
            <w:noWrap w:val="0"/>
            <w:vAlign w:val="center"/>
          </w:tcPr>
          <w:p>
            <w:pPr>
              <w:keepNext w:val="0"/>
              <w:keepLines w:val="0"/>
              <w:pageBreakBefore w:val="0"/>
              <w:kinsoku/>
              <w:wordWrap w:val="0"/>
              <w:overflowPunct/>
              <w:topLinePunct w:val="0"/>
              <w:autoSpaceDE/>
              <w:autoSpaceDN/>
              <w:bidi w:val="0"/>
              <w:adjustRightInd w:val="0"/>
              <w:snapToGrid w:val="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0"/>
                <w:sz w:val="24"/>
                <w:szCs w:val="24"/>
                <w:lang w:eastAsia="zh-CN"/>
              </w:rPr>
              <w:t>执行</w:t>
            </w:r>
            <w:r>
              <w:rPr>
                <w:rFonts w:hint="default" w:ascii="Times New Roman" w:hAnsi="Times New Roman" w:cs="Times New Roman"/>
                <w:color w:val="auto"/>
                <w:kern w:val="0"/>
                <w:sz w:val="24"/>
                <w:szCs w:val="24"/>
              </w:rPr>
              <w:t>《工业企业厂界环境噪声排放标准》</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GB12348-2008</w:t>
            </w:r>
            <w:r>
              <w:rPr>
                <w:rFonts w:hint="default"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val="en-US" w:eastAsia="zh-CN"/>
              </w:rPr>
              <w:t>中2类标准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振动</w:t>
            </w:r>
          </w:p>
        </w:tc>
        <w:tc>
          <w:tcPr>
            <w:tcW w:w="11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25"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108"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w:t>
            </w:r>
          </w:p>
        </w:tc>
        <w:tc>
          <w:tcPr>
            <w:tcW w:w="11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施工场地洒水降尘；土石方及散装物料运输车辆覆盖篷布</w:t>
            </w:r>
          </w:p>
        </w:tc>
        <w:tc>
          <w:tcPr>
            <w:tcW w:w="8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sz w:val="24"/>
                <w:szCs w:val="24"/>
                <w:lang w:eastAsia="zh-CN"/>
              </w:rPr>
              <w:t>满足</w:t>
            </w:r>
            <w:r>
              <w:rPr>
                <w:rFonts w:hint="default" w:ascii="Times New Roman" w:hAnsi="Times New Roman" w:cs="Times New Roman"/>
                <w:color w:val="auto"/>
                <w:sz w:val="24"/>
                <w:szCs w:val="24"/>
              </w:rPr>
              <w:t>《大气污染物综合排放标准》（GB16297-1996）表2中的无组织排放监控浓度限值</w:t>
            </w:r>
          </w:p>
        </w:tc>
        <w:tc>
          <w:tcPr>
            <w:tcW w:w="1525"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采掘粉尘采用洒水降尘，增加矿石含水率；运输扬尘采取洒水车路面洒水抑尘、控制车速治理；堆场扬尘采取洒水抑尘，篷布遮盖治理</w:t>
            </w:r>
            <w:r>
              <w:rPr>
                <w:rFonts w:hint="eastAsia" w:cs="Times New Roman"/>
                <w:color w:val="auto"/>
                <w:kern w:val="2"/>
                <w:sz w:val="24"/>
                <w:szCs w:val="24"/>
                <w:lang w:val="en-US" w:eastAsia="zh-CN" w:bidi="ar-SA"/>
              </w:rPr>
              <w:t>。</w:t>
            </w:r>
          </w:p>
        </w:tc>
        <w:tc>
          <w:tcPr>
            <w:tcW w:w="1108"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粉尘排放满足《大气污染物综合排放标准》（GB16297-1996）中的</w:t>
            </w:r>
            <w:r>
              <w:rPr>
                <w:rFonts w:hint="eastAsia" w:ascii="Times New Roman" w:hAnsi="Times New Roman" w:cs="Times New Roman"/>
                <w:color w:val="auto"/>
                <w:sz w:val="24"/>
                <w:szCs w:val="24"/>
                <w:lang w:val="en-US" w:eastAsia="zh-CN"/>
              </w:rPr>
              <w:t>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11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建筑垃圾拉运至和硕县垃圾填埋场填埋处理；</w:t>
            </w:r>
            <w:r>
              <w:rPr>
                <w:rFonts w:hint="eastAsia" w:cs="Times New Roman"/>
                <w:color w:val="auto"/>
                <w:kern w:val="2"/>
                <w:sz w:val="24"/>
                <w:szCs w:val="24"/>
                <w:lang w:val="en-US" w:eastAsia="zh-CN" w:bidi="ar-SA"/>
              </w:rPr>
              <w:t>生活垃圾</w:t>
            </w:r>
            <w:r>
              <w:rPr>
                <w:rFonts w:hint="default" w:ascii="Times New Roman" w:hAnsi="Times New Roman" w:cs="Times New Roman"/>
                <w:color w:val="auto"/>
                <w:kern w:val="2"/>
                <w:sz w:val="24"/>
                <w:szCs w:val="24"/>
                <w:lang w:val="en-US" w:eastAsia="zh-CN" w:bidi="ar-SA"/>
              </w:rPr>
              <w:t>应集中收集到指定垃圾箱内，施工期结束后清运至生活垃圾收集点统一处置</w:t>
            </w:r>
          </w:p>
        </w:tc>
        <w:tc>
          <w:tcPr>
            <w:tcW w:w="8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szCs w:val="24"/>
                <w:lang w:val="en-US" w:eastAsia="zh-CN"/>
              </w:rPr>
              <w:t>/</w:t>
            </w:r>
          </w:p>
        </w:tc>
        <w:tc>
          <w:tcPr>
            <w:tcW w:w="1525"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kern w:val="2"/>
                <w:sz w:val="21"/>
                <w:szCs w:val="21"/>
                <w:lang w:val="en-US" w:eastAsia="zh-CN" w:bidi="ar-SA"/>
              </w:rPr>
            </w:pPr>
            <w:r>
              <w:rPr>
                <w:rFonts w:hint="eastAsia" w:cs="Times New Roman"/>
                <w:color w:val="auto"/>
                <w:kern w:val="2"/>
                <w:sz w:val="24"/>
                <w:szCs w:val="24"/>
                <w:lang w:val="en-US" w:eastAsia="zh-CN" w:bidi="ar-SA"/>
              </w:rPr>
              <w:t>废石</w:t>
            </w:r>
            <w:r>
              <w:rPr>
                <w:rFonts w:hint="default" w:ascii="Times New Roman" w:hAnsi="Times New Roman" w:eastAsia="宋体" w:cs="Times New Roman"/>
                <w:color w:val="auto"/>
                <w:kern w:val="2"/>
                <w:sz w:val="24"/>
                <w:szCs w:val="24"/>
                <w:lang w:val="en-US" w:eastAsia="zh-CN" w:bidi="ar-SA"/>
              </w:rPr>
              <w:t>清运至</w:t>
            </w:r>
            <w:r>
              <w:rPr>
                <w:rFonts w:hint="eastAsia" w:cs="Times New Roman"/>
                <w:color w:val="auto"/>
                <w:kern w:val="2"/>
                <w:sz w:val="24"/>
                <w:szCs w:val="24"/>
                <w:lang w:val="en-US" w:eastAsia="zh-CN" w:bidi="ar-SA"/>
              </w:rPr>
              <w:t>废石</w:t>
            </w:r>
            <w:r>
              <w:rPr>
                <w:rFonts w:hint="default" w:ascii="Times New Roman" w:hAnsi="Times New Roman" w:eastAsia="宋体" w:cs="Times New Roman"/>
                <w:color w:val="auto"/>
                <w:kern w:val="2"/>
                <w:sz w:val="24"/>
                <w:szCs w:val="24"/>
                <w:lang w:val="en-US" w:eastAsia="zh-CN" w:bidi="ar-SA"/>
              </w:rPr>
              <w:t>填埋场</w:t>
            </w:r>
            <w:r>
              <w:rPr>
                <w:rFonts w:hint="eastAsia" w:cs="Times New Roman"/>
                <w:color w:val="auto"/>
                <w:kern w:val="2"/>
                <w:sz w:val="24"/>
                <w:szCs w:val="24"/>
                <w:lang w:val="en-US" w:eastAsia="zh-CN" w:bidi="ar-SA"/>
              </w:rPr>
              <w:t>，回填矿坑</w:t>
            </w:r>
            <w:r>
              <w:rPr>
                <w:rFonts w:hint="eastAsia" w:ascii="Times New Roman" w:hAnsi="Times New Roman" w:eastAsia="宋体" w:cs="Times New Roman"/>
                <w:color w:val="auto"/>
                <w:kern w:val="2"/>
                <w:sz w:val="24"/>
                <w:szCs w:val="24"/>
                <w:lang w:val="en-US" w:eastAsia="zh-CN" w:bidi="ar-SA"/>
              </w:rPr>
              <w:t>；废机油暂存于危废暂存间，定期交由具有相关处理资质的单位处理；</w:t>
            </w:r>
            <w:r>
              <w:rPr>
                <w:rFonts w:hint="eastAsia" w:cs="Times New Roman"/>
                <w:color w:val="auto"/>
                <w:kern w:val="2"/>
                <w:sz w:val="24"/>
                <w:szCs w:val="24"/>
                <w:lang w:val="en-US" w:eastAsia="zh-CN" w:bidi="ar-SA"/>
              </w:rPr>
              <w:t>生活垃圾定期清运至硕县垃圾填埋场。</w:t>
            </w:r>
          </w:p>
        </w:tc>
        <w:tc>
          <w:tcPr>
            <w:tcW w:w="1108"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4"/>
                <w:szCs w:val="24"/>
              </w:rPr>
              <w:t>满足《一般工业固体废物贮存和填埋污染控制标准》（GB18599-2020）；生活垃圾执行《生活垃圾填埋场污染控制标准》（GB16889-2008）中生活垃圾入场要求</w:t>
            </w:r>
            <w:r>
              <w:rPr>
                <w:rFonts w:hint="default" w:ascii="Times New Roman" w:hAnsi="Times New Roman" w:cs="Times New Roman"/>
                <w:color w:val="auto"/>
                <w:sz w:val="24"/>
                <w:szCs w:val="24"/>
                <w:lang w:val="en-US" w:eastAsia="zh-CN"/>
              </w:rPr>
              <w:t>。危险废物应符合《危险废物贮存污染控制标准》（GB18957-2023）要求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电磁环境</w:t>
            </w:r>
          </w:p>
        </w:tc>
        <w:tc>
          <w:tcPr>
            <w:tcW w:w="11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25"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108"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环境风险</w:t>
            </w:r>
          </w:p>
        </w:tc>
        <w:tc>
          <w:tcPr>
            <w:tcW w:w="11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25" w:type="pct"/>
            <w:noWrap w:val="0"/>
            <w:vAlign w:val="center"/>
          </w:tcPr>
          <w:p>
            <w:pPr>
              <w:keepNext w:val="0"/>
              <w:keepLines w:val="0"/>
              <w:pageBreakBefore w:val="0"/>
              <w:kinsoku/>
              <w:wordWrap w:val="0"/>
              <w:overflowPunct/>
              <w:topLinePunct w:val="0"/>
              <w:autoSpaceDE/>
              <w:autoSpaceDN/>
              <w:bidi w:val="0"/>
              <w:adjustRightInd w:val="0"/>
              <w:snapToGrid w:val="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边坡塌陷：设置警示标志及铁丝围栏，边开采边回填；火灾防范：定期检查线路、配备消防器材、设计逃生路线等。</w:t>
            </w:r>
            <w:r>
              <w:rPr>
                <w:rFonts w:hint="eastAsia" w:ascii="Times New Roman" w:hAnsi="Times New Roman" w:eastAsia="宋体" w:cs="Times New Roman"/>
                <w:b w:val="0"/>
                <w:bCs w:val="0"/>
                <w:color w:val="auto"/>
                <w:sz w:val="24"/>
                <w:szCs w:val="24"/>
                <w:highlight w:val="none"/>
                <w:lang w:val="en-US" w:eastAsia="zh-CN"/>
              </w:rPr>
              <w:t>废机油统一收集到危废暂存间后交由有资质的单位处理</w:t>
            </w:r>
            <w:r>
              <w:rPr>
                <w:rFonts w:hint="eastAsia" w:cs="Times New Roman"/>
                <w:b w:val="0"/>
                <w:bCs w:val="0"/>
                <w:color w:val="auto"/>
                <w:sz w:val="24"/>
                <w:szCs w:val="24"/>
                <w:highlight w:val="none"/>
                <w:lang w:val="en-US" w:eastAsia="zh-CN"/>
              </w:rPr>
              <w:t>。</w:t>
            </w:r>
          </w:p>
        </w:tc>
        <w:tc>
          <w:tcPr>
            <w:tcW w:w="1108" w:type="pct"/>
            <w:noWrap w:val="0"/>
            <w:vAlign w:val="center"/>
          </w:tcPr>
          <w:p>
            <w:pPr>
              <w:keepNext w:val="0"/>
              <w:keepLines w:val="0"/>
              <w:pageBreakBefore w:val="0"/>
              <w:kinsoku/>
              <w:wordWrap w:val="0"/>
              <w:overflowPunct/>
              <w:topLinePunct w:val="0"/>
              <w:autoSpaceDE/>
              <w:autoSpaceDN/>
              <w:bidi w:val="0"/>
              <w:adjustRightInd w:val="0"/>
              <w:snapToGrid w:val="0"/>
              <w:jc w:val="both"/>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sz w:val="24"/>
                <w:szCs w:val="24"/>
              </w:rPr>
              <w:t>建立健全突发环境事件应急预案；加强设备保养，保证设备设施的正常运行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环境监测</w:t>
            </w:r>
          </w:p>
        </w:tc>
        <w:tc>
          <w:tcPr>
            <w:tcW w:w="11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25"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制定环境监测计划</w:t>
            </w:r>
          </w:p>
        </w:tc>
        <w:tc>
          <w:tcPr>
            <w:tcW w:w="1108"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6"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w:t>
            </w:r>
          </w:p>
        </w:tc>
        <w:tc>
          <w:tcPr>
            <w:tcW w:w="11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814"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25"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108" w:type="pct"/>
            <w:noWrap w:val="0"/>
            <w:vAlign w:val="center"/>
          </w:tcPr>
          <w:p>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bl>
    <w:p>
      <w:pPr>
        <w:pStyle w:val="21"/>
        <w:spacing w:before="0" w:beforeAutospacing="0" w:line="14" w:lineRule="auto"/>
        <w:jc w:val="center"/>
        <w:outlineLvl w:val="9"/>
        <w:rPr>
          <w:rFonts w:hint="eastAsia" w:ascii="黑体" w:hAnsi="黑体" w:eastAsia="黑体"/>
          <w:snapToGrid w:val="0"/>
          <w:sz w:val="30"/>
          <w:szCs w:val="30"/>
        </w:rPr>
      </w:pPr>
      <w:r>
        <w:rPr>
          <w:rFonts w:ascii="黑体" w:hAnsi="黑体" w:eastAsia="黑体"/>
          <w:snapToGrid w:val="0"/>
          <w:sz w:val="30"/>
          <w:szCs w:val="30"/>
        </w:rPr>
        <w:br w:type="page"/>
      </w:r>
    </w:p>
    <w:p>
      <w:pPr>
        <w:pStyle w:val="21"/>
        <w:spacing w:before="192" w:beforeLines="80" w:beforeAutospacing="0"/>
        <w:jc w:val="center"/>
        <w:outlineLvl w:val="0"/>
        <w:rPr>
          <w:rFonts w:ascii="黑体" w:hAnsi="黑体" w:eastAsia="黑体"/>
          <w:snapToGrid w:val="0"/>
          <w:sz w:val="30"/>
          <w:szCs w:val="30"/>
        </w:rPr>
      </w:pPr>
      <w:r>
        <w:rPr>
          <w:rFonts w:hint="eastAsia" w:ascii="黑体" w:hAnsi="黑体" w:eastAsia="黑体"/>
          <w:snapToGrid w:val="0"/>
          <w:sz w:val="30"/>
          <w:szCs w:val="30"/>
        </w:rPr>
        <w:t>七、结论</w:t>
      </w:r>
    </w:p>
    <w:tbl>
      <w:tblPr>
        <w:tblStyle w:val="23"/>
        <w:tblW w:w="83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73" w:hRule="atLeast"/>
          <w:jc w:val="center"/>
        </w:trPr>
        <w:tc>
          <w:tcPr>
            <w:tcW w:w="8380" w:type="dxa"/>
            <w:noWrap w:val="0"/>
            <w:vAlign w:val="center"/>
          </w:tcPr>
          <w:p>
            <w:pPr>
              <w:autoSpaceDE w:val="0"/>
              <w:autoSpaceDN w:val="0"/>
              <w:adjustRightInd w:val="0"/>
              <w:spacing w:line="360" w:lineRule="auto"/>
              <w:ind w:firstLine="480" w:firstLineChars="200"/>
              <w:jc w:val="both"/>
              <w:rPr>
                <w:rFonts w:ascii="宋体" w:hAnsi="宋体" w:cs="宋体"/>
                <w:szCs w:val="21"/>
              </w:rPr>
            </w:pPr>
            <w:r>
              <w:rPr>
                <w:sz w:val="24"/>
              </w:rPr>
              <w:t>综合上述，项目方应严格实施本环评报告提出的各项环保措施和建议，做到污染物达标排放，做好生态环境保护与恢复。在严格落实本环评提出的各项污染物治理和生态保护措施的前提下，该项目的建设不会对区域环境质量及生态</w:t>
            </w:r>
            <w:r>
              <w:rPr>
                <w:rFonts w:hint="eastAsia"/>
                <w:sz w:val="24"/>
              </w:rPr>
              <w:t>环境</w:t>
            </w:r>
            <w:r>
              <w:rPr>
                <w:sz w:val="24"/>
              </w:rPr>
              <w:t>产生大的影响，从环境保护角度分析，本项</w:t>
            </w:r>
            <w:r>
              <w:rPr>
                <w:rFonts w:hint="eastAsia"/>
                <w:sz w:val="24"/>
                <w:lang w:eastAsia="zh-CN"/>
              </w:rPr>
              <w:t>目环境影响</w:t>
            </w:r>
            <w:r>
              <w:rPr>
                <w:sz w:val="24"/>
              </w:rPr>
              <w:t>可行。</w:t>
            </w:r>
          </w:p>
        </w:tc>
      </w:tr>
    </w:tbl>
    <w:p/>
    <w:sectPr>
      <w:pgSz w:w="11906" w:h="16838"/>
      <w:pgMar w:top="1304" w:right="1304" w:bottom="1304" w:left="1361"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46B295"/>
    <w:multiLevelType w:val="singleLevel"/>
    <w:tmpl w:val="3146B295"/>
    <w:lvl w:ilvl="0" w:tentative="0">
      <w:start w:val="1"/>
      <w:numFmt w:val="bullet"/>
      <w:pStyle w:val="12"/>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5MDRjOTcyYjMwZGVhZjlhNTlmNDM5MDFkOWQyYjgifQ=="/>
  </w:docVars>
  <w:rsids>
    <w:rsidRoot w:val="4DBC700F"/>
    <w:rsid w:val="00974B11"/>
    <w:rsid w:val="01B73123"/>
    <w:rsid w:val="02730C88"/>
    <w:rsid w:val="034419D7"/>
    <w:rsid w:val="03575C81"/>
    <w:rsid w:val="036D5BCC"/>
    <w:rsid w:val="038020DC"/>
    <w:rsid w:val="03EF7F3A"/>
    <w:rsid w:val="045C1E4C"/>
    <w:rsid w:val="062D5674"/>
    <w:rsid w:val="07413D40"/>
    <w:rsid w:val="084B781B"/>
    <w:rsid w:val="08A41020"/>
    <w:rsid w:val="09383F13"/>
    <w:rsid w:val="09595A6C"/>
    <w:rsid w:val="0AE012C3"/>
    <w:rsid w:val="0B066219"/>
    <w:rsid w:val="0B12589A"/>
    <w:rsid w:val="0B475BA6"/>
    <w:rsid w:val="0B6902FF"/>
    <w:rsid w:val="0CD95A76"/>
    <w:rsid w:val="0D5C45C0"/>
    <w:rsid w:val="0DE17DD9"/>
    <w:rsid w:val="0E014DEB"/>
    <w:rsid w:val="0E247469"/>
    <w:rsid w:val="0FE50EF5"/>
    <w:rsid w:val="10B4201D"/>
    <w:rsid w:val="10F84E8C"/>
    <w:rsid w:val="121F3E0E"/>
    <w:rsid w:val="13042D3F"/>
    <w:rsid w:val="138C6048"/>
    <w:rsid w:val="13CE3600"/>
    <w:rsid w:val="13E946D3"/>
    <w:rsid w:val="148C79F4"/>
    <w:rsid w:val="17771FF6"/>
    <w:rsid w:val="1866170F"/>
    <w:rsid w:val="1E722210"/>
    <w:rsid w:val="1EAC1B99"/>
    <w:rsid w:val="1EB31D4F"/>
    <w:rsid w:val="1EB478FA"/>
    <w:rsid w:val="1FF02946"/>
    <w:rsid w:val="212256F2"/>
    <w:rsid w:val="216C336E"/>
    <w:rsid w:val="21CD1CA2"/>
    <w:rsid w:val="21EF5A0C"/>
    <w:rsid w:val="22FD7A6D"/>
    <w:rsid w:val="23395391"/>
    <w:rsid w:val="25A23C70"/>
    <w:rsid w:val="25B14644"/>
    <w:rsid w:val="26C126BE"/>
    <w:rsid w:val="279E7C8C"/>
    <w:rsid w:val="28030205"/>
    <w:rsid w:val="28377363"/>
    <w:rsid w:val="29E041ED"/>
    <w:rsid w:val="2ABF7369"/>
    <w:rsid w:val="2BA3755A"/>
    <w:rsid w:val="2C5D2CB7"/>
    <w:rsid w:val="2DD57C31"/>
    <w:rsid w:val="2E316482"/>
    <w:rsid w:val="2F26024F"/>
    <w:rsid w:val="2F5C74B4"/>
    <w:rsid w:val="2F620389"/>
    <w:rsid w:val="301B57BD"/>
    <w:rsid w:val="30576C24"/>
    <w:rsid w:val="309D08C8"/>
    <w:rsid w:val="312B5ED3"/>
    <w:rsid w:val="312E2939"/>
    <w:rsid w:val="316870E5"/>
    <w:rsid w:val="34C26737"/>
    <w:rsid w:val="36050AA1"/>
    <w:rsid w:val="363E0457"/>
    <w:rsid w:val="36820344"/>
    <w:rsid w:val="369818A0"/>
    <w:rsid w:val="36DD40B2"/>
    <w:rsid w:val="37515F68"/>
    <w:rsid w:val="37CA7D30"/>
    <w:rsid w:val="397B6359"/>
    <w:rsid w:val="398505BD"/>
    <w:rsid w:val="39F257E0"/>
    <w:rsid w:val="3A3234E0"/>
    <w:rsid w:val="3B124611"/>
    <w:rsid w:val="3C4675C6"/>
    <w:rsid w:val="3CDD2778"/>
    <w:rsid w:val="3FF753B2"/>
    <w:rsid w:val="40512B35"/>
    <w:rsid w:val="41624789"/>
    <w:rsid w:val="42017B02"/>
    <w:rsid w:val="42584F21"/>
    <w:rsid w:val="42E61C5A"/>
    <w:rsid w:val="44F72772"/>
    <w:rsid w:val="450848A1"/>
    <w:rsid w:val="46BD3878"/>
    <w:rsid w:val="494E7D9B"/>
    <w:rsid w:val="49C6610C"/>
    <w:rsid w:val="4A1B043B"/>
    <w:rsid w:val="4A2B43F6"/>
    <w:rsid w:val="4AEE031F"/>
    <w:rsid w:val="4BA02254"/>
    <w:rsid w:val="4BA179D5"/>
    <w:rsid w:val="4DBC700F"/>
    <w:rsid w:val="4DD15E5D"/>
    <w:rsid w:val="4DDA6459"/>
    <w:rsid w:val="4F130748"/>
    <w:rsid w:val="4FAC276B"/>
    <w:rsid w:val="50F639B0"/>
    <w:rsid w:val="52474C44"/>
    <w:rsid w:val="534E758D"/>
    <w:rsid w:val="539162AB"/>
    <w:rsid w:val="53D251E3"/>
    <w:rsid w:val="55CD58BC"/>
    <w:rsid w:val="55F0565E"/>
    <w:rsid w:val="562E3CAF"/>
    <w:rsid w:val="5641747C"/>
    <w:rsid w:val="565C2ED8"/>
    <w:rsid w:val="57885D46"/>
    <w:rsid w:val="57B7551B"/>
    <w:rsid w:val="589A2A89"/>
    <w:rsid w:val="58E477AC"/>
    <w:rsid w:val="59764C4C"/>
    <w:rsid w:val="5A875FDB"/>
    <w:rsid w:val="5ABB6F61"/>
    <w:rsid w:val="5CCC3817"/>
    <w:rsid w:val="5E193B03"/>
    <w:rsid w:val="60073642"/>
    <w:rsid w:val="61834B13"/>
    <w:rsid w:val="61FB1D2A"/>
    <w:rsid w:val="63761572"/>
    <w:rsid w:val="638407FE"/>
    <w:rsid w:val="64D91F3D"/>
    <w:rsid w:val="6851065F"/>
    <w:rsid w:val="68F215EF"/>
    <w:rsid w:val="697B1EDF"/>
    <w:rsid w:val="69A16399"/>
    <w:rsid w:val="6B273642"/>
    <w:rsid w:val="6B6B7CD2"/>
    <w:rsid w:val="6C042FCD"/>
    <w:rsid w:val="6C266322"/>
    <w:rsid w:val="6C341438"/>
    <w:rsid w:val="6CE57ECF"/>
    <w:rsid w:val="6CEC42EA"/>
    <w:rsid w:val="6D913E51"/>
    <w:rsid w:val="6E4168D7"/>
    <w:rsid w:val="6EE34295"/>
    <w:rsid w:val="6EF65A2C"/>
    <w:rsid w:val="6FF07002"/>
    <w:rsid w:val="70480FAF"/>
    <w:rsid w:val="70A367DC"/>
    <w:rsid w:val="70CE02C3"/>
    <w:rsid w:val="7115433D"/>
    <w:rsid w:val="713D7F06"/>
    <w:rsid w:val="716D2879"/>
    <w:rsid w:val="727F62A6"/>
    <w:rsid w:val="7315786E"/>
    <w:rsid w:val="74CB3ABA"/>
    <w:rsid w:val="7A6730A5"/>
    <w:rsid w:val="7B226FCC"/>
    <w:rsid w:val="7B8D4BBD"/>
    <w:rsid w:val="7D11554A"/>
    <w:rsid w:val="7D522B43"/>
    <w:rsid w:val="7EB47670"/>
    <w:rsid w:val="7EC51058"/>
    <w:rsid w:val="7F3E55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keepNext/>
      <w:keepLines/>
      <w:spacing w:before="20" w:beforeLines="0" w:after="20" w:afterLines="0" w:line="560" w:lineRule="exact"/>
      <w:jc w:val="left"/>
      <w:outlineLvl w:val="1"/>
    </w:pPr>
    <w:rPr>
      <w:b/>
      <w:bCs/>
      <w:sz w:val="28"/>
      <w:szCs w:val="28"/>
    </w:rPr>
  </w:style>
  <w:style w:type="paragraph" w:styleId="6">
    <w:name w:val="heading 3"/>
    <w:basedOn w:val="1"/>
    <w:next w:val="1"/>
    <w:qFormat/>
    <w:uiPriority w:val="0"/>
    <w:pPr>
      <w:keepNext/>
      <w:keepLines/>
      <w:spacing w:before="260" w:after="260" w:line="416" w:lineRule="auto"/>
      <w:jc w:val="left"/>
      <w:outlineLvl w:val="2"/>
    </w:pPr>
    <w:rPr>
      <w:b/>
      <w:bCs/>
      <w:sz w:val="30"/>
      <w:szCs w:val="32"/>
    </w:rPr>
  </w:style>
  <w:style w:type="paragraph" w:styleId="7">
    <w:name w:val="heading 4"/>
    <w:basedOn w:val="1"/>
    <w:next w:val="1"/>
    <w:unhideWhenUsed/>
    <w:qFormat/>
    <w:uiPriority w:val="0"/>
    <w:pPr>
      <w:spacing w:line="240" w:lineRule="auto"/>
      <w:ind w:firstLine="0" w:firstLineChars="0"/>
      <w:outlineLvl w:val="3"/>
    </w:pPr>
    <w:rPr>
      <w:rFonts w:ascii="Times New Roman" w:hAnsi="Times New Roman" w:eastAsia="宋体"/>
      <w:bCs/>
      <w:sz w:val="21"/>
      <w:szCs w:val="28"/>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2">
    <w:name w:val="Body Text First Indent"/>
    <w:basedOn w:val="1"/>
    <w:next w:val="3"/>
    <w:qFormat/>
    <w:uiPriority w:val="0"/>
    <w:pPr>
      <w:ind w:firstLine="420" w:firstLineChars="100"/>
    </w:pPr>
  </w:style>
  <w:style w:type="paragraph" w:styleId="3">
    <w:name w:val="Body Text First Indent 2"/>
    <w:basedOn w:val="1"/>
    <w:next w:val="4"/>
    <w:qFormat/>
    <w:uiPriority w:val="0"/>
    <w:pPr>
      <w:widowControl w:val="0"/>
      <w:adjustRightInd w:val="0"/>
      <w:snapToGrid w:val="0"/>
      <w:spacing w:after="120" w:line="480" w:lineRule="exact"/>
      <w:ind w:left="420" w:leftChars="200" w:firstLine="420" w:firstLineChars="200"/>
      <w:jc w:val="both"/>
    </w:pPr>
    <w:rPr>
      <w:rFonts w:ascii="宋体" w:eastAsia="黑体"/>
      <w:snapToGrid w:val="0"/>
      <w:spacing w:val="12"/>
      <w:sz w:val="28"/>
      <w:szCs w:val="24"/>
      <w:lang w:val="en-US" w:eastAsia="zh-CN" w:bidi="ar-SA"/>
    </w:rPr>
  </w:style>
  <w:style w:type="paragraph" w:styleId="4">
    <w:name w:val="List Continue 4"/>
    <w:basedOn w:val="1"/>
    <w:next w:val="1"/>
    <w:qFormat/>
    <w:uiPriority w:val="0"/>
    <w:pPr>
      <w:tabs>
        <w:tab w:val="left" w:pos="425"/>
      </w:tabs>
      <w:spacing w:after="120"/>
      <w:ind w:left="1680" w:leftChars="800"/>
    </w:pPr>
  </w:style>
  <w:style w:type="paragraph" w:styleId="8">
    <w:name w:val="Normal Indent"/>
    <w:basedOn w:val="1"/>
    <w:next w:val="1"/>
    <w:qFormat/>
    <w:uiPriority w:val="0"/>
    <w:pPr>
      <w:spacing w:line="240" w:lineRule="auto"/>
      <w:ind w:firstLine="0" w:firstLineChars="0"/>
      <w:jc w:val="center"/>
    </w:pPr>
    <w:rPr>
      <w:rFonts w:ascii="Times New Roman" w:hAnsi="Times New Roman"/>
      <w:sz w:val="21"/>
    </w:rPr>
  </w:style>
  <w:style w:type="paragraph" w:styleId="9">
    <w:name w:val="caption"/>
    <w:basedOn w:val="1"/>
    <w:next w:val="1"/>
    <w:qFormat/>
    <w:uiPriority w:val="0"/>
    <w:pPr>
      <w:spacing w:before="152" w:beforeLines="0" w:after="160" w:afterLines="0" w:line="240" w:lineRule="auto"/>
      <w:ind w:firstLine="0" w:firstLineChars="0"/>
      <w:jc w:val="center"/>
    </w:pPr>
    <w:rPr>
      <w:rFonts w:ascii="Times New Roman" w:hAnsi="Times New Roman" w:eastAsia="宋体" w:cs="Arial"/>
      <w:kern w:val="2"/>
      <w:sz w:val="21"/>
      <w:szCs w:val="21"/>
    </w:rPr>
  </w:style>
  <w:style w:type="paragraph" w:styleId="10">
    <w:name w:val="annotation text"/>
    <w:basedOn w:val="1"/>
    <w:semiHidden/>
    <w:qFormat/>
    <w:uiPriority w:val="0"/>
    <w:pPr>
      <w:jc w:val="left"/>
    </w:pPr>
    <w:rPr>
      <w:kern w:val="0"/>
      <w:sz w:val="20"/>
    </w:rPr>
  </w:style>
  <w:style w:type="paragraph" w:styleId="11">
    <w:name w:val="Body Text"/>
    <w:basedOn w:val="1"/>
    <w:next w:val="12"/>
    <w:qFormat/>
    <w:uiPriority w:val="0"/>
    <w:pPr>
      <w:widowControl/>
      <w:snapToGrid w:val="0"/>
      <w:spacing w:before="60" w:after="160" w:line="259" w:lineRule="auto"/>
      <w:ind w:right="113"/>
    </w:pPr>
    <w:rPr>
      <w:kern w:val="0"/>
      <w:sz w:val="18"/>
      <w:szCs w:val="18"/>
    </w:rPr>
  </w:style>
  <w:style w:type="paragraph" w:styleId="12">
    <w:name w:val="List Bullet 5"/>
    <w:basedOn w:val="1"/>
    <w:qFormat/>
    <w:uiPriority w:val="0"/>
    <w:pPr>
      <w:numPr>
        <w:ilvl w:val="0"/>
        <w:numId w:val="1"/>
      </w:numPr>
    </w:pPr>
  </w:style>
  <w:style w:type="paragraph" w:styleId="13">
    <w:name w:val="Body Text Indent"/>
    <w:basedOn w:val="1"/>
    <w:semiHidden/>
    <w:qFormat/>
    <w:uiPriority w:val="0"/>
    <w:pPr>
      <w:spacing w:after="120"/>
      <w:ind w:left="420" w:leftChars="200"/>
    </w:pPr>
  </w:style>
  <w:style w:type="paragraph" w:styleId="14">
    <w:name w:val="Body Text Indent 2"/>
    <w:basedOn w:val="1"/>
    <w:qFormat/>
    <w:uiPriority w:val="0"/>
    <w:pPr>
      <w:spacing w:after="120" w:afterLines="0" w:line="480" w:lineRule="auto"/>
      <w:ind w:left="420" w:leftChars="200"/>
    </w:pPr>
    <w:rPr>
      <w:szCs w:val="24"/>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List"/>
    <w:basedOn w:val="1"/>
    <w:next w:val="1"/>
    <w:qFormat/>
    <w:uiPriority w:val="0"/>
    <w:pPr>
      <w:spacing w:line="360" w:lineRule="auto"/>
      <w:ind w:left="200" w:hanging="200" w:hangingChars="200"/>
    </w:pPr>
    <w:rPr>
      <w:sz w:val="24"/>
    </w:rPr>
  </w:style>
  <w:style w:type="paragraph" w:styleId="18">
    <w:name w:val="Body Text Indent 3"/>
    <w:basedOn w:val="1"/>
    <w:qFormat/>
    <w:uiPriority w:val="0"/>
    <w:pPr>
      <w:spacing w:after="120"/>
      <w:ind w:left="420" w:leftChars="200"/>
    </w:pPr>
    <w:rPr>
      <w:sz w:val="16"/>
      <w:szCs w:val="16"/>
    </w:rPr>
  </w:style>
  <w:style w:type="paragraph" w:styleId="19">
    <w:name w:val="table of figures"/>
    <w:basedOn w:val="1"/>
    <w:next w:val="1"/>
    <w:unhideWhenUsed/>
    <w:qFormat/>
    <w:uiPriority w:val="99"/>
    <w:pPr>
      <w:jc w:val="center"/>
    </w:pPr>
    <w:rPr>
      <w:sz w:val="24"/>
    </w:rPr>
  </w:style>
  <w:style w:type="paragraph" w:styleId="20">
    <w:name w:val="toc 9"/>
    <w:basedOn w:val="1"/>
    <w:next w:val="1"/>
    <w:qFormat/>
    <w:uiPriority w:val="0"/>
    <w:pPr>
      <w:spacing w:line="440" w:lineRule="exact"/>
      <w:ind w:left="1920" w:firstLine="200" w:firstLineChars="200"/>
      <w:jc w:val="left"/>
    </w:pPr>
    <w:rPr>
      <w:spacing w:val="20"/>
      <w:szCs w:val="21"/>
    </w:rPr>
  </w:style>
  <w:style w:type="paragraph" w:styleId="21">
    <w:name w:val="Normal (Web)"/>
    <w:basedOn w:val="1"/>
    <w:qFormat/>
    <w:uiPriority w:val="0"/>
    <w:pPr>
      <w:widowControl/>
      <w:spacing w:before="100" w:beforeAutospacing="1" w:after="100" w:afterAutospacing="1"/>
      <w:jc w:val="left"/>
    </w:pPr>
    <w:rPr>
      <w:rFonts w:ascii="宋体" w:hAnsi="宋体"/>
      <w:kern w:val="0"/>
      <w:sz w:val="24"/>
    </w:rPr>
  </w:style>
  <w:style w:type="paragraph" w:styleId="22">
    <w:name w:val="Title"/>
    <w:basedOn w:val="1"/>
    <w:next w:val="1"/>
    <w:qFormat/>
    <w:uiPriority w:val="10"/>
    <w:pPr>
      <w:spacing w:before="240" w:after="60"/>
      <w:ind w:firstLine="562"/>
      <w:jc w:val="center"/>
      <w:outlineLvl w:val="0"/>
    </w:pPr>
    <w:rPr>
      <w:rFonts w:ascii="Arial" w:hAnsi="Arial" w:cs="Arial"/>
      <w:b/>
      <w:bCs/>
      <w:szCs w:val="32"/>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paragraph" w:customStyle="1" w:styleId="27">
    <w:name w:val="Default"/>
    <w:basedOn w:val="28"/>
    <w:next w:val="1"/>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28">
    <w:name w:val="1 表头"/>
    <w:basedOn w:val="1"/>
    <w:qFormat/>
    <w:uiPriority w:val="0"/>
    <w:pPr>
      <w:spacing w:line="240" w:lineRule="auto"/>
      <w:ind w:firstLine="0" w:firstLineChars="0"/>
      <w:jc w:val="center"/>
    </w:pPr>
    <w:rPr>
      <w:b/>
      <w:color w:val="000000"/>
      <w:sz w:val="21"/>
      <w:szCs w:val="21"/>
    </w:rPr>
  </w:style>
  <w:style w:type="paragraph" w:customStyle="1" w:styleId="29">
    <w:name w:val="图表标题"/>
    <w:basedOn w:val="1"/>
    <w:qFormat/>
    <w:uiPriority w:val="0"/>
    <w:pPr>
      <w:spacing w:line="480" w:lineRule="exact"/>
      <w:ind w:firstLine="0" w:firstLineChars="0"/>
      <w:jc w:val="center"/>
      <w:outlineLvl w:val="9"/>
    </w:pPr>
    <w:rPr>
      <w:rFonts w:ascii="Times New Roman" w:hAnsi="Times New Roman" w:eastAsia="宋体"/>
      <w:b/>
      <w:bCs/>
      <w:color w:val="auto"/>
    </w:rPr>
  </w:style>
  <w:style w:type="paragraph" w:customStyle="1" w:styleId="30">
    <w:name w:val="表内文字"/>
    <w:basedOn w:val="1"/>
    <w:qFormat/>
    <w:uiPriority w:val="0"/>
    <w:pPr>
      <w:adjustRightInd w:val="0"/>
      <w:snapToGrid w:val="0"/>
      <w:spacing w:line="240" w:lineRule="auto"/>
      <w:ind w:firstLine="0" w:firstLineChars="0"/>
      <w:jc w:val="center"/>
    </w:pPr>
    <w:rPr>
      <w:rFonts w:ascii="Times New Roman" w:hAnsi="Times New Roman"/>
      <w:sz w:val="21"/>
      <w:szCs w:val="21"/>
    </w:rPr>
  </w:style>
  <w:style w:type="paragraph" w:customStyle="1" w:styleId="31">
    <w:name w:val="表内居左"/>
    <w:qFormat/>
    <w:uiPriority w:val="0"/>
    <w:pPr>
      <w:adjustRightInd w:val="0"/>
      <w:snapToGrid w:val="0"/>
      <w:jc w:val="both"/>
    </w:pPr>
    <w:rPr>
      <w:rFonts w:ascii="宋体" w:hAnsi="Times New Roman" w:eastAsia="宋体" w:cs="Times New Roman"/>
      <w:sz w:val="21"/>
      <w:lang w:val="en-US" w:eastAsia="zh-CN" w:bidi="ar-SA"/>
    </w:rPr>
  </w:style>
  <w:style w:type="paragraph" w:customStyle="1" w:styleId="32">
    <w:name w:val="表格"/>
    <w:basedOn w:val="1"/>
    <w:next w:val="1"/>
    <w:qFormat/>
    <w:uiPriority w:val="0"/>
    <w:pPr>
      <w:adjustRightInd w:val="0"/>
      <w:snapToGrid w:val="0"/>
      <w:spacing w:beforeLines="10" w:afterLines="10" w:line="259" w:lineRule="auto"/>
      <w:jc w:val="center"/>
    </w:pPr>
    <w:rPr>
      <w:rFonts w:ascii="宋体"/>
      <w:kern w:val="0"/>
      <w:sz w:val="20"/>
      <w:szCs w:val="21"/>
    </w:rPr>
  </w:style>
  <w:style w:type="paragraph" w:customStyle="1" w:styleId="33">
    <w:name w:val="正文+宋体"/>
    <w:basedOn w:val="1"/>
    <w:qFormat/>
    <w:uiPriority w:val="0"/>
    <w:pPr>
      <w:spacing w:line="360" w:lineRule="auto"/>
      <w:ind w:firstLine="480" w:firstLineChars="200"/>
    </w:pPr>
    <w:rPr>
      <w:rFonts w:ascii="宋体" w:hAnsi="宋体" w:eastAsia="宋体"/>
      <w:snapToGrid w:val="0"/>
      <w:kern w:val="24"/>
      <w:sz w:val="24"/>
    </w:rPr>
  </w:style>
  <w:style w:type="paragraph" w:customStyle="1" w:styleId="34">
    <w:name w:val="表文煤矿排版"/>
    <w:basedOn w:val="1"/>
    <w:next w:val="1"/>
    <w:qFormat/>
    <w:uiPriority w:val="0"/>
    <w:pPr>
      <w:adjustRightInd w:val="0"/>
      <w:snapToGrid w:val="0"/>
      <w:spacing w:line="240" w:lineRule="auto"/>
      <w:ind w:firstLine="0" w:firstLineChars="0"/>
      <w:jc w:val="center"/>
    </w:pPr>
    <w:rPr>
      <w:rFonts w:ascii="Times New Roman" w:hAnsi="Times New Roman" w:eastAsia="宋体" w:cs="Times New Roman"/>
      <w:sz w:val="22"/>
      <w:szCs w:val="22"/>
    </w:rPr>
  </w:style>
  <w:style w:type="paragraph" w:customStyle="1" w:styleId="35">
    <w:name w:val="1正文段落"/>
    <w:basedOn w:val="1"/>
    <w:qFormat/>
    <w:uiPriority w:val="0"/>
    <w:pPr>
      <w:spacing w:line="360" w:lineRule="auto"/>
      <w:ind w:firstLine="480" w:firstLineChars="200"/>
      <w:jc w:val="left"/>
    </w:pPr>
    <w:rPr>
      <w:snapToGrid w:val="0"/>
      <w:kern w:val="0"/>
      <w:sz w:val="24"/>
    </w:rPr>
  </w:style>
  <w:style w:type="paragraph" w:customStyle="1" w:styleId="36">
    <w:name w:val="样式5"/>
    <w:basedOn w:val="1"/>
    <w:qFormat/>
    <w:uiPriority w:val="0"/>
    <w:pPr>
      <w:spacing w:line="580" w:lineRule="exact"/>
      <w:ind w:firstLine="720" w:firstLineChars="300"/>
    </w:pPr>
    <w:rPr>
      <w:rFonts w:ascii="黑体" w:eastAsia="黑体"/>
      <w:bCs/>
      <w:kern w:val="0"/>
      <w:sz w:val="24"/>
    </w:rPr>
  </w:style>
  <w:style w:type="paragraph" w:customStyle="1" w:styleId="37">
    <w:name w:val="表、图名"/>
    <w:basedOn w:val="1"/>
    <w:qFormat/>
    <w:uiPriority w:val="0"/>
    <w:pPr>
      <w:widowControl/>
      <w:spacing w:line="520" w:lineRule="exact"/>
      <w:jc w:val="center"/>
    </w:pPr>
    <w:rPr>
      <w:b/>
    </w:rPr>
  </w:style>
  <w:style w:type="paragraph" w:customStyle="1" w:styleId="38">
    <w:name w:val="样式 样式 (中文) 楷体_GB2312 四号 行距: 固定值 26 磅 +"/>
    <w:basedOn w:val="1"/>
    <w:qFormat/>
    <w:uiPriority w:val="0"/>
    <w:pPr>
      <w:spacing w:line="360" w:lineRule="auto"/>
      <w:ind w:firstLine="480" w:firstLineChars="200"/>
    </w:pPr>
    <w:rPr>
      <w:kern w:val="0"/>
      <w:sz w:val="24"/>
      <w:szCs w:val="20"/>
    </w:rPr>
  </w:style>
  <w:style w:type="paragraph" w:customStyle="1" w:styleId="39">
    <w:name w:val="纯文本1"/>
    <w:basedOn w:val="1"/>
    <w:qFormat/>
    <w:uiPriority w:val="0"/>
    <w:pPr>
      <w:adjustRightInd w:val="0"/>
    </w:pPr>
    <w:rPr>
      <w:rFonts w:ascii="宋体" w:hAnsi="Courier New"/>
      <w:szCs w:val="20"/>
    </w:rPr>
  </w:style>
  <w:style w:type="paragraph" w:customStyle="1" w:styleId="40">
    <w:name w:val="标题2"/>
    <w:next w:val="5"/>
    <w:qFormat/>
    <w:uiPriority w:val="0"/>
    <w:pPr>
      <w:adjustRightInd w:val="0"/>
      <w:snapToGrid w:val="0"/>
      <w:spacing w:line="360" w:lineRule="auto"/>
      <w:jc w:val="both"/>
    </w:pPr>
    <w:rPr>
      <w:rFonts w:ascii="宋体" w:hAnsi="Arial" w:eastAsia="宋体" w:cs="Times New Roman"/>
      <w:b/>
      <w:sz w:val="21"/>
      <w:lang w:val="en-US" w:eastAsia="zh-CN" w:bidi="ar-SA"/>
    </w:rPr>
  </w:style>
  <w:style w:type="paragraph" w:customStyle="1" w:styleId="41">
    <w:name w:val="表标头jophy"/>
    <w:qFormat/>
    <w:uiPriority w:val="0"/>
    <w:pPr>
      <w:adjustRightInd w:val="0"/>
      <w:snapToGrid w:val="0"/>
      <w:jc w:val="center"/>
    </w:pPr>
    <w:rPr>
      <w:rFonts w:ascii="Times New Roman" w:hAnsi="Times New Roman" w:eastAsia="Times New Roman" w:cs="Times New Roman"/>
      <w:b/>
      <w:bCs/>
      <w:kern w:val="2"/>
      <w:sz w:val="24"/>
      <w:szCs w:val="28"/>
      <w:lang w:val="en-US" w:eastAsia="zh-CN" w:bidi="ar-SA"/>
    </w:rPr>
  </w:style>
  <w:style w:type="paragraph" w:customStyle="1" w:styleId="42">
    <w:name w:val="表格头jophy"/>
    <w:basedOn w:val="1"/>
    <w:qFormat/>
    <w:uiPriority w:val="0"/>
    <w:pPr>
      <w:adjustRightInd w:val="0"/>
      <w:snapToGrid w:val="0"/>
      <w:jc w:val="center"/>
      <w:textAlignment w:val="baseline"/>
    </w:pPr>
    <w:rPr>
      <w:b/>
      <w:bCs/>
      <w:spacing w:val="-10"/>
      <w:kern w:val="0"/>
      <w:szCs w:val="28"/>
    </w:rPr>
  </w:style>
  <w:style w:type="paragraph" w:customStyle="1" w:styleId="43">
    <w:name w:val="表格内容jophy"/>
    <w:basedOn w:val="1"/>
    <w:qFormat/>
    <w:uiPriority w:val="0"/>
    <w:pPr>
      <w:adjustRightInd w:val="0"/>
      <w:snapToGrid w:val="0"/>
      <w:jc w:val="center"/>
    </w:pPr>
    <w:rPr>
      <w:szCs w:val="18"/>
    </w:rPr>
  </w:style>
  <w:style w:type="table" w:customStyle="1" w:styleId="44">
    <w:name w:val="TableGrid"/>
    <w:basedOn w:val="23"/>
    <w:qFormat/>
    <w:uiPriority w:val="0"/>
    <w:rPr>
      <w:rFonts w:ascii="等线" w:hAnsi="等线" w:eastAsia="等线" w:cs="等线"/>
      <w:kern w:val="2"/>
      <w:sz w:val="21"/>
      <w:szCs w:val="22"/>
    </w:rPr>
    <w:tblPr>
      <w:tblCellMar>
        <w:top w:w="0" w:type="dxa"/>
        <w:left w:w="0" w:type="dxa"/>
        <w:bottom w:w="0" w:type="dxa"/>
        <w:right w:w="0" w:type="dxa"/>
      </w:tblCellMar>
    </w:tblPr>
  </w:style>
  <w:style w:type="paragraph" w:customStyle="1" w:styleId="45">
    <w:name w:val="正文1"/>
    <w:basedOn w:val="1"/>
    <w:next w:val="1"/>
    <w:qFormat/>
    <w:uiPriority w:val="0"/>
    <w:pPr>
      <w:adjustRightInd w:val="0"/>
      <w:snapToGrid w:val="0"/>
      <w:spacing w:line="500" w:lineRule="atLeast"/>
      <w:ind w:firstLine="567"/>
    </w:pPr>
    <w:rPr>
      <w:sz w:val="28"/>
    </w:rPr>
  </w:style>
  <w:style w:type="paragraph" w:styleId="46">
    <w:name w:val="List Paragraph"/>
    <w:basedOn w:val="1"/>
    <w:qFormat/>
    <w:uiPriority w:val="1"/>
    <w:pPr>
      <w:ind w:left="1692" w:firstLine="559"/>
    </w:pPr>
    <w:rPr>
      <w:rFonts w:ascii="宋体" w:hAnsi="宋体" w:eastAsia="宋体" w:cs="宋体"/>
      <w:lang w:val="zh-CN" w:eastAsia="zh-CN" w:bidi="zh-CN"/>
    </w:rPr>
  </w:style>
  <w:style w:type="table" w:customStyle="1" w:styleId="47">
    <w:name w:val="Table Normal"/>
    <w:unhideWhenUsed/>
    <w:qFormat/>
    <w:uiPriority w:val="0"/>
    <w:tblPr>
      <w:tblCellMar>
        <w:top w:w="0" w:type="dxa"/>
        <w:left w:w="0" w:type="dxa"/>
        <w:bottom w:w="0" w:type="dxa"/>
        <w:right w:w="0" w:type="dxa"/>
      </w:tblCellMar>
    </w:tblPr>
  </w:style>
  <w:style w:type="paragraph" w:customStyle="1" w:styleId="48">
    <w:name w:val="表格文字"/>
    <w:basedOn w:val="2"/>
    <w:next w:val="1"/>
    <w:qFormat/>
    <w:uiPriority w:val="0"/>
    <w:pPr>
      <w:widowControl w:val="0"/>
      <w:adjustRightInd w:val="0"/>
      <w:spacing w:line="400" w:lineRule="exact"/>
      <w:jc w:val="center"/>
      <w:textAlignment w:val="baseline"/>
    </w:pPr>
    <w:rPr>
      <w:rFonts w:ascii="Times New Roman" w:hAnsi="Times New Roman" w:cs="Times New Roman"/>
      <w:kern w:val="2"/>
      <w:sz w:val="21"/>
      <w:szCs w:val="20"/>
    </w:rPr>
  </w:style>
  <w:style w:type="paragraph" w:customStyle="1" w:styleId="49">
    <w:name w:val="【正文】"/>
    <w:qFormat/>
    <w:uiPriority w:val="0"/>
    <w:pPr>
      <w:widowControl w:val="0"/>
      <w:spacing w:line="440" w:lineRule="exact"/>
      <w:ind w:firstLine="544" w:firstLineChars="200"/>
      <w:jc w:val="both"/>
    </w:pPr>
    <w:rPr>
      <w:rFonts w:ascii="Times New Roman" w:hAnsi="Times New Roman" w:eastAsia="宋体" w:cs="宋体"/>
      <w:sz w:val="24"/>
      <w:lang w:val="en-US" w:eastAsia="zh-CN" w:bidi="ar-SA"/>
    </w:rPr>
  </w:style>
  <w:style w:type="paragraph" w:customStyle="1" w:styleId="50">
    <w:name w:val="Table Text"/>
    <w:basedOn w:val="1"/>
    <w:semiHidden/>
    <w:qFormat/>
    <w:uiPriority w:val="0"/>
    <w:rPr>
      <w:rFonts w:ascii="宋体" w:hAnsi="宋体" w:eastAsia="宋体" w:cs="宋体"/>
      <w:sz w:val="24"/>
      <w:szCs w:val="24"/>
      <w:lang w:val="en-US" w:eastAsia="en-US" w:bidi="ar-SA"/>
    </w:rPr>
  </w:style>
  <w:style w:type="paragraph" w:customStyle="1" w:styleId="51">
    <w:name w:val="表头"/>
    <w:basedOn w:val="1"/>
    <w:next w:val="1"/>
    <w:qFormat/>
    <w:uiPriority w:val="0"/>
    <w:pPr>
      <w:adjustRightInd w:val="0"/>
      <w:jc w:val="center"/>
      <w:textAlignment w:val="baseline"/>
    </w:pPr>
    <w:rPr>
      <w:rFonts w:ascii="黑体" w:eastAsia="黑体"/>
      <w:kern w:val="0"/>
      <w:sz w:val="24"/>
    </w:rPr>
  </w:style>
  <w:style w:type="paragraph" w:customStyle="1" w:styleId="52">
    <w:name w:val="正文001"/>
    <w:basedOn w:val="1"/>
    <w:qFormat/>
    <w:uiPriority w:val="0"/>
    <w:pPr>
      <w:spacing w:before="60" w:line="460" w:lineRule="exact"/>
      <w:ind w:firstLine="200" w:firstLineChars="200"/>
    </w:pPr>
    <w:rPr>
      <w:sz w:val="24"/>
    </w:rPr>
  </w:style>
  <w:style w:type="paragraph" w:customStyle="1" w:styleId="53">
    <w:name w:val="无间隔1"/>
    <w:qFormat/>
    <w:uiPriority w:val="99"/>
    <w:pPr>
      <w:widowControl w:val="0"/>
    </w:pPr>
    <w:rPr>
      <w:rFonts w:ascii="Times New Roman" w:hAnsi="Times New Roman" w:eastAsia="仿宋_GB2312" w:cs="Times New Roman"/>
      <w:kern w:val="2"/>
      <w:sz w:val="28"/>
      <w:szCs w:val="21"/>
      <w:lang w:val="en-US" w:eastAsia="zh-CN" w:bidi="ar-SA"/>
    </w:rPr>
  </w:style>
  <w:style w:type="paragraph" w:customStyle="1" w:styleId="54">
    <w:name w:val="表格内容"/>
    <w:basedOn w:val="1"/>
    <w:qFormat/>
    <w:uiPriority w:val="0"/>
    <w:pPr>
      <w:keepNext w:val="0"/>
      <w:keepLines w:val="0"/>
      <w:widowControl/>
      <w:suppressLineNumbers w:val="0"/>
      <w:adjustRightInd w:val="0"/>
      <w:snapToGrid w:val="0"/>
      <w:spacing w:beforeLines="0" w:beforeAutospacing="0" w:afterLines="0" w:afterAutospacing="0" w:line="300" w:lineRule="atLeast"/>
      <w:jc w:val="center"/>
    </w:pPr>
    <w:rPr>
      <w:rFonts w:hint="eastAsia" w:ascii="宋体" w:hAnsi="Courier New" w:eastAsia="宋体" w:cs="宋体"/>
      <w:kern w:val="2"/>
      <w:sz w:val="21"/>
      <w:szCs w:val="21"/>
      <w:lang w:val="en-US" w:eastAsia="zh-CN" w:bidi="ar"/>
    </w:rPr>
  </w:style>
  <w:style w:type="paragraph" w:customStyle="1" w:styleId="55">
    <w:name w:val="0正文"/>
    <w:basedOn w:val="21"/>
    <w:qFormat/>
    <w:uiPriority w:val="0"/>
    <w:pPr>
      <w:adjustRightInd w:val="0"/>
      <w:snapToGrid w:val="0"/>
      <w:spacing w:before="0" w:beforeAutospacing="0" w:after="0" w:afterAutospacing="0" w:line="440" w:lineRule="exact"/>
      <w:ind w:firstLine="200" w:firstLineChars="200"/>
      <w:jc w:val="both"/>
    </w:pPr>
    <w:rPr>
      <w:rFonts w:ascii="Times New Roman" w:hAnsi="Times New Roman" w:cs="Times New Roman"/>
      <w:kern w:val="2"/>
    </w:rPr>
  </w:style>
  <w:style w:type="character" w:customStyle="1" w:styleId="56">
    <w:name w:val="正文文本缩进 2 Char"/>
    <w:basedOn w:val="25"/>
    <w:qFormat/>
    <w:uiPriority w:val="0"/>
    <w:rPr>
      <w:rFonts w:eastAsia="宋体"/>
      <w:kern w:val="2"/>
      <w:sz w:val="28"/>
      <w:szCs w:val="24"/>
      <w:lang w:val="en-US" w:eastAsia="zh-CN" w:bidi="ar-SA"/>
    </w:rPr>
  </w:style>
  <w:style w:type="paragraph" w:customStyle="1" w:styleId="57">
    <w:name w:val="表中文字"/>
    <w:basedOn w:val="1"/>
    <w:qFormat/>
    <w:uiPriority w:val="0"/>
    <w:pPr>
      <w:tabs>
        <w:tab w:val="left" w:pos="2700"/>
      </w:tabs>
      <w:spacing w:line="240" w:lineRule="auto"/>
      <w:ind w:firstLine="0" w:firstLineChars="0"/>
      <w:jc w:val="center"/>
      <w:textAlignment w:val="center"/>
    </w:pPr>
    <w:rPr>
      <w:sz w:val="21"/>
      <w:szCs w:val="21"/>
    </w:rPr>
  </w:style>
  <w:style w:type="paragraph" w:customStyle="1" w:styleId="58">
    <w:name w:val="正文(首行缩进)"/>
    <w:basedOn w:val="1"/>
    <w:qFormat/>
    <w:uiPriority w:val="0"/>
    <w:pPr>
      <w:keepNext w:val="0"/>
      <w:keepLines w:val="0"/>
      <w:widowControl/>
      <w:suppressLineNumbers w:val="0"/>
      <w:adjustRightInd w:val="0"/>
      <w:spacing w:before="0" w:beforeAutospacing="0" w:after="0" w:afterAutospacing="0" w:line="360" w:lineRule="auto"/>
      <w:ind w:left="0" w:right="0" w:firstLine="540" w:firstLineChars="225"/>
      <w:jc w:val="left"/>
      <w:textAlignment w:val="baseline"/>
    </w:pPr>
    <w:rPr>
      <w:rFonts w:hint="eastAsia" w:ascii="宋体" w:hAnsi="宋体" w:eastAsia="宋体" w:cs="宋体"/>
      <w:color w:val="000000"/>
      <w:kern w:val="0"/>
      <w:sz w:val="24"/>
      <w:szCs w:val="24"/>
      <w:lang w:val="en-US" w:eastAsia="zh-CN" w:bidi="ar"/>
    </w:rPr>
  </w:style>
  <w:style w:type="paragraph" w:customStyle="1" w:styleId="59">
    <w:name w:val="XW正文"/>
    <w:basedOn w:val="13"/>
    <w:unhideWhenUsed/>
    <w:qFormat/>
    <w:uiPriority w:val="0"/>
    <w:pPr>
      <w:adjustRightInd w:val="0"/>
      <w:spacing w:afterLines="0"/>
      <w:ind w:firstLine="360" w:firstLineChars="150"/>
      <w:jc w:val="left"/>
      <w:textAlignment w:val="baseline"/>
    </w:pPr>
    <w:rPr>
      <w:rFonts w:hint="eastAsia" w:ascii="宋体" w:hAnsi="宋体" w:eastAsia="宋体"/>
      <w:sz w:val="24"/>
    </w:rPr>
  </w:style>
  <w:style w:type="paragraph" w:customStyle="1" w:styleId="60">
    <w:name w:val="1、表格中字"/>
    <w:basedOn w:val="1"/>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kern w:val="0"/>
      <w:sz w:val="24"/>
      <w:szCs w:val="24"/>
      <w:lang w:val="en-US" w:eastAsia="zh-CN" w:bidi="ar"/>
    </w:rPr>
  </w:style>
  <w:style w:type="paragraph" w:customStyle="1" w:styleId="61">
    <w:name w:val="1、正文"/>
    <w:basedOn w:val="1"/>
    <w:qFormat/>
    <w:uiPriority w:val="0"/>
    <w:pPr>
      <w:keepNext w:val="0"/>
      <w:keepLines w:val="0"/>
      <w:widowControl w:val="0"/>
      <w:suppressLineNumbers w:val="0"/>
      <w:spacing w:before="0" w:beforeAutospacing="0" w:after="0" w:afterAutospacing="0"/>
      <w:ind w:left="0" w:right="0" w:firstLine="200" w:firstLineChars="200"/>
      <w:jc w:val="both"/>
    </w:pPr>
    <w:rPr>
      <w:rFonts w:hint="default" w:ascii="Times New Roman" w:hAnsi="Times New Roman" w:eastAsia="宋体" w:cs="Times New Roman"/>
      <w:kern w:val="2"/>
      <w:sz w:val="24"/>
      <w:szCs w:val="24"/>
      <w:lang w:val="en-US" w:eastAsia="zh-CN" w:bidi="ar"/>
    </w:rPr>
  </w:style>
  <w:style w:type="paragraph" w:customStyle="1" w:styleId="62">
    <w:name w:val="正文样式2"/>
    <w:basedOn w:val="1"/>
    <w:qFormat/>
    <w:uiPriority w:val="0"/>
    <w:pPr>
      <w:keepNext w:val="0"/>
      <w:keepLines w:val="0"/>
      <w:widowControl w:val="0"/>
      <w:suppressLineNumbers w:val="0"/>
      <w:spacing w:before="0" w:beforeAutospacing="0" w:after="0" w:afterAutospacing="0" w:line="560" w:lineRule="exact"/>
      <w:ind w:left="0" w:right="0" w:firstLine="601"/>
      <w:jc w:val="both"/>
    </w:pPr>
    <w:rPr>
      <w:rFonts w:hint="default" w:ascii="Times New Roman" w:hAnsi="Times New Roman" w:eastAsia="宋体" w:cs="Times New Roman"/>
      <w:kern w:val="2"/>
      <w:sz w:val="28"/>
      <w:szCs w:val="28"/>
      <w:lang w:val="en-US" w:eastAsia="zh-CN" w:bidi="ar"/>
    </w:rPr>
  </w:style>
  <w:style w:type="paragraph" w:customStyle="1" w:styleId="63">
    <w:name w:val="表格内"/>
    <w:basedOn w:val="1"/>
    <w:qFormat/>
    <w:uiPriority w:val="0"/>
    <w:pPr>
      <w:keepNext w:val="0"/>
      <w:keepLines w:val="0"/>
      <w:widowControl/>
      <w:suppressLineNumbers w:val="0"/>
      <w:adjustRightInd w:val="0"/>
      <w:snapToGrid w:val="0"/>
      <w:spacing w:after="200" w:afterAutospacing="0" w:line="360" w:lineRule="exact"/>
      <w:jc w:val="center"/>
    </w:pPr>
    <w:rPr>
      <w:rFonts w:hint="default" w:ascii="Times New Roman" w:hAnsi="Times New Roman" w:eastAsia="微软雅黑" w:cs="Times New Roman"/>
      <w:kern w:val="0"/>
      <w:sz w:val="22"/>
      <w:szCs w:val="22"/>
      <w:lang w:val="en-US" w:eastAsia="zh-CN" w:bidi="ar"/>
    </w:rPr>
  </w:style>
  <w:style w:type="paragraph" w:customStyle="1" w:styleId="64">
    <w:name w:val="报告表正文"/>
    <w:basedOn w:val="65"/>
    <w:qFormat/>
    <w:uiPriority w:val="0"/>
    <w:pPr>
      <w:adjustRightInd w:val="0"/>
      <w:spacing w:line="360" w:lineRule="auto"/>
      <w:ind w:left="0" w:leftChars="0" w:right="0" w:firstLine="482"/>
      <w:jc w:val="both"/>
      <w:textAlignment w:val="baseline"/>
    </w:pPr>
    <w:rPr>
      <w:rFonts w:ascii="Times New Roman" w:hAnsi="Times New Roman" w:eastAsia="宋体"/>
      <w:kern w:val="0"/>
    </w:rPr>
  </w:style>
  <w:style w:type="paragraph" w:customStyle="1" w:styleId="65">
    <w:name w:val="报告正文"/>
    <w:basedOn w:val="66"/>
    <w:qFormat/>
    <w:uiPriority w:val="0"/>
    <w:pPr>
      <w:widowControl w:val="0"/>
      <w:snapToGrid w:val="0"/>
      <w:spacing w:line="360" w:lineRule="auto"/>
      <w:ind w:firstLine="200" w:firstLineChars="200"/>
    </w:pPr>
    <w:rPr>
      <w:rFonts w:ascii="Times New Roman" w:hAnsi="Times New Roman" w:cs="Times New Roman"/>
      <w:snapToGrid w:val="0"/>
      <w:sz w:val="24"/>
      <w:szCs w:val="28"/>
    </w:rPr>
  </w:style>
  <w:style w:type="paragraph" w:customStyle="1" w:styleId="66">
    <w:name w:val="p17"/>
    <w:basedOn w:val="1"/>
    <w:qFormat/>
    <w:uiPriority w:val="0"/>
    <w:pPr>
      <w:widowControl/>
    </w:pPr>
    <w:rPr>
      <w:rFonts w:ascii="宋体" w:hAnsi="宋体" w:cs="宋体"/>
      <w:kern w:val="0"/>
      <w:szCs w:val="21"/>
    </w:rPr>
  </w:style>
  <w:style w:type="paragraph" w:customStyle="1" w:styleId="67">
    <w:name w:val="报告表格"/>
    <w:basedOn w:val="1"/>
    <w:qFormat/>
    <w:uiPriority w:val="0"/>
    <w:pPr>
      <w:autoSpaceDE w:val="0"/>
      <w:autoSpaceDN w:val="0"/>
      <w:adjustRightInd w:val="0"/>
      <w:spacing w:before="40" w:after="40"/>
      <w:jc w:val="center"/>
    </w:pPr>
    <w:rPr>
      <w:kern w:val="0"/>
    </w:rPr>
  </w:style>
  <w:style w:type="paragraph" w:customStyle="1" w:styleId="68">
    <w:name w:val="3级标题"/>
    <w:basedOn w:val="69"/>
    <w:qFormat/>
    <w:uiPriority w:val="1"/>
    <w:rPr>
      <w:b/>
    </w:rPr>
  </w:style>
  <w:style w:type="paragraph" w:customStyle="1" w:styleId="69">
    <w:name w:val="1正文"/>
    <w:basedOn w:val="1"/>
    <w:qFormat/>
    <w:uiPriority w:val="1"/>
    <w:pPr>
      <w:adjustRightInd w:val="0"/>
      <w:snapToGrid w:val="0"/>
      <w:spacing w:line="440" w:lineRule="exact"/>
      <w:ind w:firstLine="200" w:firstLineChars="200"/>
      <w:jc w:val="both"/>
    </w:pPr>
    <w:rPr>
      <w:rFonts w:ascii="Times New Roman" w:hAnsi="Times New Roman" w:eastAsia="宋体" w:cs="Times New Roman"/>
      <w:sz w:val="24"/>
      <w:szCs w:val="24"/>
      <w:lang w:eastAsia="zh-CN"/>
    </w:rPr>
  </w:style>
  <w:style w:type="paragraph" w:customStyle="1" w:styleId="70">
    <w:name w:val="表内两端"/>
    <w:qFormat/>
    <w:uiPriority w:val="0"/>
    <w:pPr>
      <w:adjustRightInd w:val="0"/>
      <w:snapToGrid w:val="0"/>
      <w:jc w:val="both"/>
    </w:pPr>
    <w:rPr>
      <w:rFonts w:ascii="宋体" w:hAnsi="Times New Roman" w:eastAsia="宋体" w:cs="Times New Roman"/>
      <w:sz w:val="21"/>
      <w:lang w:val="en-US" w:eastAsia="zh-CN" w:bidi="ar-SA"/>
    </w:rPr>
  </w:style>
  <w:style w:type="paragraph" w:customStyle="1" w:styleId="71">
    <w:name w:val="标题3"/>
    <w:qFormat/>
    <w:uiPriority w:val="0"/>
    <w:pPr>
      <w:adjustRightInd w:val="0"/>
      <w:snapToGrid w:val="0"/>
      <w:spacing w:beforeLines="50" w:afterLines="50"/>
      <w:jc w:val="both"/>
    </w:pPr>
    <w:rPr>
      <w:rFonts w:ascii="宋体" w:hAnsi="Calibri" w:eastAsia="宋体" w:cs="Times New Roman"/>
      <w:b/>
      <w:kern w:val="2"/>
      <w:sz w:val="21"/>
      <w:szCs w:val="22"/>
      <w:lang w:val="en-US" w:eastAsia="zh-CN" w:bidi="ar-SA"/>
    </w:rPr>
  </w:style>
  <w:style w:type="paragraph" w:customStyle="1" w:styleId="72">
    <w:name w:val="Other|1"/>
    <w:basedOn w:val="1"/>
    <w:qFormat/>
    <w:uiPriority w:val="0"/>
    <w:pPr>
      <w:widowControl w:val="0"/>
      <w:shd w:val="clear" w:color="auto" w:fill="auto"/>
      <w:spacing w:line="271" w:lineRule="exact"/>
      <w:jc w:val="center"/>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emf"/><Relationship Id="rId11" Type="http://schemas.openxmlformats.org/officeDocument/2006/relationships/oleObject" Target="embeddings/oleObject2.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94</Pages>
  <Words>69311</Words>
  <Characters>75088</Characters>
  <Lines>0</Lines>
  <Paragraphs>0</Paragraphs>
  <TotalTime>10</TotalTime>
  <ScaleCrop>false</ScaleCrop>
  <LinksUpToDate>false</LinksUpToDate>
  <CharactersWithSpaces>75442</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2024-10-30T10:47:00Z</dcterms:created>
  <dc:creator>达娃</dc:creator>
  <cp:lastModifiedBy>lenovo</cp:lastModifiedBy>
  <dcterms:modified xsi:type="dcterms:W3CDTF">2025-06-25T03:56:14Z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67694F203B004CDF8C0A6FF302A0E103_13</vt:lpwstr>
  </property>
  <property fmtid="{D5CDD505-2E9C-101B-9397-08002B2CF9AE}" pid="4" name="KSOTemplateDocerSaveRecord">
    <vt:lpwstr>eyJoZGlkIjoiNmE0YzY0YzUxOGNkNzNiYjI4N2NiMzk5MzdiMmExNzAiLCJ1c2VySWQiOiI2NjkzNjk4NjkifQ==</vt:lpwstr>
  </property>
</Properties>
</file>