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color w:val="auto"/>
        </w:rPr>
      </w:pPr>
      <w:bookmarkStart w:id="0" w:name="_Toc21427"/>
      <w:bookmarkStart w:id="1" w:name="_Toc18574"/>
      <w:r>
        <w:rPr>
          <w:color w:val="auto"/>
        </w:rPr>
        <w:t>一、建设项目基本情况</w:t>
      </w:r>
      <w:bookmarkEnd w:id="0"/>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0" w:type="dxa"/>
          <w:bottom w:w="0" w:type="dxa"/>
          <w:right w:w="0" w:type="dxa"/>
        </w:tblCellMar>
      </w:tblPr>
      <w:tblGrid>
        <w:gridCol w:w="1346"/>
        <w:gridCol w:w="2911"/>
        <w:gridCol w:w="1698"/>
        <w:gridCol w:w="291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建设项目名称</w:t>
            </w:r>
          </w:p>
        </w:tc>
        <w:tc>
          <w:tcPr>
            <w:tcW w:w="7524" w:type="dxa"/>
            <w:gridSpan w:val="3"/>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default" w:eastAsia="宋体"/>
                <w:spacing w:val="-6"/>
                <w:sz w:val="24"/>
                <w:szCs w:val="21"/>
                <w:lang w:val="en-US" w:eastAsia="zh-CN"/>
              </w:rPr>
              <w:t>新疆国泰共进新材料有限责任公司钢带波纹管</w:t>
            </w:r>
            <w:r>
              <w:rPr>
                <w:rFonts w:hint="eastAsia"/>
                <w:spacing w:val="-6"/>
                <w:sz w:val="24"/>
                <w:szCs w:val="21"/>
                <w:lang w:val="en-US" w:eastAsia="zh-CN"/>
              </w:rPr>
              <w:t>、聚乙烯PE管</w:t>
            </w:r>
            <w:r>
              <w:rPr>
                <w:rFonts w:hint="default" w:eastAsia="宋体"/>
                <w:spacing w:val="-6"/>
                <w:sz w:val="24"/>
                <w:szCs w:val="21"/>
                <w:lang w:val="en-US" w:eastAsia="zh-CN"/>
              </w:rPr>
              <w:t>及</w:t>
            </w:r>
            <w:r>
              <w:rPr>
                <w:rFonts w:hint="eastAsia"/>
                <w:spacing w:val="-6"/>
                <w:sz w:val="24"/>
                <w:szCs w:val="21"/>
                <w:lang w:val="en-US" w:eastAsia="zh-CN"/>
              </w:rPr>
              <w:t>MPP</w:t>
            </w:r>
            <w:r>
              <w:rPr>
                <w:rFonts w:hint="default" w:eastAsia="宋体"/>
                <w:spacing w:val="-6"/>
                <w:sz w:val="24"/>
                <w:szCs w:val="21"/>
                <w:lang w:val="en-US" w:eastAsia="zh-CN"/>
              </w:rPr>
              <w:t>电力管生产建设项目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项目代码</w:t>
            </w:r>
          </w:p>
        </w:tc>
        <w:tc>
          <w:tcPr>
            <w:tcW w:w="7524" w:type="dxa"/>
            <w:gridSpan w:val="3"/>
            <w:tcBorders>
              <w:tl2br w:val="nil"/>
              <w:tr2bl w:val="nil"/>
            </w:tcBorders>
            <w:noWrap w:val="0"/>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建设单位联系人</w:t>
            </w:r>
          </w:p>
        </w:tc>
        <w:tc>
          <w:tcPr>
            <w:tcW w:w="2911" w:type="dxa"/>
            <w:tcBorders>
              <w:tl2br w:val="nil"/>
              <w:tr2bl w:val="nil"/>
            </w:tcBorders>
            <w:noWrap w:val="0"/>
            <w:vAlign w:val="center"/>
          </w:tcPr>
          <w:p>
            <w:pPr>
              <w:adjustRightInd w:val="0"/>
              <w:snapToGrid w:val="0"/>
              <w:spacing w:line="240" w:lineRule="auto"/>
              <w:jc w:val="center"/>
              <w:rPr>
                <w:szCs w:val="21"/>
              </w:rPr>
            </w:pPr>
          </w:p>
        </w:tc>
        <w:tc>
          <w:tcPr>
            <w:tcW w:w="1698" w:type="dxa"/>
            <w:tcBorders>
              <w:tl2br w:val="nil"/>
              <w:tr2bl w:val="nil"/>
            </w:tcBorders>
            <w:noWrap w:val="0"/>
            <w:vAlign w:val="center"/>
          </w:tcPr>
          <w:p>
            <w:pPr>
              <w:adjustRightInd w:val="0"/>
              <w:snapToGrid w:val="0"/>
              <w:spacing w:line="240" w:lineRule="auto"/>
              <w:jc w:val="center"/>
              <w:rPr>
                <w:szCs w:val="21"/>
              </w:rPr>
            </w:pPr>
            <w:r>
              <w:rPr>
                <w:szCs w:val="21"/>
              </w:rPr>
              <w:t>联系方式</w:t>
            </w:r>
          </w:p>
        </w:tc>
        <w:tc>
          <w:tcPr>
            <w:tcW w:w="2915"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建设地点</w:t>
            </w:r>
          </w:p>
        </w:tc>
        <w:tc>
          <w:tcPr>
            <w:tcW w:w="7524" w:type="dxa"/>
            <w:gridSpan w:val="3"/>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cs="Times New Roman"/>
                <w:color w:val="auto"/>
                <w:sz w:val="24"/>
                <w:szCs w:val="24"/>
                <w:highlight w:val="none"/>
                <w:lang w:val="en-US" w:eastAsia="zh-CN"/>
              </w:rPr>
              <w:t>新疆维吾尔自治区巴音郭楞蒙古自治州</w:t>
            </w:r>
            <w:r>
              <w:rPr>
                <w:rFonts w:hint="default" w:ascii="Times New Roman" w:hAnsi="Times New Roman" w:eastAsia="宋体" w:cs="Times New Roman"/>
                <w:color w:val="auto"/>
                <w:sz w:val="24"/>
                <w:szCs w:val="24"/>
                <w:highlight w:val="none"/>
                <w:lang w:eastAsia="zh-CN"/>
              </w:rPr>
              <w:t>焉耆回族自</w:t>
            </w:r>
            <w:r>
              <w:rPr>
                <w:rFonts w:hint="default" w:ascii="Times New Roman" w:hAnsi="Times New Roman" w:eastAsia="宋体" w:cs="Times New Roman"/>
                <w:sz w:val="24"/>
                <w:szCs w:val="24"/>
                <w:highlight w:val="none"/>
                <w:lang w:eastAsia="zh-CN"/>
              </w:rPr>
              <w:t>治县河北巴州生态产业园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地理坐标</w:t>
            </w:r>
          </w:p>
        </w:tc>
        <w:tc>
          <w:tcPr>
            <w:tcW w:w="7524" w:type="dxa"/>
            <w:gridSpan w:val="3"/>
            <w:tcBorders>
              <w:tl2br w:val="nil"/>
              <w:tr2bl w:val="nil"/>
            </w:tcBorders>
            <w:noWrap w:val="0"/>
            <w:vAlign w:val="center"/>
          </w:tcPr>
          <w:p>
            <w:pPr>
              <w:spacing w:line="240" w:lineRule="auto"/>
              <w:jc w:val="center"/>
              <w:rPr>
                <w:szCs w:val="21"/>
              </w:rPr>
            </w:pPr>
            <w:bookmarkStart w:id="13" w:name="_GoBack"/>
            <w:bookmarkEnd w:id="13"/>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国民经济</w:t>
            </w:r>
          </w:p>
          <w:p>
            <w:pPr>
              <w:adjustRightInd w:val="0"/>
              <w:snapToGrid w:val="0"/>
              <w:spacing w:line="240" w:lineRule="auto"/>
              <w:jc w:val="center"/>
              <w:rPr>
                <w:szCs w:val="21"/>
              </w:rPr>
            </w:pPr>
            <w:r>
              <w:rPr>
                <w:szCs w:val="21"/>
              </w:rPr>
              <w:t>行业类别</w:t>
            </w:r>
          </w:p>
        </w:tc>
        <w:tc>
          <w:tcPr>
            <w:tcW w:w="2911"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szCs w:val="21"/>
                <w:lang w:val="en-US" w:eastAsia="zh-CN"/>
              </w:rPr>
              <w:t>塑料板、管、型材制造C2922</w:t>
            </w:r>
          </w:p>
        </w:tc>
        <w:tc>
          <w:tcPr>
            <w:tcW w:w="1698" w:type="dxa"/>
            <w:tcBorders>
              <w:tl2br w:val="nil"/>
              <w:tr2bl w:val="nil"/>
            </w:tcBorders>
            <w:noWrap w:val="0"/>
            <w:vAlign w:val="center"/>
          </w:tcPr>
          <w:p>
            <w:pPr>
              <w:adjustRightInd w:val="0"/>
              <w:snapToGrid w:val="0"/>
              <w:spacing w:line="240" w:lineRule="auto"/>
              <w:jc w:val="center"/>
              <w:rPr>
                <w:szCs w:val="21"/>
              </w:rPr>
            </w:pPr>
            <w:bookmarkStart w:id="2" w:name="_Hlk49843745"/>
            <w:r>
              <w:rPr>
                <w:szCs w:val="21"/>
              </w:rPr>
              <w:t>建设项目</w:t>
            </w:r>
          </w:p>
          <w:p>
            <w:pPr>
              <w:adjustRightInd w:val="0"/>
              <w:snapToGrid w:val="0"/>
              <w:spacing w:line="240" w:lineRule="auto"/>
              <w:jc w:val="center"/>
              <w:rPr>
                <w:szCs w:val="21"/>
              </w:rPr>
            </w:pPr>
            <w:r>
              <w:rPr>
                <w:szCs w:val="21"/>
              </w:rPr>
              <w:t>行业类别</w:t>
            </w:r>
            <w:bookmarkEnd w:id="2"/>
          </w:p>
        </w:tc>
        <w:tc>
          <w:tcPr>
            <w:tcW w:w="2915" w:type="dxa"/>
            <w:tcBorders>
              <w:tl2br w:val="nil"/>
              <w:tr2bl w:val="nil"/>
            </w:tcBorders>
            <w:noWrap w:val="0"/>
            <w:vAlign w:val="center"/>
          </w:tcPr>
          <w:p>
            <w:pPr>
              <w:adjustRightInd w:val="0"/>
              <w:snapToGrid w:val="0"/>
              <w:spacing w:line="240" w:lineRule="auto"/>
              <w:jc w:val="center"/>
              <w:rPr>
                <w:rFonts w:hint="eastAsia"/>
                <w:szCs w:val="21"/>
                <w:lang w:val="en-US" w:eastAsia="zh-CN"/>
              </w:rPr>
            </w:pPr>
            <w:r>
              <w:rPr>
                <w:rFonts w:hint="eastAsia"/>
                <w:szCs w:val="21"/>
                <w:lang w:val="en-US" w:eastAsia="zh-CN"/>
              </w:rPr>
              <w:t xml:space="preserve">二十六、橡胶和塑料制品业 29-53塑料制品业292-其他（年用非溶剂型低VOCs含 </w:t>
            </w:r>
          </w:p>
          <w:p>
            <w:pPr>
              <w:adjustRightInd w:val="0"/>
              <w:snapToGrid w:val="0"/>
              <w:spacing w:line="240" w:lineRule="auto"/>
              <w:jc w:val="both"/>
              <w:rPr>
                <w:szCs w:val="21"/>
              </w:rPr>
            </w:pPr>
            <w:r>
              <w:rPr>
                <w:rFonts w:hint="eastAsia"/>
                <w:szCs w:val="21"/>
                <w:lang w:val="en-US" w:eastAsia="zh-CN"/>
              </w:rPr>
              <w:t>量涂料10吨以下的除外）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建设性质</w:t>
            </w:r>
          </w:p>
        </w:tc>
        <w:tc>
          <w:tcPr>
            <w:tcW w:w="2911" w:type="dxa"/>
            <w:tcBorders>
              <w:tl2br w:val="nil"/>
              <w:tr2bl w:val="nil"/>
            </w:tcBorders>
            <w:noWrap w:val="0"/>
            <w:vAlign w:val="center"/>
          </w:tcPr>
          <w:p>
            <w:pPr>
              <w:spacing w:line="240" w:lineRule="auto"/>
              <w:jc w:val="left"/>
              <w:rPr>
                <w:szCs w:val="21"/>
              </w:rPr>
            </w:pPr>
            <w:r>
              <w:rPr>
                <w:szCs w:val="21"/>
              </w:rPr>
              <w:sym w:font="Wingdings" w:char="00FE"/>
            </w:r>
            <w:r>
              <w:rPr>
                <w:szCs w:val="21"/>
              </w:rPr>
              <w:t>新建</w:t>
            </w:r>
          </w:p>
          <w:p>
            <w:pPr>
              <w:spacing w:line="240" w:lineRule="auto"/>
              <w:jc w:val="left"/>
              <w:rPr>
                <w:szCs w:val="21"/>
              </w:rPr>
            </w:pPr>
            <w:r>
              <w:rPr>
                <w:szCs w:val="21"/>
              </w:rPr>
              <w:sym w:font="Wingdings" w:char="00A8"/>
            </w:r>
            <w:r>
              <w:rPr>
                <w:szCs w:val="21"/>
              </w:rPr>
              <w:t>改建</w:t>
            </w:r>
          </w:p>
          <w:p>
            <w:pPr>
              <w:spacing w:line="240" w:lineRule="auto"/>
              <w:jc w:val="left"/>
              <w:rPr>
                <w:szCs w:val="21"/>
              </w:rPr>
            </w:pPr>
            <w:r>
              <w:rPr>
                <w:szCs w:val="21"/>
              </w:rPr>
              <w:sym w:font="Wingdings" w:char="00A8"/>
            </w:r>
            <w:r>
              <w:rPr>
                <w:szCs w:val="21"/>
              </w:rPr>
              <w:t>扩建</w:t>
            </w:r>
          </w:p>
          <w:p>
            <w:pPr>
              <w:spacing w:line="240" w:lineRule="auto"/>
              <w:jc w:val="left"/>
              <w:rPr>
                <w:szCs w:val="21"/>
              </w:rPr>
            </w:pPr>
            <w:r>
              <w:rPr>
                <w:szCs w:val="21"/>
              </w:rPr>
              <w:sym w:font="Wingdings" w:char="00A8"/>
            </w:r>
            <w:r>
              <w:rPr>
                <w:szCs w:val="21"/>
              </w:rPr>
              <w:t>技术改造</w:t>
            </w:r>
          </w:p>
        </w:tc>
        <w:tc>
          <w:tcPr>
            <w:tcW w:w="1698" w:type="dxa"/>
            <w:tcBorders>
              <w:tl2br w:val="nil"/>
              <w:tr2bl w:val="nil"/>
            </w:tcBorders>
            <w:noWrap w:val="0"/>
            <w:vAlign w:val="center"/>
          </w:tcPr>
          <w:p>
            <w:pPr>
              <w:adjustRightInd w:val="0"/>
              <w:snapToGrid w:val="0"/>
              <w:spacing w:line="240" w:lineRule="auto"/>
              <w:jc w:val="center"/>
              <w:rPr>
                <w:szCs w:val="21"/>
              </w:rPr>
            </w:pPr>
            <w:r>
              <w:rPr>
                <w:szCs w:val="21"/>
              </w:rPr>
              <w:t>建设项目</w:t>
            </w:r>
          </w:p>
          <w:p>
            <w:pPr>
              <w:adjustRightInd w:val="0"/>
              <w:snapToGrid w:val="0"/>
              <w:spacing w:line="240" w:lineRule="auto"/>
              <w:jc w:val="center"/>
              <w:rPr>
                <w:szCs w:val="21"/>
              </w:rPr>
            </w:pPr>
            <w:r>
              <w:rPr>
                <w:szCs w:val="21"/>
              </w:rPr>
              <w:t>申报情形</w:t>
            </w:r>
          </w:p>
        </w:tc>
        <w:tc>
          <w:tcPr>
            <w:tcW w:w="2915" w:type="dxa"/>
            <w:tcBorders>
              <w:tl2br w:val="nil"/>
              <w:tr2bl w:val="nil"/>
            </w:tcBorders>
            <w:noWrap w:val="0"/>
            <w:vAlign w:val="center"/>
          </w:tcPr>
          <w:p>
            <w:pPr>
              <w:spacing w:line="240" w:lineRule="auto"/>
              <w:jc w:val="left"/>
              <w:rPr>
                <w:szCs w:val="21"/>
              </w:rPr>
            </w:pPr>
            <w:r>
              <w:rPr>
                <w:szCs w:val="21"/>
              </w:rPr>
              <w:sym w:font="Wingdings" w:char="00FE"/>
            </w:r>
            <w:r>
              <w:rPr>
                <w:szCs w:val="21"/>
              </w:rPr>
              <w:t xml:space="preserve">首次申报项目             </w:t>
            </w:r>
          </w:p>
          <w:p>
            <w:pPr>
              <w:spacing w:line="240" w:lineRule="auto"/>
              <w:jc w:val="left"/>
              <w:rPr>
                <w:szCs w:val="21"/>
              </w:rPr>
            </w:pPr>
            <w:r>
              <w:rPr>
                <w:szCs w:val="21"/>
              </w:rPr>
              <w:sym w:font="Wingdings" w:char="00A8"/>
            </w:r>
            <w:r>
              <w:rPr>
                <w:szCs w:val="21"/>
              </w:rPr>
              <w:t>不予批准后再次申报项目</w:t>
            </w:r>
          </w:p>
          <w:p>
            <w:pPr>
              <w:spacing w:line="240" w:lineRule="auto"/>
              <w:jc w:val="left"/>
              <w:rPr>
                <w:szCs w:val="21"/>
              </w:rPr>
            </w:pPr>
            <w:r>
              <w:rPr>
                <w:szCs w:val="21"/>
              </w:rPr>
              <w:sym w:font="Wingdings" w:char="00A8"/>
            </w:r>
            <w:r>
              <w:rPr>
                <w:szCs w:val="21"/>
              </w:rPr>
              <w:t xml:space="preserve">超五年重新审核项目     </w:t>
            </w:r>
          </w:p>
          <w:p>
            <w:pPr>
              <w:spacing w:line="240" w:lineRule="auto"/>
              <w:jc w:val="left"/>
              <w:rPr>
                <w:szCs w:val="21"/>
              </w:rPr>
            </w:pPr>
            <w:r>
              <w:rPr>
                <w:szCs w:val="21"/>
              </w:rPr>
              <w:sym w:font="Wingdings" w:char="00A8"/>
            </w:r>
            <w:r>
              <w:rPr>
                <w:szCs w:val="21"/>
              </w:rPr>
              <w:t>重大变动重新报批项目</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rPr>
              <w:t>项目审批部门</w:t>
            </w:r>
          </w:p>
        </w:tc>
        <w:tc>
          <w:tcPr>
            <w:tcW w:w="2911" w:type="dxa"/>
            <w:tcBorders>
              <w:tl2br w:val="nil"/>
              <w:tr2bl w:val="nil"/>
            </w:tcBorders>
            <w:noWrap w:val="0"/>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无</w:t>
            </w:r>
          </w:p>
        </w:tc>
        <w:tc>
          <w:tcPr>
            <w:tcW w:w="1698" w:type="dxa"/>
            <w:tcBorders>
              <w:tl2br w:val="nil"/>
              <w:tr2bl w:val="nil"/>
            </w:tcBorders>
            <w:noWrap w:val="0"/>
            <w:vAlign w:val="center"/>
          </w:tcPr>
          <w:p>
            <w:pPr>
              <w:adjustRightInd w:val="0"/>
              <w:snapToGrid w:val="0"/>
              <w:spacing w:line="240" w:lineRule="auto"/>
              <w:jc w:val="center"/>
              <w:rPr>
                <w:szCs w:val="21"/>
              </w:rPr>
            </w:pPr>
            <w:r>
              <w:rPr>
                <w:szCs w:val="21"/>
              </w:rPr>
              <w:t>项目审批文号</w:t>
            </w:r>
          </w:p>
        </w:tc>
        <w:tc>
          <w:tcPr>
            <w:tcW w:w="2915" w:type="dxa"/>
            <w:tcBorders>
              <w:tl2br w:val="nil"/>
              <w:tr2bl w:val="nil"/>
            </w:tcBorders>
            <w:noWrap w:val="0"/>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highlight w:val="none"/>
              </w:rPr>
            </w:pPr>
            <w:r>
              <w:rPr>
                <w:szCs w:val="21"/>
                <w:highlight w:val="none"/>
              </w:rPr>
              <w:t>总投资（万元）</w:t>
            </w:r>
          </w:p>
        </w:tc>
        <w:tc>
          <w:tcPr>
            <w:tcW w:w="2911"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szCs w:val="21"/>
                <w:lang w:val="en-US" w:eastAsia="zh-CN"/>
              </w:rPr>
              <w:t>300</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highlight w:val="none"/>
              </w:rPr>
              <w:t>环保投资（万元）</w:t>
            </w:r>
          </w:p>
        </w:tc>
        <w:tc>
          <w:tcPr>
            <w:tcW w:w="2915"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highlight w:val="none"/>
              </w:rPr>
            </w:pPr>
            <w:r>
              <w:rPr>
                <w:szCs w:val="21"/>
                <w:highlight w:val="none"/>
              </w:rPr>
              <w:t>环保投资占比（%）</w:t>
            </w:r>
          </w:p>
        </w:tc>
        <w:tc>
          <w:tcPr>
            <w:tcW w:w="2911"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lang w:val="en-US" w:eastAsia="zh-CN"/>
              </w:rPr>
              <w:t>8.3</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highlight w:val="none"/>
              </w:rPr>
              <w:t>施工工期</w:t>
            </w:r>
          </w:p>
        </w:tc>
        <w:tc>
          <w:tcPr>
            <w:tcW w:w="2915" w:type="dxa"/>
            <w:tcBorders>
              <w:tl2br w:val="nil"/>
              <w:tr2bl w:val="nil"/>
            </w:tcBorders>
            <w:noWrap w:val="0"/>
            <w:vAlign w:val="center"/>
          </w:tcPr>
          <w:p>
            <w:pPr>
              <w:adjustRightInd w:val="0"/>
              <w:snapToGrid w:val="0"/>
              <w:spacing w:line="240" w:lineRule="auto"/>
              <w:jc w:val="center"/>
              <w:rPr>
                <w:rFonts w:hint="eastAsia" w:eastAsia="宋体"/>
                <w:szCs w:val="21"/>
                <w:lang w:val="en-US" w:eastAsia="zh-CN"/>
              </w:rPr>
            </w:pPr>
            <w:r>
              <w:rPr>
                <w:rFonts w:hint="eastAsia"/>
                <w:szCs w:val="21"/>
                <w:lang w:val="en-US" w:eastAsia="zh-CN"/>
              </w:rPr>
              <w:t>1</w:t>
            </w:r>
            <w:r>
              <w:rPr>
                <w:rFonts w:hint="eastAsia"/>
                <w:lang w:val="en-US" w:eastAsia="zh-CN"/>
              </w:rPr>
              <w:t>个月</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0" w:type="dxa"/>
            <w:bottom w:w="0" w:type="dxa"/>
            <w:right w:w="0" w:type="dxa"/>
          </w:tblCellMar>
        </w:tblPrEx>
        <w:trPr>
          <w:trHeight w:val="0" w:hRule="atLeast"/>
          <w:jc w:val="center"/>
        </w:trPr>
        <w:tc>
          <w:tcPr>
            <w:tcW w:w="1346" w:type="dxa"/>
            <w:tcBorders>
              <w:tl2br w:val="nil"/>
              <w:tr2bl w:val="nil"/>
            </w:tcBorders>
            <w:noWrap w:val="0"/>
            <w:tcMar>
              <w:top w:w="16" w:type="dxa"/>
              <w:left w:w="16" w:type="dxa"/>
              <w:right w:w="16" w:type="dxa"/>
            </w:tcMar>
            <w:vAlign w:val="center"/>
          </w:tcPr>
          <w:p>
            <w:pPr>
              <w:adjustRightInd w:val="0"/>
              <w:snapToGrid w:val="0"/>
              <w:spacing w:line="240" w:lineRule="auto"/>
              <w:jc w:val="center"/>
              <w:rPr>
                <w:szCs w:val="21"/>
              </w:rPr>
            </w:pPr>
            <w:r>
              <w:rPr>
                <w:szCs w:val="21"/>
                <w:highlight w:val="none"/>
              </w:rPr>
              <w:t>是否开工建设</w:t>
            </w:r>
          </w:p>
        </w:tc>
        <w:tc>
          <w:tcPr>
            <w:tcW w:w="2911" w:type="dxa"/>
            <w:tcBorders>
              <w:tl2br w:val="nil"/>
              <w:tr2bl w:val="nil"/>
            </w:tcBorders>
            <w:noWrap w:val="0"/>
            <w:vAlign w:val="center"/>
          </w:tcPr>
          <w:p>
            <w:pPr>
              <w:adjustRightInd w:val="0"/>
              <w:snapToGrid w:val="0"/>
              <w:spacing w:line="240" w:lineRule="auto"/>
              <w:rPr>
                <w:szCs w:val="21"/>
              </w:rPr>
            </w:pPr>
            <w:r>
              <w:rPr>
                <w:szCs w:val="21"/>
              </w:rPr>
              <w:sym w:font="Wingdings" w:char="00A8"/>
            </w:r>
            <w:r>
              <w:rPr>
                <w:szCs w:val="21"/>
              </w:rPr>
              <w:t>否</w:t>
            </w:r>
          </w:p>
          <w:p>
            <w:pPr>
              <w:adjustRightInd w:val="0"/>
              <w:snapToGrid w:val="0"/>
              <w:spacing w:line="240" w:lineRule="auto"/>
              <w:rPr>
                <w:szCs w:val="21"/>
              </w:rPr>
            </w:pPr>
            <w:r>
              <w:rPr>
                <w:szCs w:val="21"/>
              </w:rPr>
              <w:sym w:font="Wingdings" w:char="00FE"/>
            </w:r>
            <w:r>
              <w:rPr>
                <w:szCs w:val="21"/>
              </w:rPr>
              <w:t>是：</w:t>
            </w:r>
            <w:r>
              <w:rPr>
                <w:rFonts w:hint="eastAsia"/>
                <w:szCs w:val="21"/>
                <w:u w:val="single"/>
                <w:lang w:val="en-US" w:eastAsia="zh-CN"/>
              </w:rPr>
              <w:t>本项目于2025年2月开工建设，2025年3月建设完成，目前未受到处罚。</w:t>
            </w:r>
            <w:r>
              <w:rPr>
                <w:rFonts w:hint="eastAsia"/>
                <w:szCs w:val="21"/>
                <w:u w:val="single"/>
              </w:rPr>
              <w:t xml:space="preserve">         </w:t>
            </w:r>
            <w:r>
              <w:rPr>
                <w:rFonts w:hint="eastAsia"/>
                <w:szCs w:val="21"/>
                <w:u w:val="single"/>
                <w:lang w:val="en-US" w:eastAsia="zh-CN"/>
              </w:rPr>
              <w:t xml:space="preserve">  </w:t>
            </w:r>
            <w:r>
              <w:rPr>
                <w:rFonts w:hint="eastAsia"/>
                <w:szCs w:val="21"/>
                <w:u w:val="single"/>
              </w:rPr>
              <w:t xml:space="preserve"> </w:t>
            </w:r>
          </w:p>
        </w:tc>
        <w:tc>
          <w:tcPr>
            <w:tcW w:w="1698" w:type="dxa"/>
            <w:tcBorders>
              <w:tl2br w:val="nil"/>
              <w:tr2bl w:val="nil"/>
            </w:tcBorders>
            <w:noWrap w:val="0"/>
            <w:tcMar>
              <w:top w:w="16" w:type="dxa"/>
              <w:left w:w="16" w:type="dxa"/>
              <w:right w:w="16" w:type="dxa"/>
            </w:tcMar>
            <w:vAlign w:val="center"/>
          </w:tcPr>
          <w:p>
            <w:pPr>
              <w:adjustRightInd w:val="0"/>
              <w:snapToGrid w:val="0"/>
              <w:spacing w:line="240" w:lineRule="auto"/>
              <w:jc w:val="center"/>
              <w:rPr>
                <w:spacing w:val="-6"/>
                <w:szCs w:val="21"/>
              </w:rPr>
            </w:pPr>
            <w:r>
              <w:rPr>
                <w:spacing w:val="-6"/>
                <w:szCs w:val="21"/>
              </w:rPr>
              <w:t>用地（用海）</w:t>
            </w:r>
          </w:p>
          <w:p>
            <w:pPr>
              <w:adjustRightInd w:val="0"/>
              <w:snapToGrid w:val="0"/>
              <w:spacing w:line="240" w:lineRule="auto"/>
              <w:jc w:val="center"/>
              <w:rPr>
                <w:szCs w:val="21"/>
              </w:rPr>
            </w:pPr>
            <w:r>
              <w:rPr>
                <w:spacing w:val="-6"/>
                <w:szCs w:val="21"/>
              </w:rPr>
              <w:t>面积（m</w:t>
            </w:r>
            <w:r>
              <w:rPr>
                <w:spacing w:val="-6"/>
                <w:szCs w:val="21"/>
                <w:vertAlign w:val="superscript"/>
              </w:rPr>
              <w:t>2</w:t>
            </w:r>
            <w:r>
              <w:rPr>
                <w:spacing w:val="-6"/>
                <w:szCs w:val="21"/>
              </w:rPr>
              <w:t>）</w:t>
            </w:r>
          </w:p>
        </w:tc>
        <w:tc>
          <w:tcPr>
            <w:tcW w:w="2915" w:type="dxa"/>
            <w:tcBorders>
              <w:tl2br w:val="nil"/>
              <w:tr2bl w:val="nil"/>
            </w:tcBorders>
            <w:noWrap w:val="0"/>
            <w:vAlign w:val="center"/>
          </w:tcPr>
          <w:p>
            <w:pPr>
              <w:adjustRightInd w:val="0"/>
              <w:snapToGrid w:val="0"/>
              <w:spacing w:line="240" w:lineRule="auto"/>
              <w:jc w:val="center"/>
              <w:rPr>
                <w:rFonts w:hint="default" w:eastAsia="宋体"/>
                <w:szCs w:val="21"/>
                <w:lang w:val="en-US" w:eastAsia="zh-CN"/>
              </w:rPr>
            </w:pPr>
            <w:r>
              <w:rPr>
                <w:rFonts w:hint="eastAsia"/>
                <w:szCs w:val="21"/>
                <w:lang w:val="en-US" w:eastAsia="zh-CN"/>
              </w:rPr>
              <w:t>5266.15m</w:t>
            </w:r>
            <w:r>
              <w:rPr>
                <w:rFonts w:hint="eastAsia"/>
                <w:szCs w:val="21"/>
                <w:vertAlign w:val="superscript"/>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kern w:val="0"/>
                <w:szCs w:val="21"/>
                <w:highlight w:val="yellow"/>
              </w:rPr>
            </w:pPr>
            <w:r>
              <w:rPr>
                <w:kern w:val="0"/>
                <w:szCs w:val="21"/>
                <w:highlight w:val="none"/>
              </w:rPr>
              <w:t>专项评价设置情况</w:t>
            </w:r>
          </w:p>
        </w:tc>
        <w:tc>
          <w:tcPr>
            <w:tcW w:w="7524" w:type="dxa"/>
            <w:gridSpan w:val="3"/>
            <w:tcBorders>
              <w:tl2br w:val="nil"/>
              <w:tr2bl w:val="nil"/>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center"/>
              <w:textAlignment w:val="auto"/>
              <w:rPr>
                <w:rFonts w:hint="eastAsia" w:eastAsia="宋体"/>
                <w:kern w:val="0"/>
                <w:lang w:val="en-US" w:eastAsia="zh-CN"/>
              </w:rPr>
            </w:pPr>
            <w:r>
              <w:rPr>
                <w:rFonts w:hint="eastAsia" w:ascii="Times New Roman" w:hAnsi="Times New Roman" w:eastAsia="宋体" w:cs="Times New Roman"/>
                <w:color w:val="000000"/>
                <w:kern w:val="0"/>
                <w:sz w:val="24"/>
                <w:lang w:val="en-US" w:eastAsia="zh-CN" w:bidi="ar"/>
              </w:rPr>
              <w:t>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kern w:val="0"/>
                <w:szCs w:val="21"/>
                <w:highlight w:val="yellow"/>
              </w:rPr>
            </w:pPr>
            <w:r>
              <w:rPr>
                <w:szCs w:val="21"/>
                <w:highlight w:val="none"/>
              </w:rPr>
              <w:t>规划情况</w:t>
            </w:r>
          </w:p>
        </w:tc>
        <w:tc>
          <w:tcPr>
            <w:tcW w:w="7524" w:type="dxa"/>
            <w:gridSpan w:val="3"/>
            <w:tcBorders>
              <w:tl2br w:val="nil"/>
              <w:tr2bl w:val="nil"/>
            </w:tcBorders>
            <w:noWrap w:val="0"/>
            <w:vAlign w:val="center"/>
          </w:tcPr>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kern w:val="0"/>
                <w:sz w:val="24"/>
                <w:lang w:val="en-US" w:eastAsia="zh-CN" w:bidi="ar"/>
              </w:rPr>
              <w:t>规划名称：《河北巴州生态产业园总体规划2017-2035》</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color w:val="000000"/>
                <w:kern w:val="0"/>
                <w:sz w:val="24"/>
                <w:lang w:val="en-US" w:eastAsia="zh-CN" w:bidi="ar"/>
              </w:rPr>
            </w:pPr>
            <w:r>
              <w:rPr>
                <w:rFonts w:hint="default" w:ascii="Times New Roman" w:hAnsi="Times New Roman" w:eastAsia="宋体" w:cs="Times New Roman"/>
                <w:color w:val="000000"/>
                <w:kern w:val="0"/>
                <w:sz w:val="24"/>
                <w:lang w:val="en-US" w:eastAsia="zh-CN" w:bidi="ar"/>
              </w:rPr>
              <w:t>审批机关：</w:t>
            </w:r>
            <w:r>
              <w:rPr>
                <w:rFonts w:hint="eastAsia" w:ascii="Times New Roman" w:hAnsi="Times New Roman" w:eastAsia="宋体" w:cs="Times New Roman"/>
                <w:color w:val="000000"/>
                <w:kern w:val="0"/>
                <w:sz w:val="24"/>
                <w:lang w:val="en-US" w:eastAsia="zh-CN" w:bidi="ar"/>
              </w:rPr>
              <w:t>巴音郭楞蒙古自治州人民政府</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rightChars="0" w:firstLine="480" w:firstLineChars="200"/>
              <w:jc w:val="both"/>
              <w:textAlignment w:val="auto"/>
              <w:rPr>
                <w:rFonts w:hint="default" w:ascii="Times New Roman" w:hAnsi="Times New Roman" w:eastAsia="宋体" w:cs="Times New Roman"/>
                <w:color w:val="000000"/>
                <w:kern w:val="0"/>
                <w:sz w:val="24"/>
                <w:lang w:val="en-US" w:eastAsia="zh-CN" w:bidi="ar"/>
              </w:rPr>
            </w:pPr>
            <w:r>
              <w:rPr>
                <w:rFonts w:hint="default" w:ascii="Times New Roman" w:hAnsi="Times New Roman" w:eastAsia="宋体" w:cs="Times New Roman"/>
                <w:color w:val="000000"/>
                <w:kern w:val="0"/>
                <w:sz w:val="24"/>
                <w:lang w:val="en-US" w:eastAsia="zh-CN" w:bidi="ar"/>
              </w:rPr>
              <w:t>审批文件名称：关于</w:t>
            </w:r>
            <w:r>
              <w:rPr>
                <w:rFonts w:hint="default" w:ascii="Times New Roman" w:hAnsi="Times New Roman" w:eastAsia="宋体" w:cs="Times New Roman"/>
                <w:sz w:val="24"/>
                <w:szCs w:val="24"/>
                <w:lang w:val="en-US" w:eastAsia="zh-CN"/>
              </w:rPr>
              <w:t>《河北巴州生态产业园总体规划2017-2035》的批复</w:t>
            </w:r>
          </w:p>
          <w:p>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leftChars="0" w:right="0" w:rightChars="0" w:firstLine="480" w:firstLineChars="200"/>
              <w:jc w:val="both"/>
              <w:textAlignment w:val="auto"/>
              <w:rPr>
                <w:rFonts w:hint="eastAsia"/>
                <w:color w:val="000000"/>
                <w:kern w:val="0"/>
              </w:rPr>
            </w:pPr>
            <w:r>
              <w:rPr>
                <w:rFonts w:hint="default" w:ascii="Times New Roman" w:hAnsi="Times New Roman" w:eastAsia="宋体" w:cs="Times New Roman"/>
                <w:color w:val="000000"/>
                <w:kern w:val="0"/>
                <w:sz w:val="24"/>
                <w:lang w:val="en-US" w:eastAsia="zh-CN" w:bidi="ar"/>
              </w:rPr>
              <w:t>文号：巴政函〔2019〕9号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djustRightInd w:val="0"/>
              <w:snapToGrid w:val="0"/>
              <w:spacing w:line="240" w:lineRule="auto"/>
              <w:jc w:val="center"/>
              <w:rPr>
                <w:kern w:val="0"/>
                <w:szCs w:val="21"/>
                <w:highlight w:val="yellow"/>
              </w:rPr>
            </w:pPr>
            <w:r>
              <w:rPr>
                <w:szCs w:val="21"/>
                <w:highlight w:val="none"/>
              </w:rPr>
              <w:t>规划环境影响评价情况</w:t>
            </w:r>
          </w:p>
        </w:tc>
        <w:tc>
          <w:tcPr>
            <w:tcW w:w="7524" w:type="dxa"/>
            <w:gridSpan w:val="3"/>
            <w:tcBorders>
              <w:tl2br w:val="nil"/>
              <w:tr2bl w:val="nil"/>
            </w:tcBorders>
            <w:noWrap w:val="0"/>
            <w:vAlign w:val="center"/>
          </w:tcPr>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auto"/>
              <w:rPr>
                <w:rFonts w:hint="default" w:ascii="Times New Roman" w:hAnsi="Times New Roman" w:eastAsia="宋体" w:cs="Times New Roman"/>
                <w:snapToGrid w:val="0"/>
                <w:color w:val="000000"/>
                <w:kern w:val="0"/>
                <w:sz w:val="24"/>
                <w:lang w:val="en-US" w:eastAsia="zh-CN"/>
              </w:rPr>
            </w:pPr>
            <w:r>
              <w:rPr>
                <w:rFonts w:hint="default" w:ascii="Times New Roman" w:hAnsi="Times New Roman" w:eastAsia="宋体" w:cs="Times New Roman"/>
                <w:snapToGrid w:val="0"/>
                <w:color w:val="000000"/>
                <w:kern w:val="0"/>
                <w:sz w:val="24"/>
                <w:lang w:val="en-US" w:eastAsia="zh-CN"/>
              </w:rPr>
              <w:t>规划环境影响评价文件名称：《河北巴州生态产业园总体规划（2017-2030年）环境影响报告书》</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firstLine="480" w:firstLineChars="200"/>
              <w:jc w:val="both"/>
              <w:textAlignment w:val="auto"/>
              <w:rPr>
                <w:rFonts w:hint="default" w:ascii="Times New Roman" w:hAnsi="Times New Roman" w:eastAsia="宋体" w:cs="Times New Roman"/>
                <w:snapToGrid w:val="0"/>
                <w:color w:val="000000"/>
                <w:kern w:val="0"/>
                <w:sz w:val="24"/>
                <w:lang w:val="en-US" w:eastAsia="zh-CN"/>
              </w:rPr>
            </w:pPr>
            <w:r>
              <w:rPr>
                <w:rFonts w:hint="default" w:ascii="Times New Roman" w:hAnsi="Times New Roman" w:eastAsia="宋体" w:cs="Times New Roman"/>
                <w:snapToGrid w:val="0"/>
                <w:color w:val="000000"/>
                <w:kern w:val="0"/>
                <w:sz w:val="24"/>
                <w:lang w:val="en-US" w:eastAsia="zh-CN"/>
              </w:rPr>
              <w:t>召集审查机关：新疆维吾尔自治区环境保护厅</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ind w:left="0" w:leftChars="0" w:right="0" w:rightChars="0" w:firstLine="480" w:firstLineChars="200"/>
              <w:jc w:val="both"/>
              <w:textAlignment w:val="auto"/>
              <w:rPr>
                <w:color w:val="000000"/>
                <w:kern w:val="0"/>
              </w:rPr>
            </w:pPr>
            <w:r>
              <w:rPr>
                <w:rFonts w:hint="default" w:ascii="Times New Roman" w:hAnsi="Times New Roman" w:eastAsia="宋体" w:cs="Times New Roman"/>
                <w:snapToGrid w:val="0"/>
                <w:color w:val="000000"/>
                <w:kern w:val="0"/>
                <w:sz w:val="24"/>
                <w:lang w:val="en-US" w:eastAsia="zh-CN"/>
              </w:rPr>
              <w:t>审查文件及文号：《关于河北巴州生态产业园总体规划（2017-2030年）环境影响报告书的审查意见》（新环函〔2017〕1306号）</w:t>
            </w:r>
            <w:r>
              <w:rPr>
                <w:rFonts w:hint="eastAsia" w:ascii="Times New Roman" w:hAnsi="Times New Roman" w:eastAsia="宋体" w:cs="Times New Roman"/>
                <w:snapToGrid w:val="0"/>
                <w:color w:val="000000"/>
                <w:kern w:val="0"/>
                <w:sz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spacing w:line="240" w:lineRule="auto"/>
              <w:jc w:val="center"/>
              <w:rPr>
                <w:kern w:val="0"/>
                <w:szCs w:val="21"/>
                <w:highlight w:val="yellow"/>
              </w:rPr>
            </w:pPr>
            <w:r>
              <w:rPr>
                <w:kern w:val="0"/>
                <w:szCs w:val="21"/>
                <w:highlight w:val="none"/>
              </w:rPr>
              <w:t>规划及规划环境影响评价符合性分析</w:t>
            </w:r>
          </w:p>
        </w:tc>
        <w:tc>
          <w:tcPr>
            <w:tcW w:w="7524" w:type="dxa"/>
            <w:gridSpan w:val="3"/>
            <w:tcBorders>
              <w:tl2br w:val="nil"/>
              <w:tr2bl w:val="nil"/>
            </w:tcBorders>
            <w:noWrap w:val="0"/>
            <w:vAlign w:val="center"/>
          </w:tcPr>
          <w:p>
            <w:pPr>
              <w:keepNext w:val="0"/>
              <w:keepLines w:val="0"/>
              <w:suppressLineNumbers w:val="0"/>
              <w:bidi w:val="0"/>
              <w:spacing w:before="0" w:beforeAutospacing="0" w:after="0" w:afterAutospacing="0"/>
              <w:ind w:left="0" w:leftChars="0" w:right="0" w:firstLine="482" w:firstLineChars="200"/>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1、规划符合性分析</w:t>
            </w:r>
          </w:p>
          <w:p>
            <w:pPr>
              <w:keepNext w:val="0"/>
              <w:keepLines w:val="0"/>
              <w:suppressLineNumbers w:val="0"/>
              <w:bidi w:val="0"/>
              <w:spacing w:before="0" w:beforeAutospacing="0" w:after="0" w:afterAutospacing="0"/>
              <w:ind w:left="0" w:right="0" w:firstLine="480" w:firstLineChars="200"/>
              <w:rPr>
                <w:rFonts w:hint="default" w:ascii="Times New Roman" w:hAnsi="Times New Roman" w:eastAsia="宋体" w:cs="Times New Roman"/>
                <w:color w:val="000000"/>
                <w:highlight w:val="yellow"/>
                <w:lang w:val="en-US"/>
              </w:rPr>
            </w:pPr>
            <w:r>
              <w:rPr>
                <w:rFonts w:hint="default" w:ascii="Times New Roman" w:hAnsi="Times New Roman" w:eastAsia="宋体" w:cs="Times New Roman"/>
                <w:color w:val="000000"/>
                <w:lang w:val="en-US" w:eastAsia="zh-CN"/>
              </w:rPr>
              <w:t>产业发展定位：河北巴州生态产业园</w:t>
            </w:r>
            <w:r>
              <w:rPr>
                <w:rFonts w:hint="default" w:ascii="Times New Roman" w:hAnsi="Times New Roman" w:eastAsia="宋体" w:cs="Times New Roman"/>
                <w:color w:val="000000"/>
                <w:highlight w:val="none"/>
                <w:lang w:val="en-US" w:eastAsia="zh-CN"/>
              </w:rPr>
              <w:t>近期主要发展新材料及环保建材、农产品加工业，适当发展现代物流产业。远期主要发展新材料及环保建材、农产品加工业、现代物流等产业。</w:t>
            </w:r>
          </w:p>
          <w:p>
            <w:pPr>
              <w:pStyle w:val="21"/>
              <w:keepNext w:val="0"/>
              <w:keepLines w:val="0"/>
              <w:widowControl/>
              <w:suppressLineNumbers w:val="0"/>
              <w:spacing w:before="0" w:beforeAutospacing="0" w:after="0" w:afterAutospacing="0" w:line="360" w:lineRule="auto"/>
              <w:ind w:left="0" w:right="0" w:firstLine="480" w:firstLineChars="200"/>
              <w:jc w:val="both"/>
              <w:rPr>
                <w:rFonts w:hint="eastAsia"/>
                <w:highlight w:val="none"/>
                <w:lang w:val="en-US" w:eastAsia="zh-CN"/>
              </w:rPr>
            </w:pPr>
            <w:r>
              <w:rPr>
                <w:rFonts w:hint="eastAsia"/>
                <w:color w:val="000000"/>
                <w:highlight w:val="none"/>
                <w:lang w:val="en-US" w:eastAsia="zh-CN"/>
              </w:rPr>
              <w:t>本项目位于</w:t>
            </w:r>
            <w:r>
              <w:rPr>
                <w:rFonts w:hint="default" w:ascii="Times New Roman" w:hAnsi="Times New Roman" w:eastAsia="宋体" w:cs="Times New Roman"/>
                <w:color w:val="000000"/>
                <w:lang w:val="en-US" w:eastAsia="zh-CN"/>
              </w:rPr>
              <w:t>河北巴州生态产业园</w:t>
            </w:r>
            <w:r>
              <w:rPr>
                <w:rFonts w:hint="eastAsia" w:ascii="Times New Roman" w:hAnsi="Times New Roman" w:cs="Times New Roman"/>
                <w:color w:val="000000"/>
                <w:lang w:val="en-US" w:eastAsia="zh-CN"/>
              </w:rPr>
              <w:t>综合产业区内且本项目</w:t>
            </w:r>
            <w:r>
              <w:rPr>
                <w:rFonts w:hint="eastAsia"/>
                <w:color w:val="000000"/>
                <w:highlight w:val="none"/>
                <w:lang w:val="en-US" w:eastAsia="zh-CN"/>
              </w:rPr>
              <w:t>属于</w:t>
            </w:r>
            <w:r>
              <w:rPr>
                <w:rFonts w:hint="default" w:ascii="Times New Roman" w:hAnsi="Times New Roman" w:eastAsia="宋体" w:cs="Times New Roman"/>
                <w:color w:val="000000"/>
                <w:highlight w:val="none"/>
                <w:lang w:val="en-US" w:eastAsia="zh-CN"/>
              </w:rPr>
              <w:t>新材料及环保建材</w:t>
            </w:r>
            <w:r>
              <w:rPr>
                <w:rFonts w:hint="eastAsia" w:ascii="Times New Roman" w:hAnsi="Times New Roman" w:eastAsia="宋体" w:cs="Times New Roman"/>
                <w:color w:val="000000"/>
                <w:highlight w:val="none"/>
                <w:lang w:val="en-US" w:eastAsia="zh-CN"/>
              </w:rPr>
              <w:t>加工业，</w:t>
            </w:r>
            <w:r>
              <w:rPr>
                <w:rFonts w:hint="eastAsia"/>
                <w:color w:val="000000"/>
                <w:highlight w:val="none"/>
                <w:lang w:val="en-US" w:eastAsia="zh-CN"/>
              </w:rPr>
              <w:t>符合园区整体的产业发展定位，</w:t>
            </w:r>
            <w:r>
              <w:rPr>
                <w:rFonts w:hint="eastAsia" w:cs="Times New Roman"/>
                <w:color w:val="000000"/>
                <w:lang w:val="en-US" w:eastAsia="zh-CN"/>
              </w:rPr>
              <w:t>本项目用地性质为工业用地，符合园区用地规划布局，</w:t>
            </w:r>
            <w:r>
              <w:rPr>
                <w:rFonts w:hint="eastAsia" w:ascii="Times New Roman" w:hAnsi="Times New Roman" w:eastAsia="宋体" w:cs="Times New Roman"/>
                <w:color w:val="000000"/>
                <w:lang w:val="en-US" w:eastAsia="zh-CN"/>
              </w:rPr>
              <w:t>详见附图</w:t>
            </w:r>
            <w:r>
              <w:rPr>
                <w:rFonts w:hint="default" w:ascii="Times New Roman" w:hAnsi="Times New Roman" w:cs="Times New Roman"/>
                <w:color w:val="000000"/>
                <w:lang w:val="en-US" w:eastAsia="zh-CN"/>
              </w:rPr>
              <w:t>1</w:t>
            </w:r>
            <w:r>
              <w:rPr>
                <w:rFonts w:hint="eastAsia" w:ascii="Times New Roman" w:hAnsi="Times New Roman" w:cs="Times New Roman"/>
                <w:color w:val="000000"/>
                <w:lang w:val="en-US" w:eastAsia="zh-CN"/>
              </w:rPr>
              <w:t>、附图2</w:t>
            </w:r>
            <w:r>
              <w:rPr>
                <w:rFonts w:hint="eastAsia" w:ascii="Times New Roman" w:hAnsi="Times New Roman" w:eastAsia="宋体" w:cs="Times New Roman"/>
                <w:color w:val="000000"/>
                <w:lang w:val="en-US" w:eastAsia="zh-CN"/>
              </w:rPr>
              <w:t>。</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ind w:left="0" w:leftChars="0" w:right="0" w:firstLine="482" w:firstLineChars="200"/>
              <w:textAlignment w:val="auto"/>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规划环境影响评价结论的符合性分析</w:t>
            </w:r>
          </w:p>
          <w:p>
            <w:pPr>
              <w:keepNext w:val="0"/>
              <w:keepLines w:val="0"/>
              <w:suppressLineNumbers w:val="0"/>
              <w:bidi w:val="0"/>
              <w:spacing w:before="0" w:beforeAutospacing="0" w:after="0" w:afterAutospacing="0"/>
              <w:ind w:left="0" w:right="0" w:firstLine="480" w:firstLineChars="200"/>
              <w:rPr>
                <w:rFonts w:hint="default"/>
              </w:rPr>
            </w:pPr>
            <w:r>
              <w:rPr>
                <w:rFonts w:hint="default" w:ascii="Times New Roman" w:hAnsi="Times New Roman" w:eastAsia="宋体" w:cs="Times New Roman"/>
                <w:b w:val="0"/>
                <w:color w:val="000000"/>
                <w:highlight w:val="none"/>
                <w:lang w:val="en-US" w:eastAsia="zh-CN"/>
              </w:rPr>
              <w:t>《河北巴州生态产业园总体规划（2017-2030年）环境影响报告书》中结论：固体废弃物环境影响分析，根据固体废物污染源分析，工业区固体废物包括工业固废、危险废物和生活垃圾产生。一般工业固体废物的处理处置坚持企业自行处理的原则，由企业开展综合利用。危险废物应交有资质的处理单位处理，生活垃圾由当地环卫部门统一收集处理，对环境影响较小。</w:t>
            </w:r>
          </w:p>
          <w:p>
            <w:pPr>
              <w:keepNext w:val="0"/>
              <w:keepLines w:val="0"/>
              <w:suppressLineNumbers w:val="0"/>
              <w:bidi w:val="0"/>
              <w:spacing w:before="0" w:beforeAutospacing="0" w:after="0" w:afterAutospacing="0"/>
              <w:ind w:left="0" w:right="0" w:firstLine="480" w:firstLineChars="200"/>
              <w:rPr>
                <w:rFonts w:hint="default" w:ascii="Times New Roman" w:hAnsi="Times New Roman" w:eastAsia="宋体" w:cs="Times New Roman"/>
                <w:b w:val="0"/>
                <w:color w:val="000000"/>
                <w:highlight w:val="none"/>
                <w:lang w:val="en-US" w:eastAsia="zh-CN"/>
              </w:rPr>
            </w:pPr>
            <w:r>
              <w:rPr>
                <w:rFonts w:hint="default"/>
                <w:color w:val="000000"/>
                <w:sz w:val="24"/>
              </w:rPr>
              <w:t>规划工业园区大气污染物、水污染物排放总量控制指标按环境管理部门下达的区域环境总量指标及工业园区近期、远期污染物估算排放量确定。工业园区拟入园企业及现有企业的大气污染物排放量及各主要大气污染物的排放浓度必须达到相应规定的标准。工业园区拟入园企业及现有企业的水污染物排放量及各主要污染物的排放浓度必须达到相应的标准要求。</w:t>
            </w:r>
          </w:p>
          <w:p>
            <w:pPr>
              <w:keepNext w:val="0"/>
              <w:keepLines w:val="0"/>
              <w:suppressLineNumbers w:val="0"/>
              <w:bidi w:val="0"/>
              <w:spacing w:before="0" w:beforeAutospacing="0" w:after="0" w:afterAutospacing="0"/>
              <w:ind w:left="0" w:right="0" w:firstLine="480" w:firstLineChars="200"/>
              <w:rPr>
                <w:rFonts w:hint="default" w:ascii="Times New Roman" w:hAnsi="Times New Roman" w:eastAsia="宋体" w:cs="Times New Roman"/>
                <w:b w:val="0"/>
                <w:color w:val="000000"/>
                <w:highlight w:val="yellow"/>
                <w:lang w:val="en-US" w:eastAsia="zh-CN"/>
              </w:rPr>
            </w:pPr>
            <w:r>
              <w:rPr>
                <w:rFonts w:hint="eastAsia" w:cs="Times New Roman"/>
                <w:color w:val="000000"/>
                <w:highlight w:val="none"/>
                <w:lang w:val="en-US" w:eastAsia="zh-CN"/>
              </w:rPr>
              <w:t>本项目</w:t>
            </w:r>
            <w:r>
              <w:rPr>
                <w:rFonts w:hint="default" w:ascii="Times New Roman" w:hAnsi="Times New Roman" w:eastAsia="宋体" w:cs="Times New Roman"/>
                <w:snapToGrid w:val="0"/>
                <w:kern w:val="0"/>
                <w:highlight w:val="none"/>
              </w:rPr>
              <w:t>产生的VOCs集中收集后进入二级活性炭装置进行处理，处理后的废气</w:t>
            </w:r>
            <w:r>
              <w:rPr>
                <w:rFonts w:hint="default" w:ascii="Times New Roman" w:hAnsi="Times New Roman" w:eastAsia="宋体" w:cs="Times New Roman"/>
                <w:snapToGrid w:val="0"/>
                <w:kern w:val="0"/>
                <w:highlight w:val="none"/>
                <w:lang w:val="en-US" w:eastAsia="zh-CN"/>
              </w:rPr>
              <w:t>达到</w:t>
            </w:r>
            <w:r>
              <w:rPr>
                <w:rFonts w:hint="default" w:ascii="Times New Roman" w:hAnsi="Times New Roman" w:eastAsia="宋体" w:cs="Times New Roman"/>
                <w:snapToGrid w:val="0"/>
                <w:kern w:val="0"/>
                <w:highlight w:val="none"/>
                <w:lang w:val="en-US" w:eastAsia="zh-CN"/>
              </w:rPr>
              <w:fldChar w:fldCharType="begin"/>
            </w:r>
            <w:r>
              <w:rPr>
                <w:rFonts w:hint="default" w:ascii="Times New Roman" w:hAnsi="Times New Roman" w:eastAsia="宋体" w:cs="Times New Roman"/>
                <w:snapToGrid w:val="0"/>
                <w:kern w:val="0"/>
                <w:highlight w:val="none"/>
                <w:lang w:val="en-US" w:eastAsia="zh-CN"/>
              </w:rPr>
              <w:instrText xml:space="preserve"> HYPERLINK "https://www.mee.gov.cn/ywgz/fgbz/bz/bzwb/dqhjbh/dqgdwrywrwpfbz/201505/W020240612354056402310.pdf" </w:instrText>
            </w:r>
            <w:r>
              <w:rPr>
                <w:rFonts w:hint="default" w:ascii="Times New Roman" w:hAnsi="Times New Roman" w:eastAsia="宋体" w:cs="Times New Roman"/>
                <w:snapToGrid w:val="0"/>
                <w:kern w:val="0"/>
                <w:highlight w:val="none"/>
                <w:lang w:val="en-US" w:eastAsia="zh-CN"/>
              </w:rPr>
              <w:fldChar w:fldCharType="separate"/>
            </w:r>
            <w:r>
              <w:rPr>
                <w:rFonts w:hint="default" w:ascii="Times New Roman" w:hAnsi="Times New Roman" w:eastAsia="宋体" w:cs="Times New Roman"/>
                <w:snapToGrid w:val="0"/>
                <w:kern w:val="0"/>
                <w:highlight w:val="none"/>
                <w:lang w:val="en-US" w:eastAsia="zh-CN"/>
              </w:rPr>
              <w:t>《合成树脂工业污染物排放标准》（GB 31572-2015，含2024年修改单）</w:t>
            </w:r>
            <w:r>
              <w:rPr>
                <w:rFonts w:hint="default" w:ascii="Times New Roman" w:hAnsi="Times New Roman" w:eastAsia="宋体" w:cs="Times New Roman"/>
                <w:snapToGrid w:val="0"/>
                <w:kern w:val="0"/>
                <w:highlight w:val="none"/>
                <w:lang w:val="en-US" w:eastAsia="zh-CN"/>
              </w:rPr>
              <w:fldChar w:fldCharType="end"/>
            </w:r>
            <w:r>
              <w:rPr>
                <w:rFonts w:hint="default" w:ascii="Times New Roman" w:hAnsi="Times New Roman" w:eastAsia="宋体" w:cs="Times New Roman"/>
                <w:snapToGrid w:val="0"/>
                <w:kern w:val="0"/>
                <w:highlight w:val="none"/>
                <w:lang w:val="en-US" w:eastAsia="zh-CN"/>
              </w:rPr>
              <w:t>表5中大气污染物特别排放限值后</w:t>
            </w:r>
            <w:r>
              <w:rPr>
                <w:rFonts w:hint="default" w:ascii="Times New Roman" w:hAnsi="Times New Roman" w:eastAsia="宋体" w:cs="Times New Roman"/>
                <w:snapToGrid w:val="0"/>
                <w:kern w:val="0"/>
                <w:highlight w:val="none"/>
              </w:rPr>
              <w:t>通过15m排气筒排放</w:t>
            </w:r>
            <w:r>
              <w:rPr>
                <w:rFonts w:hint="eastAsia" w:ascii="Times New Roman" w:hAnsi="Times New Roman" w:eastAsia="宋体" w:cs="Times New Roman"/>
                <w:snapToGrid w:val="0"/>
                <w:kern w:val="0"/>
                <w:highlight w:val="none"/>
                <w:lang w:eastAsia="zh-CN"/>
              </w:rPr>
              <w:t>，</w:t>
            </w:r>
            <w:r>
              <w:rPr>
                <w:rFonts w:hint="eastAsia"/>
                <w:highlight w:val="none"/>
                <w:lang w:val="en-US" w:eastAsia="zh-CN"/>
              </w:rPr>
              <w:t>严格落实污染物总量控制要求</w:t>
            </w:r>
            <w:r>
              <w:rPr>
                <w:rFonts w:hint="default" w:ascii="Times New Roman" w:hAnsi="Times New Roman" w:eastAsia="宋体" w:cs="Times New Roman"/>
                <w:snapToGrid w:val="0"/>
                <w:kern w:val="0"/>
                <w:highlight w:val="none"/>
                <w:lang w:eastAsia="zh-CN"/>
              </w:rPr>
              <w:t>。</w:t>
            </w:r>
            <w:r>
              <w:rPr>
                <w:rFonts w:hint="eastAsia" w:ascii="Times New Roman" w:hAnsi="Times New Roman" w:eastAsia="宋体" w:cs="Times New Roman"/>
                <w:snapToGrid w:val="0"/>
                <w:kern w:val="0"/>
                <w:highlight w:val="none"/>
                <w:lang w:val="en-US" w:eastAsia="zh-CN"/>
              </w:rPr>
              <w:t>本项目</w:t>
            </w:r>
            <w:r>
              <w:rPr>
                <w:rFonts w:hint="default" w:ascii="Times New Roman" w:hAnsi="Times New Roman" w:eastAsia="宋体" w:cs="Times New Roman"/>
                <w:color w:val="000000"/>
                <w:highlight w:val="none"/>
                <w:lang w:val="en-US" w:eastAsia="zh-CN"/>
              </w:rPr>
              <w:t>产生的固体废物为</w:t>
            </w:r>
            <w:r>
              <w:rPr>
                <w:rFonts w:hint="eastAsia" w:cs="Times New Roman"/>
                <w:color w:val="000000"/>
                <w:highlight w:val="none"/>
                <w:lang w:val="en-US" w:eastAsia="zh-CN"/>
              </w:rPr>
              <w:t>废边角料、废包装袋及不合格产品</w:t>
            </w:r>
            <w:r>
              <w:rPr>
                <w:rFonts w:hint="default" w:ascii="Times New Roman" w:hAnsi="Times New Roman" w:eastAsia="宋体" w:cs="Times New Roman"/>
                <w:color w:val="000000"/>
                <w:highlight w:val="none"/>
                <w:lang w:val="en-US" w:eastAsia="zh-CN"/>
              </w:rPr>
              <w:t>收集后外售至废品回收站回收处置；危险废物为沾染含油污泥的废手套、废抹布、废活性炭、废润滑油及废油桶等危险废物收集</w:t>
            </w:r>
            <w:r>
              <w:rPr>
                <w:rFonts w:hint="eastAsia" w:cs="Times New Roman"/>
                <w:color w:val="000000"/>
                <w:highlight w:val="none"/>
                <w:lang w:val="en-US" w:eastAsia="zh-CN"/>
              </w:rPr>
              <w:t>贮存</w:t>
            </w:r>
            <w:r>
              <w:rPr>
                <w:rFonts w:hint="default" w:ascii="Times New Roman" w:hAnsi="Times New Roman" w:eastAsia="宋体" w:cs="Times New Roman"/>
                <w:color w:val="000000"/>
                <w:highlight w:val="none"/>
                <w:lang w:val="en-US" w:eastAsia="zh-CN"/>
              </w:rPr>
              <w:t>于</w:t>
            </w:r>
            <w:r>
              <w:rPr>
                <w:rFonts w:hint="eastAsia" w:cs="Times New Roman"/>
                <w:color w:val="000000"/>
                <w:highlight w:val="none"/>
                <w:lang w:val="en-US" w:eastAsia="zh-CN"/>
              </w:rPr>
              <w:t>危险废物贮存库</w:t>
            </w:r>
            <w:r>
              <w:rPr>
                <w:rFonts w:hint="default" w:ascii="Times New Roman" w:hAnsi="Times New Roman" w:eastAsia="宋体" w:cs="Times New Roman"/>
                <w:color w:val="000000"/>
                <w:highlight w:val="none"/>
                <w:lang w:val="en-US" w:eastAsia="zh-CN"/>
              </w:rPr>
              <w:t>，交由有资质的单位处理</w:t>
            </w:r>
            <w:r>
              <w:rPr>
                <w:rFonts w:hint="eastAsia" w:cs="Times New Roman"/>
                <w:color w:val="000000"/>
                <w:highlight w:val="none"/>
                <w:lang w:val="en-US" w:eastAsia="zh-CN"/>
              </w:rPr>
              <w:t>。</w:t>
            </w:r>
            <w:r>
              <w:rPr>
                <w:rFonts w:hint="default" w:ascii="Times New Roman" w:hAnsi="Times New Roman" w:eastAsia="宋体" w:cs="Times New Roman"/>
                <w:b w:val="0"/>
                <w:color w:val="000000"/>
                <w:highlight w:val="none"/>
                <w:lang w:val="en-US" w:eastAsia="zh-CN"/>
              </w:rPr>
              <w:t>生活垃圾由当地环卫部门统一收集处理</w:t>
            </w:r>
            <w:r>
              <w:rPr>
                <w:rFonts w:hint="eastAsia" w:ascii="Times New Roman" w:hAnsi="Times New Roman" w:eastAsia="宋体" w:cs="Times New Roman"/>
                <w:b w:val="0"/>
                <w:color w:val="000000"/>
                <w:highlight w:val="none"/>
                <w:lang w:val="en-US" w:eastAsia="zh-CN"/>
              </w:rPr>
              <w:t>。</w:t>
            </w:r>
            <w:r>
              <w:rPr>
                <w:rFonts w:hint="default" w:ascii="Times New Roman" w:hAnsi="Times New Roman" w:eastAsia="宋体" w:cs="Times New Roman"/>
                <w:b w:val="0"/>
                <w:color w:val="000000"/>
                <w:highlight w:val="none"/>
                <w:lang w:val="en-US" w:eastAsia="zh-CN"/>
              </w:rPr>
              <w:t>符合《河北巴州生态产业园总体规划（2017-2030年）环境影响报告书》中结论的要求。</w:t>
            </w:r>
          </w:p>
          <w:p>
            <w:pPr>
              <w:keepNext w:val="0"/>
              <w:keepLines w:val="0"/>
              <w:suppressLineNumbers w:val="0"/>
              <w:bidi w:val="0"/>
              <w:spacing w:before="0" w:beforeAutospacing="0" w:after="0" w:afterAutospacing="0"/>
              <w:ind w:left="0" w:leftChars="0" w:right="0" w:firstLine="482" w:firstLineChars="200"/>
              <w:rPr>
                <w:rFonts w:hint="default" w:ascii="Times New Roman" w:hAnsi="Times New Roman" w:eastAsia="宋体" w:cs="Times New Roman"/>
                <w:b/>
                <w:bCs/>
                <w:color w:val="000000"/>
                <w:lang w:val="en-US" w:eastAsia="zh-CN"/>
              </w:rPr>
            </w:pPr>
            <w:r>
              <w:rPr>
                <w:rFonts w:hint="default" w:ascii="Times New Roman" w:hAnsi="Times New Roman" w:eastAsia="宋体" w:cs="Times New Roman"/>
                <w:b/>
                <w:bCs/>
                <w:color w:val="000000"/>
                <w:lang w:val="en-US" w:eastAsia="zh-CN"/>
              </w:rPr>
              <w:t>3、规划环境影响评价审查意见符合性分析</w:t>
            </w:r>
          </w:p>
          <w:p>
            <w:pPr>
              <w:keepNext w:val="0"/>
              <w:keepLines w:val="0"/>
              <w:suppressLineNumbers w:val="0"/>
              <w:bidi w:val="0"/>
              <w:spacing w:before="0" w:beforeAutospacing="0" w:after="0" w:afterAutospacing="0"/>
              <w:ind w:left="0" w:leftChars="0" w:right="0" w:rightChars="0" w:firstLine="480" w:firstLineChars="200"/>
              <w:rPr>
                <w:rFonts w:hint="default" w:ascii="Times New Roman" w:hAnsi="Times New Roman" w:eastAsia="宋体" w:cs="Times New Roman"/>
                <w:color w:val="000000"/>
                <w:highlight w:val="none"/>
                <w:lang w:val="en-US" w:eastAsia="zh-CN"/>
              </w:rPr>
            </w:pPr>
            <w:r>
              <w:rPr>
                <w:rFonts w:hint="default" w:ascii="Times New Roman" w:hAnsi="Times New Roman" w:eastAsia="宋体" w:cs="Times New Roman"/>
                <w:color w:val="000000"/>
                <w:highlight w:val="none"/>
                <w:lang w:val="en-US" w:eastAsia="zh-CN"/>
              </w:rPr>
              <w:t>《关于河北巴州生态产业园总体规划（2017-2030年）环境影响报告书的审查意见》（新环函〔2017〕1306号）中完善园区污水处理、固废集中处置</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理</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、集中供热等环境基础设施。按照</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雨污分流</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清污分流</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污污分治</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原则规划、设计和建设园区排水系统、废(污)水处理系统和中水回用系统，逐步建成完整的排水和中水回用系统。加快集中供热设施建设，依法淘汰取缔不符合环保准入条件的小型燃煤锅炉，制定切实可行的一般固体废弃物综合利用方案，配套建设工业固废处置场;严格按照国家有关规定进行危险废物贮存、处置和处理。园区污水处理、固废集中处置</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理</w:t>
            </w:r>
            <w:r>
              <w:rPr>
                <w:rFonts w:hint="eastAsia" w:cs="Times New Roman"/>
                <w:color w:val="000000"/>
                <w:highlight w:val="none"/>
                <w:lang w:val="en-US" w:eastAsia="zh-CN"/>
              </w:rPr>
              <w:t>）</w:t>
            </w:r>
            <w:r>
              <w:rPr>
                <w:rFonts w:hint="default" w:ascii="Times New Roman" w:hAnsi="Times New Roman" w:eastAsia="宋体" w:cs="Times New Roman"/>
                <w:color w:val="000000"/>
                <w:highlight w:val="none"/>
                <w:lang w:val="en-US" w:eastAsia="zh-CN"/>
              </w:rPr>
              <w:t>、集中供热站等环境基础设施须在企业入园前建设完成，园区污水集中处理设施应在2017年底前建设完成，并安装自动在线监控装置。</w:t>
            </w:r>
          </w:p>
          <w:p>
            <w:pPr>
              <w:keepNext w:val="0"/>
              <w:keepLines w:val="0"/>
              <w:suppressLineNumbers w:val="0"/>
              <w:bidi w:val="0"/>
              <w:spacing w:before="0" w:beforeAutospacing="0" w:after="0" w:afterAutospacing="0"/>
              <w:ind w:left="0" w:leftChars="0" w:right="0" w:rightChars="0" w:firstLine="480" w:firstLineChars="200"/>
              <w:rPr>
                <w:color w:val="000000"/>
              </w:rPr>
            </w:pPr>
            <w:r>
              <w:rPr>
                <w:rFonts w:hint="eastAsia" w:cs="Times New Roman"/>
                <w:color w:val="000000"/>
                <w:highlight w:val="none"/>
                <w:lang w:val="en-US" w:eastAsia="zh-CN"/>
              </w:rPr>
              <w:t>本项目</w:t>
            </w:r>
            <w:r>
              <w:rPr>
                <w:rFonts w:hint="default" w:ascii="Times New Roman" w:hAnsi="Times New Roman" w:eastAsia="宋体" w:cs="Times New Roman"/>
                <w:snapToGrid w:val="0"/>
                <w:kern w:val="0"/>
                <w:highlight w:val="none"/>
              </w:rPr>
              <w:t>产生的VOCs集中收集后进入二级活性炭装置进行处理，处理后的废气</w:t>
            </w:r>
            <w:r>
              <w:rPr>
                <w:rFonts w:hint="default" w:ascii="Times New Roman" w:hAnsi="Times New Roman" w:eastAsia="宋体" w:cs="Times New Roman"/>
                <w:snapToGrid w:val="0"/>
                <w:kern w:val="0"/>
                <w:highlight w:val="none"/>
                <w:lang w:val="en-US" w:eastAsia="zh-CN"/>
              </w:rPr>
              <w:t>达到</w:t>
            </w:r>
            <w:r>
              <w:rPr>
                <w:rFonts w:hint="default" w:ascii="Times New Roman" w:hAnsi="Times New Roman" w:eastAsia="宋体" w:cs="Times New Roman"/>
                <w:snapToGrid w:val="0"/>
                <w:kern w:val="0"/>
                <w:highlight w:val="none"/>
                <w:lang w:val="en-US" w:eastAsia="zh-CN"/>
              </w:rPr>
              <w:fldChar w:fldCharType="begin"/>
            </w:r>
            <w:r>
              <w:rPr>
                <w:rFonts w:hint="default" w:ascii="Times New Roman" w:hAnsi="Times New Roman" w:eastAsia="宋体" w:cs="Times New Roman"/>
                <w:snapToGrid w:val="0"/>
                <w:kern w:val="0"/>
                <w:highlight w:val="none"/>
                <w:lang w:val="en-US" w:eastAsia="zh-CN"/>
              </w:rPr>
              <w:instrText xml:space="preserve"> HYPERLINK "https://www.mee.gov.cn/ywgz/fgbz/bz/bzwb/dqhjbh/dqgdwrywrwpfbz/201505/W020240612354056402310.pdf" </w:instrText>
            </w:r>
            <w:r>
              <w:rPr>
                <w:rFonts w:hint="default" w:ascii="Times New Roman" w:hAnsi="Times New Roman" w:eastAsia="宋体" w:cs="Times New Roman"/>
                <w:snapToGrid w:val="0"/>
                <w:kern w:val="0"/>
                <w:highlight w:val="none"/>
                <w:lang w:val="en-US" w:eastAsia="zh-CN"/>
              </w:rPr>
              <w:fldChar w:fldCharType="separate"/>
            </w:r>
            <w:r>
              <w:rPr>
                <w:rFonts w:hint="default" w:ascii="Times New Roman" w:hAnsi="Times New Roman" w:eastAsia="宋体" w:cs="Times New Roman"/>
                <w:snapToGrid w:val="0"/>
                <w:kern w:val="0"/>
                <w:highlight w:val="none"/>
                <w:lang w:val="en-US" w:eastAsia="zh-CN"/>
              </w:rPr>
              <w:t>《合成树脂工业污染物排放标准》（GB 31572-2015，含2024年修改单）</w:t>
            </w:r>
            <w:r>
              <w:rPr>
                <w:rFonts w:hint="default" w:ascii="Times New Roman" w:hAnsi="Times New Roman" w:eastAsia="宋体" w:cs="Times New Roman"/>
                <w:snapToGrid w:val="0"/>
                <w:kern w:val="0"/>
                <w:highlight w:val="none"/>
                <w:lang w:val="en-US" w:eastAsia="zh-CN"/>
              </w:rPr>
              <w:fldChar w:fldCharType="end"/>
            </w:r>
            <w:r>
              <w:rPr>
                <w:rFonts w:hint="default" w:ascii="Times New Roman" w:hAnsi="Times New Roman" w:eastAsia="宋体" w:cs="Times New Roman"/>
                <w:snapToGrid w:val="0"/>
                <w:kern w:val="0"/>
                <w:highlight w:val="none"/>
                <w:lang w:val="en-US" w:eastAsia="zh-CN"/>
              </w:rPr>
              <w:t>表5中大气污染物特别排放限值后</w:t>
            </w:r>
            <w:r>
              <w:rPr>
                <w:rFonts w:hint="default" w:ascii="Times New Roman" w:hAnsi="Times New Roman" w:eastAsia="宋体" w:cs="Times New Roman"/>
                <w:snapToGrid w:val="0"/>
                <w:kern w:val="0"/>
                <w:highlight w:val="none"/>
              </w:rPr>
              <w:t>通过15m排气筒排放</w:t>
            </w:r>
            <w:r>
              <w:rPr>
                <w:rFonts w:hint="eastAsia" w:ascii="Times New Roman" w:hAnsi="Times New Roman" w:eastAsia="宋体" w:cs="Times New Roman"/>
                <w:snapToGrid w:val="0"/>
                <w:kern w:val="0"/>
                <w:highlight w:val="none"/>
                <w:lang w:eastAsia="zh-CN"/>
              </w:rPr>
              <w:t>，</w:t>
            </w:r>
            <w:r>
              <w:rPr>
                <w:rFonts w:hint="eastAsia"/>
                <w:highlight w:val="none"/>
                <w:lang w:val="en-US" w:eastAsia="zh-CN"/>
              </w:rPr>
              <w:t>严格落实污染物总量控制要求</w:t>
            </w:r>
            <w:r>
              <w:rPr>
                <w:rFonts w:hint="default" w:ascii="Times New Roman" w:hAnsi="Times New Roman" w:eastAsia="宋体" w:cs="Times New Roman"/>
                <w:snapToGrid w:val="0"/>
                <w:kern w:val="0"/>
                <w:highlight w:val="none"/>
                <w:lang w:eastAsia="zh-CN"/>
              </w:rPr>
              <w:t>。</w:t>
            </w:r>
            <w:r>
              <w:rPr>
                <w:rFonts w:hint="eastAsia" w:ascii="Times New Roman" w:hAnsi="Times New Roman" w:eastAsia="宋体" w:cs="Times New Roman"/>
                <w:snapToGrid w:val="0"/>
                <w:kern w:val="0"/>
                <w:highlight w:val="none"/>
                <w:lang w:val="en-US" w:eastAsia="zh-CN"/>
              </w:rPr>
              <w:t>本项目</w:t>
            </w:r>
            <w:r>
              <w:rPr>
                <w:rFonts w:hint="default" w:ascii="Times New Roman" w:hAnsi="Times New Roman" w:eastAsia="宋体" w:cs="Times New Roman"/>
                <w:color w:val="000000"/>
                <w:highlight w:val="none"/>
                <w:lang w:val="en-US" w:eastAsia="zh-CN"/>
              </w:rPr>
              <w:t>产生的固体废物为</w:t>
            </w:r>
            <w:r>
              <w:rPr>
                <w:rFonts w:hint="eastAsia" w:cs="Times New Roman"/>
                <w:color w:val="000000"/>
                <w:highlight w:val="none"/>
                <w:lang w:val="en-US" w:eastAsia="zh-CN"/>
              </w:rPr>
              <w:t>废边角料、废包装袋及不合格产品</w:t>
            </w:r>
            <w:r>
              <w:rPr>
                <w:rFonts w:hint="default" w:ascii="Times New Roman" w:hAnsi="Times New Roman" w:eastAsia="宋体" w:cs="Times New Roman"/>
                <w:color w:val="000000"/>
                <w:highlight w:val="none"/>
                <w:lang w:val="en-US" w:eastAsia="zh-CN"/>
              </w:rPr>
              <w:t>收集后外售至废品回收站回收处置；危险废物为沾染含油污泥的废手套、废抹布、废活性炭、废润滑油及废油桶等危险废物收集</w:t>
            </w:r>
            <w:r>
              <w:rPr>
                <w:rFonts w:hint="eastAsia" w:cs="Times New Roman"/>
                <w:color w:val="000000"/>
                <w:highlight w:val="none"/>
                <w:lang w:val="en-US" w:eastAsia="zh-CN"/>
              </w:rPr>
              <w:t>贮存</w:t>
            </w:r>
            <w:r>
              <w:rPr>
                <w:rFonts w:hint="default" w:ascii="Times New Roman" w:hAnsi="Times New Roman" w:eastAsia="宋体" w:cs="Times New Roman"/>
                <w:color w:val="000000"/>
                <w:highlight w:val="none"/>
                <w:lang w:val="en-US" w:eastAsia="zh-CN"/>
              </w:rPr>
              <w:t>于</w:t>
            </w:r>
            <w:r>
              <w:rPr>
                <w:rFonts w:hint="eastAsia" w:cs="Times New Roman"/>
                <w:color w:val="000000"/>
                <w:highlight w:val="none"/>
                <w:lang w:val="en-US" w:eastAsia="zh-CN"/>
              </w:rPr>
              <w:t>危险废物贮存库</w:t>
            </w:r>
            <w:r>
              <w:rPr>
                <w:rFonts w:hint="default" w:ascii="Times New Roman" w:hAnsi="Times New Roman" w:eastAsia="宋体" w:cs="Times New Roman"/>
                <w:color w:val="000000"/>
                <w:highlight w:val="none"/>
                <w:lang w:val="en-US" w:eastAsia="zh-CN"/>
              </w:rPr>
              <w:t>，交由有资质的单位处理</w:t>
            </w:r>
            <w:r>
              <w:rPr>
                <w:rFonts w:hint="eastAsia" w:cs="Times New Roman"/>
                <w:color w:val="000000"/>
                <w:highlight w:val="none"/>
                <w:lang w:val="en-US" w:eastAsia="zh-CN"/>
              </w:rPr>
              <w:t>。</w:t>
            </w:r>
            <w:r>
              <w:rPr>
                <w:rFonts w:hint="default" w:ascii="Times New Roman" w:hAnsi="Times New Roman" w:eastAsia="宋体" w:cs="Times New Roman"/>
                <w:b w:val="0"/>
                <w:color w:val="000000"/>
                <w:highlight w:val="none"/>
                <w:lang w:val="en-US" w:eastAsia="zh-CN"/>
              </w:rPr>
              <w:t>生活垃圾由当地环卫部门统一收集处理</w:t>
            </w:r>
            <w:r>
              <w:rPr>
                <w:rFonts w:hint="eastAsia" w:ascii="Times New Roman" w:hAnsi="Times New Roman" w:eastAsia="宋体" w:cs="Times New Roman"/>
                <w:b w:val="0"/>
                <w:color w:val="000000"/>
                <w:highlight w:val="none"/>
                <w:lang w:val="en-US" w:eastAsia="zh-CN"/>
              </w:rPr>
              <w:t>。</w:t>
            </w:r>
            <w:r>
              <w:rPr>
                <w:rFonts w:hint="eastAsia" w:ascii="Times New Roman" w:hAnsi="Times New Roman" w:eastAsia="宋体" w:cs="Times New Roman"/>
                <w:snapToGrid w:val="0"/>
                <w:kern w:val="0"/>
                <w:highlight w:val="none"/>
                <w:lang w:val="en-US" w:eastAsia="zh-CN"/>
              </w:rPr>
              <w:t>综上本项目</w:t>
            </w:r>
            <w:r>
              <w:rPr>
                <w:rFonts w:hint="default" w:ascii="Times New Roman" w:hAnsi="Times New Roman" w:eastAsia="宋体" w:cs="Times New Roman"/>
                <w:color w:val="000000"/>
                <w:highlight w:val="none"/>
                <w:lang w:val="en-US" w:eastAsia="zh-CN"/>
              </w:rPr>
              <w:t>符合河北巴州生态产业园总体规划环境影响报告书的审查意见要求。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346" w:type="dxa"/>
            <w:tcBorders>
              <w:tl2br w:val="nil"/>
              <w:tr2bl w:val="nil"/>
            </w:tcBorders>
            <w:noWrap w:val="0"/>
            <w:vAlign w:val="center"/>
          </w:tcPr>
          <w:p>
            <w:pPr>
              <w:autoSpaceDE w:val="0"/>
              <w:autoSpaceDN w:val="0"/>
              <w:adjustRightInd w:val="0"/>
              <w:snapToGrid w:val="0"/>
              <w:jc w:val="center"/>
              <w:rPr>
                <w:kern w:val="0"/>
                <w:szCs w:val="21"/>
              </w:rPr>
            </w:pPr>
            <w:r>
              <w:rPr>
                <w:kern w:val="0"/>
                <w:szCs w:val="21"/>
              </w:rPr>
              <w:t>其他符合性分析</w:t>
            </w:r>
          </w:p>
        </w:tc>
        <w:tc>
          <w:tcPr>
            <w:tcW w:w="7524" w:type="dxa"/>
            <w:gridSpan w:val="3"/>
            <w:tcBorders>
              <w:tl2br w:val="nil"/>
              <w:tr2bl w:val="nil"/>
            </w:tcBorders>
            <w:noWrap w:val="0"/>
            <w:vAlign w:val="center"/>
          </w:tcPr>
          <w:p>
            <w:pPr>
              <w:rPr>
                <w:b/>
                <w:bCs/>
              </w:rPr>
            </w:pPr>
            <w:r>
              <w:rPr>
                <w:rFonts w:hint="eastAsia"/>
                <w:b/>
                <w:bCs/>
              </w:rPr>
              <w:t>1、</w:t>
            </w:r>
            <w:r>
              <w:rPr>
                <w:b/>
                <w:bCs/>
              </w:rPr>
              <w:t>产业政策符合性</w:t>
            </w:r>
          </w:p>
          <w:p>
            <w:pPr>
              <w:ind w:firstLine="480" w:firstLineChars="200"/>
            </w:pPr>
            <w:r>
              <w:t>根据《产业结构调整指导目录（20</w:t>
            </w:r>
            <w:r>
              <w:rPr>
                <w:rFonts w:hint="eastAsia"/>
                <w:lang w:val="en-US" w:eastAsia="zh-CN"/>
              </w:rPr>
              <w:t>24</w:t>
            </w:r>
            <w:r>
              <w:t>年本）》，本项目不属于鼓励、限制类、淘汰类</w:t>
            </w:r>
            <w:r>
              <w:rPr>
                <w:rFonts w:hint="eastAsia"/>
                <w:lang w:eastAsia="zh-CN"/>
              </w:rPr>
              <w:t>。</w:t>
            </w:r>
            <w:r>
              <w:t>《产业结构调整指导目录（20</w:t>
            </w:r>
            <w:r>
              <w:rPr>
                <w:rFonts w:hint="eastAsia"/>
                <w:lang w:val="en-US" w:eastAsia="zh-CN"/>
              </w:rPr>
              <w:t>24</w:t>
            </w:r>
            <w:r>
              <w:t>年本）》</w:t>
            </w:r>
            <w:r>
              <w:rPr>
                <w:rFonts w:hint="eastAsia"/>
                <w:lang w:val="en-US" w:eastAsia="zh-CN"/>
              </w:rPr>
              <w:t>中规定</w:t>
            </w:r>
            <w:r>
              <w:rPr>
                <w:rFonts w:hint="eastAsia"/>
              </w:rPr>
              <w:t>鼓励类、限制类和淘汰类之外的，且符合国家有关法律法规和政策规定的属于允许类</w:t>
            </w:r>
            <w:r>
              <w:rPr>
                <w:rFonts w:hint="eastAsia" w:ascii="宋体" w:hAnsi="宋体" w:cs="宋体"/>
              </w:rPr>
              <w:t>，</w:t>
            </w:r>
            <w:r>
              <w:t>因此项目属</w:t>
            </w:r>
            <w:r>
              <w:rPr>
                <w:rFonts w:hint="eastAsia"/>
                <w:lang w:val="en-US" w:eastAsia="zh-CN"/>
              </w:rPr>
              <w:t>于</w:t>
            </w:r>
            <w:r>
              <w:t>允许类，符合国家的产业政策。</w:t>
            </w:r>
          </w:p>
          <w:p>
            <w:pPr>
              <w:widowControl w:val="0"/>
              <w:adjustRightInd w:val="0"/>
              <w:snapToGrid w:val="0"/>
              <w:spacing w:line="360" w:lineRule="auto"/>
              <w:ind w:left="0" w:leftChars="0" w:firstLine="0" w:firstLineChars="0"/>
              <w:jc w:val="both"/>
              <w:rPr>
                <w:rFonts w:ascii="Times New Roman" w:hAnsi="Times New Roman" w:eastAsia="宋体" w:cs="Times New Roman"/>
                <w:b/>
                <w:bCs/>
                <w:color w:val="000000"/>
                <w:kern w:val="2"/>
                <w:sz w:val="24"/>
                <w:szCs w:val="24"/>
                <w:lang w:val="en-US" w:eastAsia="zh-CN" w:bidi="ar-SA"/>
              </w:rPr>
            </w:pPr>
            <w:r>
              <w:rPr>
                <w:rFonts w:hint="eastAsia" w:ascii="Times New Roman" w:hAnsi="Times New Roman" w:eastAsia="宋体" w:cs="Times New Roman"/>
                <w:b/>
                <w:bCs/>
                <w:kern w:val="2"/>
                <w:sz w:val="24"/>
                <w:szCs w:val="20"/>
                <w:lang w:val="en-US" w:eastAsia="zh-CN" w:bidi="ar-SA"/>
              </w:rPr>
              <w:t>2、</w:t>
            </w:r>
            <w:r>
              <w:rPr>
                <w:rFonts w:hint="eastAsia" w:ascii="Times New Roman" w:hAnsi="Times New Roman" w:eastAsia="宋体" w:cs="Times New Roman"/>
                <w:b/>
                <w:bCs/>
                <w:color w:val="000000"/>
                <w:kern w:val="2"/>
                <w:sz w:val="24"/>
                <w:szCs w:val="24"/>
                <w:lang w:val="en-US" w:eastAsia="zh-CN" w:bidi="ar-SA"/>
              </w:rPr>
              <w:t>生态环境分区管控要求的符合性分析</w:t>
            </w:r>
          </w:p>
          <w:p>
            <w:pPr>
              <w:ind w:firstLine="480" w:firstLineChars="200"/>
              <w:rPr>
                <w:rFonts w:hint="eastAsia"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《关于印发&lt;新疆维吾尔自治区生态环境分区管控动态更新成果&gt;的通知》（新政发〔2024〕157号）的符合性分析。</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表1-1与《关于印发&lt;新疆维吾尔自治区生态环境分区管控动态更新成果&gt;的通知》（新政发〔2024〕157号）的符合性表</w:t>
            </w:r>
          </w:p>
          <w:tbl>
            <w:tblPr>
              <w:tblStyle w:val="60"/>
              <w:tblW w:w="7290" w:type="dxa"/>
              <w:tblInd w:w="15"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61"/>
              <w:gridCol w:w="496"/>
              <w:gridCol w:w="4063"/>
              <w:gridCol w:w="247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519" w:type="pct"/>
                  <w:gridSpan w:val="2"/>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管控维度</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管控要求</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符合性分析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90"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A1空间布局约束</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A1.1禁止开发建设的活动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〔A1.1-1〕禁止新建、扩建《产业结构调整指导目录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2024年本</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》中淘汰类项目。禁止引入《市场准入负面清单</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2022年版</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》禁止准入类事项。</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 年本）》</w:t>
                  </w:r>
                  <w:r>
                    <w:rPr>
                      <w:rFonts w:hint="eastAsia" w:ascii="Times New Roman" w:hAnsi="Times New Roman" w:eastAsia="宋体" w:cs="Times New Roman"/>
                      <w:b w:val="0"/>
                      <w:bCs/>
                      <w:color w:val="000000"/>
                      <w:spacing w:val="0"/>
                      <w:kern w:val="0"/>
                      <w:position w:val="0"/>
                      <w:sz w:val="21"/>
                      <w:szCs w:val="21"/>
                      <w:lang w:val="en-US" w:eastAsia="en-US" w:bidi="zh-CN"/>
                    </w:rPr>
                    <w:t>允许</w:t>
                  </w:r>
                  <w:r>
                    <w:rPr>
                      <w:rFonts w:hint="default" w:ascii="Times New Roman" w:hAnsi="Times New Roman" w:eastAsia="宋体" w:cs="Times New Roman"/>
                      <w:b w:val="0"/>
                      <w:bCs/>
                      <w:color w:val="000000"/>
                      <w:spacing w:val="0"/>
                      <w:kern w:val="0"/>
                      <w:position w:val="0"/>
                      <w:sz w:val="21"/>
                      <w:szCs w:val="21"/>
                      <w:lang w:val="en-US" w:eastAsia="en-US" w:bidi="zh-CN"/>
                    </w:rPr>
                    <w:t>类项目，不属于《市场准入负面清单（202</w:t>
                  </w:r>
                  <w:r>
                    <w:rPr>
                      <w:rFonts w:hint="eastAsia" w:cs="Times New Roman"/>
                      <w:b w:val="0"/>
                      <w:bCs/>
                      <w:color w:val="000000"/>
                      <w:spacing w:val="0"/>
                      <w:kern w:val="0"/>
                      <w:position w:val="0"/>
                      <w:sz w:val="21"/>
                      <w:szCs w:val="21"/>
                      <w:lang w:val="en-US" w:eastAsia="en-US" w:bidi="zh-CN"/>
                    </w:rPr>
                    <w:t>5</w:t>
                  </w:r>
                  <w:r>
                    <w:rPr>
                      <w:rFonts w:hint="default" w:ascii="Times New Roman" w:hAnsi="Times New Roman" w:eastAsia="宋体" w:cs="Times New Roman"/>
                      <w:b w:val="0"/>
                      <w:bCs/>
                      <w:color w:val="000000"/>
                      <w:spacing w:val="0"/>
                      <w:kern w:val="0"/>
                      <w:position w:val="0"/>
                      <w:sz w:val="21"/>
                      <w:szCs w:val="21"/>
                      <w:lang w:val="en-US" w:eastAsia="en-US" w:bidi="zh-CN"/>
                    </w:rPr>
                    <w:t>年版）》禁止准入事项。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A1.2限制开发建设的活动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-2〕建设项目用地原则上不得占用永久基本农田，确需占用永久基本农田的建设项目须符合《中华人民共和国基本农田保护条例》中相关要求，占用耕地、林地或草地的建设项目须按照国家、自治区相关补偿要求进行补偿。</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符合，本项目用地为工业用地。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〔A1.2-3〕以用途变更为住宅、公共管理与公共服务用地的地块为重点，严格建设用地准入管理和风险管控，未依法完成土壤污染状况调查或风险评估的地块，不得开工建设与风险管控和修复无关的项目。</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符合，本项目用地为工业用地。</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369"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A1.3不符合空间布局要求活动的退出要求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1.3-3〕根据《产业结构调整指导目录》《限期淘汰产生严重污染环境的工业固体废物的落后生产工艺设备名录》等要求，配合有关部门依法淘汰烧结-鼓风炉-炼铅工艺炼铅等涉重金属落后产能和化解过剩产能。严格执行生态环境保护等相关法规标准，推动经整改仍达不到要求的产能依法依规关闭退出。</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符合，本项目属于《产业结构调整指导目录（2024年本）》</w:t>
                  </w:r>
                  <w:r>
                    <w:rPr>
                      <w:rFonts w:hint="eastAsia" w:ascii="Times New Roman" w:hAnsi="Times New Roman" w:eastAsia="宋体" w:cs="Times New Roman"/>
                      <w:b w:val="0"/>
                      <w:bCs/>
                      <w:color w:val="000000"/>
                      <w:spacing w:val="0"/>
                      <w:kern w:val="0"/>
                      <w:position w:val="0"/>
                      <w:sz w:val="21"/>
                      <w:szCs w:val="21"/>
                      <w:lang w:val="en-US" w:eastAsia="en-US" w:bidi="zh-CN"/>
                    </w:rPr>
                    <w:t>允许</w:t>
                  </w:r>
                  <w:r>
                    <w:rPr>
                      <w:rFonts w:hint="default" w:ascii="Times New Roman" w:hAnsi="Times New Roman" w:eastAsia="宋体" w:cs="Times New Roman"/>
                      <w:b w:val="0"/>
                      <w:bCs/>
                      <w:color w:val="000000"/>
                      <w:spacing w:val="0"/>
                      <w:kern w:val="0"/>
                      <w:position w:val="0"/>
                      <w:sz w:val="21"/>
                      <w:szCs w:val="21"/>
                      <w:lang w:val="en-US" w:eastAsia="en-US" w:bidi="zh-CN"/>
                    </w:rPr>
                    <w:t>类项目。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7"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w:t>
                  </w:r>
                  <w:r>
                    <w:rPr>
                      <w:rFonts w:hint="eastAsia" w:cs="Times New Roman"/>
                      <w:b w:val="0"/>
                      <w:bCs/>
                      <w:color w:val="000000"/>
                      <w:spacing w:val="0"/>
                      <w:kern w:val="0"/>
                      <w:position w:val="0"/>
                      <w:sz w:val="21"/>
                      <w:szCs w:val="21"/>
                      <w:lang w:val="en-US" w:bidi="zh-CN"/>
                    </w:rPr>
                    <w:t>其他</w:t>
                  </w:r>
                  <w:r>
                    <w:rPr>
                      <w:rFonts w:hint="default" w:ascii="Times New Roman" w:hAnsi="Times New Roman" w:eastAsia="宋体" w:cs="Times New Roman"/>
                      <w:b w:val="0"/>
                      <w:bCs/>
                      <w:color w:val="000000"/>
                      <w:spacing w:val="0"/>
                      <w:kern w:val="0"/>
                      <w:position w:val="0"/>
                      <w:sz w:val="21"/>
                      <w:szCs w:val="21"/>
                      <w:lang w:val="en-US" w:bidi="zh-CN"/>
                    </w:rPr>
                    <w:t>布局要求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〔A1.4-2〕新建、扩建石化、化工、焦化、有色金属冶炼、平板玻璃项目应布设在依法合规设立并经规划环评的产业园区。</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ascii="Times New Roman" w:hAnsi="Times New Roman" w:eastAsia="宋体" w:cs="Times New Roman"/>
                      <w:b w:val="0"/>
                      <w:bCs/>
                      <w:color w:val="000000"/>
                      <w:spacing w:val="0"/>
                      <w:kern w:val="0"/>
                      <w:position w:val="0"/>
                      <w:sz w:val="21"/>
                      <w:szCs w:val="21"/>
                      <w:lang w:val="en-US" w:bidi="zh-CN"/>
                    </w:rPr>
                    <w:t>不属于上述行业</w:t>
                  </w:r>
                  <w:r>
                    <w:rPr>
                      <w:rFonts w:hint="default" w:ascii="Times New Roman" w:hAnsi="Times New Roman" w:eastAsia="宋体" w:cs="Times New Roman"/>
                      <w:b w:val="0"/>
                      <w:bCs/>
                      <w:color w:val="000000"/>
                      <w:spacing w:val="0"/>
                      <w:kern w:val="0"/>
                      <w:position w:val="0"/>
                      <w:sz w:val="21"/>
                      <w:szCs w:val="21"/>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1.4-3〕危险化学品生产企业搬迁改造及新建化工项目必须进入国家及自治区各级人民政府正式批准设立，规划环评通过审查，规划通过审批且环保基础设施完善的工业园区，并符合国土空间规划、产业发展规划和生态红线管控要求。</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w:t>
                  </w:r>
                  <w:r>
                    <w:rPr>
                      <w:rFonts w:hint="eastAsia" w:ascii="Times New Roman" w:hAnsi="Times New Roman" w:eastAsia="宋体" w:cs="Times New Roman"/>
                      <w:b w:val="0"/>
                      <w:bCs/>
                      <w:color w:val="000000"/>
                      <w:spacing w:val="0"/>
                      <w:kern w:val="0"/>
                      <w:position w:val="0"/>
                      <w:sz w:val="21"/>
                      <w:szCs w:val="21"/>
                      <w:lang w:val="en-US" w:bidi="zh-CN"/>
                    </w:rPr>
                    <w:t>不属于上述行业</w:t>
                  </w:r>
                  <w:r>
                    <w:rPr>
                      <w:rFonts w:hint="default" w:ascii="Times New Roman" w:hAnsi="Times New Roman" w:eastAsia="宋体" w:cs="Times New Roman"/>
                      <w:b w:val="0"/>
                      <w:bCs/>
                      <w:color w:val="000000"/>
                      <w:spacing w:val="0"/>
                      <w:kern w:val="0"/>
                      <w:position w:val="0"/>
                      <w:sz w:val="21"/>
                      <w:szCs w:val="21"/>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A2污染物排放管控</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A2.1污染物削减/替代要求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2.1-1〕新、改、扩建重点行业建设项目应符合“三线一单”、产业政策、区域环评、规划环评和行业环境准入管控要求。重点区域的新、改、扩建重点行业建设项目应遵循重点重金属污染物排放“减量替代”原则。</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符合，本项目位于</w:t>
                  </w:r>
                  <w:r>
                    <w:rPr>
                      <w:rFonts w:hint="default" w:ascii="Times New Roman" w:hAnsi="Times New Roman" w:eastAsia="宋体" w:cs="Times New Roman"/>
                      <w:b w:val="0"/>
                      <w:bCs/>
                      <w:color w:val="000000"/>
                      <w:spacing w:val="0"/>
                      <w:kern w:val="0"/>
                      <w:position w:val="0"/>
                      <w:sz w:val="21"/>
                      <w:szCs w:val="21"/>
                      <w:lang w:val="en-US" w:eastAsia="zh-CN" w:bidi="zh-CN"/>
                    </w:rPr>
                    <w:t>新疆巴州焉耆回族自治县河北巴州生态产业园</w:t>
                  </w:r>
                  <w:r>
                    <w:rPr>
                      <w:rFonts w:hint="eastAsia" w:ascii="Times New Roman" w:hAnsi="Times New Roman" w:eastAsia="宋体" w:cs="Times New Roman"/>
                      <w:b w:val="0"/>
                      <w:bCs/>
                      <w:color w:val="000000"/>
                      <w:spacing w:val="0"/>
                      <w:kern w:val="0"/>
                      <w:position w:val="0"/>
                      <w:sz w:val="21"/>
                      <w:szCs w:val="21"/>
                      <w:lang w:val="en-US" w:eastAsia="zh-CN" w:bidi="zh-CN"/>
                    </w:rPr>
                    <w:t>，用地性质为工业用地</w:t>
                  </w:r>
                  <w:r>
                    <w:rPr>
                      <w:rFonts w:hint="default" w:ascii="Times New Roman" w:hAnsi="Times New Roman" w:eastAsia="宋体" w:cs="Times New Roman"/>
                      <w:b w:val="0"/>
                      <w:bCs/>
                      <w:color w:val="000000"/>
                      <w:spacing w:val="0"/>
                      <w:kern w:val="0"/>
                      <w:position w:val="0"/>
                      <w:sz w:val="21"/>
                      <w:szCs w:val="21"/>
                      <w:lang w:val="en-US" w:eastAsia="zh-CN" w:bidi="zh-CN"/>
                    </w:rPr>
                    <w:t>。本项目</w:t>
                  </w:r>
                  <w:r>
                    <w:rPr>
                      <w:rFonts w:hint="eastAsia" w:cs="Times New Roman"/>
                      <w:b w:val="0"/>
                      <w:bCs/>
                      <w:color w:val="000000"/>
                      <w:spacing w:val="0"/>
                      <w:kern w:val="0"/>
                      <w:position w:val="0"/>
                      <w:sz w:val="21"/>
                      <w:szCs w:val="21"/>
                      <w:highlight w:val="none"/>
                      <w:lang w:val="en-US" w:eastAsia="zh-CN" w:bidi="zh-CN"/>
                    </w:rPr>
                    <w:t>不涉及重金属污染物排放</w:t>
                  </w:r>
                  <w:r>
                    <w:rPr>
                      <w:rFonts w:hint="default" w:ascii="Times New Roman" w:hAnsi="Times New Roman" w:eastAsia="宋体" w:cs="Times New Roman"/>
                      <w:b w:val="0"/>
                      <w:bCs/>
                      <w:color w:val="000000"/>
                      <w:spacing w:val="0"/>
                      <w:kern w:val="0"/>
                      <w:position w:val="0"/>
                      <w:sz w:val="21"/>
                      <w:szCs w:val="21"/>
                      <w:highlight w:val="none"/>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A2.2污染控制措施要求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2.2-1〕推动能源、钢铁、建材、有色、电力、化工等重点领域技术升级，控制工业过程温室气体排放，推动工业领域绿色低碳发展。积极鼓励发展二氧化碳捕集利用与封存等低碳技术。促进大气污染物与温室气体协同控制。实施污染物和温室气体协同控制，实现减污降碳协同效应。强化污水、垃圾等集中处置设施环境管理，协同控制氢氟碳化物、甲烷、氧化亚氮等温室气体。加强节约能源与大气污染防治协同有效衔接，促进大气污染防治协同增效。</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符合，本项目有机废气采取</w:t>
                  </w:r>
                  <w:r>
                    <w:rPr>
                      <w:rFonts w:hint="eastAsia" w:cs="Times New Roman"/>
                      <w:b w:val="0"/>
                      <w:bCs/>
                      <w:color w:val="000000"/>
                      <w:spacing w:val="0"/>
                      <w:kern w:val="0"/>
                      <w:position w:val="0"/>
                      <w:sz w:val="21"/>
                      <w:szCs w:val="21"/>
                      <w:lang w:val="en-US" w:bidi="zh-CN"/>
                    </w:rPr>
                    <w:t>密闭式</w:t>
                  </w:r>
                  <w:r>
                    <w:rPr>
                      <w:rFonts w:hint="eastAsia" w:cs="Times New Roman"/>
                      <w:b w:val="0"/>
                      <w:bCs/>
                      <w:color w:val="000000"/>
                      <w:spacing w:val="0"/>
                      <w:kern w:val="0"/>
                      <w:position w:val="0"/>
                      <w:sz w:val="21"/>
                      <w:szCs w:val="21"/>
                      <w:lang w:val="en-US" w:eastAsia="zh-CN" w:bidi="zh-CN"/>
                    </w:rPr>
                    <w:t>集气罩</w:t>
                  </w:r>
                  <w:r>
                    <w:rPr>
                      <w:rFonts w:hint="default" w:ascii="Times New Roman" w:hAnsi="Times New Roman" w:eastAsia="宋体" w:cs="Times New Roman"/>
                      <w:b w:val="0"/>
                      <w:bCs/>
                      <w:color w:val="000000"/>
                      <w:spacing w:val="0"/>
                      <w:kern w:val="0"/>
                      <w:position w:val="0"/>
                      <w:sz w:val="21"/>
                      <w:szCs w:val="21"/>
                      <w:lang w:val="en-US" w:eastAsia="zh-CN" w:bidi="zh-CN"/>
                    </w:rPr>
                    <w:t>收集后进入</w:t>
                  </w:r>
                  <w:r>
                    <w:rPr>
                      <w:rFonts w:hint="eastAsia" w:cs="Times New Roman"/>
                      <w:b w:val="0"/>
                      <w:bCs/>
                      <w:color w:val="000000"/>
                      <w:spacing w:val="0"/>
                      <w:kern w:val="0"/>
                      <w:position w:val="0"/>
                      <w:sz w:val="21"/>
                      <w:szCs w:val="21"/>
                      <w:lang w:val="en-US" w:eastAsia="zh-CN" w:bidi="zh-CN"/>
                    </w:rPr>
                    <w:t>二级活性炭</w:t>
                  </w:r>
                  <w:r>
                    <w:rPr>
                      <w:rFonts w:hint="eastAsia" w:ascii="Times New Roman" w:hAnsi="Times New Roman" w:eastAsia="宋体" w:cs="Times New Roman"/>
                      <w:b w:val="0"/>
                      <w:bCs/>
                      <w:color w:val="000000"/>
                      <w:spacing w:val="0"/>
                      <w:kern w:val="0"/>
                      <w:position w:val="0"/>
                      <w:sz w:val="21"/>
                      <w:szCs w:val="21"/>
                      <w:lang w:val="en-US" w:eastAsia="zh-CN" w:bidi="zh-CN"/>
                    </w:rPr>
                    <w:t>装置</w:t>
                  </w:r>
                  <w:r>
                    <w:rPr>
                      <w:rFonts w:hint="default" w:ascii="Times New Roman" w:hAnsi="Times New Roman" w:eastAsia="宋体" w:cs="Times New Roman"/>
                      <w:b w:val="0"/>
                      <w:bCs/>
                      <w:color w:val="000000"/>
                      <w:spacing w:val="0"/>
                      <w:kern w:val="0"/>
                      <w:position w:val="0"/>
                      <w:sz w:val="21"/>
                      <w:szCs w:val="21"/>
                      <w:lang w:val="en-US" w:eastAsia="zh-CN" w:bidi="zh-CN"/>
                    </w:rPr>
                    <w:t>治理后通过15m排气筒排放</w:t>
                  </w:r>
                  <w:r>
                    <w:rPr>
                      <w:rFonts w:hint="default" w:ascii="Times New Roman" w:hAnsi="Times New Roman" w:eastAsia="宋体" w:cs="Times New Roman"/>
                      <w:b w:val="0"/>
                      <w:bCs/>
                      <w:color w:val="000000"/>
                      <w:spacing w:val="0"/>
                      <w:kern w:val="0"/>
                      <w:position w:val="0"/>
                      <w:sz w:val="21"/>
                      <w:szCs w:val="21"/>
                      <w:lang w:val="en-US"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A3环境风险防控</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A3.1人居环境要求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〔A3.1-3〕强化重污染天气监测预报预警能力，建立和完善重污染天气兵地联合应急预案、预警应急机制和会商联动机制，加强轻、中度污染天气管控。</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符合，本项目积极响应重污染天气应急预案。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055"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A3.2联防联控要求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3.2-3〕加强新污染物多环境介质协同治理。排放重点管控新污染物的企事业单位应采取污染控制措施，达到相关污染物排放标准及环境质量目标要求；按照排污许可管理有关要求，依法申领排污许可证或填写排污登记表，并在其中载明执行的污染控制标准要求及采取的污染控制措施。排放重点管控新污染物的企事业单位和其他生产经营者应按照相关法律法规要求，对排放</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污</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口及其周边环境定期开展环境监测，评估环境风险，排查整治环境安全隐患，依法公开新污染物信息，采取措施防范环境风险。土壤污染重点监管单位应严格控制有毒有害物质排放，建立土壤污染隐患排查制度，防止有毒有害物质渗漏、流失、扬散。</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highlight w:val="none"/>
                      <w:lang w:val="en-US" w:eastAsia="zh-CN" w:bidi="zh-CN"/>
                    </w:rPr>
                  </w:pPr>
                  <w:r>
                    <w:rPr>
                      <w:rFonts w:hint="default" w:ascii="Times New Roman" w:hAnsi="Times New Roman" w:eastAsia="宋体" w:cs="Times New Roman"/>
                      <w:b w:val="0"/>
                      <w:bCs/>
                      <w:color w:val="000000"/>
                      <w:spacing w:val="0"/>
                      <w:kern w:val="0"/>
                      <w:position w:val="0"/>
                      <w:sz w:val="21"/>
                      <w:szCs w:val="21"/>
                      <w:highlight w:val="none"/>
                      <w:lang w:val="en-US" w:bidi="zh-CN"/>
                    </w:rPr>
                    <w:t>符合，本项目</w:t>
                  </w:r>
                  <w:r>
                    <w:rPr>
                      <w:rFonts w:hint="eastAsia" w:ascii="Times New Roman" w:hAnsi="Times New Roman" w:eastAsia="宋体" w:cs="Times New Roman"/>
                      <w:b w:val="0"/>
                      <w:bCs/>
                      <w:color w:val="000000"/>
                      <w:spacing w:val="0"/>
                      <w:kern w:val="0"/>
                      <w:position w:val="0"/>
                      <w:sz w:val="21"/>
                      <w:szCs w:val="21"/>
                      <w:highlight w:val="none"/>
                      <w:lang w:val="en-US" w:bidi="zh-CN"/>
                    </w:rPr>
                    <w:t>产生的废气执行</w:t>
                  </w:r>
                  <w:r>
                    <w:rPr>
                      <w:rFonts w:hint="eastAsia" w:ascii="Times New Roman" w:hAnsi="Times New Roman" w:eastAsia="宋体" w:cs="Times New Roman"/>
                      <w:b w:val="0"/>
                      <w:bCs/>
                      <w:color w:val="000000"/>
                      <w:spacing w:val="0"/>
                      <w:kern w:val="0"/>
                      <w:position w:val="0"/>
                      <w:sz w:val="21"/>
                      <w:szCs w:val="21"/>
                      <w:highlight w:val="none"/>
                      <w:lang w:val="en-US" w:eastAsia="zh-CN" w:bidi="zh-CN"/>
                    </w:rPr>
                    <w:fldChar w:fldCharType="begin"/>
                  </w:r>
                  <w:r>
                    <w:rPr>
                      <w:rFonts w:hint="eastAsia" w:ascii="Times New Roman" w:hAnsi="Times New Roman" w:eastAsia="宋体" w:cs="Times New Roman"/>
                      <w:b w:val="0"/>
                      <w:bCs/>
                      <w:color w:val="000000"/>
                      <w:spacing w:val="0"/>
                      <w:kern w:val="0"/>
                      <w:position w:val="0"/>
                      <w:sz w:val="21"/>
                      <w:szCs w:val="21"/>
                      <w:highlight w:val="none"/>
                      <w:lang w:val="en-US" w:eastAsia="zh-CN" w:bidi="zh-CN"/>
                    </w:rPr>
                    <w:instrText xml:space="preserve"> HYPERLINK "https://www.mee.gov.cn/ywgz/fgbz/bz/bzwb/dqhjbh/dqgdwrywrwpfbz/201505/W020240612354056402310.pdf" </w:instrText>
                  </w:r>
                  <w:r>
                    <w:rPr>
                      <w:rFonts w:hint="eastAsia" w:ascii="Times New Roman" w:hAnsi="Times New Roman" w:eastAsia="宋体" w:cs="Times New Roman"/>
                      <w:b w:val="0"/>
                      <w:bCs/>
                      <w:color w:val="000000"/>
                      <w:spacing w:val="0"/>
                      <w:kern w:val="0"/>
                      <w:position w:val="0"/>
                      <w:sz w:val="21"/>
                      <w:szCs w:val="21"/>
                      <w:highlight w:val="none"/>
                      <w:lang w:val="en-US" w:eastAsia="zh-CN" w:bidi="zh-CN"/>
                    </w:rPr>
                    <w:fldChar w:fldCharType="separate"/>
                  </w:r>
                  <w:r>
                    <w:rPr>
                      <w:rFonts w:hint="eastAsia" w:ascii="Times New Roman" w:hAnsi="Times New Roman" w:eastAsia="宋体" w:cs="Times New Roman"/>
                      <w:b w:val="0"/>
                      <w:bCs/>
                      <w:color w:val="000000"/>
                      <w:spacing w:val="0"/>
                      <w:kern w:val="0"/>
                      <w:position w:val="0"/>
                      <w:sz w:val="21"/>
                      <w:szCs w:val="21"/>
                      <w:highlight w:val="none"/>
                      <w:lang w:val="en-US" w:eastAsia="zh-CN" w:bidi="zh-CN"/>
                    </w:rPr>
                    <w:t>《合成树脂工业污染物排放标准》（GB 31572-2015，含2024年修改单）</w:t>
                  </w:r>
                  <w:r>
                    <w:rPr>
                      <w:rFonts w:hint="eastAsia" w:ascii="Times New Roman" w:hAnsi="Times New Roman" w:eastAsia="宋体" w:cs="Times New Roman"/>
                      <w:b w:val="0"/>
                      <w:bCs/>
                      <w:color w:val="000000"/>
                      <w:spacing w:val="0"/>
                      <w:kern w:val="0"/>
                      <w:position w:val="0"/>
                      <w:sz w:val="21"/>
                      <w:szCs w:val="21"/>
                      <w:highlight w:val="none"/>
                      <w:lang w:val="en-US" w:eastAsia="zh-CN" w:bidi="zh-CN"/>
                    </w:rPr>
                    <w:fldChar w:fldCharType="end"/>
                  </w:r>
                  <w:r>
                    <w:rPr>
                      <w:rFonts w:hint="eastAsia" w:ascii="Times New Roman" w:hAnsi="Times New Roman" w:eastAsia="宋体" w:cs="Times New Roman"/>
                      <w:b w:val="0"/>
                      <w:bCs/>
                      <w:color w:val="000000"/>
                      <w:spacing w:val="0"/>
                      <w:kern w:val="0"/>
                      <w:position w:val="0"/>
                      <w:sz w:val="21"/>
                      <w:szCs w:val="21"/>
                      <w:highlight w:val="none"/>
                      <w:lang w:val="en-US" w:eastAsia="zh-CN" w:bidi="zh-CN"/>
                    </w:rPr>
                    <w:t>表5中大气污染物特别排放限</w:t>
                  </w:r>
                  <w:r>
                    <w:rPr>
                      <w:rFonts w:hint="eastAsia" w:cs="Times New Roman"/>
                      <w:b w:val="0"/>
                      <w:bCs/>
                      <w:color w:val="000000"/>
                      <w:spacing w:val="0"/>
                      <w:kern w:val="0"/>
                      <w:position w:val="0"/>
                      <w:sz w:val="21"/>
                      <w:szCs w:val="21"/>
                      <w:highlight w:val="none"/>
                      <w:lang w:val="en-US" w:eastAsia="zh-CN" w:bidi="zh-CN"/>
                    </w:rPr>
                    <w:t>值</w:t>
                  </w:r>
                  <w:r>
                    <w:rPr>
                      <w:rFonts w:hint="default" w:ascii="Times New Roman" w:hAnsi="Times New Roman" w:eastAsia="宋体" w:cs="Times New Roman"/>
                      <w:b w:val="0"/>
                      <w:bCs/>
                      <w:color w:val="000000"/>
                      <w:spacing w:val="0"/>
                      <w:kern w:val="0"/>
                      <w:position w:val="0"/>
                      <w:sz w:val="21"/>
                      <w:szCs w:val="21"/>
                      <w:highlight w:val="none"/>
                      <w:lang w:val="en-US" w:eastAsia="zh-CN" w:bidi="zh-CN"/>
                    </w:rPr>
                    <w:t>。项目建成后需按照《固定污染源排污许可分类管理名录（2019年版）》要求填写排污许可登记。</w:t>
                  </w:r>
                </w:p>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3.2-5〕强化生态环境应急管理。实施企业突发生态环境应急预案电子化备案，完成县级以上政府突发环境事件应急预案修编。完善区域和企业应急处置物资储备系统，结合新疆各地特征污染物的特性，加强应急物资储备及应急物资信息化建设，掌握社会应急物资储备动态信息，妥善应对各类突发生态环境事件。加强应急监测装备配置，定期开展应急演练，增强实战能力。</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符合，本项目建成后需编制突发环境</w:t>
                  </w:r>
                  <w:r>
                    <w:rPr>
                      <w:rFonts w:hint="eastAsia" w:cs="Times New Roman"/>
                      <w:b w:val="0"/>
                      <w:bCs/>
                      <w:color w:val="000000"/>
                      <w:spacing w:val="0"/>
                      <w:kern w:val="0"/>
                      <w:position w:val="0"/>
                      <w:sz w:val="21"/>
                      <w:szCs w:val="21"/>
                      <w:lang w:val="en-US" w:bidi="zh-CN"/>
                    </w:rPr>
                    <w:t>事件</w:t>
                  </w:r>
                  <w:r>
                    <w:rPr>
                      <w:rFonts w:hint="default" w:ascii="Times New Roman" w:hAnsi="Times New Roman" w:eastAsia="宋体" w:cs="Times New Roman"/>
                      <w:b w:val="0"/>
                      <w:bCs/>
                      <w:color w:val="000000"/>
                      <w:spacing w:val="0"/>
                      <w:kern w:val="0"/>
                      <w:position w:val="0"/>
                      <w:sz w:val="21"/>
                      <w:szCs w:val="21"/>
                      <w:lang w:val="en-US" w:bidi="zh-CN"/>
                    </w:rPr>
                    <w:t>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603" w:hRule="atLeast"/>
              </w:trPr>
              <w:tc>
                <w:tcPr>
                  <w:tcW w:w="179" w:type="pct"/>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A4资源利用要求</w:t>
                  </w: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A4.1水资源</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〔A4.1-2〕加大城镇污水再生利用工程建设力度，推进区域再生水循环利用，到2025年，城市生活污水再生利用率力争达到60%。</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eastAsia="zh-CN" w:bidi="zh-CN"/>
                    </w:rPr>
                    <w:t>符合，</w:t>
                  </w:r>
                  <w:r>
                    <w:rPr>
                      <w:rFonts w:hint="eastAsia" w:ascii="Times New Roman" w:hAnsi="Times New Roman" w:eastAsia="宋体" w:cs="Times New Roman"/>
                      <w:b w:val="0"/>
                      <w:bCs/>
                      <w:color w:val="000000"/>
                      <w:spacing w:val="0"/>
                      <w:kern w:val="0"/>
                      <w:position w:val="0"/>
                      <w:sz w:val="21"/>
                      <w:szCs w:val="21"/>
                      <w:lang w:val="en-US" w:eastAsia="zh-CN" w:bidi="zh-CN"/>
                    </w:rPr>
                    <w:t>本</w:t>
                  </w:r>
                  <w:r>
                    <w:rPr>
                      <w:rFonts w:hint="eastAsia" w:cs="Times New Roman"/>
                      <w:b w:val="0"/>
                      <w:bCs/>
                      <w:color w:val="000000"/>
                      <w:spacing w:val="0"/>
                      <w:kern w:val="0"/>
                      <w:position w:val="0"/>
                      <w:sz w:val="21"/>
                      <w:szCs w:val="21"/>
                      <w:lang w:val="en-US" w:eastAsia="zh-CN" w:bidi="zh-CN"/>
                    </w:rPr>
                    <w:t>项目冷却水循环使用，循环水定期排水属于清净下水，通过园区下水管网排至园区污水处理厂进行处理</w:t>
                  </w:r>
                  <w:r>
                    <w:rPr>
                      <w:rFonts w:hint="eastAsia" w:ascii="Times New Roman" w:hAnsi="Times New Roman" w:eastAsia="宋体" w:cs="Times New Roman"/>
                      <w:b w:val="0"/>
                      <w:bCs/>
                      <w:color w:val="000000"/>
                      <w:spacing w:val="0"/>
                      <w:kern w:val="0"/>
                      <w:position w:val="0"/>
                      <w:sz w:val="21"/>
                      <w:szCs w:val="21"/>
                      <w:lang w:val="en-US" w:eastAsia="zh-CN" w:bidi="zh-CN"/>
                    </w:rPr>
                    <w:t>。</w:t>
                  </w:r>
                  <w:r>
                    <w:rPr>
                      <w:rFonts w:hint="default" w:ascii="Times New Roman" w:hAnsi="Times New Roman" w:eastAsia="宋体" w:cs="Times New Roman"/>
                      <w:sz w:val="21"/>
                      <w:szCs w:val="21"/>
                      <w:lang w:val="en-US" w:eastAsia="zh-CN"/>
                    </w:rPr>
                    <w:t>生活污水经防渗化粪池预处理后，进入园区污水处理厂</w:t>
                  </w:r>
                  <w:r>
                    <w:rPr>
                      <w:rFonts w:hint="eastAsia" w:cs="Times New Roman"/>
                      <w:b w:val="0"/>
                      <w:bCs/>
                      <w:color w:val="000000"/>
                      <w:spacing w:val="0"/>
                      <w:kern w:val="0"/>
                      <w:position w:val="0"/>
                      <w:sz w:val="21"/>
                      <w:szCs w:val="21"/>
                      <w:lang w:val="en-US" w:eastAsia="zh-CN" w:bidi="zh-CN"/>
                    </w:rPr>
                    <w:t>。</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A4.4禁燃区要求</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〔A4.4-1〕在禁燃区内，禁止销售、燃用高污染燃料；禁止新建、扩建燃用高污染燃料的设施。已建成的，应当在规定期限内改用清洁能源。</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179" w:type="pct"/>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p>
              </w:tc>
              <w:tc>
                <w:tcPr>
                  <w:tcW w:w="340"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A4.5资源综合利用</w:t>
                  </w:r>
                </w:p>
              </w:tc>
              <w:tc>
                <w:tcPr>
                  <w:tcW w:w="2786"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A4.5-1〕加强固体废物源头减量、资源化利用和无害化处置，最大限度减少填埋量。推进工业固体废物精细化、名录化环境管理，促进大宗工业固废综合利用、主要农业废弃物全量利用。加快构建废旧物资回收和循环利用体系，健全强制报废制度和废旧家电、消费电子等耐用消费品回收处理体系，推行生产企业“逆向回收”等模式。以尾矿和共伴生矿、煤矸石、炉渣、粉煤灰、脱硫石膏、冶炼渣、建筑垃圾等为重点，持续推进固体废物综合利用和环境整治，不断提高大宗固体废物资源化利用水平。推行生活垃圾分类，加快建设县</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市</w:t>
                  </w:r>
                  <w:r>
                    <w:rPr>
                      <w:rFonts w:hint="eastAsia" w:cs="Times New Roman"/>
                      <w:b w:val="0"/>
                      <w:bCs/>
                      <w:color w:val="000000"/>
                      <w:spacing w:val="0"/>
                      <w:kern w:val="0"/>
                      <w:position w:val="0"/>
                      <w:sz w:val="21"/>
                      <w:szCs w:val="21"/>
                      <w:lang w:val="en-US" w:bidi="zh-CN"/>
                    </w:rPr>
                    <w:t>）</w:t>
                  </w:r>
                  <w:r>
                    <w:rPr>
                      <w:rFonts w:hint="default" w:ascii="Times New Roman" w:hAnsi="Times New Roman" w:eastAsia="宋体" w:cs="Times New Roman"/>
                      <w:b w:val="0"/>
                      <w:bCs/>
                      <w:color w:val="000000"/>
                      <w:spacing w:val="0"/>
                      <w:kern w:val="0"/>
                      <w:position w:val="0"/>
                      <w:sz w:val="21"/>
                      <w:szCs w:val="21"/>
                      <w:lang w:val="en-US" w:bidi="zh-CN"/>
                    </w:rPr>
                    <w:t>生活垃圾处理设施，到2025年，全疆城市生活垃圾无害化处理率达到99%以上。</w:t>
                  </w:r>
                </w:p>
              </w:tc>
              <w:tc>
                <w:tcPr>
                  <w:tcW w:w="1694" w:type="pc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firstLine="0" w:firstLineChars="0"/>
                    <w:jc w:val="both"/>
                    <w:textAlignment w:val="auto"/>
                    <w:rPr>
                      <w:rFonts w:hint="default" w:ascii="Times New Roman" w:hAnsi="Times New Roman" w:eastAsia="宋体" w:cs="Times New Roman"/>
                      <w:b w:val="0"/>
                      <w:bCs/>
                      <w:color w:val="000000"/>
                      <w:spacing w:val="0"/>
                      <w:kern w:val="0"/>
                      <w:position w:val="0"/>
                      <w:sz w:val="21"/>
                      <w:szCs w:val="21"/>
                      <w:lang w:val="en-US" w:bidi="zh-CN"/>
                    </w:rPr>
                  </w:pPr>
                  <w:r>
                    <w:rPr>
                      <w:rFonts w:hint="default" w:ascii="Times New Roman" w:hAnsi="Times New Roman" w:eastAsia="宋体" w:cs="Times New Roman"/>
                      <w:b w:val="0"/>
                      <w:bCs/>
                      <w:color w:val="000000"/>
                      <w:spacing w:val="0"/>
                      <w:kern w:val="0"/>
                      <w:position w:val="0"/>
                      <w:sz w:val="21"/>
                      <w:szCs w:val="21"/>
                      <w:lang w:val="en-US" w:bidi="zh-CN"/>
                    </w:rPr>
                    <w:t>符合，本项目产生的</w:t>
                  </w:r>
                  <w:r>
                    <w:rPr>
                      <w:rFonts w:hint="default" w:ascii="Times New Roman" w:hAnsi="Times New Roman" w:eastAsia="宋体" w:cs="Times New Roman"/>
                      <w:b w:val="0"/>
                      <w:bCs/>
                      <w:color w:val="000000"/>
                      <w:spacing w:val="0"/>
                      <w:kern w:val="0"/>
                      <w:position w:val="0"/>
                      <w:sz w:val="21"/>
                      <w:szCs w:val="21"/>
                      <w:lang w:val="en-US" w:eastAsia="zh-CN" w:bidi="zh-CN"/>
                    </w:rPr>
                    <w:t>一般固废</w:t>
                  </w:r>
                  <w:r>
                    <w:rPr>
                      <w:rFonts w:hint="eastAsia" w:ascii="Times New Roman" w:hAnsi="Times New Roman" w:eastAsia="宋体" w:cs="Times New Roman"/>
                      <w:b w:val="0"/>
                      <w:bCs/>
                      <w:color w:val="000000"/>
                      <w:spacing w:val="0"/>
                      <w:kern w:val="0"/>
                      <w:position w:val="0"/>
                      <w:sz w:val="21"/>
                      <w:szCs w:val="21"/>
                      <w:lang w:val="en-US" w:eastAsia="zh-CN" w:bidi="zh-CN"/>
                    </w:rPr>
                    <w:t>交由一般固废处置单位进行处理；危险废物暂存于</w:t>
                  </w:r>
                  <w:r>
                    <w:rPr>
                      <w:rFonts w:hint="eastAsia" w:cs="Times New Roman"/>
                      <w:b w:val="0"/>
                      <w:bCs/>
                      <w:color w:val="000000"/>
                      <w:spacing w:val="0"/>
                      <w:kern w:val="0"/>
                      <w:position w:val="0"/>
                      <w:sz w:val="21"/>
                      <w:szCs w:val="21"/>
                      <w:lang w:val="en-US" w:eastAsia="zh-CN" w:bidi="zh-CN"/>
                    </w:rPr>
                    <w:t>危险废物贮存库</w:t>
                  </w:r>
                  <w:r>
                    <w:rPr>
                      <w:rFonts w:hint="eastAsia" w:ascii="Times New Roman" w:hAnsi="Times New Roman" w:eastAsia="宋体" w:cs="Times New Roman"/>
                      <w:b w:val="0"/>
                      <w:bCs/>
                      <w:color w:val="000000"/>
                      <w:spacing w:val="0"/>
                      <w:kern w:val="0"/>
                      <w:position w:val="0"/>
                      <w:sz w:val="21"/>
                      <w:szCs w:val="21"/>
                      <w:lang w:val="en-US" w:eastAsia="zh-CN" w:bidi="zh-CN"/>
                    </w:rPr>
                    <w:t>内定期交由有资质单位进行处置</w:t>
                  </w:r>
                  <w:r>
                    <w:rPr>
                      <w:rFonts w:hint="default" w:ascii="Times New Roman" w:hAnsi="Times New Roman" w:eastAsia="宋体" w:cs="Times New Roman"/>
                      <w:b w:val="0"/>
                      <w:bCs/>
                      <w:color w:val="000000"/>
                      <w:spacing w:val="0"/>
                      <w:kern w:val="0"/>
                      <w:position w:val="0"/>
                      <w:sz w:val="21"/>
                      <w:szCs w:val="21"/>
                      <w:lang w:val="en-US" w:eastAsia="zh-CN" w:bidi="zh-CN"/>
                    </w:rPr>
                    <w:t>。</w:t>
                  </w:r>
                </w:p>
              </w:tc>
            </w:tr>
          </w:tbl>
          <w:p>
            <w:pPr>
              <w:pStyle w:val="63"/>
              <w:bidi w:val="0"/>
              <w:rPr>
                <w:rFonts w:hint="eastAsia"/>
                <w:lang w:eastAsia="zh-CN"/>
              </w:rPr>
            </w:pPr>
            <w:r>
              <w:rPr>
                <w:rFonts w:hint="eastAsia"/>
                <w:lang w:val="en-US" w:eastAsia="zh-CN"/>
              </w:rPr>
              <w:t>综上所述，本项目符合《关于印发&lt;新疆维吾尔自治区生态环境分区管控动态更新成果&gt;的通知》（新政发〔2024〕157号）管控要求</w:t>
            </w:r>
            <w:r>
              <w:rPr>
                <w:rFonts w:hint="eastAsia"/>
                <w:lang w:eastAsia="zh-CN"/>
              </w:rPr>
              <w:t>。</w:t>
            </w:r>
          </w:p>
          <w:p>
            <w:pPr>
              <w:pStyle w:val="63"/>
              <w:bidi w:val="0"/>
              <w:rPr>
                <w:rFonts w:hint="eastAsia"/>
                <w:lang w:eastAsia="zh-CN"/>
              </w:rPr>
            </w:pPr>
            <w:r>
              <w:rPr>
                <w:rFonts w:hint="eastAsia"/>
                <w:lang w:val="en-US" w:eastAsia="zh-CN"/>
              </w:rPr>
              <w:t>本项目与</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符合性分析见表1-2</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表1-</w:t>
            </w:r>
            <w:r>
              <w:rPr>
                <w:rFonts w:hint="eastAsia" w:ascii="Times New Roman" w:hAnsi="Times New Roman" w:eastAsia="宋体"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新疆维吾尔自治区七大片区“三线一单”分析</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20"/>
              <w:gridCol w:w="3192"/>
              <w:gridCol w:w="2776"/>
              <w:gridCol w:w="71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管控要求</w:t>
                  </w:r>
                </w:p>
              </w:tc>
              <w:tc>
                <w:tcPr>
                  <w:tcW w:w="3192"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“三线一单”要求</w:t>
                  </w:r>
                </w:p>
              </w:tc>
              <w:tc>
                <w:tcPr>
                  <w:tcW w:w="2776"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工程具体情况</w:t>
                  </w:r>
                </w:p>
              </w:tc>
              <w:tc>
                <w:tcPr>
                  <w:tcW w:w="716" w:type="dxa"/>
                  <w:tcBorders>
                    <w:tl2br w:val="nil"/>
                    <w:tr2bl w:val="nil"/>
                  </w:tcBorders>
                  <w:noWrap w:val="0"/>
                  <w:vAlign w:val="center"/>
                </w:tcPr>
                <w:p>
                  <w:pPr>
                    <w:widowControl/>
                    <w:autoSpaceDE/>
                    <w:autoSpaceDN/>
                    <w:spacing w:line="320" w:lineRule="exact"/>
                    <w:jc w:val="center"/>
                    <w:rPr>
                      <w:rFonts w:hint="eastAsia" w:ascii="Times New Roman" w:hAnsi="Times New Roman" w:eastAsia="宋体" w:cs="Times New Roman"/>
                      <w:b/>
                      <w:bCs/>
                      <w:color w:val="000000"/>
                      <w:spacing w:val="0"/>
                      <w:kern w:val="0"/>
                      <w:sz w:val="21"/>
                      <w:szCs w:val="21"/>
                      <w:highlight w:val="none"/>
                      <w:lang w:val="en-US" w:eastAsia="zh-CN"/>
                    </w:rPr>
                  </w:pPr>
                  <w:r>
                    <w:rPr>
                      <w:rFonts w:hint="eastAsia" w:ascii="Times New Roman" w:hAnsi="Times New Roman" w:eastAsia="宋体" w:cs="Times New Roman"/>
                      <w:b/>
                      <w:bCs/>
                      <w:color w:val="000000"/>
                      <w:spacing w:val="0"/>
                      <w:kern w:val="0"/>
                      <w:sz w:val="21"/>
                      <w:szCs w:val="21"/>
                      <w:highlight w:val="none"/>
                      <w:lang w:val="en-US" w:eastAsia="zh-CN"/>
                    </w:rPr>
                    <w:t>符合性</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空间布局约束</w:t>
                  </w:r>
                </w:p>
              </w:tc>
              <w:tc>
                <w:tcPr>
                  <w:tcW w:w="3192"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严格执行国家、自治区产业政策和环境准入要求，严禁</w:t>
                  </w:r>
                  <w:r>
                    <w:rPr>
                      <w:rFonts w:hint="eastAsia"/>
                      <w:spacing w:val="0"/>
                      <w:kern w:val="0"/>
                      <w:lang w:eastAsia="zh-CN"/>
                    </w:rPr>
                    <w:t>“</w:t>
                  </w:r>
                  <w:r>
                    <w:rPr>
                      <w:rFonts w:hint="eastAsia"/>
                      <w:spacing w:val="0"/>
                      <w:kern w:val="0"/>
                    </w:rPr>
                    <w:t>三高</w:t>
                  </w:r>
                  <w:r>
                    <w:rPr>
                      <w:rFonts w:hint="eastAsia"/>
                      <w:spacing w:val="0"/>
                      <w:kern w:val="0"/>
                      <w:lang w:eastAsia="zh-CN"/>
                    </w:rPr>
                    <w:t>”</w:t>
                  </w:r>
                  <w:r>
                    <w:rPr>
                      <w:rFonts w:hint="eastAsia"/>
                      <w:spacing w:val="0"/>
                      <w:kern w:val="0"/>
                    </w:rPr>
                    <w:t>项目进入新疆，坚决遏制</w:t>
                  </w:r>
                  <w:r>
                    <w:rPr>
                      <w:rFonts w:hint="eastAsia"/>
                      <w:spacing w:val="0"/>
                      <w:kern w:val="0"/>
                      <w:lang w:eastAsia="zh-CN"/>
                    </w:rPr>
                    <w:t>“</w:t>
                  </w:r>
                  <w:r>
                    <w:rPr>
                      <w:rFonts w:hint="eastAsia"/>
                      <w:spacing w:val="0"/>
                      <w:kern w:val="0"/>
                    </w:rPr>
                    <w:t>两高</w:t>
                  </w:r>
                  <w:r>
                    <w:rPr>
                      <w:rFonts w:hint="eastAsia"/>
                      <w:spacing w:val="0"/>
                      <w:kern w:val="0"/>
                      <w:lang w:eastAsia="zh-CN"/>
                    </w:rPr>
                    <w:t>”</w:t>
                  </w:r>
                  <w:r>
                    <w:rPr>
                      <w:rFonts w:hint="eastAsia"/>
                      <w:spacing w:val="0"/>
                      <w:kern w:val="0"/>
                    </w:rPr>
                    <w:t>项目盲目发展。不得在水源涵养区、饮用水水源保护区内和河流、湖泊、水库周围建设重化工、涉重金属等工业污染项目。推动项目集聚发展，新建、改建、扩建工业项目原则应布置于县级及以上人民政府批准建立、环境保护设施完善的产业园区、工业聚集区或规划矿区，并且符合相关规划和规划环评要求。</w:t>
                  </w:r>
                </w:p>
              </w:tc>
              <w:tc>
                <w:tcPr>
                  <w:tcW w:w="2776"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rPr>
                    <w:t>本项目不属于</w:t>
                  </w:r>
                  <w:r>
                    <w:rPr>
                      <w:rFonts w:hint="eastAsia"/>
                      <w:spacing w:val="0"/>
                      <w:kern w:val="0"/>
                      <w:lang w:eastAsia="zh-CN"/>
                    </w:rPr>
                    <w:t>“</w:t>
                  </w:r>
                  <w:r>
                    <w:rPr>
                      <w:rFonts w:hint="eastAsia"/>
                      <w:spacing w:val="0"/>
                      <w:kern w:val="0"/>
                    </w:rPr>
                    <w:t>三高项目</w:t>
                  </w:r>
                  <w:r>
                    <w:rPr>
                      <w:rFonts w:hint="eastAsia"/>
                      <w:spacing w:val="0"/>
                      <w:kern w:val="0"/>
                      <w:lang w:eastAsia="zh-CN"/>
                    </w:rPr>
                    <w:t>”</w:t>
                  </w:r>
                  <w:r>
                    <w:rPr>
                      <w:rFonts w:hint="eastAsia"/>
                      <w:spacing w:val="0"/>
                      <w:kern w:val="0"/>
                    </w:rPr>
                    <w:t>。项目周边无水源涵养区、饮用水水源</w:t>
                  </w:r>
                  <w:r>
                    <w:rPr>
                      <w:rFonts w:hint="eastAsia"/>
                      <w:spacing w:val="0"/>
                      <w:kern w:val="0"/>
                      <w:lang w:eastAsia="zh-CN"/>
                    </w:rPr>
                    <w:t>保护区</w:t>
                  </w:r>
                  <w:r>
                    <w:rPr>
                      <w:rFonts w:hint="eastAsia"/>
                      <w:spacing w:val="0"/>
                      <w:kern w:val="0"/>
                    </w:rPr>
                    <w:t>和河</w:t>
                  </w:r>
                  <w:r>
                    <w:rPr>
                      <w:rFonts w:hint="eastAsia" w:ascii="Times New Roman" w:hAnsi="Times New Roman" w:eastAsia="宋体" w:cs="Times New Roman"/>
                      <w:spacing w:val="0"/>
                      <w:kern w:val="0"/>
                      <w:lang w:val="en-US"/>
                    </w:rPr>
                    <w:t>流、湖泊、水库。本项目位于</w:t>
                  </w:r>
                  <w:r>
                    <w:rPr>
                      <w:rFonts w:hint="default" w:ascii="Times New Roman" w:hAnsi="Times New Roman" w:eastAsia="宋体" w:cs="Times New Roman"/>
                      <w:spacing w:val="0"/>
                      <w:kern w:val="0"/>
                      <w:lang w:val="en-US" w:eastAsia="zh-CN"/>
                    </w:rPr>
                    <w:t>新疆巴州焉耆回族自治县河北巴州生态产业园</w:t>
                  </w:r>
                  <w:r>
                    <w:rPr>
                      <w:rFonts w:hint="eastAsia" w:ascii="Times New Roman" w:hAnsi="Times New Roman" w:eastAsia="宋体" w:cs="Times New Roman"/>
                      <w:spacing w:val="0"/>
                      <w:kern w:val="0"/>
                      <w:lang w:val="en-US" w:eastAsia="zh-CN"/>
                    </w:rPr>
                    <w:t>，</w:t>
                  </w:r>
                  <w:r>
                    <w:rPr>
                      <w:rFonts w:hint="eastAsia"/>
                      <w:spacing w:val="0"/>
                      <w:kern w:val="0"/>
                      <w:lang w:val="en-US" w:eastAsia="zh-CN"/>
                    </w:rPr>
                    <w:t>用地性质为工业用地。</w:t>
                  </w:r>
                </w:p>
              </w:tc>
              <w:tc>
                <w:tcPr>
                  <w:tcW w:w="716" w:type="dxa"/>
                  <w:tcBorders>
                    <w:tl2br w:val="nil"/>
                    <w:tr2bl w:val="nil"/>
                  </w:tcBorders>
                  <w:noWrap w:val="0"/>
                  <w:vAlign w:val="center"/>
                </w:tcPr>
                <w:p>
                  <w:pPr>
                    <w:pStyle w:val="64"/>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污染物排放管控</w:t>
                  </w:r>
                </w:p>
              </w:tc>
              <w:tc>
                <w:tcPr>
                  <w:tcW w:w="3192"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深化行业污染源头治理，深入开展火电行业减排，全力推进钢铁行业超低排放改造，有序推进石化行业</w:t>
                  </w:r>
                  <w:r>
                    <w:rPr>
                      <w:rFonts w:hint="eastAsia"/>
                      <w:spacing w:val="0"/>
                      <w:kern w:val="0"/>
                      <w:lang w:eastAsia="zh-CN"/>
                    </w:rPr>
                    <w:t>“</w:t>
                  </w:r>
                  <w:r>
                    <w:rPr>
                      <w:rFonts w:hint="eastAsia"/>
                      <w:spacing w:val="0"/>
                      <w:kern w:val="0"/>
                    </w:rPr>
                    <w:t>泄漏检测与修复</w:t>
                  </w:r>
                  <w:r>
                    <w:rPr>
                      <w:rFonts w:hint="eastAsia"/>
                      <w:spacing w:val="0"/>
                      <w:kern w:val="0"/>
                      <w:lang w:eastAsia="zh-CN"/>
                    </w:rPr>
                    <w:t>”</w:t>
                  </w:r>
                  <w:r>
                    <w:rPr>
                      <w:rFonts w:hint="eastAsia"/>
                      <w:spacing w:val="0"/>
                      <w:kern w:val="0"/>
                    </w:rPr>
                    <w:t>技术改造。强化煤化工、石化、有机化工、表面涂装、包装印刷等重点行业挥发性有机物控制。深入开展燃煤锅炉污染综合整治，深化工业炉窑综合治理。加强</w:t>
                  </w:r>
                  <w:r>
                    <w:rPr>
                      <w:rFonts w:hint="eastAsia"/>
                      <w:spacing w:val="0"/>
                      <w:kern w:val="0"/>
                      <w:lang w:eastAsia="zh-CN"/>
                    </w:rPr>
                    <w:t>“</w:t>
                  </w:r>
                  <w:r>
                    <w:rPr>
                      <w:rFonts w:hint="eastAsia"/>
                      <w:spacing w:val="0"/>
                      <w:kern w:val="0"/>
                    </w:rPr>
                    <w:t>散乱污</w:t>
                  </w:r>
                  <w:r>
                    <w:rPr>
                      <w:rFonts w:hint="eastAsia"/>
                      <w:spacing w:val="0"/>
                      <w:kern w:val="0"/>
                      <w:lang w:eastAsia="zh-CN"/>
                    </w:rPr>
                    <w:t>”</w:t>
                  </w:r>
                  <w:r>
                    <w:rPr>
                      <w:rFonts w:hint="eastAsia"/>
                      <w:spacing w:val="0"/>
                      <w:kern w:val="0"/>
                    </w:rPr>
                    <w:t>企业综合整治。优化区域交通运输结构，加快货物运输绿色转型，做好车油联合管控。</w:t>
                  </w:r>
                </w:p>
              </w:tc>
              <w:tc>
                <w:tcPr>
                  <w:tcW w:w="2776"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default"/>
                      <w:spacing w:val="0"/>
                      <w:kern w:val="0"/>
                      <w:lang w:val="en-US" w:eastAsia="zh-CN"/>
                    </w:rPr>
                  </w:pPr>
                  <w:r>
                    <w:rPr>
                      <w:rFonts w:hint="eastAsia"/>
                      <w:spacing w:val="0"/>
                      <w:kern w:val="0"/>
                      <w:lang w:val="en-US" w:eastAsia="zh-CN"/>
                    </w:rPr>
                    <w:t>本项目</w:t>
                  </w:r>
                  <w:r>
                    <w:rPr>
                      <w:rFonts w:hint="eastAsia"/>
                      <w:spacing w:val="0"/>
                      <w:kern w:val="0"/>
                      <w:highlight w:val="none"/>
                      <w:lang w:val="en-US" w:eastAsia="zh-CN"/>
                    </w:rPr>
                    <w:t>产生的废气</w:t>
                  </w:r>
                  <w:r>
                    <w:rPr>
                      <w:rFonts w:hint="eastAsia"/>
                      <w:spacing w:val="0"/>
                      <w:kern w:val="0"/>
                      <w:lang w:val="en-US" w:eastAsia="zh-CN"/>
                    </w:rPr>
                    <w:t>经密闭式集气罩收集后进入二级活性炭装置进行处置，处理后的废气满足</w:t>
                  </w:r>
                  <w:r>
                    <w:rPr>
                      <w:rFonts w:hint="eastAsia"/>
                      <w:spacing w:val="0"/>
                      <w:kern w:val="0"/>
                      <w:lang w:val="en-US" w:eastAsia="zh-CN"/>
                    </w:rPr>
                    <w:fldChar w:fldCharType="begin"/>
                  </w:r>
                  <w:r>
                    <w:rPr>
                      <w:rFonts w:hint="eastAsia"/>
                      <w:spacing w:val="0"/>
                      <w:kern w:val="0"/>
                      <w:lang w:val="en-US" w:eastAsia="zh-CN"/>
                    </w:rPr>
                    <w:instrText xml:space="preserve"> HYPERLINK "https://www.mee.gov.cn/ywgz/fgbz/bz/bzwb/dqhjbh/dqgdwrywrwpfbz/201505/W020240612354056402310.pdf" </w:instrText>
                  </w:r>
                  <w:r>
                    <w:rPr>
                      <w:rFonts w:hint="eastAsia"/>
                      <w:spacing w:val="0"/>
                      <w:kern w:val="0"/>
                      <w:lang w:val="en-US" w:eastAsia="zh-CN"/>
                    </w:rPr>
                    <w:fldChar w:fldCharType="separate"/>
                  </w:r>
                  <w:r>
                    <w:rPr>
                      <w:rFonts w:hint="eastAsia"/>
                      <w:spacing w:val="0"/>
                      <w:kern w:val="0"/>
                      <w:lang w:val="en-US" w:eastAsia="zh-CN"/>
                    </w:rPr>
                    <w:t>《合成树脂工业污染物排放标准》（GB 31572-2015，含2024年修改单）</w:t>
                  </w:r>
                  <w:r>
                    <w:rPr>
                      <w:rFonts w:hint="eastAsia"/>
                      <w:spacing w:val="0"/>
                      <w:kern w:val="0"/>
                      <w:lang w:val="en-US" w:eastAsia="zh-CN"/>
                    </w:rPr>
                    <w:fldChar w:fldCharType="end"/>
                  </w:r>
                  <w:r>
                    <w:rPr>
                      <w:rFonts w:hint="eastAsia"/>
                      <w:spacing w:val="0"/>
                      <w:kern w:val="0"/>
                      <w:lang w:val="en-US" w:eastAsia="zh-CN"/>
                    </w:rPr>
                    <w:t>表5中大气污染物特别排放限值后通过15m排气筒排放。</w:t>
                  </w:r>
                </w:p>
              </w:tc>
              <w:tc>
                <w:tcPr>
                  <w:tcW w:w="716" w:type="dxa"/>
                  <w:tcBorders>
                    <w:tl2br w:val="nil"/>
                    <w:tr2bl w:val="nil"/>
                  </w:tcBorders>
                  <w:noWrap w:val="0"/>
                  <w:vAlign w:val="center"/>
                </w:tcPr>
                <w:p>
                  <w:pPr>
                    <w:pStyle w:val="64"/>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环境风险防控</w:t>
                  </w:r>
                </w:p>
              </w:tc>
              <w:tc>
                <w:tcPr>
                  <w:tcW w:w="3192"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禁止在化工园区外新建、扩建危险化学品生产项目。严格落实危险废物处置相关要求。加强重点流域水环境风险管控，保障水环境安全。</w:t>
                  </w:r>
                </w:p>
              </w:tc>
              <w:tc>
                <w:tcPr>
                  <w:tcW w:w="2776"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lang w:val="en-US" w:eastAsia="zh-CN"/>
                    </w:rPr>
                    <w:t>本</w:t>
                  </w:r>
                  <w:r>
                    <w:rPr>
                      <w:rFonts w:hint="eastAsia"/>
                      <w:spacing w:val="0"/>
                      <w:kern w:val="0"/>
                    </w:rPr>
                    <w:t>项目</w:t>
                  </w:r>
                  <w:r>
                    <w:rPr>
                      <w:rFonts w:hint="eastAsia"/>
                      <w:spacing w:val="0"/>
                      <w:kern w:val="0"/>
                      <w:lang w:val="en-US" w:eastAsia="zh-CN"/>
                    </w:rPr>
                    <w:t>不属于危险化学品生产项目，产生的危险废物暂存在危险废物贮存库，交有资质单位安全处置</w:t>
                  </w:r>
                  <w:r>
                    <w:rPr>
                      <w:rFonts w:hint="eastAsia"/>
                      <w:spacing w:val="0"/>
                      <w:kern w:val="0"/>
                    </w:rPr>
                    <w:t>。</w:t>
                  </w:r>
                </w:p>
              </w:tc>
              <w:tc>
                <w:tcPr>
                  <w:tcW w:w="716" w:type="dxa"/>
                  <w:tcBorders>
                    <w:tl2br w:val="nil"/>
                    <w:tr2bl w:val="nil"/>
                  </w:tcBorders>
                  <w:noWrap w:val="0"/>
                  <w:vAlign w:val="center"/>
                </w:tcPr>
                <w:p>
                  <w:pPr>
                    <w:pStyle w:val="64"/>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资源利用效率要求</w:t>
                  </w:r>
                </w:p>
              </w:tc>
              <w:tc>
                <w:tcPr>
                  <w:tcW w:w="3192"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rFonts w:hint="eastAsia"/>
                      <w:spacing w:val="0"/>
                      <w:kern w:val="0"/>
                    </w:rPr>
                  </w:pPr>
                  <w:r>
                    <w:rPr>
                      <w:rFonts w:hint="eastAsia"/>
                      <w:spacing w:val="0"/>
                      <w:kern w:val="0"/>
                    </w:rPr>
                    <w:t>优化能源结构，控制煤炭等化石能源使用量，鼓励使用清洁能源，协同推进减污降碳。全面实施节水工程，合理开发利用水资源，提升水资源利用效率，保障生态用水，严防地下水超采。</w:t>
                  </w:r>
                </w:p>
              </w:tc>
              <w:tc>
                <w:tcPr>
                  <w:tcW w:w="2776" w:type="dxa"/>
                  <w:tcBorders>
                    <w:tl2br w:val="nil"/>
                    <w:tr2bl w:val="nil"/>
                  </w:tcBorders>
                  <w:noWrap w:val="0"/>
                  <w:vAlign w:val="center"/>
                </w:tcPr>
                <w:p>
                  <w:pPr>
                    <w:pStyle w:val="64"/>
                    <w:keepNext w:val="0"/>
                    <w:keepLines w:val="0"/>
                    <w:pageBreakBefore w:val="0"/>
                    <w:widowControl w:val="0"/>
                    <w:kinsoku/>
                    <w:wordWrap/>
                    <w:overflowPunct/>
                    <w:topLinePunct w:val="0"/>
                    <w:autoSpaceDE/>
                    <w:autoSpaceDN/>
                    <w:bidi w:val="0"/>
                    <w:adjustRightInd w:val="0"/>
                    <w:snapToGrid/>
                    <w:jc w:val="both"/>
                    <w:textAlignment w:val="baseline"/>
                    <w:rPr>
                      <w:spacing w:val="0"/>
                      <w:kern w:val="0"/>
                    </w:rPr>
                  </w:pPr>
                  <w:r>
                    <w:rPr>
                      <w:rFonts w:hint="eastAsia"/>
                      <w:spacing w:val="0"/>
                      <w:kern w:val="0"/>
                    </w:rPr>
                    <w:t>项目运营过程中消耗一定量的电力及</w:t>
                  </w:r>
                  <w:r>
                    <w:rPr>
                      <w:rFonts w:hint="eastAsia"/>
                      <w:spacing w:val="0"/>
                      <w:kern w:val="0"/>
                      <w:lang w:val="en-US" w:eastAsia="zh-CN"/>
                    </w:rPr>
                    <w:t>水</w:t>
                  </w:r>
                  <w:r>
                    <w:rPr>
                      <w:rFonts w:hint="eastAsia"/>
                      <w:spacing w:val="0"/>
                      <w:kern w:val="0"/>
                    </w:rPr>
                    <w:t>资源，项目资源消耗相对区域资源利用总量较少，不会超过当地资源利用上线。</w:t>
                  </w:r>
                </w:p>
              </w:tc>
              <w:tc>
                <w:tcPr>
                  <w:tcW w:w="716" w:type="dxa"/>
                  <w:tcBorders>
                    <w:tl2br w:val="nil"/>
                    <w:tr2bl w:val="nil"/>
                  </w:tcBorders>
                  <w:noWrap w:val="0"/>
                  <w:vAlign w:val="center"/>
                </w:tcPr>
                <w:p>
                  <w:pPr>
                    <w:pStyle w:val="64"/>
                    <w:bidi w:val="0"/>
                    <w:rPr>
                      <w:rFonts w:hint="eastAsia"/>
                      <w:spacing w:val="0"/>
                      <w:kern w:val="0"/>
                    </w:rPr>
                  </w:pPr>
                  <w:r>
                    <w:rPr>
                      <w:rFonts w:hint="eastAsia"/>
                      <w:spacing w:val="0"/>
                      <w:kern w:val="0"/>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restart"/>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天山南坡片区总体管控要求</w:t>
                  </w:r>
                </w:p>
              </w:tc>
              <w:tc>
                <w:tcPr>
                  <w:tcW w:w="3192" w:type="dxa"/>
                  <w:tcBorders>
                    <w:tl2br w:val="nil"/>
                    <w:tr2bl w:val="nil"/>
                  </w:tcBorders>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切实保护托木尔峰和天山南坡中段冰雪水源及生物多样性保护生态功能区内的托木尔峰自然景观、高山冰川、野生动物、森林和草原，合理利用天然草地，稳步推进草原减牧，加强保护区管理，维护自然景观和生物多样性。</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lang w:bidi="ar"/>
                    </w:rPr>
                    <w:t>本项目不在托木尔峰和天山南坡中段冰雪水源及生物多样性保护生态功能区</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widowControl/>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重点做好塔里木盆地北缘荒漠化防治。加强荒漠植被及河岸荒漠林保护，规范油气勘探开发作业，建立油田和公路扰动区域工程与生物相结合的防风固沙体系，逐步形成生态屏障。</w:t>
                  </w:r>
                </w:p>
              </w:tc>
              <w:tc>
                <w:tcPr>
                  <w:tcW w:w="2776" w:type="dxa"/>
                  <w:tcBorders>
                    <w:tl2br w:val="nil"/>
                    <w:tr2bl w:val="nil"/>
                  </w:tcBorders>
                  <w:noWrap w:val="0"/>
                  <w:vAlign w:val="center"/>
                </w:tcPr>
                <w:p>
                  <w:pPr>
                    <w:adjustRightInd w:val="0"/>
                    <w:spacing w:line="0" w:lineRule="atLeast"/>
                    <w:jc w:val="center"/>
                    <w:rPr>
                      <w:rFonts w:hint="default"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lang w:val="en-US" w:eastAsia="zh-CN"/>
                    </w:rPr>
                    <w:t>本项目区周边已进行了绿化。</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lang w:bidi="ar"/>
                    </w:rPr>
                    <w:t>推进塔里木河流域用水结构调整，维护塔里木河、博斯腾湖基本生态用水。</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本项目不涉及塔里木河、博斯腾湖生态用水</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加强塔里木河流域水环境风险管控。加大博斯腾湖污染源头达标排放治理和监督力度，实施博斯腾湖综合治理。</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本项目不涉及</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20" w:type="dxa"/>
                  <w:vMerge w:val="continue"/>
                  <w:tcBorders>
                    <w:tl2br w:val="nil"/>
                    <w:tr2bl w:val="nil"/>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outlineLvl w:val="9"/>
                    <w:rPr>
                      <w:rFonts w:hint="eastAsia" w:ascii="Times New Roman" w:hAnsi="宋体" w:eastAsia="宋体" w:cs="宋体"/>
                      <w:color w:val="auto"/>
                      <w:spacing w:val="0"/>
                      <w:kern w:val="0"/>
                      <w:sz w:val="21"/>
                      <w:szCs w:val="21"/>
                      <w:highlight w:val="none"/>
                      <w:lang w:bidi="ar"/>
                    </w:rPr>
                  </w:pPr>
                </w:p>
              </w:tc>
              <w:tc>
                <w:tcPr>
                  <w:tcW w:w="3192" w:type="dxa"/>
                  <w:tcBorders>
                    <w:tl2br w:val="nil"/>
                    <w:tr2bl w:val="nil"/>
                  </w:tcBorders>
                  <w:noWrap w:val="0"/>
                  <w:vAlign w:val="center"/>
                </w:tcPr>
                <w:p>
                  <w:pPr>
                    <w:autoSpaceDE w:val="0"/>
                    <w:autoSpaceDN w:val="0"/>
                    <w:adjustRightInd w:val="0"/>
                    <w:spacing w:line="0" w:lineRule="atLeast"/>
                    <w:jc w:val="center"/>
                    <w:rPr>
                      <w:rFonts w:hint="eastAsia" w:ascii="Times New Roman" w:hAnsi="Times New Roman" w:eastAsia="宋体" w:cs="Times New Roman"/>
                      <w:color w:val="auto"/>
                      <w:spacing w:val="0"/>
                      <w:kern w:val="0"/>
                      <w:sz w:val="21"/>
                      <w:szCs w:val="21"/>
                      <w:vertAlign w:val="baseline"/>
                      <w:lang w:val="en-US" w:eastAsia="zh-CN" w:bidi="ar-SA"/>
                    </w:rPr>
                  </w:pPr>
                  <w:r>
                    <w:rPr>
                      <w:rFonts w:hint="eastAsia" w:ascii="Times New Roman" w:hAnsi="宋体" w:eastAsia="宋体" w:cs="宋体"/>
                      <w:color w:val="auto"/>
                      <w:spacing w:val="0"/>
                      <w:kern w:val="0"/>
                      <w:sz w:val="21"/>
                      <w:szCs w:val="21"/>
                      <w:highlight w:val="none"/>
                    </w:rPr>
                    <w:t>加强油</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气</w:t>
                  </w:r>
                  <w:r>
                    <w:rPr>
                      <w:rFonts w:hint="eastAsia" w:ascii="Times New Roman" w:hAnsi="宋体" w:eastAsia="宋体" w:cs="宋体"/>
                      <w:color w:val="auto"/>
                      <w:spacing w:val="0"/>
                      <w:kern w:val="0"/>
                      <w:sz w:val="21"/>
                      <w:szCs w:val="21"/>
                      <w:highlight w:val="none"/>
                      <w:lang w:eastAsia="zh-CN"/>
                    </w:rPr>
                    <w:t>）</w:t>
                  </w:r>
                  <w:r>
                    <w:rPr>
                      <w:rFonts w:hint="eastAsia" w:ascii="Times New Roman" w:hAnsi="宋体" w:eastAsia="宋体" w:cs="宋体"/>
                      <w:color w:val="auto"/>
                      <w:spacing w:val="0"/>
                      <w:kern w:val="0"/>
                      <w:sz w:val="21"/>
                      <w:szCs w:val="21"/>
                      <w:highlight w:val="none"/>
                    </w:rPr>
                    <w:t>资源开发区土壤环境污染综合整治。强化涉重金属行业污染防控与工业废物处理处置。</w:t>
                  </w:r>
                </w:p>
              </w:tc>
              <w:tc>
                <w:tcPr>
                  <w:tcW w:w="2776" w:type="dxa"/>
                  <w:tcBorders>
                    <w:tl2br w:val="nil"/>
                    <w:tr2bl w:val="nil"/>
                  </w:tcBorders>
                  <w:noWrap w:val="0"/>
                  <w:vAlign w:val="center"/>
                </w:tcPr>
                <w:p>
                  <w:pPr>
                    <w:adjustRightInd w:val="0"/>
                    <w:spacing w:line="0" w:lineRule="atLeast"/>
                    <w:jc w:val="center"/>
                    <w:rPr>
                      <w:rFonts w:hint="eastAsia" w:ascii="Times New Roman" w:hAnsi="Times New Roman" w:eastAsia="宋体" w:cs="Times New Roman"/>
                      <w:color w:val="auto"/>
                      <w:spacing w:val="0"/>
                      <w:kern w:val="0"/>
                      <w:sz w:val="21"/>
                      <w:szCs w:val="24"/>
                      <w:lang w:val="en-US" w:eastAsia="zh-CN" w:bidi="ar-SA"/>
                    </w:rPr>
                  </w:pPr>
                  <w:r>
                    <w:rPr>
                      <w:rFonts w:hint="eastAsia" w:ascii="Times New Roman" w:hAnsi="宋体" w:eastAsia="宋体" w:cs="宋体"/>
                      <w:color w:val="auto"/>
                      <w:spacing w:val="0"/>
                      <w:kern w:val="0"/>
                      <w:sz w:val="21"/>
                      <w:szCs w:val="21"/>
                      <w:highlight w:val="none"/>
                    </w:rPr>
                    <w:t>本项目</w:t>
                  </w:r>
                  <w:r>
                    <w:rPr>
                      <w:rFonts w:hint="eastAsia" w:ascii="Times New Roman" w:hAnsi="宋体" w:eastAsia="宋体" w:cs="宋体"/>
                      <w:color w:val="auto"/>
                      <w:spacing w:val="0"/>
                      <w:kern w:val="0"/>
                      <w:sz w:val="21"/>
                      <w:szCs w:val="21"/>
                      <w:highlight w:val="none"/>
                      <w:lang w:bidi="ar"/>
                    </w:rPr>
                    <w:t>不涉及重金属排放</w:t>
                  </w:r>
                </w:p>
              </w:tc>
              <w:tc>
                <w:tcPr>
                  <w:tcW w:w="716" w:type="dxa"/>
                  <w:tcBorders>
                    <w:tl2br w:val="nil"/>
                    <w:tr2bl w:val="nil"/>
                  </w:tcBorders>
                  <w:noWrap w:val="0"/>
                  <w:vAlign w:val="center"/>
                </w:tcPr>
                <w:p>
                  <w:pPr>
                    <w:bidi w:val="0"/>
                    <w:spacing w:line="240" w:lineRule="auto"/>
                    <w:jc w:val="center"/>
                    <w:rPr>
                      <w:rFonts w:hint="eastAsia" w:ascii="Times New Roman" w:hAnsi="Times New Roman" w:eastAsia="宋体" w:cs="Times New Roman"/>
                      <w:spacing w:val="0"/>
                      <w:kern w:val="0"/>
                      <w:sz w:val="21"/>
                    </w:rPr>
                  </w:pPr>
                  <w:r>
                    <w:rPr>
                      <w:rFonts w:hint="eastAsia" w:ascii="Times New Roman" w:hAnsi="Times New Roman" w:eastAsia="宋体" w:cs="Times New Roman"/>
                      <w:spacing w:val="0"/>
                      <w:kern w:val="0"/>
                      <w:sz w:val="21"/>
                    </w:rPr>
                    <w:t>符合</w:t>
                  </w:r>
                </w:p>
              </w:tc>
            </w:tr>
          </w:tbl>
          <w:p>
            <w:pPr>
              <w:pStyle w:val="63"/>
              <w:bidi w:val="0"/>
              <w:rPr>
                <w:rFonts w:hint="eastAsia"/>
                <w:lang w:eastAsia="zh-CN"/>
              </w:rPr>
            </w:pPr>
            <w:r>
              <w:rPr>
                <w:rFonts w:hint="eastAsia"/>
                <w:lang w:val="en-US" w:eastAsia="zh-CN"/>
              </w:rPr>
              <w:t>综上所述，本项目符合</w:t>
            </w:r>
            <w:r>
              <w:rPr>
                <w:rFonts w:hint="eastAsia"/>
              </w:rPr>
              <w:t>《新疆维吾尔自治区七大片区</w:t>
            </w:r>
            <w:r>
              <w:rPr>
                <w:rFonts w:hint="eastAsia"/>
                <w:lang w:eastAsia="zh-CN"/>
              </w:rPr>
              <w:t>“</w:t>
            </w:r>
            <w:r>
              <w:rPr>
                <w:rFonts w:hint="eastAsia"/>
              </w:rPr>
              <w:t>三线一单</w:t>
            </w:r>
            <w:r>
              <w:rPr>
                <w:rFonts w:hint="eastAsia"/>
                <w:lang w:eastAsia="zh-CN"/>
              </w:rPr>
              <w:t>”</w:t>
            </w:r>
            <w:r>
              <w:rPr>
                <w:rFonts w:hint="eastAsia"/>
              </w:rPr>
              <w:t>生态环境分区管控要求》（2021年版）（新环环评发〔2021〕162号）</w:t>
            </w:r>
            <w:r>
              <w:rPr>
                <w:rFonts w:hint="eastAsia"/>
                <w:lang w:val="en-US" w:eastAsia="zh-CN"/>
              </w:rPr>
              <w:t>管控要求</w:t>
            </w:r>
            <w:r>
              <w:rPr>
                <w:rFonts w:hint="eastAsia"/>
                <w:lang w:eastAsia="zh-CN"/>
              </w:rPr>
              <w:t>。</w:t>
            </w:r>
          </w:p>
          <w:p>
            <w:pPr>
              <w:pStyle w:val="35"/>
              <w:adjustRightInd w:val="0"/>
              <w:snapToGrid w:val="0"/>
              <w:rPr>
                <w:rFonts w:hint="eastAsia"/>
                <w:lang w:val="en-US" w:eastAsia="zh-CN"/>
              </w:rPr>
            </w:pPr>
            <w:r>
              <w:rPr>
                <w:rFonts w:hint="eastAsia"/>
                <w:lang w:val="en-US" w:eastAsia="zh-CN"/>
              </w:rPr>
              <w:t>本项目与《关于印发巴音郭楞蒙古自治州“三线一单”生态环境分区管控动态更新成果（2023年）的通知》（巴政办发〔2024〕32号）表1-3</w:t>
            </w:r>
            <w:r>
              <w:rPr>
                <w:rFonts w:hint="eastAsia"/>
                <w:lang w:eastAsia="zh-CN"/>
              </w:rPr>
              <w:t>。</w:t>
            </w:r>
            <w:r>
              <w:rPr>
                <w:rFonts w:hint="eastAsia"/>
                <w:lang w:val="en-US" w:eastAsia="zh-CN"/>
              </w:rPr>
              <w:t>项目与巴音郭楞蒙古自治州“三线一单”生态环境分区管控方案位置关系图见</w:t>
            </w:r>
            <w:r>
              <w:rPr>
                <w:rFonts w:hint="eastAsia"/>
                <w:color w:val="000000" w:themeColor="text1"/>
                <w:lang w:val="en-US" w:eastAsia="zh-CN"/>
                <w14:textFill>
                  <w14:solidFill>
                    <w14:schemeClr w14:val="tx1"/>
                  </w14:solidFill>
                </w14:textFill>
              </w:rPr>
              <w:t>附图3。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Times New Roman" w:hAnsi="Times New Roman" w:eastAsia="宋体" w:cs="Times New Roman"/>
                <w:b/>
                <w:bCs w:val="0"/>
                <w:color w:val="auto"/>
                <w:kern w:val="2"/>
                <w:sz w:val="24"/>
                <w:szCs w:val="21"/>
                <w:highlight w:val="none"/>
                <w:lang w:val="en-US" w:eastAsia="zh-CN" w:bidi="ar-SA"/>
              </w:rPr>
            </w:pPr>
            <w:r>
              <w:rPr>
                <w:rFonts w:hint="default" w:ascii="Times New Roman" w:hAnsi="Times New Roman" w:eastAsia="宋体" w:cs="Times New Roman"/>
                <w:b/>
                <w:bCs/>
                <w:sz w:val="24"/>
                <w:szCs w:val="24"/>
                <w:lang w:val="en-US" w:eastAsia="zh-CN"/>
              </w:rPr>
              <w:t>表</w:t>
            </w:r>
            <w:r>
              <w:rPr>
                <w:rFonts w:hint="eastAsia" w:ascii="Times New Roman" w:hAnsi="Times New Roman" w:eastAsia="宋体" w:cs="Times New Roman"/>
                <w:b/>
                <w:bCs w:val="0"/>
                <w:color w:val="auto"/>
                <w:kern w:val="2"/>
                <w:sz w:val="24"/>
                <w:szCs w:val="21"/>
                <w:highlight w:val="none"/>
                <w:lang w:val="en-US" w:eastAsia="zh-CN" w:bidi="ar-SA"/>
              </w:rPr>
              <w:t>1-3 与自治州“三线一单”生态环境分区管控方案</w:t>
            </w:r>
            <w:r>
              <w:rPr>
                <w:rFonts w:hint="default" w:ascii="Times New Roman" w:hAnsi="Times New Roman" w:eastAsia="宋体" w:cs="Times New Roman"/>
                <w:b/>
                <w:bCs w:val="0"/>
                <w:color w:val="auto"/>
                <w:kern w:val="2"/>
                <w:sz w:val="24"/>
                <w:szCs w:val="21"/>
                <w:highlight w:val="none"/>
                <w:lang w:val="en-US" w:eastAsia="zh-CN" w:bidi="ar-SA"/>
              </w:rPr>
              <w:t>符合分析</w:t>
            </w:r>
          </w:p>
          <w:tbl>
            <w:tblPr>
              <w:tblStyle w:val="26"/>
              <w:tblW w:w="5000"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844"/>
              <w:gridCol w:w="750"/>
              <w:gridCol w:w="3921"/>
              <w:gridCol w:w="1793"/>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t>环境管控单元名称及编码</w:t>
                  </w:r>
                </w:p>
              </w:tc>
              <w:tc>
                <w:tcPr>
                  <w:tcW w:w="3195" w:type="pct"/>
                  <w:gridSpan w:val="2"/>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t>“三线一单”要求</w:t>
                  </w:r>
                </w:p>
              </w:tc>
              <w:tc>
                <w:tcPr>
                  <w:tcW w:w="1226"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bCs/>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bCs/>
                      <w:i w:val="0"/>
                      <w:caps w:val="0"/>
                      <w:color w:val="000000"/>
                      <w:spacing w:val="0"/>
                      <w:w w:val="100"/>
                      <w:kern w:val="2"/>
                      <w:sz w:val="21"/>
                      <w:szCs w:val="21"/>
                      <w:highlight w:val="none"/>
                      <w:lang w:val="en-US" w:eastAsia="zh-CN" w:bidi="ar-SA"/>
                    </w:rPr>
                    <w:t>本项目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焉耆县河北巴州生态产业园</w:t>
                  </w:r>
                </w:p>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重点管控单元（ZH65282620012）</w:t>
                  </w:r>
                </w:p>
              </w:tc>
              <w:tc>
                <w:tcPr>
                  <w:tcW w:w="513"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空间管控约束</w:t>
                  </w:r>
                </w:p>
              </w:tc>
              <w:tc>
                <w:tcPr>
                  <w:tcW w:w="2682" w:type="pct"/>
                  <w:tcBorders>
                    <w:tl2br w:val="nil"/>
                    <w:tr2bl w:val="nil"/>
                  </w:tcBorders>
                  <w:noWrap w:val="0"/>
                  <w:vAlign w:val="top"/>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left"/>
                    <w:textAlignment w:val="baseline"/>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1.禁止新建、扩建《产业结构调整指导目录（2024 年本）》中淘汰类项目。禁止引入《市场准入负面清单（202</w:t>
                  </w:r>
                  <w:r>
                    <w:rPr>
                      <w:rFonts w:hint="eastAsia" w:cs="Times New Roman"/>
                      <w:kern w:val="2"/>
                      <w:sz w:val="21"/>
                      <w:szCs w:val="21"/>
                      <w:highlight w:val="none"/>
                      <w:lang w:val="en-US" w:eastAsia="zh-CN" w:bidi="ar-SA"/>
                    </w:rPr>
                    <w:t>5</w:t>
                  </w:r>
                  <w:r>
                    <w:rPr>
                      <w:rFonts w:hint="default" w:ascii="Times New Roman" w:hAnsi="Times New Roman" w:eastAsia="宋体" w:cs="Times New Roman"/>
                      <w:kern w:val="2"/>
                      <w:sz w:val="21"/>
                      <w:szCs w:val="21"/>
                      <w:highlight w:val="none"/>
                      <w:lang w:val="en-US" w:eastAsia="zh-CN" w:bidi="ar-SA"/>
                    </w:rPr>
                    <w:t>年版）》禁止准入类事项。</w:t>
                  </w:r>
                </w:p>
              </w:tc>
              <w:tc>
                <w:tcPr>
                  <w:tcW w:w="1226" w:type="pct"/>
                  <w:tcBorders>
                    <w:tl2br w:val="nil"/>
                    <w:tr2bl w:val="nil"/>
                  </w:tcBorders>
                  <w:noWrap w:val="0"/>
                  <w:vAlign w:val="top"/>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bCs/>
                      <w:color w:val="000000"/>
                      <w:spacing w:val="0"/>
                      <w:kern w:val="0"/>
                      <w:position w:val="0"/>
                      <w:sz w:val="21"/>
                      <w:szCs w:val="21"/>
                      <w:lang w:val="en-US" w:eastAsia="en-US" w:bidi="zh-CN"/>
                    </w:rPr>
                    <w:t>符合，本项目属于《产业结构调整指导目录（2024年本）》允许类项目，不属于《市场准入负面清单（2025年版）》禁止准入事项。</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污染物排放管控</w:t>
                  </w: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color w:val="000000"/>
                      <w:kern w:val="0"/>
                      <w:sz w:val="21"/>
                      <w:szCs w:val="21"/>
                      <w:lang w:val="en-US" w:eastAsia="zh-CN" w:bidi="ar"/>
                    </w:rPr>
                    <w:t>1.严禁园区内企业将未经处理的废水直接排入博斯腾湖风景名胜区内。</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符合，本项目冷却水循环使用，循环水定期排水属于清净下水，通过园区下水管网排至园区污水处理厂进行处理，生活污水经防渗化粪池预处理后，进入园区污水处理厂。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2.严格实施污染物总量控制和排污许可证制度，力求区域内空气环境和水环境按功能实现达标。主要污染物排放实现稳定达标；化学需氧量、二氧化硫等主要污染物的排放总量满足自治州总量控制计划的要求，严格实施主要污染物排放总量控制，不断巩固和扩大污染治理成果，加大对企业的污染治理工作，实现企业污染物减排的目标。加强环境监管工作，严格执行建设项目环境保护“三同时”制度，所有新建项目必须实现污染物达标排放才能允许生产，从源头上控制污染物的排放。</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符合，本项目涉及总量申请的污染物为VOCs</w:t>
                  </w:r>
                  <w:r>
                    <w:rPr>
                      <w:rFonts w:hint="eastAsia" w:cs="Times New Roman"/>
                      <w:sz w:val="21"/>
                      <w:lang w:val="en-US" w:eastAsia="zh-CN"/>
                    </w:rPr>
                    <w:t>，进行</w:t>
                  </w:r>
                  <w:r>
                    <w:rPr>
                      <w:rFonts w:hint="eastAsia" w:ascii="Times New Roman" w:hAnsi="Times New Roman" w:eastAsia="宋体" w:cs="Times New Roman"/>
                      <w:sz w:val="21"/>
                      <w:lang w:val="en-US" w:eastAsia="zh-CN"/>
                    </w:rPr>
                    <w:t>申请总量。</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2682" w:type="pct"/>
                  <w:tcBorders>
                    <w:tl2br w:val="nil"/>
                    <w:tr2bl w:val="nil"/>
                  </w:tcBorders>
                  <w:noWrap w:val="0"/>
                  <w:vAlign w:val="top"/>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rPr>
                      <w:rFonts w:hint="default" w:ascii="Times New Roman" w:hAnsi="Times New Roman" w:eastAsia="宋体" w:cs="Times New Roman"/>
                      <w:color w:val="000000"/>
                      <w:kern w:val="0"/>
                      <w:sz w:val="21"/>
                      <w:szCs w:val="21"/>
                      <w:lang w:val="en-US" w:eastAsia="zh-CN" w:bidi="ar"/>
                    </w:rPr>
                  </w:pPr>
                  <w:r>
                    <w:rPr>
                      <w:rFonts w:hint="default" w:ascii="Times New Roman" w:hAnsi="Times New Roman" w:eastAsia="宋体" w:cs="Times New Roman"/>
                      <w:color w:val="000000"/>
                      <w:kern w:val="0"/>
                      <w:sz w:val="21"/>
                      <w:szCs w:val="21"/>
                      <w:lang w:val="en-US" w:eastAsia="zh-CN" w:bidi="ar"/>
                    </w:rPr>
                    <w:t>3.污水处理厂出水处理达到国家相关污水处理排放标准。</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sz w:val="21"/>
                      <w:lang w:val="en-US" w:eastAsia="zh-CN"/>
                    </w:rPr>
                  </w:pPr>
                  <w:r>
                    <w:rPr>
                      <w:rFonts w:hint="eastAsia" w:ascii="Times New Roman" w:hAnsi="Times New Roman" w:eastAsia="宋体" w:cs="Times New Roman"/>
                      <w:sz w:val="21"/>
                      <w:lang w:val="en-US" w:eastAsia="zh-CN"/>
                    </w:rPr>
                    <w:t>符合，本项目</w:t>
                  </w:r>
                  <w:r>
                    <w:rPr>
                      <w:rFonts w:hint="eastAsia" w:cs="Times New Roman"/>
                      <w:sz w:val="21"/>
                      <w:lang w:val="en-US" w:eastAsia="zh-CN"/>
                    </w:rPr>
                    <w:t>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环境风险防控</w:t>
                  </w: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1.严格执行项目安全和卫生防护距离要求，项目卫生防护距离内不得规划、建设居民区、学校、医院等环境敏感目标，对于已存在的环境敏感目标要采取合理措施加以保护。</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符合，本项目周边无居民区、学校、医院等环境敏感目标。</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2.严格环境风险控制。防范环境风险，定期评估工业集聚区环境和健康风险，加强预案管理，落实防控措施，排除水污染隐患。</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符合，</w:t>
                  </w:r>
                  <w:r>
                    <w:rPr>
                      <w:rFonts w:hint="default" w:ascii="Times New Roman" w:hAnsi="Times New Roman" w:eastAsia="宋体" w:cs="Times New Roman"/>
                      <w:b w:val="0"/>
                      <w:bCs/>
                      <w:color w:val="000000"/>
                      <w:spacing w:val="0"/>
                      <w:kern w:val="0"/>
                      <w:position w:val="0"/>
                      <w:sz w:val="21"/>
                      <w:szCs w:val="21"/>
                      <w:lang w:val="en-US" w:bidi="zh-CN"/>
                    </w:rPr>
                    <w:t>本项目建成后需编制突发环境</w:t>
                  </w:r>
                  <w:r>
                    <w:rPr>
                      <w:rFonts w:hint="eastAsia" w:cs="Times New Roman"/>
                      <w:b w:val="0"/>
                      <w:bCs/>
                      <w:color w:val="000000"/>
                      <w:spacing w:val="0"/>
                      <w:kern w:val="0"/>
                      <w:position w:val="0"/>
                      <w:sz w:val="21"/>
                      <w:szCs w:val="21"/>
                      <w:lang w:val="en-US" w:bidi="zh-CN"/>
                    </w:rPr>
                    <w:t>事件</w:t>
                  </w:r>
                  <w:r>
                    <w:rPr>
                      <w:rFonts w:hint="default" w:ascii="Times New Roman" w:hAnsi="Times New Roman" w:eastAsia="宋体" w:cs="Times New Roman"/>
                      <w:b w:val="0"/>
                      <w:bCs/>
                      <w:color w:val="000000"/>
                      <w:spacing w:val="0"/>
                      <w:kern w:val="0"/>
                      <w:position w:val="0"/>
                      <w:sz w:val="21"/>
                      <w:szCs w:val="21"/>
                      <w:lang w:val="en-US" w:bidi="zh-CN"/>
                    </w:rPr>
                    <w:t>应急预案。</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default" w:ascii="Times New Roman" w:hAnsi="Times New Roman" w:eastAsia="宋体" w:cs="Times New Roman"/>
                      <w:kern w:val="0"/>
                      <w:sz w:val="21"/>
                      <w:szCs w:val="21"/>
                      <w:lang w:val="en-US" w:eastAsia="zh-CN"/>
                    </w:rPr>
                    <w:t>3.各企业对生产装置区、污水预处理设施、事故池等采取足够的防渗措施；园区内及上下游布设地下水跟踪观测井，对该区域地下水进行定期常态监测。</w:t>
                  </w:r>
                </w:p>
              </w:tc>
              <w:tc>
                <w:tcPr>
                  <w:tcW w:w="1226" w:type="pct"/>
                  <w:tcBorders>
                    <w:tl2br w:val="nil"/>
                    <w:tr2bl w:val="nil"/>
                  </w:tcBorders>
                  <w:noWrap w:val="0"/>
                  <w:vAlign w:val="center"/>
                </w:tcPr>
                <w:p>
                  <w:pPr>
                    <w:keepNext w:val="0"/>
                    <w:keepLines w:val="0"/>
                    <w:pageBreakBefore w:val="0"/>
                    <w:kinsoku/>
                    <w:wordWrap/>
                    <w:overflowPunct/>
                    <w:topLinePunct w:val="0"/>
                    <w:autoSpaceDE/>
                    <w:autoSpaceDN/>
                    <w:bidi w:val="0"/>
                    <w:adjustRightInd w:val="0"/>
                    <w:snapToGrid w:val="0"/>
                    <w:spacing w:line="240" w:lineRule="auto"/>
                    <w:ind w:firstLine="0" w:firstLineChars="0"/>
                    <w:jc w:val="both"/>
                    <w:rPr>
                      <w:rFonts w:hint="default" w:ascii="Times New Roman" w:hAnsi="Times New Roman" w:eastAsia="宋体" w:cs="Times New Roman"/>
                      <w:kern w:val="0"/>
                      <w:sz w:val="21"/>
                      <w:szCs w:val="21"/>
                      <w:lang w:val="en-US" w:eastAsia="zh-CN"/>
                    </w:rPr>
                  </w:pPr>
                  <w:r>
                    <w:rPr>
                      <w:rFonts w:hint="eastAsia" w:ascii="Times New Roman" w:hAnsi="Times New Roman" w:eastAsia="宋体" w:cs="Times New Roman"/>
                      <w:kern w:val="0"/>
                      <w:sz w:val="21"/>
                      <w:szCs w:val="21"/>
                      <w:lang w:val="en-US" w:eastAsia="zh-CN"/>
                    </w:rPr>
                    <w:t>符合，</w:t>
                  </w:r>
                  <w:r>
                    <w:rPr>
                      <w:rFonts w:hint="default" w:ascii="Times New Roman" w:hAnsi="Times New Roman" w:eastAsia="宋体" w:cs="Times New Roman"/>
                      <w:snapToGrid w:val="0"/>
                      <w:spacing w:val="0"/>
                      <w:kern w:val="0"/>
                      <w:sz w:val="21"/>
                      <w:szCs w:val="21"/>
                      <w:vertAlign w:val="baseline"/>
                      <w:lang w:val="en-US" w:eastAsia="zh-CN"/>
                    </w:rPr>
                    <w:t>本项目对</w:t>
                  </w:r>
                  <w:r>
                    <w:rPr>
                      <w:rFonts w:hint="eastAsia" w:cs="Times New Roman"/>
                      <w:snapToGrid w:val="0"/>
                      <w:spacing w:val="0"/>
                      <w:kern w:val="0"/>
                      <w:sz w:val="21"/>
                      <w:szCs w:val="21"/>
                      <w:vertAlign w:val="baseline"/>
                      <w:lang w:val="en-US" w:eastAsia="zh-CN"/>
                    </w:rPr>
                    <w:t>危险废物贮存库</w:t>
                  </w:r>
                  <w:r>
                    <w:rPr>
                      <w:rFonts w:hint="default" w:ascii="Times New Roman" w:hAnsi="Times New Roman" w:eastAsia="宋体" w:cs="Times New Roman"/>
                      <w:snapToGrid w:val="0"/>
                      <w:spacing w:val="0"/>
                      <w:kern w:val="0"/>
                      <w:sz w:val="21"/>
                      <w:szCs w:val="21"/>
                      <w:vertAlign w:val="baseline"/>
                      <w:lang w:val="en-US" w:eastAsia="zh-CN"/>
                    </w:rPr>
                    <w:t>进行重点防渗，</w:t>
                  </w:r>
                  <w:r>
                    <w:rPr>
                      <w:rFonts w:hint="eastAsia" w:cs="Times New Roman"/>
                      <w:snapToGrid w:val="0"/>
                      <w:spacing w:val="0"/>
                      <w:kern w:val="0"/>
                      <w:sz w:val="21"/>
                      <w:szCs w:val="21"/>
                      <w:vertAlign w:val="baseline"/>
                      <w:lang w:val="en-US" w:eastAsia="zh-CN"/>
                    </w:rPr>
                    <w:t>化粪池、厂房及</w:t>
                  </w:r>
                  <w:r>
                    <w:rPr>
                      <w:rFonts w:hint="eastAsia"/>
                      <w:sz w:val="21"/>
                      <w:szCs w:val="21"/>
                      <w:lang w:val="en-US" w:eastAsia="zh-CN"/>
                    </w:rPr>
                    <w:t>循环水池</w:t>
                  </w:r>
                  <w:r>
                    <w:rPr>
                      <w:sz w:val="21"/>
                      <w:szCs w:val="21"/>
                    </w:rPr>
                    <w:t>作为一般防渗区</w:t>
                  </w:r>
                  <w:r>
                    <w:rPr>
                      <w:rFonts w:hint="eastAsia"/>
                      <w:sz w:val="21"/>
                      <w:szCs w:val="21"/>
                      <w:lang w:eastAsia="zh-CN"/>
                    </w:rPr>
                    <w:t>，</w:t>
                  </w:r>
                  <w:r>
                    <w:rPr>
                      <w:rFonts w:hint="default" w:ascii="Times New Roman" w:hAnsi="Times New Roman" w:eastAsia="宋体" w:cs="Times New Roman"/>
                      <w:snapToGrid w:val="0"/>
                      <w:spacing w:val="0"/>
                      <w:kern w:val="0"/>
                      <w:sz w:val="21"/>
                      <w:szCs w:val="21"/>
                      <w:vertAlign w:val="baseline"/>
                      <w:lang w:val="en-US" w:eastAsia="zh-CN"/>
                    </w:rPr>
                    <w:t>其余生产生活区均做简单防渗。</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资源利用效率</w:t>
                  </w:r>
                </w:p>
              </w:tc>
              <w:tc>
                <w:tcPr>
                  <w:tcW w:w="26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1</w:t>
                  </w:r>
                  <w:r>
                    <w:rPr>
                      <w:rFonts w:hint="eastAsia" w:cs="Times New Roman"/>
                      <w:b w:val="0"/>
                      <w:i w:val="0"/>
                      <w:caps w:val="0"/>
                      <w:color w:val="000000"/>
                      <w:spacing w:val="0"/>
                      <w:w w:val="100"/>
                      <w:kern w:val="2"/>
                      <w:sz w:val="21"/>
                      <w:szCs w:val="21"/>
                      <w:highlight w:val="none"/>
                      <w:lang w:val="en-US" w:eastAsia="zh-CN" w:bidi="ar-SA"/>
                    </w:rPr>
                    <w:t>.</w:t>
                  </w: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园区工业用水总量达到焉耆县用水总量控制指标要求。</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符合，本项目不涉及。</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577"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513"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center"/>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p>
              </w:tc>
              <w:tc>
                <w:tcPr>
                  <w:tcW w:w="2682"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auto"/>
                    <w:ind w:firstLine="0" w:firstLineChars="0"/>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t>2.加强园区土地集约、节约利用。</w:t>
                  </w:r>
                </w:p>
              </w:tc>
              <w:tc>
                <w:tcPr>
                  <w:tcW w:w="1226" w:type="pct"/>
                  <w:tcBorders>
                    <w:tl2br w:val="nil"/>
                    <w:tr2bl w:val="nil"/>
                  </w:tcBorders>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auto"/>
                    <w:jc w:val="both"/>
                    <w:textAlignment w:val="baseline"/>
                    <w:rPr>
                      <w:rFonts w:hint="default" w:ascii="Times New Roman" w:hAnsi="Times New Roman" w:eastAsia="宋体" w:cs="Times New Roman"/>
                      <w:b w:val="0"/>
                      <w:i w:val="0"/>
                      <w:caps w:val="0"/>
                      <w:color w:val="000000"/>
                      <w:spacing w:val="0"/>
                      <w:w w:val="100"/>
                      <w:kern w:val="2"/>
                      <w:sz w:val="21"/>
                      <w:szCs w:val="21"/>
                      <w:highlight w:val="none"/>
                      <w:lang w:val="en-US" w:eastAsia="zh-CN" w:bidi="ar-SA"/>
                    </w:rPr>
                  </w:pPr>
                  <w:r>
                    <w:rPr>
                      <w:rFonts w:hint="eastAsia" w:ascii="Times New Roman" w:hAnsi="Times New Roman" w:eastAsia="宋体" w:cs="Times New Roman"/>
                      <w:b w:val="0"/>
                      <w:i w:val="0"/>
                      <w:caps w:val="0"/>
                      <w:color w:val="000000"/>
                      <w:spacing w:val="0"/>
                      <w:w w:val="100"/>
                      <w:kern w:val="2"/>
                      <w:sz w:val="21"/>
                      <w:szCs w:val="21"/>
                      <w:highlight w:val="none"/>
                      <w:lang w:val="en-US" w:eastAsia="zh-CN" w:bidi="ar-SA"/>
                    </w:rPr>
                    <w:t>符合，本项目不涉及。</w:t>
                  </w:r>
                </w:p>
              </w:tc>
            </w:tr>
          </w:tbl>
          <w:p>
            <w:pPr>
              <w:pStyle w:val="35"/>
              <w:adjustRightInd w:val="0"/>
              <w:snapToGrid w:val="0"/>
              <w:rPr>
                <w:rFonts w:hint="eastAsia" w:ascii="Times New Roman" w:hAnsi="Times New Roman" w:eastAsia="宋体" w:cs="Times New Roman"/>
                <w:lang w:eastAsia="zh-CN"/>
              </w:rPr>
            </w:pPr>
            <w:r>
              <w:rPr>
                <w:rFonts w:hint="eastAsia" w:ascii="Times New Roman" w:hAnsi="Times New Roman" w:eastAsia="宋体" w:cs="Times New Roman"/>
              </w:rPr>
              <w:t>综合</w:t>
            </w:r>
            <w:r>
              <w:rPr>
                <w:rFonts w:hint="eastAsia" w:ascii="Times New Roman" w:hAnsi="Times New Roman" w:eastAsia="宋体" w:cs="Times New Roman"/>
                <w:lang w:val="en-US" w:eastAsia="zh-CN"/>
              </w:rPr>
              <w:t>所述</w:t>
            </w:r>
            <w:r>
              <w:rPr>
                <w:rFonts w:hint="eastAsia" w:ascii="Times New Roman" w:hAnsi="Times New Roman" w:eastAsia="宋体" w:cs="Times New Roman"/>
              </w:rPr>
              <w:t>，本项目符合</w:t>
            </w:r>
            <w:r>
              <w:rPr>
                <w:rFonts w:hint="eastAsia" w:ascii="Times New Roman" w:hAnsi="Times New Roman" w:eastAsia="宋体" w:cs="Times New Roman"/>
                <w:lang w:val="en-US" w:eastAsia="zh-CN"/>
              </w:rPr>
              <w:t>《关于印发巴音郭楞蒙古自治州“三线一单”生态环境分区管控动态更新成果（2023年）的通知》（巴政办发〔2024〕32号）</w:t>
            </w:r>
            <w:r>
              <w:rPr>
                <w:rFonts w:hint="eastAsia" w:ascii="Times New Roman" w:hAnsi="Times New Roman" w:eastAsia="宋体" w:cs="Times New Roman"/>
              </w:rPr>
              <w:t>文件</w:t>
            </w:r>
            <w:r>
              <w:rPr>
                <w:rFonts w:hint="eastAsia" w:ascii="Times New Roman" w:hAnsi="Times New Roman" w:eastAsia="宋体" w:cs="Times New Roman"/>
                <w:lang w:val="en-US" w:eastAsia="zh-CN"/>
              </w:rPr>
              <w:t>管控</w:t>
            </w:r>
            <w:r>
              <w:rPr>
                <w:rFonts w:hint="eastAsia" w:ascii="Times New Roman" w:hAnsi="Times New Roman" w:eastAsia="宋体" w:cs="Times New Roman"/>
              </w:rPr>
              <w:t>要求</w:t>
            </w:r>
            <w:r>
              <w:rPr>
                <w:rFonts w:hint="eastAsia" w:ascii="Times New Roman" w:hAnsi="Times New Roman" w:eastAsia="宋体" w:cs="Times New Roman"/>
                <w:lang w:eastAsia="zh-CN"/>
              </w:rPr>
              <w:t>。</w:t>
            </w:r>
          </w:p>
          <w:p>
            <w:pPr>
              <w:widowControl/>
              <w:spacing w:line="360" w:lineRule="auto"/>
              <w:jc w:val="left"/>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0"/>
                <w:lang w:val="en-US" w:eastAsia="zh-CN"/>
              </w:rPr>
              <w:t>3、</w:t>
            </w:r>
            <w:r>
              <w:rPr>
                <w:rFonts w:hint="eastAsia" w:cs="Times New Roman"/>
                <w:b/>
                <w:bCs/>
                <w:sz w:val="24"/>
                <w:szCs w:val="20"/>
                <w:lang w:val="en-US" w:eastAsia="zh-CN"/>
              </w:rPr>
              <w:t>与“</w:t>
            </w:r>
            <w:r>
              <w:rPr>
                <w:rFonts w:hint="default" w:ascii="Times New Roman" w:hAnsi="Times New Roman" w:eastAsia="宋体" w:cs="Times New Roman"/>
                <w:b/>
                <w:bCs/>
                <w:sz w:val="24"/>
                <w:szCs w:val="20"/>
                <w:lang w:val="en-US" w:eastAsia="zh-CN"/>
              </w:rPr>
              <w:t>国务院关于印发《空气质量持续改善行动计划》的通知</w:t>
            </w:r>
            <w:r>
              <w:rPr>
                <w:rFonts w:hint="eastAsia" w:cs="Times New Roman"/>
                <w:b/>
                <w:bCs/>
                <w:sz w:val="24"/>
                <w:szCs w:val="20"/>
                <w:lang w:val="en-US" w:eastAsia="zh-CN"/>
              </w:rPr>
              <w:t>（</w:t>
            </w:r>
            <w:r>
              <w:rPr>
                <w:rFonts w:hint="default" w:ascii="Times New Roman" w:hAnsi="Times New Roman" w:eastAsia="宋体" w:cs="Times New Roman"/>
                <w:b/>
                <w:bCs/>
                <w:sz w:val="24"/>
                <w:szCs w:val="20"/>
                <w:lang w:val="en-US" w:eastAsia="zh-CN"/>
              </w:rPr>
              <w:t>国发〔2023〕24号</w:t>
            </w:r>
            <w:r>
              <w:rPr>
                <w:rFonts w:hint="eastAsia" w:cs="Times New Roman"/>
                <w:b/>
                <w:bCs/>
                <w:sz w:val="24"/>
                <w:szCs w:val="20"/>
                <w:lang w:val="en-US" w:eastAsia="zh-CN"/>
              </w:rPr>
              <w:t>）”的符合性分析</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eastAsia" w:ascii="Times New Roman" w:hAnsi="Times New Roman" w:eastAsia="宋体" w:cs="Times New Roman"/>
                <w:b w:val="0"/>
                <w:bCs w:val="0"/>
                <w:snapToGrid w:val="0"/>
                <w:color w:val="000000"/>
                <w:spacing w:val="0"/>
                <w:kern w:val="0"/>
                <w:sz w:val="24"/>
                <w:szCs w:val="24"/>
                <w:lang w:val="en-US" w:eastAsia="zh-CN"/>
              </w:rPr>
            </w:pPr>
            <w:r>
              <w:rPr>
                <w:rFonts w:hint="default" w:ascii="Times New Roman" w:hAnsi="Times New Roman" w:eastAsia="宋体" w:cs="Times New Roman"/>
                <w:b w:val="0"/>
                <w:bCs w:val="0"/>
                <w:snapToGrid w:val="0"/>
                <w:color w:val="000000"/>
                <w:spacing w:val="0"/>
                <w:kern w:val="0"/>
                <w:sz w:val="24"/>
                <w:szCs w:val="24"/>
                <w:lang w:val="en-US" w:eastAsia="zh-CN"/>
              </w:rPr>
              <w:t>（二十一）强化VOCs全流程、全环节综合治理。</w:t>
            </w:r>
            <w:r>
              <w:rPr>
                <w:rFonts w:hint="eastAsia" w:ascii="Times New Roman" w:hAnsi="Times New Roman" w:eastAsia="宋体" w:cs="Times New Roman"/>
                <w:b w:val="0"/>
                <w:bCs w:val="0"/>
                <w:snapToGrid w:val="0"/>
                <w:color w:val="000000"/>
                <w:spacing w:val="0"/>
                <w:kern w:val="0"/>
                <w:sz w:val="24"/>
                <w:szCs w:val="24"/>
                <w:lang w:val="en-US" w:eastAsia="zh-CN"/>
              </w:rPr>
              <w:t>鼓励储罐使用低泄漏的呼吸阀、紧急泄压阀，定期开展密封性检测。汽车罐车推广使用密封式快速接头。污水处理场所高浓度有机废气要单独收集处理；含VOCs有机废水储罐、装置区集水井（池）有机废气要密闭收集处理。重点区域石化、化工行业集中的城市和重点工业园区，2024年年底前建立统一的泄漏检测与修复信息管理平台。企业开停工、检维修期间，及时收集处理退料、清洗、吹扫等作业产生的VOCs废气。企业不得将火炬燃烧装置作为日常</w:t>
            </w:r>
            <w:r>
              <w:rPr>
                <w:rFonts w:hint="eastAsia" w:cs="Times New Roman"/>
                <w:b w:val="0"/>
                <w:bCs w:val="0"/>
                <w:snapToGrid w:val="0"/>
                <w:color w:val="000000"/>
                <w:spacing w:val="0"/>
                <w:kern w:val="0"/>
                <w:sz w:val="24"/>
                <w:szCs w:val="24"/>
                <w:lang w:val="en-US" w:eastAsia="zh-CN"/>
              </w:rPr>
              <w:t>大气污染治理</w:t>
            </w:r>
            <w:r>
              <w:rPr>
                <w:rFonts w:hint="eastAsia" w:ascii="Times New Roman" w:hAnsi="Times New Roman" w:eastAsia="宋体" w:cs="Times New Roman"/>
                <w:b w:val="0"/>
                <w:bCs w:val="0"/>
                <w:snapToGrid w:val="0"/>
                <w:color w:val="000000"/>
                <w:spacing w:val="0"/>
                <w:kern w:val="0"/>
                <w:sz w:val="24"/>
                <w:szCs w:val="24"/>
                <w:lang w:val="en-US" w:eastAsia="zh-CN"/>
              </w:rPr>
              <w:t>设施。</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b w:val="0"/>
                <w:bCs w:val="0"/>
                <w:snapToGrid w:val="0"/>
                <w:color w:val="000000"/>
                <w:spacing w:val="0"/>
                <w:kern w:val="0"/>
                <w:sz w:val="24"/>
                <w:szCs w:val="24"/>
                <w:lang w:val="en-US" w:eastAsia="zh-CN"/>
              </w:rPr>
            </w:pPr>
            <w:r>
              <w:rPr>
                <w:rFonts w:hint="eastAsia" w:ascii="Times New Roman" w:hAnsi="Times New Roman" w:eastAsia="宋体" w:cs="Times New Roman"/>
                <w:b w:val="0"/>
                <w:bCs w:val="0"/>
                <w:snapToGrid w:val="0"/>
                <w:color w:val="000000"/>
                <w:spacing w:val="0"/>
                <w:kern w:val="0"/>
                <w:sz w:val="24"/>
                <w:szCs w:val="24"/>
                <w:lang w:val="en-US" w:eastAsia="zh-CN"/>
              </w:rPr>
              <w:t>本项目生产过程中产生的VOCs经二级活性炭装置处理后，通过15m排气筒排放，排放浓度满足</w:t>
            </w:r>
            <w:r>
              <w:rPr>
                <w:rFonts w:hint="eastAsia" w:ascii="Times New Roman" w:hAnsi="Times New Roman" w:eastAsia="宋体" w:cs="Times New Roman"/>
                <w:b w:val="0"/>
                <w:bCs w:val="0"/>
                <w:snapToGrid w:val="0"/>
                <w:color w:val="000000"/>
                <w:spacing w:val="0"/>
                <w:kern w:val="0"/>
                <w:sz w:val="24"/>
                <w:szCs w:val="24"/>
                <w:lang w:val="en-US" w:eastAsia="zh-CN"/>
              </w:rPr>
              <w:fldChar w:fldCharType="begin"/>
            </w:r>
            <w:r>
              <w:rPr>
                <w:rFonts w:hint="eastAsia" w:ascii="Times New Roman" w:hAnsi="Times New Roman" w:eastAsia="宋体" w:cs="Times New Roman"/>
                <w:b w:val="0"/>
                <w:bCs w:val="0"/>
                <w:snapToGrid w:val="0"/>
                <w:color w:val="000000"/>
                <w:spacing w:val="0"/>
                <w:kern w:val="0"/>
                <w:sz w:val="24"/>
                <w:szCs w:val="24"/>
                <w:lang w:val="en-US" w:eastAsia="zh-CN"/>
              </w:rPr>
              <w:instrText xml:space="preserve"> HYPERLINK "https://www.mee.gov.cn/ywgz/fgbz/bz/bzwb/dqhjbh/dqgdwrywrwpfbz/201505/W020240612354056402310.pdf" </w:instrText>
            </w:r>
            <w:r>
              <w:rPr>
                <w:rFonts w:hint="eastAsia" w:ascii="Times New Roman" w:hAnsi="Times New Roman" w:eastAsia="宋体" w:cs="Times New Roman"/>
                <w:b w:val="0"/>
                <w:bCs w:val="0"/>
                <w:snapToGrid w:val="0"/>
                <w:color w:val="000000"/>
                <w:spacing w:val="0"/>
                <w:kern w:val="0"/>
                <w:sz w:val="24"/>
                <w:szCs w:val="24"/>
                <w:lang w:val="en-US" w:eastAsia="zh-CN"/>
              </w:rPr>
              <w:fldChar w:fldCharType="separate"/>
            </w:r>
            <w:r>
              <w:rPr>
                <w:rFonts w:hint="eastAsia" w:ascii="Times New Roman" w:hAnsi="Times New Roman" w:eastAsia="宋体" w:cs="Times New Roman"/>
                <w:b w:val="0"/>
                <w:bCs w:val="0"/>
                <w:snapToGrid w:val="0"/>
                <w:color w:val="000000"/>
                <w:spacing w:val="0"/>
                <w:kern w:val="0"/>
                <w:sz w:val="24"/>
                <w:szCs w:val="24"/>
                <w:lang w:val="en-US" w:eastAsia="zh-CN"/>
              </w:rPr>
              <w:t>《合成树脂工业污染物排放标准》（GB 31572-2015，含2024年修改单）</w:t>
            </w:r>
            <w:r>
              <w:rPr>
                <w:rFonts w:hint="eastAsia" w:ascii="Times New Roman" w:hAnsi="Times New Roman" w:eastAsia="宋体" w:cs="Times New Roman"/>
                <w:b w:val="0"/>
                <w:bCs w:val="0"/>
                <w:snapToGrid w:val="0"/>
                <w:color w:val="000000"/>
                <w:spacing w:val="0"/>
                <w:kern w:val="0"/>
                <w:sz w:val="24"/>
                <w:szCs w:val="24"/>
                <w:lang w:val="en-US" w:eastAsia="zh-CN"/>
              </w:rPr>
              <w:fldChar w:fldCharType="end"/>
            </w:r>
            <w:r>
              <w:rPr>
                <w:rFonts w:hint="eastAsia" w:ascii="Times New Roman" w:hAnsi="Times New Roman" w:eastAsia="宋体" w:cs="Times New Roman"/>
                <w:b w:val="0"/>
                <w:bCs w:val="0"/>
                <w:snapToGrid w:val="0"/>
                <w:color w:val="000000"/>
                <w:spacing w:val="0"/>
                <w:kern w:val="0"/>
                <w:sz w:val="24"/>
                <w:szCs w:val="24"/>
                <w:lang w:val="en-US" w:eastAsia="zh-CN"/>
              </w:rPr>
              <w:t>表5中大气污染物特别排放限值。综上所述，本项目符合文件中的要求。</w:t>
            </w:r>
          </w:p>
          <w:p>
            <w:pPr>
              <w:widowControl/>
              <w:spacing w:line="360" w:lineRule="auto"/>
              <w:jc w:val="left"/>
              <w:rPr>
                <w:rFonts w:hint="default" w:ascii="Times New Roman" w:hAnsi="Times New Roman" w:eastAsia="宋体" w:cs="Times New Roman"/>
                <w:b/>
                <w:bCs/>
                <w:sz w:val="24"/>
                <w:szCs w:val="20"/>
                <w:lang w:val="en-US" w:eastAsia="zh-CN"/>
              </w:rPr>
            </w:pPr>
            <w:r>
              <w:rPr>
                <w:rFonts w:hint="eastAsia" w:cs="Times New Roman"/>
                <w:b/>
                <w:bCs/>
                <w:sz w:val="24"/>
                <w:szCs w:val="20"/>
                <w:lang w:val="en-US" w:eastAsia="zh-CN"/>
              </w:rPr>
              <w:t>4、</w:t>
            </w:r>
            <w:r>
              <w:rPr>
                <w:rFonts w:hint="eastAsia" w:ascii="Times New Roman" w:hAnsi="Times New Roman" w:eastAsia="宋体" w:cs="Times New Roman"/>
                <w:b/>
                <w:bCs/>
                <w:sz w:val="24"/>
                <w:szCs w:val="20"/>
                <w:lang w:val="en-US" w:eastAsia="zh-CN"/>
              </w:rPr>
              <w:t>与《挥发性有机物（VOCs）污染防治技术政策》的符合性分析</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textAlignment w:val="auto"/>
              <w:rPr>
                <w:rFonts w:hint="default" w:ascii="Times New Roman" w:hAnsi="Times New Roman" w:eastAsia="宋体" w:cs="Times New Roman"/>
                <w:b w:val="0"/>
                <w:bCs w:val="0"/>
                <w:snapToGrid w:val="0"/>
                <w:color w:val="000000"/>
                <w:spacing w:val="0"/>
                <w:kern w:val="0"/>
                <w:sz w:val="24"/>
                <w:szCs w:val="24"/>
                <w:lang w:val="en-US" w:eastAsia="zh-CN"/>
              </w:rPr>
            </w:pPr>
            <w:r>
              <w:rPr>
                <w:rFonts w:hint="default" w:ascii="Times New Roman" w:hAnsi="Times New Roman" w:eastAsia="宋体" w:cs="Times New Roman"/>
                <w:b w:val="0"/>
                <w:bCs w:val="0"/>
                <w:snapToGrid w:val="0"/>
                <w:color w:val="000000"/>
                <w:spacing w:val="0"/>
                <w:kern w:val="0"/>
                <w:sz w:val="24"/>
                <w:szCs w:val="24"/>
                <w:lang w:val="en-US" w:eastAsia="zh-CN"/>
              </w:rPr>
              <w:t>含VOCs产品的使用过程中，应采取废气收集措施，提高废气收集效率，减少废气的无组织排放与逸散，并对收集后的废气进行回收或处理后达标排放。</w:t>
            </w:r>
          </w:p>
          <w:p>
            <w:pPr>
              <w:keepNext w:val="0"/>
              <w:keepLines w:val="0"/>
              <w:pageBreakBefore w:val="0"/>
              <w:widowControl/>
              <w:kinsoku/>
              <w:wordWrap/>
              <w:overflowPunct/>
              <w:topLinePunct w:val="0"/>
              <w:autoSpaceDE/>
              <w:autoSpaceDN/>
              <w:bidi w:val="0"/>
              <w:adjustRightInd w:val="0"/>
              <w:snapToGrid w:val="0"/>
              <w:spacing w:before="0" w:after="0" w:line="360" w:lineRule="auto"/>
              <w:ind w:right="0" w:firstLine="480" w:firstLineChars="200"/>
              <w:jc w:val="both"/>
              <w:textAlignment w:val="auto"/>
              <w:rPr>
                <w:rFonts w:hint="default" w:ascii="Times New Roman" w:hAnsi="Times New Roman" w:eastAsia="宋体" w:cs="Times New Roman"/>
                <w:b w:val="0"/>
                <w:bCs w:val="0"/>
                <w:kern w:val="0"/>
                <w:sz w:val="24"/>
                <w:szCs w:val="24"/>
                <w:lang w:val="en-US" w:eastAsia="zh-CN" w:bidi="ar-SA"/>
              </w:rPr>
            </w:pPr>
            <w:r>
              <w:rPr>
                <w:rFonts w:hint="default" w:ascii="Times New Roman" w:hAnsi="Times New Roman" w:eastAsia="宋体" w:cs="Times New Roman"/>
                <w:b w:val="0"/>
                <w:bCs w:val="0"/>
                <w:kern w:val="0"/>
                <w:sz w:val="24"/>
                <w:szCs w:val="24"/>
                <w:lang w:val="en-US" w:eastAsia="zh-CN" w:bidi="ar-SA"/>
              </w:rPr>
              <w:t>对于含低浓度VOCs的废气，有回收价值时可采用吸附技术、吸收技术对有机溶剂回收后达标排放；不宜回收时，可采用吸附浓缩燃烧技术、生物技术、吸收技术、等离子体技术或紫外光高级氧化技术等净化后达标排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snapToGrid w:val="0"/>
                <w:color w:val="000000"/>
                <w:spacing w:val="0"/>
                <w:kern w:val="0"/>
                <w:sz w:val="24"/>
                <w:szCs w:val="24"/>
                <w:lang w:val="en-US" w:eastAsia="zh-CN"/>
              </w:rPr>
            </w:pPr>
            <w:r>
              <w:rPr>
                <w:rFonts w:hint="eastAsia" w:ascii="Times New Roman" w:hAnsi="Times New Roman" w:eastAsia="宋体" w:cs="Times New Roman"/>
                <w:b w:val="0"/>
                <w:bCs w:val="0"/>
                <w:snapToGrid w:val="0"/>
                <w:color w:val="000000"/>
                <w:spacing w:val="0"/>
                <w:kern w:val="0"/>
                <w:sz w:val="24"/>
                <w:szCs w:val="24"/>
                <w:lang w:val="en-US" w:eastAsia="zh-CN"/>
              </w:rPr>
              <w:t>本项目</w:t>
            </w:r>
            <w:r>
              <w:rPr>
                <w:rFonts w:hint="eastAsia" w:cs="Times New Roman"/>
                <w:b w:val="0"/>
                <w:bCs w:val="0"/>
                <w:snapToGrid w:val="0"/>
                <w:color w:val="000000"/>
                <w:spacing w:val="0"/>
                <w:kern w:val="0"/>
                <w:sz w:val="24"/>
                <w:szCs w:val="24"/>
                <w:highlight w:val="none"/>
                <w:lang w:val="en-US" w:eastAsia="zh-CN"/>
              </w:rPr>
              <w:t>生产过程</w:t>
            </w:r>
            <w:r>
              <w:rPr>
                <w:rFonts w:hint="eastAsia" w:ascii="Times New Roman" w:hAnsi="Times New Roman" w:eastAsia="宋体" w:cs="Times New Roman"/>
                <w:b w:val="0"/>
                <w:bCs w:val="0"/>
                <w:snapToGrid w:val="0"/>
                <w:color w:val="000000"/>
                <w:spacing w:val="0"/>
                <w:kern w:val="0"/>
                <w:sz w:val="24"/>
                <w:szCs w:val="24"/>
                <w:highlight w:val="none"/>
                <w:lang w:val="en-US" w:eastAsia="zh-CN"/>
              </w:rPr>
              <w:t>均在厂房内进行，挤出缠绕设备上方设置</w:t>
            </w:r>
            <w:r>
              <w:rPr>
                <w:rFonts w:hint="eastAsia" w:cs="Times New Roman"/>
                <w:b w:val="0"/>
                <w:bCs w:val="0"/>
                <w:snapToGrid w:val="0"/>
                <w:color w:val="000000"/>
                <w:spacing w:val="0"/>
                <w:kern w:val="0"/>
                <w:sz w:val="24"/>
                <w:szCs w:val="24"/>
                <w:highlight w:val="none"/>
                <w:lang w:val="en-US" w:eastAsia="zh-CN"/>
              </w:rPr>
              <w:t>密闭式</w:t>
            </w:r>
            <w:r>
              <w:rPr>
                <w:rFonts w:hint="eastAsia" w:ascii="Times New Roman" w:hAnsi="Times New Roman" w:eastAsia="宋体" w:cs="Times New Roman"/>
                <w:b w:val="0"/>
                <w:bCs w:val="0"/>
                <w:snapToGrid w:val="0"/>
                <w:color w:val="000000"/>
                <w:spacing w:val="0"/>
                <w:kern w:val="0"/>
                <w:sz w:val="24"/>
                <w:szCs w:val="24"/>
                <w:lang w:val="en-US" w:eastAsia="zh-CN"/>
              </w:rPr>
              <w:t>集气罩收集VOCs，可有效</w:t>
            </w:r>
            <w:r>
              <w:rPr>
                <w:rFonts w:hint="eastAsia" w:cs="Times New Roman"/>
                <w:b w:val="0"/>
                <w:bCs w:val="0"/>
                <w:snapToGrid w:val="0"/>
                <w:color w:val="000000"/>
                <w:spacing w:val="0"/>
                <w:kern w:val="0"/>
                <w:sz w:val="24"/>
                <w:szCs w:val="24"/>
                <w:lang w:val="en-US" w:eastAsia="zh-CN"/>
              </w:rPr>
              <w:t>地</w:t>
            </w:r>
            <w:r>
              <w:rPr>
                <w:rFonts w:hint="eastAsia" w:ascii="Times New Roman" w:hAnsi="Times New Roman" w:eastAsia="宋体" w:cs="Times New Roman"/>
                <w:b w:val="0"/>
                <w:bCs w:val="0"/>
                <w:snapToGrid w:val="0"/>
                <w:color w:val="000000"/>
                <w:spacing w:val="0"/>
                <w:kern w:val="0"/>
                <w:sz w:val="24"/>
                <w:szCs w:val="24"/>
                <w:lang w:val="en-US" w:eastAsia="zh-CN"/>
              </w:rPr>
              <w:t>减少无组织排放。末端采用二级活性炭装置处理废气，本项目符合《挥发性有机物VOCs污染防治技术政策》要求。</w:t>
            </w:r>
          </w:p>
          <w:p>
            <w:pPr>
              <w:widowControl/>
              <w:spacing w:line="360" w:lineRule="auto"/>
              <w:jc w:val="left"/>
              <w:rPr>
                <w:rFonts w:hint="eastAsia" w:ascii="Times New Roman" w:hAnsi="Times New Roman" w:eastAsia="宋体" w:cs="Times New Roman"/>
                <w:b/>
                <w:bCs/>
                <w:snapToGrid w:val="0"/>
                <w:kern w:val="0"/>
                <w:sz w:val="24"/>
              </w:rPr>
            </w:pPr>
            <w:r>
              <w:rPr>
                <w:rFonts w:hint="eastAsia" w:cs="Times New Roman"/>
                <w:b/>
                <w:bCs/>
                <w:sz w:val="24"/>
                <w:szCs w:val="20"/>
                <w:lang w:val="en-US" w:eastAsia="zh-CN"/>
              </w:rPr>
              <w:t>5</w:t>
            </w:r>
            <w:r>
              <w:rPr>
                <w:rFonts w:hint="eastAsia" w:ascii="Times New Roman" w:hAnsi="Times New Roman" w:eastAsia="宋体" w:cs="Times New Roman"/>
                <w:b/>
                <w:bCs/>
                <w:sz w:val="24"/>
                <w:szCs w:val="20"/>
                <w:lang w:val="en-US" w:eastAsia="zh-CN"/>
              </w:rPr>
              <w:t>、</w:t>
            </w:r>
            <w:r>
              <w:rPr>
                <w:rFonts w:hint="eastAsia" w:ascii="Times New Roman" w:hAnsi="Times New Roman" w:eastAsia="宋体" w:cs="Times New Roman"/>
                <w:b/>
                <w:bCs/>
                <w:snapToGrid w:val="0"/>
                <w:kern w:val="0"/>
                <w:sz w:val="24"/>
              </w:rPr>
              <w:t>与</w:t>
            </w:r>
            <w:r>
              <w:rPr>
                <w:rFonts w:ascii="Times New Roman" w:hAnsi="Times New Roman" w:eastAsia="宋体" w:cs="Times New Roman"/>
                <w:b/>
                <w:bCs/>
                <w:snapToGrid w:val="0"/>
                <w:kern w:val="0"/>
                <w:sz w:val="24"/>
              </w:rPr>
              <w:t>《</w:t>
            </w:r>
            <w:r>
              <w:rPr>
                <w:rFonts w:ascii="Times New Roman" w:hAnsi="Times New Roman" w:eastAsia="宋体" w:cs="Times New Roman"/>
                <w:b/>
                <w:bCs/>
                <w:color w:val="000000"/>
                <w:sz w:val="24"/>
              </w:rPr>
              <w:t>新疆生态环境保护“十四五”规划</w:t>
            </w:r>
            <w:r>
              <w:rPr>
                <w:rFonts w:ascii="Times New Roman" w:hAnsi="Times New Roman" w:eastAsia="宋体" w:cs="Times New Roman"/>
                <w:b/>
                <w:bCs/>
                <w:snapToGrid w:val="0"/>
                <w:kern w:val="0"/>
                <w:sz w:val="24"/>
              </w:rPr>
              <w:t>》</w:t>
            </w:r>
            <w:r>
              <w:rPr>
                <w:rFonts w:hint="eastAsia" w:ascii="Times New Roman" w:hAnsi="Times New Roman" w:eastAsia="宋体" w:cs="Times New Roman"/>
                <w:b/>
                <w:bCs/>
                <w:snapToGrid w:val="0"/>
                <w:kern w:val="0"/>
                <w:sz w:val="24"/>
              </w:rPr>
              <w:t>的符合性分析</w:t>
            </w:r>
          </w:p>
          <w:p>
            <w:pPr>
              <w:widowControl/>
              <w:adjustRightInd w:val="0"/>
              <w:snapToGrid w:val="0"/>
              <w:spacing w:line="360" w:lineRule="auto"/>
              <w:ind w:firstLine="480" w:firstLineChars="200"/>
              <w:jc w:val="left"/>
              <w:rPr>
                <w:rFonts w:hint="eastAsia" w:ascii="Times New Roman" w:hAnsi="Times New Roman" w:eastAsia="宋体" w:cs="Times New Roman"/>
                <w:snapToGrid w:val="0"/>
                <w:kern w:val="0"/>
                <w:sz w:val="24"/>
              </w:rPr>
            </w:pPr>
            <w:r>
              <w:rPr>
                <w:rFonts w:hint="eastAsia" w:ascii="Times New Roman" w:hAnsi="Times New Roman" w:eastAsia="宋体" w:cs="Times New Roman"/>
                <w:snapToGrid w:val="0"/>
                <w:kern w:val="0"/>
                <w:sz w:val="24"/>
              </w:rPr>
              <w:t>深入推进重点区域大气污染治理。深入推进“乌—昌—石”“奎—独—乌”和伊宁市及周边区域大气污染治理，加快推进“乌—昌—石”区域城市细颗粒物和臭氧协同防控“一市一策”驻点跟踪研究工作。强化区域大气污染联防联控，合理确定产业布局，推动区域内统一产业准入和排放标准。实施钢铁、水泥、焦化等行业季节性生产调控措施，推进散煤整治、挥发性有机污染物（以下简称“VOCs”）综合治理、钢铁、水泥、焦化和燃煤工业锅炉行业超低排放改造、燃气锅炉低氮燃烧改造、工业园区内轨道运输（大宗货物“公转铁”）、柴油货车治理、锅炉炉窑综合治理等工程项目。全面推行绿色施工，持续推动城市建成区重污染企业搬迁或关闭退出。</w:t>
            </w:r>
          </w:p>
          <w:p>
            <w:pPr>
              <w:widowControl/>
              <w:adjustRightInd w:val="0"/>
              <w:snapToGrid w:val="0"/>
              <w:spacing w:line="360" w:lineRule="auto"/>
              <w:ind w:firstLine="480" w:firstLineChars="200"/>
              <w:jc w:val="both"/>
              <w:rPr>
                <w:rFonts w:hint="default" w:ascii="Times New Roman" w:hAnsi="Times New Roman" w:eastAsia="宋体" w:cs="Times New Roman"/>
                <w:snapToGrid w:val="0"/>
                <w:kern w:val="0"/>
                <w:sz w:val="24"/>
                <w:szCs w:val="24"/>
                <w:lang w:val="en-US" w:eastAsia="zh-CN"/>
              </w:rPr>
            </w:pPr>
            <w:r>
              <w:rPr>
                <w:rFonts w:hint="eastAsia" w:ascii="Times New Roman" w:hAnsi="Times New Roman" w:eastAsia="宋体" w:cs="Times New Roman"/>
                <w:snapToGrid w:val="0"/>
                <w:kern w:val="0"/>
                <w:sz w:val="24"/>
                <w:szCs w:val="24"/>
                <w:lang w:val="en-US" w:eastAsia="zh-CN"/>
              </w:rPr>
              <w:t>本项目生产过程中产生的VOCs经二级活性炭装置处理后，通过15m排气筒排放，排放浓度满足</w:t>
            </w:r>
            <w:r>
              <w:rPr>
                <w:rFonts w:hint="eastAsia" w:ascii="Times New Roman" w:hAnsi="Times New Roman" w:eastAsia="宋体" w:cs="Times New Roman"/>
                <w:snapToGrid w:val="0"/>
                <w:kern w:val="0"/>
                <w:sz w:val="24"/>
                <w:szCs w:val="24"/>
                <w:lang w:val="en-US" w:eastAsia="zh-CN"/>
              </w:rPr>
              <w:fldChar w:fldCharType="begin"/>
            </w:r>
            <w:r>
              <w:rPr>
                <w:rFonts w:hint="eastAsia" w:ascii="Times New Roman" w:hAnsi="Times New Roman" w:eastAsia="宋体" w:cs="Times New Roman"/>
                <w:snapToGrid w:val="0"/>
                <w:kern w:val="0"/>
                <w:sz w:val="24"/>
                <w:szCs w:val="24"/>
                <w:lang w:val="en-US" w:eastAsia="zh-CN"/>
              </w:rPr>
              <w:instrText xml:space="preserve"> HYPERLINK "https://www.mee.gov.cn/ywgz/fgbz/bz/bzwb/dqhjbh/dqgdwrywrwpfbz/201505/W020240612354056402310.pdf" </w:instrText>
            </w:r>
            <w:r>
              <w:rPr>
                <w:rFonts w:hint="eastAsia" w:ascii="Times New Roman" w:hAnsi="Times New Roman" w:eastAsia="宋体" w:cs="Times New Roman"/>
                <w:snapToGrid w:val="0"/>
                <w:kern w:val="0"/>
                <w:sz w:val="24"/>
                <w:szCs w:val="24"/>
                <w:lang w:val="en-US" w:eastAsia="zh-CN"/>
              </w:rPr>
              <w:fldChar w:fldCharType="separate"/>
            </w:r>
            <w:r>
              <w:rPr>
                <w:rFonts w:hint="eastAsia" w:ascii="Times New Roman" w:hAnsi="Times New Roman" w:eastAsia="宋体" w:cs="Times New Roman"/>
                <w:snapToGrid w:val="0"/>
                <w:kern w:val="0"/>
                <w:sz w:val="24"/>
                <w:szCs w:val="24"/>
                <w:lang w:val="en-US" w:eastAsia="zh-CN"/>
              </w:rPr>
              <w:t>《合成树脂工业污染物排放标准》（GB 31572-2015，含2024年修改单）</w:t>
            </w:r>
            <w:r>
              <w:rPr>
                <w:rFonts w:hint="eastAsia" w:ascii="Times New Roman" w:hAnsi="Times New Roman" w:eastAsia="宋体" w:cs="Times New Roman"/>
                <w:snapToGrid w:val="0"/>
                <w:kern w:val="0"/>
                <w:sz w:val="24"/>
                <w:szCs w:val="24"/>
                <w:lang w:val="en-US" w:eastAsia="zh-CN"/>
              </w:rPr>
              <w:fldChar w:fldCharType="end"/>
            </w:r>
            <w:r>
              <w:rPr>
                <w:rFonts w:hint="eastAsia" w:ascii="Times New Roman" w:hAnsi="Times New Roman" w:eastAsia="宋体" w:cs="Times New Roman"/>
                <w:snapToGrid w:val="0"/>
                <w:kern w:val="0"/>
                <w:sz w:val="24"/>
                <w:szCs w:val="24"/>
                <w:lang w:val="en-US" w:eastAsia="zh-CN"/>
              </w:rPr>
              <w:t>表5中大气污染物特别排放限值</w:t>
            </w:r>
            <w:r>
              <w:rPr>
                <w:rFonts w:hint="eastAsia" w:ascii="Times New Roman" w:hAnsi="Times New Roman" w:eastAsia="宋体" w:cs="Times New Roman"/>
                <w:b w:val="0"/>
                <w:bCs/>
                <w:color w:val="000000"/>
                <w:spacing w:val="-6"/>
                <w:sz w:val="24"/>
                <w:szCs w:val="24"/>
                <w:lang w:val="en-US" w:eastAsia="zh-CN"/>
              </w:rPr>
              <w:t>。综上所述，本项目符合《新疆生态环境保护“十四五”规划》中的要求。</w:t>
            </w:r>
          </w:p>
          <w:p>
            <w:pPr>
              <w:spacing w:line="360" w:lineRule="auto"/>
              <w:rPr>
                <w:rFonts w:hint="default" w:ascii="Times New Roman" w:hAnsi="Times New Roman" w:eastAsia="宋体" w:cs="Times New Roman"/>
                <w:b/>
                <w:bCs/>
                <w:sz w:val="24"/>
                <w:szCs w:val="20"/>
                <w:lang w:val="en-US" w:eastAsia="zh-CN"/>
              </w:rPr>
            </w:pPr>
            <w:r>
              <w:rPr>
                <w:rFonts w:hint="eastAsia" w:cs="Times New Roman"/>
                <w:b/>
                <w:bCs/>
                <w:sz w:val="24"/>
                <w:szCs w:val="20"/>
                <w:lang w:val="en-US" w:eastAsia="zh-CN"/>
              </w:rPr>
              <w:t>6</w:t>
            </w:r>
            <w:r>
              <w:rPr>
                <w:rFonts w:hint="eastAsia" w:ascii="Times New Roman" w:hAnsi="Times New Roman" w:eastAsia="宋体" w:cs="Times New Roman"/>
                <w:b/>
                <w:bCs/>
                <w:sz w:val="24"/>
                <w:szCs w:val="20"/>
                <w:lang w:eastAsia="zh-CN"/>
              </w:rPr>
              <w:t>、</w:t>
            </w:r>
            <w:r>
              <w:rPr>
                <w:rFonts w:hint="eastAsia" w:ascii="Times New Roman" w:hAnsi="Times New Roman" w:eastAsia="宋体" w:cs="Times New Roman"/>
                <w:b/>
                <w:bCs/>
                <w:sz w:val="24"/>
                <w:szCs w:val="20"/>
                <w:lang w:val="en-US" w:eastAsia="zh-CN"/>
              </w:rPr>
              <w:t>与《巴州生态环境“十四五”规划》的符合性分析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z w:val="24"/>
                <w:szCs w:val="20"/>
                <w:lang w:eastAsia="zh-CN"/>
              </w:rPr>
            </w:pPr>
            <w:r>
              <w:rPr>
                <w:rFonts w:hint="eastAsia" w:ascii="Times New Roman" w:hAnsi="Times New Roman" w:eastAsia="宋体" w:cs="Times New Roman"/>
                <w:b w:val="0"/>
                <w:bCs w:val="0"/>
                <w:sz w:val="24"/>
                <w:szCs w:val="20"/>
                <w:lang w:eastAsia="zh-CN"/>
              </w:rPr>
              <w:t>加强重点行业VOCs协同控制。深入实施《自治州重点行业挥发性有机物综合治理方案》，切实推进重点行业VOCs污染治理。重点推进石化、化工、包装印刷、工业涂装等重点行业以及机动车、油品储运销等交通源VOCs污染防治，加强芳香烃、烯烃、炔烃、醛类等活性强的VOCs排放控制，持续削减重点企业VOCs排放量。建立健全以改善环境空气质量为核心的VOCs污染防治管理体系，加强石化、煤化工、表面处理、印刷、油气储罐等重点排放行业的精细化管控，持续实施LARD治理。强化新增污染物排放控制，推进VOCs与NOx等的协同减排，改善环境空气质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Times New Roman" w:hAnsi="Times New Roman" w:eastAsia="宋体" w:cs="Times New Roman"/>
                <w:b w:val="0"/>
                <w:bCs w:val="0"/>
                <w:sz w:val="24"/>
                <w:szCs w:val="20"/>
                <w:lang w:eastAsia="zh-CN"/>
              </w:rPr>
            </w:pPr>
            <w:r>
              <w:rPr>
                <w:rFonts w:hint="eastAsia" w:ascii="Times New Roman" w:hAnsi="Times New Roman" w:eastAsia="宋体" w:cs="Times New Roman"/>
                <w:b w:val="0"/>
                <w:bCs w:val="0"/>
                <w:sz w:val="24"/>
                <w:szCs w:val="20"/>
                <w:lang w:val="en-US" w:eastAsia="zh-CN"/>
              </w:rPr>
              <w:t>本项目生产过程中产生的VOCs经二级活性炭装置处理后，通过15m排气筒排放，排放浓度满足</w:t>
            </w:r>
            <w:r>
              <w:rPr>
                <w:rFonts w:hint="eastAsia" w:ascii="Times New Roman" w:hAnsi="Times New Roman" w:eastAsia="宋体" w:cs="Times New Roman"/>
                <w:b w:val="0"/>
                <w:bCs w:val="0"/>
                <w:sz w:val="24"/>
                <w:szCs w:val="20"/>
                <w:lang w:val="en-US" w:eastAsia="zh-CN"/>
              </w:rPr>
              <w:fldChar w:fldCharType="begin"/>
            </w:r>
            <w:r>
              <w:rPr>
                <w:rFonts w:hint="eastAsia" w:ascii="Times New Roman" w:hAnsi="Times New Roman" w:eastAsia="宋体" w:cs="Times New Roman"/>
                <w:b w:val="0"/>
                <w:bCs w:val="0"/>
                <w:sz w:val="24"/>
                <w:szCs w:val="20"/>
                <w:lang w:val="en-US" w:eastAsia="zh-CN"/>
              </w:rPr>
              <w:instrText xml:space="preserve"> HYPERLINK "https://www.mee.gov.cn/ywgz/fgbz/bz/bzwb/dqhjbh/dqgdwrywrwpfbz/201505/W020240612354056402310.pdf" </w:instrText>
            </w:r>
            <w:r>
              <w:rPr>
                <w:rFonts w:hint="eastAsia" w:ascii="Times New Roman" w:hAnsi="Times New Roman" w:eastAsia="宋体" w:cs="Times New Roman"/>
                <w:b w:val="0"/>
                <w:bCs w:val="0"/>
                <w:sz w:val="24"/>
                <w:szCs w:val="20"/>
                <w:lang w:val="en-US" w:eastAsia="zh-CN"/>
              </w:rPr>
              <w:fldChar w:fldCharType="separate"/>
            </w:r>
            <w:r>
              <w:rPr>
                <w:rFonts w:hint="eastAsia" w:ascii="Times New Roman" w:hAnsi="Times New Roman" w:eastAsia="宋体" w:cs="Times New Roman"/>
                <w:b w:val="0"/>
                <w:bCs w:val="0"/>
                <w:sz w:val="24"/>
                <w:szCs w:val="20"/>
                <w:lang w:val="en-US" w:eastAsia="zh-CN"/>
              </w:rPr>
              <w:t>《合成树脂工业污染物排放标准》（GB 31572-2015，含2024年修改单）</w:t>
            </w:r>
            <w:r>
              <w:rPr>
                <w:rFonts w:hint="eastAsia" w:ascii="Times New Roman" w:hAnsi="Times New Roman" w:eastAsia="宋体" w:cs="Times New Roman"/>
                <w:b w:val="0"/>
                <w:bCs w:val="0"/>
                <w:sz w:val="24"/>
                <w:szCs w:val="20"/>
                <w:lang w:val="en-US" w:eastAsia="zh-CN"/>
              </w:rPr>
              <w:fldChar w:fldCharType="end"/>
            </w:r>
            <w:r>
              <w:rPr>
                <w:rFonts w:hint="eastAsia" w:ascii="Times New Roman" w:hAnsi="Times New Roman" w:eastAsia="宋体" w:cs="Times New Roman"/>
                <w:b w:val="0"/>
                <w:bCs w:val="0"/>
                <w:sz w:val="24"/>
                <w:szCs w:val="20"/>
                <w:lang w:val="en-US" w:eastAsia="zh-CN"/>
              </w:rPr>
              <w:t>表5中大气污染物特别排放限值。综上所述，本项目符合《巴州生态环境“十四五”规划》中的要求。</w:t>
            </w:r>
          </w:p>
          <w:p>
            <w:pPr>
              <w:spacing w:line="360" w:lineRule="auto"/>
              <w:rPr>
                <w:rFonts w:hint="eastAsia" w:ascii="Times New Roman" w:hAnsi="Times New Roman" w:eastAsia="宋体" w:cs="Times New Roman"/>
                <w:b/>
                <w:bCs/>
                <w:sz w:val="24"/>
                <w:szCs w:val="20"/>
              </w:rPr>
            </w:pPr>
            <w:r>
              <w:rPr>
                <w:rFonts w:hint="eastAsia" w:cs="Times New Roman"/>
                <w:b/>
                <w:bCs/>
                <w:sz w:val="24"/>
                <w:szCs w:val="20"/>
                <w:lang w:val="en-US" w:eastAsia="zh-CN"/>
              </w:rPr>
              <w:t>7、</w:t>
            </w:r>
            <w:r>
              <w:rPr>
                <w:rFonts w:hint="eastAsia" w:ascii="Times New Roman" w:hAnsi="Times New Roman" w:eastAsia="宋体" w:cs="Times New Roman"/>
                <w:b/>
                <w:bCs/>
                <w:sz w:val="24"/>
                <w:szCs w:val="20"/>
              </w:rPr>
              <w:t>《重点行业挥发性有机物综合治理方案》的符合性分析</w:t>
            </w:r>
          </w:p>
          <w:p>
            <w:pPr>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依据《重点行业挥发性有机物综合治理方案》中</w:t>
            </w:r>
            <w:r>
              <w:rPr>
                <w:rFonts w:hint="eastAsia" w:cs="Times New Roman"/>
                <w:sz w:val="24"/>
                <w:szCs w:val="20"/>
                <w:lang w:eastAsia="zh-CN"/>
              </w:rPr>
              <w:t>“</w:t>
            </w:r>
            <w:r>
              <w:rPr>
                <w:rFonts w:hint="eastAsia" w:ascii="Times New Roman" w:hAnsi="Times New Roman" w:eastAsia="宋体" w:cs="Times New Roman"/>
                <w:sz w:val="24"/>
                <w:szCs w:val="20"/>
              </w:rPr>
              <w:t>重点对含VOCs物料（包括含VOCs原辅材料、含VOCs产品、含VOCs废料以及有机聚合物材料等）储存、转移和输送、设备与管线组件泄漏、敞开液面逸散以及工艺过程等五类排放源实施管控，通过采取设备与场所密闭、工艺改进、废气有效收集等措施，削减VOCs无组织排放。</w:t>
            </w:r>
            <w:r>
              <w:rPr>
                <w:rFonts w:hint="eastAsia" w:cs="Times New Roman"/>
                <w:sz w:val="24"/>
                <w:szCs w:val="20"/>
                <w:lang w:eastAsia="zh-CN"/>
              </w:rPr>
              <w:t>”</w:t>
            </w:r>
          </w:p>
          <w:p>
            <w:pPr>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加强设备与场所密闭管理。含VOCs物料应储存于密闭容器、包装袋，高效密封储罐，封闭式储库、料仓等。含VOCs物料转移和输送，应采用密闭管道或密闭容器、罐车等。高VOCs含量废水（废水液面上方100毫米处VOCs检测浓度超过200ppm，其中，重点区域超过100ppm，以碳计）的集输、储存和处理过程，应加盖密闭。含VOCs物料生产和使用过程，应采取有效收集措施或在密闭空间中操作。</w:t>
            </w:r>
          </w:p>
          <w:p>
            <w:pPr>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推进使用先进生产工艺。通过采用全密闭、连续化、自动化等生产技术，以及高效工艺与设备等，减少工艺过程无组织排放。挥发性有机液体装载优先采用底部装载方式。石化、化工行业重点推进使用低（无）泄漏的泵、压缩机、过滤机、离心机、干燥设备等，推广采用油品在线调和技术、密闭式循环水冷却系统等。</w:t>
            </w:r>
          </w:p>
          <w:p>
            <w:pPr>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提高废气收集率。遵循“应收尽收、分质收集”的原则，科学设计废气收集系统，将无组织排放转变为有组织排放进行控制。采用全密闭集气罩或密闭空间的，除行业有特殊要求外，应保持微负压状态，并根据相关规范合理设置通风量。采用局部集气罩的，距集气罩开口面最远处的VOCs无组织排放位置，控制风速应不低于0.3米/秒，有行业要求的按相关规定执行。</w:t>
            </w:r>
          </w:p>
          <w:p>
            <w:pPr>
              <w:pStyle w:val="35"/>
              <w:numPr>
                <w:ilvl w:val="0"/>
                <w:numId w:val="0"/>
              </w:numPr>
              <w:adjustRightInd w:val="0"/>
              <w:snapToGrid w:val="0"/>
              <w:spacing w:line="360" w:lineRule="auto"/>
              <w:ind w:firstLine="480" w:firstLineChars="200"/>
              <w:rPr>
                <w:rFonts w:hint="eastAsia" w:ascii="Times New Roman" w:hAnsi="Times New Roman" w:eastAsia="宋体" w:cs="Times New Roman"/>
                <w:sz w:val="24"/>
                <w:szCs w:val="20"/>
              </w:rPr>
            </w:pPr>
            <w:r>
              <w:rPr>
                <w:rFonts w:hint="eastAsia" w:ascii="Times New Roman" w:hAnsi="Times New Roman" w:eastAsia="宋体" w:cs="Times New Roman"/>
                <w:sz w:val="24"/>
                <w:szCs w:val="20"/>
              </w:rPr>
              <w:t>本项目原料</w:t>
            </w:r>
            <w:r>
              <w:rPr>
                <w:rFonts w:hint="eastAsia" w:ascii="Times New Roman" w:hAnsi="Times New Roman" w:eastAsia="宋体" w:cs="Times New Roman"/>
                <w:sz w:val="24"/>
                <w:szCs w:val="20"/>
                <w:highlight w:val="none"/>
                <w:lang w:val="en-US" w:eastAsia="zh-CN"/>
              </w:rPr>
              <w:t>PE颗粒</w:t>
            </w:r>
            <w:r>
              <w:rPr>
                <w:rFonts w:hint="eastAsia" w:cs="Times New Roman"/>
                <w:sz w:val="24"/>
                <w:szCs w:val="20"/>
                <w:highlight w:val="none"/>
                <w:lang w:val="en-US" w:eastAsia="zh-CN"/>
              </w:rPr>
              <w:t>及MPP颗粒</w:t>
            </w:r>
            <w:r>
              <w:rPr>
                <w:rFonts w:hint="eastAsia" w:ascii="Times New Roman" w:hAnsi="Times New Roman" w:eastAsia="宋体" w:cs="Times New Roman"/>
                <w:sz w:val="24"/>
                <w:szCs w:val="20"/>
              </w:rPr>
              <w:t>常温下无挥发性有机物产生，生产过程中产生的挥发性有机物，由</w:t>
            </w:r>
            <w:r>
              <w:rPr>
                <w:rFonts w:hint="eastAsia" w:ascii="Times New Roman" w:hAnsi="Times New Roman" w:eastAsia="宋体" w:cs="Times New Roman"/>
                <w:sz w:val="24"/>
                <w:szCs w:val="20"/>
                <w:lang w:val="en-US" w:eastAsia="zh-CN"/>
              </w:rPr>
              <w:t>二级活性炭装置</w:t>
            </w:r>
            <w:r>
              <w:rPr>
                <w:rFonts w:hint="eastAsia" w:ascii="Times New Roman" w:hAnsi="Times New Roman" w:eastAsia="宋体" w:cs="Times New Roman"/>
                <w:sz w:val="24"/>
                <w:szCs w:val="20"/>
              </w:rPr>
              <w:t>处理后经15m高排气筒排放，属于VOCs治理有效措施</w:t>
            </w:r>
            <w:r>
              <w:rPr>
                <w:rFonts w:hint="eastAsia" w:ascii="Times New Roman" w:hAnsi="Times New Roman" w:eastAsia="宋体" w:cs="Times New Roman"/>
                <w:sz w:val="24"/>
                <w:szCs w:val="20"/>
                <w:lang w:val="en-US" w:eastAsia="zh-CN"/>
              </w:rPr>
              <w:t>。在</w:t>
            </w:r>
            <w:r>
              <w:rPr>
                <w:rFonts w:hint="eastAsia" w:cs="Times New Roman"/>
                <w:sz w:val="24"/>
                <w:szCs w:val="20"/>
                <w:lang w:val="en-US" w:eastAsia="zh-CN"/>
              </w:rPr>
              <w:t>挤出设备</w:t>
            </w:r>
            <w:r>
              <w:rPr>
                <w:rFonts w:hint="eastAsia" w:ascii="Times New Roman" w:hAnsi="Times New Roman" w:eastAsia="宋体" w:cs="Times New Roman"/>
                <w:sz w:val="24"/>
                <w:szCs w:val="20"/>
                <w:lang w:val="en-US" w:eastAsia="zh-CN"/>
              </w:rPr>
              <w:t>上方安装</w:t>
            </w:r>
            <w:r>
              <w:rPr>
                <w:rFonts w:hint="eastAsia" w:cs="Times New Roman"/>
                <w:sz w:val="24"/>
                <w:szCs w:val="20"/>
                <w:lang w:val="en-US" w:eastAsia="zh-CN"/>
              </w:rPr>
              <w:t>密闭式</w:t>
            </w:r>
            <w:r>
              <w:rPr>
                <w:rFonts w:hint="eastAsia" w:ascii="Times New Roman" w:hAnsi="Times New Roman" w:eastAsia="宋体" w:cs="Times New Roman"/>
                <w:sz w:val="24"/>
                <w:szCs w:val="20"/>
                <w:lang w:val="en-US" w:eastAsia="zh-CN"/>
              </w:rPr>
              <w:t>集气罩收集废气，废气经收集后进入二级活性炭装置处理后通过15m排气筒排放，使用大风量，</w:t>
            </w:r>
            <w:r>
              <w:rPr>
                <w:rFonts w:hint="eastAsia" w:ascii="Times New Roman" w:hAnsi="Times New Roman" w:eastAsia="宋体" w:cs="Times New Roman"/>
                <w:sz w:val="24"/>
                <w:szCs w:val="20"/>
                <w:highlight w:val="none"/>
                <w:lang w:val="en-US" w:eastAsia="zh-CN"/>
              </w:rPr>
              <w:t>确保最远控制点控制风速不小于0.3m/s。</w:t>
            </w:r>
            <w:r>
              <w:rPr>
                <w:rFonts w:hint="eastAsia" w:ascii="Times New Roman" w:hAnsi="Times New Roman" w:eastAsia="宋体" w:cs="Times New Roman"/>
                <w:sz w:val="24"/>
                <w:szCs w:val="20"/>
              </w:rPr>
              <w:t>符合《重点行业挥发性有机物综合治理方案》要求。</w:t>
            </w:r>
          </w:p>
          <w:p>
            <w:pPr>
              <w:spacing w:line="360" w:lineRule="auto"/>
              <w:rPr>
                <w:rFonts w:hint="eastAsia" w:ascii="Times New Roman" w:hAnsi="Times New Roman" w:eastAsia="宋体" w:cs="Times New Roman"/>
                <w:b/>
                <w:bCs/>
                <w:sz w:val="24"/>
                <w:szCs w:val="20"/>
              </w:rPr>
            </w:pPr>
            <w:r>
              <w:rPr>
                <w:rFonts w:hint="eastAsia" w:cs="Times New Roman"/>
                <w:b/>
                <w:bCs/>
                <w:sz w:val="24"/>
                <w:szCs w:val="20"/>
                <w:lang w:val="en-US" w:eastAsia="zh-CN"/>
              </w:rPr>
              <w:t>8、与《挥发性有机物无组织排放控制标准》(GB37822-2019)的符合性分析</w:t>
            </w:r>
          </w:p>
          <w:p>
            <w:pPr>
              <w:ind w:firstLine="480" w:firstLineChars="200"/>
              <w:rPr>
                <w:rFonts w:hint="default" w:ascii="Times New Roman" w:hAnsi="Times New Roman" w:eastAsia="宋体" w:cs="Times New Roman"/>
                <w:sz w:val="24"/>
                <w:szCs w:val="20"/>
              </w:rPr>
            </w:pPr>
            <w:r>
              <w:rPr>
                <w:rFonts w:hint="default" w:ascii="Times New Roman" w:hAnsi="Times New Roman" w:eastAsia="宋体" w:cs="Times New Roman"/>
                <w:sz w:val="24"/>
                <w:szCs w:val="20"/>
              </w:rPr>
              <w:t>企业应考虑生产工艺、操作方式、废气性质、处理方法等因素，对VOCs废气进行分类收集。废气收集系统排风罩(集气罩)的设置应符合GB/T16758的规定。采用外部排风罩的，应按GB/T16758、AO/T4274-2016规定的方法测量控制风速，测量点应选取在距排风罩开口面最远处的VOCs无组织排放位置，控制风速不应低于0.3m/s(行业相关规范有具体规定的，按相关规定执行)。</w:t>
            </w:r>
          </w:p>
          <w:p>
            <w:pPr>
              <w:pStyle w:val="35"/>
              <w:numPr>
                <w:ilvl w:val="0"/>
                <w:numId w:val="0"/>
              </w:numPr>
              <w:adjustRightInd w:val="0"/>
              <w:snapToGrid w:val="0"/>
              <w:spacing w:line="360" w:lineRule="auto"/>
              <w:ind w:firstLine="480" w:firstLineChars="200"/>
              <w:rPr>
                <w:rFonts w:hint="eastAsia"/>
              </w:rPr>
            </w:pPr>
            <w:r>
              <w:rPr>
                <w:rFonts w:hint="eastAsia" w:ascii="Times New Roman" w:hAnsi="Times New Roman" w:eastAsia="宋体" w:cs="Times New Roman"/>
                <w:sz w:val="24"/>
                <w:szCs w:val="20"/>
              </w:rPr>
              <w:t>本项目原料</w:t>
            </w:r>
            <w:r>
              <w:rPr>
                <w:rFonts w:hint="eastAsia" w:ascii="Times New Roman" w:hAnsi="Times New Roman" w:eastAsia="宋体" w:cs="Times New Roman"/>
                <w:sz w:val="24"/>
                <w:szCs w:val="20"/>
                <w:highlight w:val="none"/>
                <w:lang w:val="en-US" w:eastAsia="zh-CN"/>
              </w:rPr>
              <w:t>PE颗粒</w:t>
            </w:r>
            <w:r>
              <w:rPr>
                <w:rFonts w:hint="eastAsia" w:cs="Times New Roman"/>
                <w:sz w:val="24"/>
                <w:szCs w:val="20"/>
                <w:highlight w:val="none"/>
                <w:lang w:val="en-US" w:eastAsia="zh-CN"/>
              </w:rPr>
              <w:t>及MPP颗粒</w:t>
            </w:r>
            <w:r>
              <w:rPr>
                <w:rFonts w:hint="eastAsia" w:ascii="Times New Roman" w:hAnsi="Times New Roman" w:eastAsia="宋体" w:cs="Times New Roman"/>
                <w:sz w:val="24"/>
                <w:szCs w:val="20"/>
              </w:rPr>
              <w:t>常温下无挥发性有机物产生，生产过程中产生的挥发性有机物，由</w:t>
            </w:r>
            <w:r>
              <w:rPr>
                <w:rFonts w:hint="eastAsia" w:ascii="Times New Roman" w:hAnsi="Times New Roman" w:eastAsia="宋体" w:cs="Times New Roman"/>
                <w:sz w:val="24"/>
                <w:szCs w:val="20"/>
                <w:lang w:val="en-US" w:eastAsia="zh-CN"/>
              </w:rPr>
              <w:t>二级活性炭装置</w:t>
            </w:r>
            <w:r>
              <w:rPr>
                <w:rFonts w:hint="eastAsia" w:ascii="Times New Roman" w:hAnsi="Times New Roman" w:eastAsia="宋体" w:cs="Times New Roman"/>
                <w:sz w:val="24"/>
                <w:szCs w:val="20"/>
              </w:rPr>
              <w:t>处理后经15m高排气筒排放，属于VOCs治理有效措施</w:t>
            </w:r>
            <w:r>
              <w:rPr>
                <w:rFonts w:hint="eastAsia" w:ascii="Times New Roman" w:hAnsi="Times New Roman" w:eastAsia="宋体" w:cs="Times New Roman"/>
                <w:sz w:val="24"/>
                <w:szCs w:val="20"/>
                <w:lang w:val="en-US" w:eastAsia="zh-CN"/>
              </w:rPr>
              <w:t>。在</w:t>
            </w:r>
            <w:r>
              <w:rPr>
                <w:rFonts w:hint="eastAsia" w:cs="Times New Roman"/>
                <w:sz w:val="24"/>
                <w:szCs w:val="20"/>
                <w:lang w:val="en-US" w:eastAsia="zh-CN"/>
              </w:rPr>
              <w:t>挤出设备</w:t>
            </w:r>
            <w:r>
              <w:rPr>
                <w:rFonts w:hint="eastAsia" w:ascii="Times New Roman" w:hAnsi="Times New Roman" w:eastAsia="宋体" w:cs="Times New Roman"/>
                <w:sz w:val="24"/>
                <w:szCs w:val="20"/>
                <w:lang w:val="en-US" w:eastAsia="zh-CN"/>
              </w:rPr>
              <w:t>上方安装</w:t>
            </w:r>
            <w:r>
              <w:rPr>
                <w:rFonts w:hint="eastAsia" w:cs="Times New Roman"/>
                <w:sz w:val="24"/>
                <w:szCs w:val="20"/>
                <w:lang w:val="en-US" w:eastAsia="zh-CN"/>
              </w:rPr>
              <w:t>密闭式</w:t>
            </w:r>
            <w:r>
              <w:rPr>
                <w:rFonts w:hint="eastAsia" w:ascii="Times New Roman" w:hAnsi="Times New Roman" w:eastAsia="宋体" w:cs="Times New Roman"/>
                <w:sz w:val="24"/>
                <w:szCs w:val="20"/>
                <w:lang w:val="en-US" w:eastAsia="zh-CN"/>
              </w:rPr>
              <w:t>集气罩收集废气，废气经收集后进入二级活性炭装置处理后通过15m排气筒排放，使用大风量，</w:t>
            </w:r>
            <w:r>
              <w:rPr>
                <w:rFonts w:hint="eastAsia" w:ascii="Times New Roman" w:hAnsi="Times New Roman" w:eastAsia="宋体" w:cs="Times New Roman"/>
                <w:sz w:val="24"/>
                <w:szCs w:val="20"/>
                <w:highlight w:val="none"/>
                <w:lang w:val="en-US" w:eastAsia="zh-CN"/>
              </w:rPr>
              <w:t>确保最远控制点控制风速不小于0.3m/s。</w:t>
            </w:r>
            <w:r>
              <w:rPr>
                <w:rFonts w:hint="eastAsia" w:ascii="Times New Roman" w:hAnsi="Times New Roman" w:eastAsia="宋体" w:cs="Times New Roman"/>
                <w:sz w:val="24"/>
                <w:szCs w:val="20"/>
              </w:rPr>
              <w:t>符合</w:t>
            </w:r>
            <w:r>
              <w:rPr>
                <w:rFonts w:hint="eastAsia" w:ascii="Times New Roman" w:hAnsi="Times New Roman" w:eastAsia="宋体" w:cs="Times New Roman"/>
                <w:sz w:val="24"/>
                <w:szCs w:val="20"/>
                <w:lang w:val="en-US" w:eastAsia="zh-CN"/>
              </w:rPr>
              <w:t>《挥发性有机物无组织排放控制标准》</w:t>
            </w:r>
            <w:r>
              <w:rPr>
                <w:rFonts w:hint="eastAsia" w:ascii="Times New Roman" w:hAnsi="Times New Roman" w:eastAsia="宋体" w:cs="Times New Roman"/>
                <w:sz w:val="24"/>
                <w:szCs w:val="20"/>
              </w:rPr>
              <w:t>要求。</w:t>
            </w:r>
          </w:p>
          <w:p>
            <w:pPr>
              <w:numPr>
                <w:ilvl w:val="0"/>
                <w:numId w:val="0"/>
              </w:numPr>
              <w:spacing w:line="360" w:lineRule="auto"/>
              <w:rPr>
                <w:rFonts w:hint="eastAsia" w:ascii="Times New Roman" w:hAnsi="Times New Roman" w:eastAsia="宋体" w:cs="Times New Roman"/>
                <w:b/>
                <w:bCs/>
                <w:sz w:val="24"/>
                <w:szCs w:val="20"/>
                <w:lang w:val="en-US" w:eastAsia="zh-CN"/>
              </w:rPr>
            </w:pPr>
            <w:r>
              <w:rPr>
                <w:rFonts w:hint="eastAsia" w:cs="Times New Roman"/>
                <w:b/>
                <w:bCs/>
                <w:kern w:val="2"/>
                <w:sz w:val="24"/>
                <w:szCs w:val="20"/>
                <w:lang w:val="en-US" w:eastAsia="zh-CN" w:bidi="ar-SA"/>
              </w:rPr>
              <w:t>9</w:t>
            </w:r>
            <w:r>
              <w:rPr>
                <w:rFonts w:hint="eastAsia" w:ascii="Times New Roman" w:hAnsi="Times New Roman" w:eastAsia="宋体" w:cs="Times New Roman"/>
                <w:b/>
                <w:bCs/>
                <w:kern w:val="2"/>
                <w:sz w:val="24"/>
                <w:szCs w:val="20"/>
                <w:lang w:val="en-US" w:eastAsia="zh-CN" w:bidi="ar-SA"/>
              </w:rPr>
              <w:t>、</w:t>
            </w:r>
            <w:r>
              <w:rPr>
                <w:rFonts w:hint="eastAsia" w:ascii="Times New Roman" w:hAnsi="Times New Roman" w:eastAsia="宋体" w:cs="Times New Roman"/>
                <w:b/>
                <w:bCs/>
                <w:sz w:val="24"/>
                <w:szCs w:val="20"/>
                <w:lang w:val="en-US" w:eastAsia="zh-CN"/>
              </w:rPr>
              <w:t>与《自治州大气污染防治三年攻坚行动方案（2023－2025年）》符合性分析</w:t>
            </w:r>
          </w:p>
          <w:p>
            <w:pPr>
              <w:spacing w:line="360" w:lineRule="auto"/>
              <w:ind w:firstLine="482" w:firstLineChars="200"/>
              <w:rPr>
                <w:rFonts w:hint="eastAsia" w:ascii="Times New Roman" w:hAnsi="Times New Roman" w:eastAsia="宋体" w:cs="Times New Roman"/>
                <w:sz w:val="24"/>
                <w:szCs w:val="20"/>
              </w:rPr>
            </w:pPr>
            <w:r>
              <w:rPr>
                <w:rFonts w:hint="eastAsia" w:ascii="Times New Roman" w:hAnsi="Times New Roman" w:eastAsia="宋体" w:cs="Times New Roman"/>
                <w:b/>
                <w:bCs/>
                <w:sz w:val="24"/>
                <w:szCs w:val="20"/>
                <w:lang w:val="en-US" w:eastAsia="zh-CN"/>
              </w:rPr>
              <w:t>26.完成低效治理设施提升改造。</w:t>
            </w:r>
            <w:r>
              <w:rPr>
                <w:rFonts w:hint="eastAsia" w:ascii="Times New Roman" w:hAnsi="Times New Roman" w:eastAsia="宋体" w:cs="Times New Roman"/>
                <w:sz w:val="24"/>
                <w:szCs w:val="20"/>
                <w:lang w:val="en-US" w:eastAsia="zh-CN"/>
              </w:rPr>
              <w:t>全面排查除尘脱硫一体化、简易碱法脱硫、简易氨法脱硫脱硝、湿法脱硝等低效治理技术的工业企业，以及使用光催化、光氧化、低温等离子等简易低效VOCs治理设施，动态完善清单台账，坚持低效治理设施动态清零，发现一个，改造一个。</w:t>
            </w:r>
          </w:p>
          <w:p>
            <w:pPr>
              <w:pStyle w:val="11"/>
              <w:keepNext w:val="0"/>
              <w:keepLines w:val="0"/>
              <w:pageBreakBefore w:val="0"/>
              <w:widowControl w:val="0"/>
              <w:kinsoku/>
              <w:wordWrap/>
              <w:overflowPunct/>
              <w:topLinePunct w:val="0"/>
              <w:autoSpaceDE/>
              <w:autoSpaceDN/>
              <w:bidi w:val="0"/>
              <w:adjustRightInd w:val="0"/>
              <w:snapToGrid w:val="0"/>
              <w:spacing w:after="0"/>
              <w:ind w:left="0" w:leftChars="0" w:firstLine="480" w:firstLineChars="200"/>
              <w:textAlignment w:val="auto"/>
              <w:rPr>
                <w:rFonts w:hint="eastAsia"/>
              </w:rPr>
            </w:pPr>
            <w:r>
              <w:rPr>
                <w:rFonts w:hint="eastAsia" w:ascii="Times New Roman" w:hAnsi="Times New Roman" w:eastAsia="宋体" w:cs="Times New Roman"/>
                <w:b w:val="0"/>
                <w:bCs w:val="0"/>
                <w:sz w:val="24"/>
                <w:szCs w:val="20"/>
                <w:lang w:val="en-US" w:eastAsia="zh-CN"/>
              </w:rPr>
              <w:t>本项目生产过程中产生的VOCs经二级活性炭装置处理后，通过15m排气筒排放，排放浓度满足</w:t>
            </w:r>
            <w:r>
              <w:rPr>
                <w:rFonts w:hint="eastAsia" w:ascii="Times New Roman" w:hAnsi="Times New Roman" w:eastAsia="宋体" w:cs="Times New Roman"/>
                <w:b w:val="0"/>
                <w:bCs w:val="0"/>
                <w:sz w:val="24"/>
                <w:szCs w:val="20"/>
                <w:lang w:val="en-US" w:eastAsia="zh-CN"/>
              </w:rPr>
              <w:fldChar w:fldCharType="begin"/>
            </w:r>
            <w:r>
              <w:rPr>
                <w:rFonts w:hint="eastAsia" w:ascii="Times New Roman" w:hAnsi="Times New Roman" w:eastAsia="宋体" w:cs="Times New Roman"/>
                <w:b w:val="0"/>
                <w:bCs w:val="0"/>
                <w:sz w:val="24"/>
                <w:szCs w:val="20"/>
                <w:lang w:val="en-US" w:eastAsia="zh-CN"/>
              </w:rPr>
              <w:instrText xml:space="preserve"> HYPERLINK "https://www.mee.gov.cn/ywgz/fgbz/bz/bzwb/dqhjbh/dqgdwrywrwpfbz/201505/W020240612354056402310.pdf" </w:instrText>
            </w:r>
            <w:r>
              <w:rPr>
                <w:rFonts w:hint="eastAsia" w:ascii="Times New Roman" w:hAnsi="Times New Roman" w:eastAsia="宋体" w:cs="Times New Roman"/>
                <w:b w:val="0"/>
                <w:bCs w:val="0"/>
                <w:sz w:val="24"/>
                <w:szCs w:val="20"/>
                <w:lang w:val="en-US" w:eastAsia="zh-CN"/>
              </w:rPr>
              <w:fldChar w:fldCharType="separate"/>
            </w:r>
            <w:r>
              <w:rPr>
                <w:rFonts w:hint="eastAsia" w:ascii="Times New Roman" w:hAnsi="Times New Roman" w:eastAsia="宋体" w:cs="Times New Roman"/>
                <w:b w:val="0"/>
                <w:bCs w:val="0"/>
                <w:sz w:val="24"/>
                <w:szCs w:val="20"/>
                <w:lang w:val="en-US" w:eastAsia="zh-CN"/>
              </w:rPr>
              <w:t>《合成树脂工业污染物排放标准》（GB 31572-2015，含2024年修改单）</w:t>
            </w:r>
            <w:r>
              <w:rPr>
                <w:rFonts w:hint="eastAsia" w:ascii="Times New Roman" w:hAnsi="Times New Roman" w:eastAsia="宋体" w:cs="Times New Roman"/>
                <w:b w:val="0"/>
                <w:bCs w:val="0"/>
                <w:sz w:val="24"/>
                <w:szCs w:val="20"/>
                <w:lang w:val="en-US" w:eastAsia="zh-CN"/>
              </w:rPr>
              <w:fldChar w:fldCharType="end"/>
            </w:r>
            <w:r>
              <w:rPr>
                <w:rFonts w:hint="eastAsia" w:ascii="Times New Roman" w:hAnsi="Times New Roman" w:eastAsia="宋体" w:cs="Times New Roman"/>
                <w:b w:val="0"/>
                <w:bCs w:val="0"/>
                <w:sz w:val="24"/>
                <w:szCs w:val="20"/>
                <w:lang w:val="en-US" w:eastAsia="zh-CN"/>
              </w:rPr>
              <w:t>表5中大气污染物特别排放限值。综上所述，本项目符合《自治州大气污染防治三年攻坚行动方案（2023-2025年）》中的要求。</w:t>
            </w:r>
          </w:p>
          <w:p>
            <w:pPr>
              <w:widowControl w:val="0"/>
              <w:adjustRightInd w:val="0"/>
              <w:snapToGrid w:val="0"/>
              <w:spacing w:line="360" w:lineRule="auto"/>
              <w:ind w:firstLine="0" w:firstLineChars="0"/>
              <w:jc w:val="both"/>
              <w:rPr>
                <w:rFonts w:hint="eastAsia" w:ascii="Times New Roman" w:hAnsi="Times New Roman" w:eastAsia="宋体" w:cs="Times New Roman"/>
                <w:b/>
                <w:bCs/>
                <w:kern w:val="2"/>
                <w:sz w:val="24"/>
                <w:szCs w:val="24"/>
                <w:lang w:val="en-US" w:eastAsia="zh-CN" w:bidi="ar-SA"/>
              </w:rPr>
            </w:pPr>
            <w:r>
              <w:rPr>
                <w:rFonts w:hint="eastAsia" w:cs="Times New Roman"/>
                <w:b/>
                <w:bCs/>
                <w:kern w:val="2"/>
                <w:sz w:val="24"/>
                <w:szCs w:val="24"/>
                <w:lang w:val="en-US" w:eastAsia="zh-CN" w:bidi="ar-SA"/>
              </w:rPr>
              <w:t>10</w:t>
            </w:r>
            <w:r>
              <w:rPr>
                <w:rFonts w:hint="eastAsia" w:ascii="Times New Roman" w:hAnsi="Times New Roman" w:eastAsia="宋体" w:cs="Times New Roman"/>
                <w:b/>
                <w:bCs/>
                <w:kern w:val="2"/>
                <w:sz w:val="24"/>
                <w:szCs w:val="24"/>
                <w:lang w:val="en-US" w:eastAsia="zh-CN" w:bidi="ar-SA"/>
              </w:rPr>
              <w:t>、选址合理性分析</w:t>
            </w:r>
          </w:p>
          <w:p>
            <w:pPr>
              <w:keepNext w:val="0"/>
              <w:keepLines w:val="0"/>
              <w:suppressLineNumbers w:val="0"/>
              <w:bidi w:val="0"/>
              <w:spacing w:before="0" w:beforeAutospacing="0" w:after="0" w:afterAutospacing="0"/>
              <w:ind w:left="0" w:right="0" w:firstLine="480" w:firstLineChars="200"/>
              <w:rPr>
                <w:rFonts w:hint="default" w:ascii="Times New Roman" w:hAnsi="Times New Roman" w:eastAsia="宋体" w:cs="Times New Roman"/>
                <w:spacing w:val="0"/>
                <w:lang w:val="en-US" w:eastAsia="zh-CN"/>
              </w:rPr>
            </w:pPr>
            <w:r>
              <w:rPr>
                <w:rFonts w:hint="default" w:ascii="Times New Roman" w:hAnsi="Times New Roman" w:eastAsia="宋体" w:cs="Times New Roman"/>
                <w:color w:val="000000"/>
                <w:lang w:val="en-US" w:eastAsia="zh-CN"/>
              </w:rPr>
              <w:t>本项目厂址位于新疆维吾尔自治区巴音郭楞蒙古自治州焉耆回族自治县河北巴州生态产业园纬四路北侧</w:t>
            </w:r>
            <w:r>
              <w:rPr>
                <w:rFonts w:hint="default" w:ascii="Times New Roman" w:hAnsi="Times New Roman" w:eastAsia="宋体" w:cs="Times New Roman"/>
                <w:color w:val="auto"/>
                <w:lang w:val="en-US" w:eastAsia="zh-CN"/>
              </w:rPr>
              <w:t>，</w:t>
            </w:r>
            <w:r>
              <w:rPr>
                <w:rFonts w:hint="default" w:ascii="Times New Roman" w:hAnsi="Times New Roman" w:eastAsia="宋体" w:cs="Times New Roman"/>
                <w:b w:val="0"/>
                <w:color w:val="000000"/>
                <w:kern w:val="0"/>
                <w:sz w:val="24"/>
                <w:szCs w:val="24"/>
                <w:lang w:val="en-US" w:eastAsia="zh-CN" w:bidi="ar"/>
              </w:rPr>
              <w:t>项目</w:t>
            </w:r>
            <w:r>
              <w:rPr>
                <w:rFonts w:hint="default" w:ascii="Times New Roman" w:hAnsi="Times New Roman" w:eastAsia="宋体" w:cs="Times New Roman"/>
                <w:color w:val="000000"/>
                <w:spacing w:val="0"/>
                <w:lang w:val="en-US" w:eastAsia="zh-CN"/>
              </w:rPr>
              <w:t>周边没有易燃易爆物品生产工厂与仓库、高压输电线路等；目前园区供电、供水基础设施已建设完成并投入使用，园区道路已按照规划修建；项目远离城市和居住区，</w:t>
            </w:r>
            <w:r>
              <w:rPr>
                <w:rFonts w:hint="default" w:ascii="Times New Roman" w:hAnsi="Times New Roman" w:eastAsia="宋体" w:cs="Times New Roman"/>
                <w:b w:val="0"/>
                <w:bCs/>
                <w:color w:val="000000"/>
                <w:spacing w:val="0"/>
                <w:kern w:val="0"/>
                <w:sz w:val="24"/>
                <w:szCs w:val="24"/>
                <w:highlight w:val="none"/>
              </w:rPr>
              <w:t>场址周围无饮用水源地、自然保护区、文物景观等环境敏感目标</w:t>
            </w:r>
            <w:r>
              <w:rPr>
                <w:rFonts w:hint="default" w:ascii="Times New Roman" w:hAnsi="Times New Roman" w:eastAsia="宋体" w:cs="Times New Roman"/>
                <w:b w:val="0"/>
                <w:bCs/>
                <w:color w:val="000000"/>
                <w:spacing w:val="0"/>
                <w:kern w:val="0"/>
                <w:sz w:val="24"/>
                <w:szCs w:val="24"/>
                <w:highlight w:val="none"/>
                <w:lang w:eastAsia="zh-CN"/>
              </w:rPr>
              <w:t>，</w:t>
            </w:r>
            <w:r>
              <w:rPr>
                <w:rFonts w:hint="default" w:ascii="Times New Roman" w:hAnsi="Times New Roman" w:eastAsia="宋体" w:cs="Times New Roman"/>
                <w:b w:val="0"/>
                <w:bCs/>
                <w:color w:val="000000"/>
                <w:spacing w:val="0"/>
                <w:kern w:val="0"/>
                <w:sz w:val="24"/>
                <w:szCs w:val="24"/>
                <w:highlight w:val="none"/>
              </w:rPr>
              <w:t>有利于环境保护和生态平衡</w:t>
            </w:r>
            <w:r>
              <w:rPr>
                <w:rFonts w:hint="default" w:ascii="Times New Roman" w:hAnsi="Times New Roman" w:eastAsia="宋体" w:cs="Times New Roman"/>
                <w:b w:val="0"/>
                <w:bCs/>
                <w:color w:val="000000"/>
                <w:spacing w:val="0"/>
                <w:kern w:val="0"/>
                <w:sz w:val="24"/>
                <w:szCs w:val="24"/>
                <w:highlight w:val="none"/>
                <w:lang w:eastAsia="zh-CN"/>
              </w:rPr>
              <w:t>，</w:t>
            </w:r>
            <w:r>
              <w:rPr>
                <w:rFonts w:hint="default" w:ascii="Times New Roman" w:hAnsi="Times New Roman" w:eastAsia="宋体" w:cs="Times New Roman"/>
              </w:rPr>
              <w:t>便于废弃物处理，做到清洁生产</w:t>
            </w:r>
            <w:r>
              <w:rPr>
                <w:rFonts w:hint="default" w:ascii="Times New Roman" w:hAnsi="Times New Roman" w:eastAsia="宋体" w:cs="Times New Roman"/>
                <w:lang w:eastAsia="zh-CN"/>
              </w:rPr>
              <w:t>；</w:t>
            </w:r>
            <w:r>
              <w:rPr>
                <w:rFonts w:hint="default" w:ascii="Times New Roman" w:hAnsi="Times New Roman" w:eastAsia="宋体" w:cs="Times New Roman"/>
                <w:b w:val="0"/>
                <w:bCs/>
                <w:color w:val="000000"/>
                <w:spacing w:val="0"/>
                <w:kern w:val="0"/>
                <w:sz w:val="24"/>
                <w:szCs w:val="24"/>
                <w:highlight w:val="none"/>
                <w:lang w:val="en-US" w:eastAsia="zh-CN"/>
              </w:rPr>
              <w:t>项目</w:t>
            </w:r>
            <w:r>
              <w:rPr>
                <w:rFonts w:hint="default" w:ascii="Times New Roman" w:hAnsi="Times New Roman" w:eastAsia="宋体" w:cs="Times New Roman"/>
                <w:b w:val="0"/>
                <w:bCs/>
                <w:color w:val="000000"/>
                <w:spacing w:val="0"/>
                <w:kern w:val="0"/>
                <w:sz w:val="24"/>
                <w:szCs w:val="24"/>
                <w:highlight w:val="none"/>
                <w:lang w:val="en-US"/>
              </w:rPr>
              <w:t>有与生产规模相匹配的足够的可利用的面积，满足厂区总体合理布局，</w:t>
            </w:r>
            <w:r>
              <w:rPr>
                <w:rFonts w:hint="default" w:ascii="Times New Roman" w:hAnsi="Times New Roman" w:eastAsia="宋体" w:cs="Times New Roman"/>
                <w:b w:val="0"/>
                <w:bCs/>
                <w:color w:val="000000"/>
                <w:spacing w:val="0"/>
                <w:kern w:val="0"/>
                <w:sz w:val="24"/>
                <w:szCs w:val="24"/>
                <w:highlight w:val="none"/>
                <w:lang w:val="en-US" w:eastAsia="zh-CN"/>
              </w:rPr>
              <w:t>整体布局为</w:t>
            </w:r>
            <w:r>
              <w:rPr>
                <w:rFonts w:hint="default" w:ascii="Times New Roman" w:hAnsi="Times New Roman" w:eastAsia="宋体" w:cs="Times New Roman"/>
                <w:b w:val="0"/>
                <w:bCs/>
                <w:color w:val="000000"/>
                <w:spacing w:val="0"/>
                <w:kern w:val="0"/>
                <w:sz w:val="24"/>
                <w:szCs w:val="24"/>
                <w:highlight w:val="none"/>
                <w:lang w:val="en-US"/>
              </w:rPr>
              <w:t>矩形。</w:t>
            </w:r>
            <w:r>
              <w:rPr>
                <w:rFonts w:hint="default" w:ascii="Times New Roman" w:hAnsi="Times New Roman" w:eastAsia="宋体" w:cs="Times New Roman"/>
                <w:lang w:val="en-US" w:eastAsia="zh-CN"/>
              </w:rPr>
              <w:t>本项目选址符合</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三线一单</w:t>
            </w:r>
            <w:r>
              <w:rPr>
                <w:rFonts w:hint="eastAsia" w:ascii="Times New Roman" w:hAnsi="Times New Roman" w:eastAsia="宋体" w:cs="Times New Roman"/>
                <w:lang w:val="en-US" w:eastAsia="zh-CN"/>
              </w:rPr>
              <w:t>”</w:t>
            </w:r>
            <w:r>
              <w:rPr>
                <w:rFonts w:hint="default" w:ascii="Times New Roman" w:hAnsi="Times New Roman" w:eastAsia="宋体" w:cs="Times New Roman"/>
                <w:lang w:val="en-US" w:eastAsia="zh-CN"/>
              </w:rPr>
              <w:t>的要求，符合园区规划及规划环评要求</w:t>
            </w:r>
            <w:r>
              <w:rPr>
                <w:rFonts w:hint="eastAsia" w:cs="Times New Roman"/>
                <w:b w:val="0"/>
                <w:bCs/>
                <w:color w:val="000000"/>
                <w:spacing w:val="0"/>
                <w:kern w:val="0"/>
                <w:sz w:val="24"/>
                <w:szCs w:val="24"/>
                <w:highlight w:val="none"/>
                <w:lang w:eastAsia="zh-CN"/>
              </w:rPr>
              <w:t>，</w:t>
            </w:r>
            <w:r>
              <w:rPr>
                <w:rFonts w:hint="default" w:ascii="Times New Roman" w:hAnsi="Times New Roman" w:eastAsia="宋体" w:cs="Times New Roman"/>
                <w:b w:val="0"/>
                <w:bCs/>
                <w:color w:val="000000"/>
                <w:spacing w:val="0"/>
                <w:kern w:val="0"/>
                <w:sz w:val="24"/>
                <w:szCs w:val="24"/>
                <w:highlight w:val="none"/>
              </w:rPr>
              <w:t>本项目建设交通、能源方面均有保障，项目内部、外部条件均能满足建设要求。</w:t>
            </w:r>
            <w:r>
              <w:rPr>
                <w:rFonts w:hint="default" w:ascii="Times New Roman" w:hAnsi="Times New Roman" w:eastAsia="宋体" w:cs="Times New Roman"/>
                <w:b w:val="0"/>
                <w:bCs/>
                <w:color w:val="000000"/>
                <w:spacing w:val="0"/>
                <w:kern w:val="0"/>
                <w:sz w:val="24"/>
                <w:szCs w:val="24"/>
                <w:highlight w:val="none"/>
                <w:lang w:val="en-US" w:eastAsia="zh-CN"/>
              </w:rPr>
              <w:t>综上所述，从环境保护角度考虑，本项目选址较合理。</w:t>
            </w:r>
          </w:p>
          <w:p>
            <w:pPr>
              <w:pStyle w:val="11"/>
              <w:ind w:left="0" w:leftChars="0" w:firstLine="480" w:firstLineChars="200"/>
              <w:rPr>
                <w:rFonts w:hint="eastAsia"/>
              </w:rPr>
            </w:pPr>
          </w:p>
          <w:p>
            <w:pPr>
              <w:pStyle w:val="11"/>
              <w:ind w:left="480"/>
              <w:rPr>
                <w:rFonts w:hint="eastAsia"/>
              </w:rPr>
            </w:pPr>
          </w:p>
          <w:p>
            <w:pPr>
              <w:pStyle w:val="11"/>
              <w:ind w:left="480"/>
              <w:rPr>
                <w:rFonts w:hint="eastAsia"/>
              </w:rPr>
            </w:pPr>
          </w:p>
          <w:p/>
          <w:p/>
          <w:p/>
          <w:p/>
          <w:p/>
          <w:p/>
          <w:p/>
          <w:p/>
          <w:p/>
          <w:p>
            <w:pPr>
              <w:pStyle w:val="6"/>
            </w:pPr>
          </w:p>
          <w:p>
            <w:pPr>
              <w:pStyle w:val="7"/>
            </w:pPr>
          </w:p>
          <w:p>
            <w:pPr>
              <w:pStyle w:val="8"/>
            </w:pPr>
          </w:p>
          <w:p/>
          <w:p>
            <w:pPr>
              <w:pStyle w:val="6"/>
            </w:pPr>
          </w:p>
          <w:p>
            <w:pPr>
              <w:pStyle w:val="7"/>
            </w:pPr>
          </w:p>
          <w:p>
            <w:pPr>
              <w:pStyle w:val="8"/>
            </w:pPr>
          </w:p>
          <w:p/>
          <w:p>
            <w:pPr>
              <w:pStyle w:val="6"/>
            </w:pPr>
          </w:p>
          <w:p>
            <w:pPr>
              <w:pStyle w:val="7"/>
            </w:pPr>
          </w:p>
          <w:p>
            <w:pPr>
              <w:pStyle w:val="8"/>
            </w:pPr>
          </w:p>
          <w:p/>
          <w:p>
            <w:pPr>
              <w:pStyle w:val="6"/>
            </w:pPr>
          </w:p>
          <w:p>
            <w:pPr>
              <w:pStyle w:val="7"/>
            </w:pPr>
          </w:p>
          <w:p>
            <w:pPr>
              <w:pStyle w:val="8"/>
            </w:pPr>
          </w:p>
          <w:p/>
        </w:tc>
      </w:tr>
    </w:tbl>
    <w:p>
      <w:pPr>
        <w:rPr>
          <w:rFonts w:eastAsia="黑体"/>
          <w:sz w:val="30"/>
        </w:rPr>
        <w:sectPr>
          <w:headerReference r:id="rId5" w:type="default"/>
          <w:footerReference r:id="rId6" w:type="default"/>
          <w:pgSz w:w="11906" w:h="16838"/>
          <w:pgMar w:top="1701" w:right="1531" w:bottom="1701" w:left="1531" w:header="851" w:footer="1077" w:gutter="0"/>
          <w:pgBorders>
            <w:top w:val="none" w:sz="0" w:space="0"/>
            <w:left w:val="none" w:sz="0" w:space="0"/>
            <w:bottom w:val="none" w:sz="0" w:space="0"/>
            <w:right w:val="none" w:sz="0" w:space="0"/>
          </w:pgBorders>
          <w:pgNumType w:start="1"/>
          <w:cols w:space="720" w:num="1"/>
          <w:docGrid w:linePitch="312" w:charSpace="0"/>
        </w:sectPr>
      </w:pPr>
    </w:p>
    <w:p>
      <w:pPr>
        <w:pStyle w:val="2"/>
        <w:rPr>
          <w:color w:val="auto"/>
        </w:rPr>
      </w:pPr>
      <w:r>
        <w:rPr>
          <w:color w:val="auto"/>
        </w:rPr>
        <w:t>二、建设项目工程分析</w:t>
      </w:r>
      <w:bookmarkEnd w:id="1"/>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2"/>
        <w:gridCol w:w="805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90" w:hRule="atLeast"/>
          <w:jc w:val="center"/>
        </w:trPr>
        <w:tc>
          <w:tcPr>
            <w:tcW w:w="462" w:type="dxa"/>
            <w:tcBorders>
              <w:tl2br w:val="nil"/>
              <w:tr2bl w:val="nil"/>
            </w:tcBorders>
            <w:noWrap w:val="0"/>
            <w:vAlign w:val="center"/>
          </w:tcPr>
          <w:p>
            <w:pPr>
              <w:pStyle w:val="21"/>
              <w:keepNext/>
              <w:keepLines w:val="0"/>
              <w:pageBreakBefore w:val="0"/>
              <w:widowControl/>
              <w:kinsoku/>
              <w:wordWrap/>
              <w:overflowPunct/>
              <w:topLinePunct w:val="0"/>
              <w:autoSpaceDE/>
              <w:autoSpaceDN/>
              <w:bidi w:val="0"/>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建设内容</w:t>
            </w:r>
          </w:p>
        </w:tc>
        <w:tc>
          <w:tcPr>
            <w:tcW w:w="8054" w:type="dxa"/>
            <w:tcBorders>
              <w:tl2br w:val="nil"/>
              <w:tr2bl w:val="nil"/>
            </w:tcBorders>
            <w:noWrap w:val="0"/>
            <w:vAlign w:val="top"/>
          </w:tcPr>
          <w:p>
            <w:pPr>
              <w:keepNext/>
              <w:keepLines w:val="0"/>
              <w:pageBreakBefore w:val="0"/>
              <w:widowControl/>
              <w:numPr>
                <w:ilvl w:val="0"/>
                <w:numId w:val="3"/>
              </w:numPr>
              <w:kinsoku/>
              <w:wordWrap/>
              <w:overflowPunct/>
              <w:topLinePunct w:val="0"/>
              <w:autoSpaceDE/>
              <w:autoSpaceDN/>
              <w:bidi w:val="0"/>
              <w:adjustRightInd w:val="0"/>
              <w:snapToGrid w:val="0"/>
              <w:rPr>
                <w:b/>
                <w:bCs/>
                <w:color w:val="000000"/>
                <w:kern w:val="0"/>
              </w:rPr>
            </w:pPr>
            <w:r>
              <w:rPr>
                <w:b/>
                <w:bCs/>
                <w:color w:val="000000"/>
                <w:kern w:val="0"/>
              </w:rPr>
              <w:t>建设内容</w:t>
            </w:r>
          </w:p>
          <w:p>
            <w:pPr>
              <w:keepNext/>
              <w:keepLines w:val="0"/>
              <w:pageBreakBefore w:val="0"/>
              <w:widowControl/>
              <w:kinsoku/>
              <w:wordWrap/>
              <w:overflowPunct/>
              <w:topLinePunct w:val="0"/>
              <w:autoSpaceDE/>
              <w:autoSpaceDN/>
              <w:bidi w:val="0"/>
              <w:ind w:firstLine="480" w:firstLineChars="200"/>
              <w:rPr>
                <w:rFonts w:hint="eastAsia"/>
                <w:color w:val="000000"/>
                <w:kern w:val="0"/>
              </w:rPr>
            </w:pPr>
            <w:r>
              <w:rPr>
                <w:color w:val="000000"/>
                <w:kern w:val="0"/>
              </w:rPr>
              <w:t>本项目位于</w:t>
            </w:r>
            <w:r>
              <w:rPr>
                <w:rFonts w:hint="eastAsia"/>
                <w:color w:val="000000"/>
                <w:kern w:val="0"/>
                <w:lang w:val="en-US" w:eastAsia="zh-CN"/>
              </w:rPr>
              <w:t>新疆维吾尔自治区巴音郭楞蒙古自治州</w:t>
            </w:r>
            <w:r>
              <w:rPr>
                <w:rFonts w:hint="default"/>
                <w:color w:val="000000"/>
                <w:kern w:val="0"/>
                <w:lang w:eastAsia="zh-CN"/>
              </w:rPr>
              <w:t>焉耆回族自治县河北巴州生态产业园</w:t>
            </w:r>
            <w:r>
              <w:rPr>
                <w:rFonts w:hint="eastAsia"/>
                <w:color w:val="000000"/>
                <w:kern w:val="0"/>
                <w:lang w:val="en-US" w:eastAsia="zh-CN"/>
              </w:rPr>
              <w:t>纬四路北侧</w:t>
            </w:r>
            <w:r>
              <w:rPr>
                <w:rFonts w:hint="eastAsia"/>
                <w:color w:val="000000"/>
                <w:kern w:val="0"/>
              </w:rPr>
              <w:t>，</w:t>
            </w:r>
            <w:r>
              <w:rPr>
                <w:color w:val="000000"/>
                <w:kern w:val="0"/>
              </w:rPr>
              <w:t>项目区中心地理坐标：</w:t>
            </w:r>
            <w:r>
              <w:rPr>
                <w:rFonts w:hint="eastAsia"/>
                <w:color w:val="000000"/>
                <w:kern w:val="0"/>
                <w:lang w:val="en-US" w:eastAsia="zh-CN"/>
              </w:rPr>
              <w:t>东经：</w:t>
            </w:r>
            <w:r>
              <w:rPr>
                <w:rFonts w:hint="default" w:ascii="Times New Roman" w:hAnsi="Times New Roman" w:cs="Times New Roman"/>
                <w:color w:val="000000"/>
                <w:kern w:val="0"/>
              </w:rPr>
              <w:t>8</w:t>
            </w:r>
            <w:r>
              <w:rPr>
                <w:rFonts w:hint="eastAsia" w:cs="Times New Roman"/>
                <w:color w:val="000000"/>
                <w:kern w:val="0"/>
                <w:lang w:val="en-US" w:eastAsia="zh-CN"/>
              </w:rPr>
              <w:t>6</w:t>
            </w:r>
            <w:r>
              <w:rPr>
                <w:rFonts w:hint="default" w:ascii="Times New Roman" w:hAnsi="Times New Roman" w:cs="Times New Roman"/>
                <w:color w:val="000000"/>
                <w:kern w:val="0"/>
              </w:rPr>
              <w:t>°</w:t>
            </w:r>
            <w:r>
              <w:rPr>
                <w:rFonts w:hint="eastAsia" w:cs="Times New Roman"/>
                <w:color w:val="000000"/>
                <w:kern w:val="0"/>
                <w:lang w:val="en-US" w:eastAsia="zh-CN"/>
              </w:rPr>
              <w:t>20</w:t>
            </w:r>
            <w:r>
              <w:rPr>
                <w:rFonts w:hint="default" w:ascii="Times New Roman" w:hAnsi="Times New Roman" w:cs="Times New Roman"/>
                <w:color w:val="000000"/>
                <w:kern w:val="0"/>
              </w:rPr>
              <w:t>′</w:t>
            </w:r>
            <w:r>
              <w:rPr>
                <w:rFonts w:hint="eastAsia" w:cs="Times New Roman"/>
                <w:color w:val="000000"/>
                <w:kern w:val="0"/>
                <w:lang w:val="en-US" w:eastAsia="zh-CN"/>
              </w:rPr>
              <w:t>4.503</w:t>
            </w:r>
            <w:r>
              <w:rPr>
                <w:rFonts w:hint="default" w:ascii="Times New Roman" w:hAnsi="Times New Roman" w:cs="Times New Roman"/>
                <w:color w:val="000000"/>
                <w:kern w:val="0"/>
              </w:rPr>
              <w:t>″</w:t>
            </w:r>
            <w:r>
              <w:rPr>
                <w:rFonts w:hint="default" w:ascii="Times New Roman" w:hAnsi="Times New Roman" w:cs="Times New Roman"/>
                <w:color w:val="000000"/>
                <w:kern w:val="0"/>
                <w:lang w:eastAsia="zh-CN"/>
              </w:rPr>
              <w:t>，</w:t>
            </w:r>
            <w:r>
              <w:rPr>
                <w:rFonts w:hint="default" w:ascii="Times New Roman" w:hAnsi="Times New Roman" w:cs="Times New Roman"/>
                <w:color w:val="000000"/>
                <w:kern w:val="0"/>
                <w:lang w:val="en-US" w:eastAsia="zh-CN"/>
              </w:rPr>
              <w:t>北纬：</w:t>
            </w:r>
            <w:r>
              <w:rPr>
                <w:rFonts w:hint="default" w:ascii="Times New Roman" w:hAnsi="Times New Roman" w:cs="Times New Roman"/>
                <w:color w:val="000000"/>
                <w:kern w:val="0"/>
              </w:rPr>
              <w:t>41°</w:t>
            </w:r>
            <w:r>
              <w:rPr>
                <w:rFonts w:hint="eastAsia" w:cs="Times New Roman"/>
                <w:color w:val="000000"/>
                <w:kern w:val="0"/>
                <w:lang w:val="en-US" w:eastAsia="zh-CN"/>
              </w:rPr>
              <w:t>52</w:t>
            </w:r>
            <w:r>
              <w:rPr>
                <w:rFonts w:hint="default" w:ascii="Times New Roman" w:hAnsi="Times New Roman" w:cs="Times New Roman"/>
                <w:color w:val="000000"/>
                <w:kern w:val="0"/>
              </w:rPr>
              <w:t>′</w:t>
            </w:r>
            <w:r>
              <w:rPr>
                <w:rFonts w:hint="eastAsia" w:cs="Times New Roman"/>
                <w:color w:val="000000"/>
                <w:kern w:val="0"/>
                <w:lang w:val="en-US" w:eastAsia="zh-CN"/>
              </w:rPr>
              <w:t>35.721</w:t>
            </w:r>
            <w:r>
              <w:rPr>
                <w:rFonts w:hint="default" w:ascii="Times New Roman" w:hAnsi="Times New Roman" w:cs="Times New Roman"/>
                <w:color w:val="000000"/>
                <w:kern w:val="0"/>
              </w:rPr>
              <w:t>″</w:t>
            </w:r>
            <w:r>
              <w:rPr>
                <w:color w:val="000000"/>
                <w:kern w:val="0"/>
              </w:rPr>
              <w:t>，具体位置见：附图</w:t>
            </w:r>
            <w:r>
              <w:rPr>
                <w:rFonts w:hint="eastAsia"/>
                <w:color w:val="000000"/>
                <w:kern w:val="0"/>
                <w:lang w:val="en-US" w:eastAsia="zh-CN"/>
              </w:rPr>
              <w:t>4</w:t>
            </w:r>
            <w:r>
              <w:rPr>
                <w:color w:val="000000"/>
                <w:kern w:val="0"/>
              </w:rPr>
              <w:t>建设项目地理位置图，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项目区北侧为空地</w:t>
            </w:r>
            <w:r>
              <w:rPr>
                <w:rFonts w:hint="eastAsia" w:cs="Times New Roman"/>
                <w:color w:val="000000" w:themeColor="text1"/>
                <w:sz w:val="24"/>
                <w:szCs w:val="24"/>
                <w:highlight w:val="none"/>
                <w:lang w:eastAsia="zh-CN"/>
                <w14:textFill>
                  <w14:solidFill>
                    <w14:schemeClr w14:val="tx1"/>
                  </w14:solidFill>
                </w14:textFill>
              </w:rPr>
              <w:t>，南侧隔纬四路为空地，</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西侧</w:t>
            </w:r>
            <w:r>
              <w:rPr>
                <w:rFonts w:hint="eastAsia" w:cs="Times New Roman"/>
                <w:color w:val="000000" w:themeColor="text1"/>
                <w:sz w:val="24"/>
                <w:szCs w:val="24"/>
                <w:highlight w:val="none"/>
                <w:lang w:val="en-US" w:eastAsia="zh-CN"/>
                <w14:textFill>
                  <w14:solidFill>
                    <w14:schemeClr w14:val="tx1"/>
                  </w14:solidFill>
                </w14:textFill>
              </w:rPr>
              <w:t>为新疆小分子水处理科技有限公司、东侧为疆台酒业有限责任公司</w:t>
            </w:r>
            <w:r>
              <w:rPr>
                <w:color w:val="000000"/>
                <w:kern w:val="0"/>
              </w:rPr>
              <w:t>，周边关系见：附图</w:t>
            </w:r>
            <w:r>
              <w:rPr>
                <w:rFonts w:hint="eastAsia"/>
                <w:color w:val="000000"/>
                <w:kern w:val="0"/>
                <w:lang w:val="en-US" w:eastAsia="zh-CN"/>
              </w:rPr>
              <w:t>5</w:t>
            </w:r>
            <w:r>
              <w:rPr>
                <w:color w:val="000000"/>
                <w:kern w:val="0"/>
              </w:rPr>
              <w:t>建设项目周边关系图</w:t>
            </w:r>
            <w:r>
              <w:rPr>
                <w:rFonts w:hint="eastAsia"/>
                <w:color w:val="000000"/>
                <w:kern w:val="0"/>
              </w:rPr>
              <w:t>。</w:t>
            </w:r>
          </w:p>
          <w:p>
            <w:pPr>
              <w:keepNext/>
              <w:keepLines w:val="0"/>
              <w:pageBreakBefore w:val="0"/>
              <w:widowControl/>
              <w:kinsoku/>
              <w:wordWrap/>
              <w:overflowPunct/>
              <w:topLinePunct w:val="0"/>
              <w:autoSpaceDE/>
              <w:autoSpaceDN/>
              <w:bidi w:val="0"/>
              <w:ind w:firstLine="480" w:firstLineChars="200"/>
              <w:rPr>
                <w:color w:val="000000"/>
                <w:kern w:val="0"/>
                <w:highlight w:val="none"/>
              </w:rPr>
            </w:pPr>
            <w:r>
              <w:rPr>
                <w:rFonts w:hint="eastAsia" w:ascii="Times New Roman" w:hAnsi="Times New Roman" w:eastAsia="宋体" w:cs="Times New Roman"/>
                <w:color w:val="000000"/>
                <w:kern w:val="0"/>
                <w:highlight w:val="none"/>
                <w:lang w:val="en-US" w:eastAsia="zh-CN"/>
              </w:rPr>
              <w:t>本项目</w:t>
            </w:r>
            <w:r>
              <w:rPr>
                <w:rFonts w:hint="eastAsia" w:cs="Times New Roman"/>
                <w:color w:val="000000"/>
                <w:sz w:val="24"/>
                <w:szCs w:val="24"/>
                <w:highlight w:val="none"/>
                <w:lang w:val="en-US" w:eastAsia="zh-CN"/>
              </w:rPr>
              <w:t>租赁新疆共进新型建材有限公司1#厂房部分用地、2#厂房、1#货棚、2#货棚及办公生活区，无新增用地及建构筑物，</w:t>
            </w:r>
            <w:r>
              <w:rPr>
                <w:rFonts w:hint="eastAsia"/>
                <w:highlight w:val="none"/>
                <w:lang w:val="en-US" w:eastAsia="zh-CN"/>
              </w:rPr>
              <w:t>本项目总占地面积5266.15m</w:t>
            </w:r>
            <w:r>
              <w:rPr>
                <w:rFonts w:hint="eastAsia"/>
                <w:highlight w:val="none"/>
                <w:vertAlign w:val="superscript"/>
                <w:lang w:val="en-US" w:eastAsia="zh-CN"/>
              </w:rPr>
              <w:t>2</w:t>
            </w:r>
            <w:r>
              <w:rPr>
                <w:rFonts w:hint="eastAsia"/>
                <w:highlight w:val="none"/>
                <w:lang w:val="en-US" w:eastAsia="zh-CN"/>
              </w:rPr>
              <w:t>、总建筑面积5266.15m</w:t>
            </w:r>
            <w:r>
              <w:rPr>
                <w:rFonts w:hint="eastAsia"/>
                <w:highlight w:val="none"/>
                <w:vertAlign w:val="superscript"/>
                <w:lang w:val="en-US" w:eastAsia="zh-CN"/>
              </w:rPr>
              <w:t>2</w:t>
            </w:r>
            <w:r>
              <w:rPr>
                <w:rFonts w:hint="eastAsia"/>
                <w:highlight w:val="none"/>
                <w:lang w:val="en-US" w:eastAsia="zh-CN"/>
              </w:rPr>
              <w:t>。本项目</w:t>
            </w:r>
            <w:r>
              <w:rPr>
                <w:rFonts w:hint="eastAsia"/>
                <w:color w:val="000000"/>
                <w:kern w:val="0"/>
                <w:highlight w:val="none"/>
                <w:lang w:val="en-US" w:eastAsia="zh-CN"/>
              </w:rPr>
              <w:t>于1#厂房内新建1条</w:t>
            </w:r>
            <w:r>
              <w:rPr>
                <w:rFonts w:hint="eastAsia"/>
                <w:highlight w:val="none"/>
              </w:rPr>
              <w:t>钢带波纹管</w:t>
            </w:r>
            <w:r>
              <w:rPr>
                <w:rFonts w:hint="eastAsia"/>
                <w:color w:val="000000"/>
                <w:kern w:val="0"/>
                <w:highlight w:val="none"/>
                <w:lang w:val="en-US" w:eastAsia="zh-CN"/>
              </w:rPr>
              <w:t>生产线，于2#厂房内新建1条PP/PE管生产线（主要用于生产MPP电力管与聚乙烯PE给水管），建成后年生产聚乙烯PE给水管135t/a、</w:t>
            </w:r>
            <w:r>
              <w:rPr>
                <w:rFonts w:hint="eastAsia"/>
                <w:highlight w:val="none"/>
              </w:rPr>
              <w:t>钢带波纹管</w:t>
            </w:r>
            <w:r>
              <w:rPr>
                <w:rFonts w:hint="eastAsia"/>
                <w:color w:val="000000"/>
                <w:kern w:val="0"/>
                <w:highlight w:val="none"/>
                <w:lang w:val="en-US" w:eastAsia="zh-CN"/>
              </w:rPr>
              <w:t>1224t/a、MPP电力管549t/a。</w:t>
            </w:r>
            <w:r>
              <w:rPr>
                <w:color w:val="000000"/>
                <w:kern w:val="0"/>
                <w:highlight w:val="none"/>
              </w:rPr>
              <w:t>项目主要工程内容见表</w:t>
            </w:r>
            <w:r>
              <w:rPr>
                <w:rFonts w:hint="eastAsia"/>
                <w:color w:val="000000"/>
                <w:kern w:val="0"/>
                <w:highlight w:val="none"/>
                <w:lang w:val="en-US" w:eastAsia="zh-CN"/>
              </w:rPr>
              <w:t>2-1</w:t>
            </w:r>
            <w:r>
              <w:rPr>
                <w:color w:val="000000"/>
                <w:kern w:val="0"/>
                <w:highlight w:val="none"/>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color w:val="000000"/>
                <w:kern w:val="0"/>
                <w:sz w:val="21"/>
                <w:szCs w:val="21"/>
              </w:rPr>
            </w:pPr>
            <w:r>
              <w:rPr>
                <w:b/>
                <w:bCs/>
                <w:color w:val="000000"/>
                <w:kern w:val="0"/>
                <w:sz w:val="21"/>
                <w:szCs w:val="21"/>
              </w:rPr>
              <w:t>表</w:t>
            </w:r>
            <w:r>
              <w:rPr>
                <w:rFonts w:hint="eastAsia"/>
                <w:b/>
                <w:bCs/>
                <w:color w:val="000000"/>
                <w:kern w:val="0"/>
                <w:sz w:val="21"/>
                <w:szCs w:val="21"/>
                <w:lang w:val="en-US" w:eastAsia="zh-CN"/>
              </w:rPr>
              <w:t>2-1</w:t>
            </w:r>
            <w:r>
              <w:rPr>
                <w:b/>
                <w:bCs/>
                <w:color w:val="000000"/>
                <w:kern w:val="0"/>
                <w:sz w:val="21"/>
                <w:szCs w:val="21"/>
              </w:rPr>
              <w:t xml:space="preserve">                   </w:t>
            </w:r>
            <w:r>
              <w:rPr>
                <w:b/>
                <w:bCs/>
                <w:color w:val="000000"/>
                <w:kern w:val="0"/>
                <w:sz w:val="21"/>
                <w:szCs w:val="21"/>
                <w:highlight w:val="none"/>
              </w:rPr>
              <w:t>项目主要工程内容一览表</w:t>
            </w:r>
          </w:p>
          <w:tbl>
            <w:tblPr>
              <w:tblStyle w:val="26"/>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27"/>
              <w:gridCol w:w="739"/>
              <w:gridCol w:w="5815"/>
              <w:gridCol w:w="645"/>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r>
                    <w:rPr>
                      <w:color w:val="000000"/>
                      <w:kern w:val="0"/>
                      <w:sz w:val="21"/>
                      <w:szCs w:val="21"/>
                      <w:lang w:val="zh-CN"/>
                    </w:rPr>
                    <w:t>类别</w:t>
                  </w:r>
                </w:p>
              </w:tc>
              <w:tc>
                <w:tcPr>
                  <w:tcW w:w="6554"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r>
                    <w:rPr>
                      <w:color w:val="000000"/>
                      <w:kern w:val="0"/>
                      <w:sz w:val="21"/>
                      <w:szCs w:val="21"/>
                    </w:rPr>
                    <w:t>建设内容</w:t>
                  </w:r>
                </w:p>
              </w:tc>
              <w:tc>
                <w:tcPr>
                  <w:tcW w:w="64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eastAsia="宋体"/>
                      <w:color w:val="000000"/>
                      <w:kern w:val="0"/>
                      <w:sz w:val="21"/>
                      <w:szCs w:val="21"/>
                      <w:lang w:val="en-US" w:eastAsia="zh-CN"/>
                    </w:rPr>
                  </w:pPr>
                  <w:r>
                    <w:rPr>
                      <w:rFonts w:hint="eastAsia"/>
                      <w:color w:val="000000"/>
                      <w:kern w:val="0"/>
                      <w:sz w:val="21"/>
                      <w:szCs w:val="21"/>
                      <w:lang w:val="en-US"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r>
                    <w:rPr>
                      <w:color w:val="000000"/>
                      <w:kern w:val="0"/>
                      <w:sz w:val="21"/>
                      <w:szCs w:val="21"/>
                      <w:lang w:val="zh-CN"/>
                    </w:rPr>
                    <w:t>主体工程</w:t>
                  </w: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1#厂房</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rFonts w:hint="eastAsia"/>
                      <w:color w:val="000000"/>
                      <w:kern w:val="0"/>
                      <w:sz w:val="21"/>
                      <w:szCs w:val="21"/>
                      <w:lang w:val="en-US" w:eastAsia="zh-CN"/>
                    </w:rPr>
                    <w:t>租赁新疆共进新型建材有限公司原有1#厂房部分厂房，占地面积701.65m</w:t>
                  </w:r>
                  <w:r>
                    <w:rPr>
                      <w:rFonts w:hint="eastAsia"/>
                      <w:color w:val="000000"/>
                      <w:kern w:val="0"/>
                      <w:sz w:val="21"/>
                      <w:szCs w:val="21"/>
                      <w:vertAlign w:val="superscript"/>
                      <w:lang w:val="en-US" w:eastAsia="zh-CN"/>
                    </w:rPr>
                    <w:t>2</w:t>
                  </w:r>
                  <w:r>
                    <w:rPr>
                      <w:rFonts w:hint="eastAsia"/>
                      <w:color w:val="000000"/>
                      <w:kern w:val="0"/>
                      <w:sz w:val="21"/>
                      <w:szCs w:val="21"/>
                      <w:lang w:val="en-US" w:eastAsia="zh-CN"/>
                    </w:rPr>
                    <w:t>，</w:t>
                  </w:r>
                  <w:r>
                    <w:rPr>
                      <w:color w:val="000000"/>
                      <w:kern w:val="0"/>
                      <w:sz w:val="21"/>
                      <w:szCs w:val="21"/>
                    </w:rPr>
                    <w:t>1F，钢结构，建设</w:t>
                  </w:r>
                  <w:r>
                    <w:rPr>
                      <w:rFonts w:hint="eastAsia"/>
                      <w:highlight w:val="none"/>
                    </w:rPr>
                    <w:t>钢带波纹管</w:t>
                  </w:r>
                  <w:r>
                    <w:rPr>
                      <w:color w:val="000000"/>
                      <w:kern w:val="0"/>
                      <w:sz w:val="21"/>
                      <w:szCs w:val="21"/>
                    </w:rPr>
                    <w:t>生产线</w:t>
                  </w:r>
                  <w:r>
                    <w:rPr>
                      <w:rFonts w:hint="eastAsia"/>
                      <w:color w:val="000000"/>
                      <w:kern w:val="0"/>
                      <w:sz w:val="21"/>
                      <w:szCs w:val="21"/>
                    </w:rPr>
                    <w:t>1</w:t>
                  </w:r>
                  <w:r>
                    <w:rPr>
                      <w:color w:val="000000"/>
                      <w:kern w:val="0"/>
                      <w:sz w:val="21"/>
                      <w:szCs w:val="21"/>
                    </w:rPr>
                    <w:t>条</w:t>
                  </w:r>
                </w:p>
              </w:tc>
              <w:tc>
                <w:tcPr>
                  <w:tcW w:w="64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color w:val="000000"/>
                      <w:kern w:val="0"/>
                      <w:sz w:val="21"/>
                      <w:szCs w:val="21"/>
                      <w:lang w:val="en-US" w:eastAsia="zh-CN"/>
                    </w:rPr>
                    <w:t>2#厂房</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租赁新疆共进新型建材有限公司原有2#厂房，建筑面积1998.35m</w:t>
                  </w:r>
                  <w:r>
                    <w:rPr>
                      <w:rFonts w:hint="eastAsia"/>
                      <w:color w:val="000000"/>
                      <w:kern w:val="0"/>
                      <w:sz w:val="21"/>
                      <w:szCs w:val="21"/>
                      <w:vertAlign w:val="superscript"/>
                      <w:lang w:val="en-US" w:eastAsia="zh-CN"/>
                    </w:rPr>
                    <w:t>2</w:t>
                  </w:r>
                  <w:r>
                    <w:rPr>
                      <w:rFonts w:hint="eastAsia"/>
                      <w:color w:val="000000"/>
                      <w:kern w:val="0"/>
                      <w:sz w:val="21"/>
                      <w:szCs w:val="21"/>
                      <w:lang w:val="en-US" w:eastAsia="zh-CN"/>
                    </w:rPr>
                    <w:t>，</w:t>
                  </w:r>
                  <w:r>
                    <w:rPr>
                      <w:color w:val="000000"/>
                      <w:kern w:val="0"/>
                      <w:sz w:val="21"/>
                      <w:szCs w:val="21"/>
                    </w:rPr>
                    <w:t>1F，钢结构，</w:t>
                  </w:r>
                  <w:r>
                    <w:rPr>
                      <w:rFonts w:hint="eastAsia"/>
                      <w:color w:val="000000"/>
                      <w:kern w:val="0"/>
                      <w:sz w:val="21"/>
                      <w:szCs w:val="21"/>
                      <w:lang w:val="en-US" w:eastAsia="zh-CN"/>
                    </w:rPr>
                    <w:t>新建1条PP/PE管生产线（主要用于生产MPP电力管与聚乙烯PE给水管）</w:t>
                  </w:r>
                </w:p>
              </w:tc>
              <w:tc>
                <w:tcPr>
                  <w:tcW w:w="64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r>
                    <w:rPr>
                      <w:rFonts w:hint="eastAsia"/>
                      <w:color w:val="000000"/>
                      <w:kern w:val="0"/>
                      <w:sz w:val="21"/>
                      <w:szCs w:val="21"/>
                      <w:lang w:val="en-US" w:eastAsia="zh-CN"/>
                    </w:rPr>
                    <w:t>辅助</w:t>
                  </w:r>
                  <w:r>
                    <w:rPr>
                      <w:color w:val="000000"/>
                      <w:kern w:val="0"/>
                      <w:sz w:val="21"/>
                      <w:szCs w:val="21"/>
                      <w:lang w:val="zh-CN"/>
                    </w:rPr>
                    <w:t>工程</w:t>
                  </w: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办公生活区</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租用新疆共进新型建材有限公司原有办公生活区，建筑面积238m</w:t>
                  </w:r>
                  <w:r>
                    <w:rPr>
                      <w:rFonts w:hint="eastAsia"/>
                      <w:color w:val="000000"/>
                      <w:kern w:val="0"/>
                      <w:sz w:val="21"/>
                      <w:szCs w:val="21"/>
                      <w:vertAlign w:val="superscript"/>
                      <w:lang w:val="en-US" w:eastAsia="zh-CN"/>
                    </w:rPr>
                    <w:t>2</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lang w:val="en-US" w:eastAsia="zh-CN"/>
                    </w:rPr>
                    <w:t>储运工程</w:t>
                  </w: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color w:val="000000"/>
                      <w:kern w:val="0"/>
                      <w:sz w:val="21"/>
                      <w:szCs w:val="21"/>
                      <w:lang w:val="en-US" w:eastAsia="zh-CN"/>
                    </w:rPr>
                    <w:t>1#货棚</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eastAsia="宋体"/>
                      <w:color w:val="000000"/>
                      <w:kern w:val="0"/>
                      <w:sz w:val="21"/>
                      <w:szCs w:val="21"/>
                      <w:lang w:val="en-US" w:eastAsia="zh-CN"/>
                    </w:rPr>
                  </w:pPr>
                  <w:r>
                    <w:rPr>
                      <w:rFonts w:hint="eastAsia"/>
                      <w:color w:val="000000"/>
                      <w:kern w:val="0"/>
                      <w:sz w:val="21"/>
                      <w:szCs w:val="21"/>
                      <w:lang w:val="en-US" w:eastAsia="zh-CN"/>
                    </w:rPr>
                    <w:t>租赁新疆共进新型建材有限公司原有1#货棚，占地面积1124.21m</w:t>
                  </w:r>
                  <w:r>
                    <w:rPr>
                      <w:rFonts w:hint="eastAsia"/>
                      <w:color w:val="000000"/>
                      <w:kern w:val="0"/>
                      <w:sz w:val="21"/>
                      <w:szCs w:val="21"/>
                      <w:vertAlign w:val="superscript"/>
                      <w:lang w:val="en-US" w:eastAsia="zh-CN"/>
                    </w:rPr>
                    <w:t>2</w:t>
                  </w:r>
                  <w:r>
                    <w:rPr>
                      <w:rFonts w:hint="eastAsia"/>
                      <w:color w:val="000000"/>
                      <w:kern w:val="0"/>
                      <w:sz w:val="21"/>
                      <w:szCs w:val="21"/>
                      <w:lang w:val="en-US" w:eastAsia="zh-CN"/>
                    </w:rPr>
                    <w:t>，</w:t>
                  </w:r>
                  <w:r>
                    <w:rPr>
                      <w:color w:val="000000"/>
                      <w:kern w:val="0"/>
                      <w:sz w:val="21"/>
                      <w:szCs w:val="21"/>
                    </w:rPr>
                    <w:t>1F，</w:t>
                  </w:r>
                  <w:r>
                    <w:rPr>
                      <w:rFonts w:hint="eastAsia"/>
                      <w:color w:val="000000"/>
                      <w:kern w:val="0"/>
                      <w:sz w:val="21"/>
                      <w:szCs w:val="21"/>
                      <w:lang w:val="en-US" w:eastAsia="zh-CN"/>
                    </w:rPr>
                    <w:t>用于堆存</w:t>
                  </w:r>
                  <w:r>
                    <w:rPr>
                      <w:rFonts w:hint="eastAsia"/>
                      <w:color w:val="000000"/>
                      <w:kern w:val="0"/>
                      <w:highlight w:val="none"/>
                      <w:lang w:val="en-US" w:eastAsia="zh-CN"/>
                    </w:rPr>
                    <w:t>聚乙烯PE给水管及</w:t>
                  </w:r>
                  <w:r>
                    <w:rPr>
                      <w:rFonts w:hint="eastAsia"/>
                      <w:color w:val="000000"/>
                      <w:kern w:val="0"/>
                      <w:sz w:val="21"/>
                      <w:szCs w:val="21"/>
                      <w:lang w:val="en-US" w:eastAsia="zh-CN"/>
                    </w:rPr>
                    <w:t>MPP电力管成品</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2#货棚</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租赁新疆共进新型建材有限公司原有2#货棚，占地面积1441.94m</w:t>
                  </w:r>
                  <w:r>
                    <w:rPr>
                      <w:rFonts w:hint="eastAsia"/>
                      <w:color w:val="000000"/>
                      <w:kern w:val="0"/>
                      <w:sz w:val="21"/>
                      <w:szCs w:val="21"/>
                      <w:vertAlign w:val="superscript"/>
                      <w:lang w:val="en-US" w:eastAsia="zh-CN"/>
                    </w:rPr>
                    <w:t>2</w:t>
                  </w:r>
                  <w:r>
                    <w:rPr>
                      <w:rFonts w:hint="eastAsia"/>
                      <w:color w:val="000000"/>
                      <w:kern w:val="0"/>
                      <w:sz w:val="21"/>
                      <w:szCs w:val="21"/>
                      <w:lang w:val="en-US" w:eastAsia="zh-CN"/>
                    </w:rPr>
                    <w:t>，</w:t>
                  </w:r>
                  <w:r>
                    <w:rPr>
                      <w:color w:val="000000"/>
                      <w:kern w:val="0"/>
                      <w:sz w:val="21"/>
                      <w:szCs w:val="21"/>
                    </w:rPr>
                    <w:t>1F，</w:t>
                  </w:r>
                  <w:r>
                    <w:rPr>
                      <w:rFonts w:hint="eastAsia"/>
                      <w:color w:val="000000"/>
                      <w:kern w:val="0"/>
                      <w:sz w:val="21"/>
                      <w:szCs w:val="21"/>
                      <w:lang w:val="en-US" w:eastAsia="zh-CN"/>
                    </w:rPr>
                    <w:t>用于堆存</w:t>
                  </w:r>
                  <w:r>
                    <w:rPr>
                      <w:rFonts w:hint="eastAsia"/>
                      <w:highlight w:val="none"/>
                    </w:rPr>
                    <w:t>钢带波纹管</w:t>
                  </w:r>
                  <w:r>
                    <w:rPr>
                      <w:rFonts w:hint="eastAsia"/>
                      <w:color w:val="000000"/>
                      <w:kern w:val="0"/>
                      <w:sz w:val="21"/>
                      <w:szCs w:val="21"/>
                      <w:lang w:val="en-US" w:eastAsia="zh-CN"/>
                    </w:rPr>
                    <w:t>成品</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color w:val="000000"/>
                      <w:kern w:val="0"/>
                      <w:sz w:val="21"/>
                      <w:szCs w:val="21"/>
                      <w:lang w:val="en-US" w:eastAsia="zh-CN"/>
                    </w:rPr>
                  </w:pPr>
                  <w:r>
                    <w:rPr>
                      <w:rFonts w:hint="eastAsia"/>
                      <w:color w:val="000000"/>
                      <w:kern w:val="0"/>
                      <w:sz w:val="21"/>
                      <w:szCs w:val="21"/>
                      <w:lang w:val="en-US" w:eastAsia="zh-CN"/>
                    </w:rPr>
                    <w:t>原料堆场</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原料堆场位于2#厂房内东侧，占地面积为500m</w:t>
                  </w:r>
                  <w:r>
                    <w:rPr>
                      <w:rFonts w:hint="eastAsia"/>
                      <w:color w:val="000000"/>
                      <w:kern w:val="0"/>
                      <w:sz w:val="21"/>
                      <w:szCs w:val="21"/>
                      <w:vertAlign w:val="superscript"/>
                      <w:lang w:val="en-US" w:eastAsia="zh-CN"/>
                    </w:rPr>
                    <w:t>3</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租赁</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r>
                    <w:rPr>
                      <w:color w:val="000000"/>
                      <w:kern w:val="0"/>
                      <w:sz w:val="21"/>
                      <w:szCs w:val="21"/>
                      <w:lang w:val="zh-CN"/>
                    </w:rPr>
                    <w:t>公用工程</w:t>
                  </w: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rPr>
                    <w:t>供水</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依托现有供水设施</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rPr>
                    <w:t>供电</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rFonts w:hint="eastAsia"/>
                      <w:color w:val="000000"/>
                      <w:kern w:val="0"/>
                      <w:sz w:val="21"/>
                      <w:szCs w:val="21"/>
                      <w:lang w:val="en-US" w:eastAsia="zh-CN"/>
                    </w:rPr>
                    <w:t>依托现有供电设施</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lang w:val="en-US" w:eastAsia="zh-CN"/>
                    </w:rPr>
                  </w:pPr>
                  <w:r>
                    <w:rPr>
                      <w:rFonts w:hint="eastAsia"/>
                      <w:color w:val="000000"/>
                      <w:kern w:val="0"/>
                      <w:sz w:val="21"/>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highlight w:val="none"/>
                    </w:rPr>
                  </w:pPr>
                  <w:r>
                    <w:rPr>
                      <w:color w:val="000000"/>
                      <w:kern w:val="0"/>
                      <w:sz w:val="21"/>
                      <w:szCs w:val="21"/>
                      <w:highlight w:val="none"/>
                    </w:rPr>
                    <w:t>排水</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highlight w:val="none"/>
                      <w:lang w:val="en-US" w:eastAsia="zh-CN"/>
                    </w:rPr>
                  </w:pPr>
                  <w:r>
                    <w:rPr>
                      <w:rFonts w:hint="eastAsia"/>
                      <w:color w:val="000000"/>
                      <w:kern w:val="0"/>
                      <w:sz w:val="21"/>
                      <w:szCs w:val="21"/>
                      <w:highlight w:val="none"/>
                      <w:lang w:val="en-US" w:eastAsia="zh-CN"/>
                    </w:rPr>
                    <w:t>本项目冷却循环水经循环水池+冷却塔冷却后，循环使用，冷却循环水排污为清净下水，通过园区下水管网排至园区污水处理厂进行处理；生活污水通过化粪池收集后通过园区下水管网排至园区污水处理厂进行处理。</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化粪池依托，循环水池新建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rPr>
                    <w:t>供热</w:t>
                  </w:r>
                </w:p>
              </w:tc>
              <w:tc>
                <w:tcPr>
                  <w:tcW w:w="5815"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rPr>
                    <w:t>项目生产采用设备电供热，冬季</w:t>
                  </w:r>
                  <w:r>
                    <w:rPr>
                      <w:rFonts w:hint="eastAsia"/>
                      <w:color w:val="000000"/>
                      <w:kern w:val="0"/>
                      <w:sz w:val="21"/>
                      <w:szCs w:val="21"/>
                      <w:lang w:val="en-US" w:eastAsia="zh-CN"/>
                    </w:rPr>
                    <w:t>项目区不生产</w:t>
                  </w:r>
                  <w:r>
                    <w:rPr>
                      <w:color w:val="000000"/>
                      <w:kern w:val="0"/>
                      <w:sz w:val="21"/>
                      <w:szCs w:val="21"/>
                    </w:rPr>
                    <w:t>。</w:t>
                  </w:r>
                </w:p>
              </w:tc>
              <w:tc>
                <w:tcPr>
                  <w:tcW w:w="645" w:type="dxa"/>
                  <w:noWrap w:val="0"/>
                  <w:vAlign w:val="center"/>
                </w:tcPr>
                <w:p>
                  <w:pPr>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rFonts w:hint="eastAsia"/>
                      <w:color w:val="000000"/>
                      <w:kern w:val="0"/>
                      <w:sz w:val="21"/>
                      <w:szCs w:val="21"/>
                      <w:lang w:val="en-US" w:eastAsia="zh-CN"/>
                    </w:rPr>
                    <w:t>依托</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restart"/>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lang w:val="zh-CN"/>
                    </w:rPr>
                    <w:t>环保工程</w:t>
                  </w: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highlight w:val="none"/>
                    </w:rPr>
                    <w:t>废气</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highlight w:val="none"/>
                    </w:rPr>
                    <w:t>钢带波纹管</w:t>
                  </w:r>
                  <w:r>
                    <w:rPr>
                      <w:rFonts w:hint="eastAsia"/>
                      <w:color w:val="000000"/>
                      <w:kern w:val="0"/>
                      <w:sz w:val="21"/>
                      <w:szCs w:val="21"/>
                      <w:lang w:val="en-US" w:eastAsia="zh-CN"/>
                    </w:rPr>
                    <w:t>挤出的废气经密闭式集气罩收集后进入二级活性炭装置进行处理，处理后的废气通过15m排气筒（DA001）排放。</w:t>
                  </w:r>
                </w:p>
                <w:p>
                  <w:pPr>
                    <w:pStyle w:val="48"/>
                    <w:keepNext/>
                    <w:keepLines w:val="0"/>
                    <w:pageBreakBefore w:val="0"/>
                    <w:widowControl/>
                    <w:kinsoku/>
                    <w:wordWrap/>
                    <w:overflowPunct/>
                    <w:topLinePunct w:val="0"/>
                    <w:autoSpaceDE/>
                    <w:autoSpaceDN/>
                    <w:bidi w:val="0"/>
                    <w:adjustRightInd w:val="0"/>
                    <w:snapToGrid w:val="0"/>
                    <w:jc w:val="center"/>
                    <w:rPr>
                      <w:rFonts w:hint="eastAsia"/>
                      <w:color w:val="000000"/>
                      <w:kern w:val="0"/>
                      <w:sz w:val="21"/>
                      <w:szCs w:val="21"/>
                    </w:rPr>
                  </w:pPr>
                  <w:r>
                    <w:rPr>
                      <w:rFonts w:hint="eastAsia"/>
                      <w:color w:val="000000"/>
                      <w:kern w:val="0"/>
                      <w:sz w:val="21"/>
                      <w:szCs w:val="21"/>
                      <w:lang w:val="en-US" w:eastAsia="zh-CN"/>
                    </w:rPr>
                    <w:t>MPP电力管</w:t>
                  </w:r>
                  <w:r>
                    <w:rPr>
                      <w:rFonts w:hint="eastAsia"/>
                      <w:highlight w:val="none"/>
                      <w:lang w:val="en-US" w:eastAsia="zh-CN"/>
                    </w:rPr>
                    <w:t>和</w:t>
                  </w:r>
                  <w:r>
                    <w:rPr>
                      <w:rFonts w:hint="eastAsia"/>
                      <w:color w:val="000000"/>
                      <w:kern w:val="0"/>
                      <w:highlight w:val="none"/>
                      <w:lang w:val="en-US" w:eastAsia="zh-CN"/>
                    </w:rPr>
                    <w:t>聚乙烯PE给水管的</w:t>
                  </w:r>
                  <w:r>
                    <w:rPr>
                      <w:rFonts w:hint="eastAsia"/>
                      <w:color w:val="000000"/>
                      <w:kern w:val="0"/>
                      <w:sz w:val="21"/>
                      <w:szCs w:val="21"/>
                    </w:rPr>
                    <w:t>挤出废气</w:t>
                  </w:r>
                  <w:r>
                    <w:rPr>
                      <w:rFonts w:hint="eastAsia"/>
                      <w:color w:val="000000"/>
                      <w:kern w:val="0"/>
                      <w:sz w:val="21"/>
                      <w:szCs w:val="21"/>
                      <w:lang w:val="en-US" w:eastAsia="zh-CN"/>
                    </w:rPr>
                    <w:t>进入二级活性炭装置处理，处理后的废气经15m排气筒（DA002）排放。</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lang w:val="zh-CN"/>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eastAsia="宋体"/>
                      <w:color w:val="000000"/>
                      <w:kern w:val="0"/>
                      <w:sz w:val="21"/>
                      <w:szCs w:val="21"/>
                      <w:lang w:val="en-US" w:eastAsia="zh-CN"/>
                    </w:rPr>
                  </w:pPr>
                  <w:r>
                    <w:rPr>
                      <w:rFonts w:hint="eastAsia"/>
                      <w:color w:val="000000"/>
                      <w:kern w:val="0"/>
                      <w:sz w:val="21"/>
                      <w:szCs w:val="21"/>
                      <w:highlight w:val="none"/>
                      <w:lang w:val="en-US" w:eastAsia="zh-CN"/>
                    </w:rPr>
                    <w:t>废水</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default" w:eastAsia="宋体"/>
                      <w:color w:val="000000"/>
                      <w:kern w:val="0"/>
                      <w:sz w:val="21"/>
                      <w:szCs w:val="21"/>
                      <w:lang w:val="en-US" w:eastAsia="zh-CN"/>
                    </w:rPr>
                  </w:pPr>
                  <w:r>
                    <w:rPr>
                      <w:rFonts w:hint="eastAsia"/>
                      <w:color w:val="000000"/>
                      <w:kern w:val="0"/>
                      <w:sz w:val="21"/>
                      <w:szCs w:val="21"/>
                      <w:lang w:val="en-US" w:eastAsia="zh-CN"/>
                    </w:rPr>
                    <w:t>冷却循环水经循环水池（容积150m</w:t>
                  </w:r>
                  <w:r>
                    <w:rPr>
                      <w:rFonts w:hint="eastAsia"/>
                      <w:color w:val="000000"/>
                      <w:kern w:val="0"/>
                      <w:sz w:val="21"/>
                      <w:szCs w:val="21"/>
                      <w:vertAlign w:val="superscript"/>
                      <w:lang w:val="en-US" w:eastAsia="zh-CN"/>
                    </w:rPr>
                    <w:t>3</w:t>
                  </w:r>
                  <w:r>
                    <w:rPr>
                      <w:rFonts w:hint="eastAsia"/>
                      <w:color w:val="000000"/>
                      <w:kern w:val="0"/>
                      <w:sz w:val="21"/>
                      <w:szCs w:val="21"/>
                      <w:lang w:val="en-US" w:eastAsia="zh-CN"/>
                    </w:rPr>
                    <w:t>）+冷却塔冷却后，循环使用，冷却循环水排污为清净下水，通过园区下水管网排至园区污水处理厂进行处理；</w:t>
                  </w:r>
                  <w:r>
                    <w:rPr>
                      <w:rFonts w:hint="eastAsia"/>
                      <w:color w:val="000000"/>
                      <w:kern w:val="0"/>
                      <w:sz w:val="21"/>
                      <w:szCs w:val="21"/>
                      <w:highlight w:val="none"/>
                      <w:lang w:val="en-US" w:eastAsia="zh-CN"/>
                    </w:rPr>
                    <w:t>生活污水通过化粪池</w:t>
                  </w:r>
                  <w:r>
                    <w:rPr>
                      <w:rFonts w:hint="eastAsia" w:ascii="Times New Roman" w:eastAsia="宋体"/>
                      <w:color w:val="000000"/>
                      <w:kern w:val="0"/>
                      <w:sz w:val="21"/>
                      <w:szCs w:val="21"/>
                      <w:lang w:val="en-US" w:eastAsia="zh-CN"/>
                    </w:rPr>
                    <w:t>（容积15m</w:t>
                  </w:r>
                  <w:r>
                    <w:rPr>
                      <w:rFonts w:hint="eastAsia" w:ascii="Times New Roman" w:eastAsia="宋体"/>
                      <w:color w:val="000000"/>
                      <w:kern w:val="0"/>
                      <w:sz w:val="21"/>
                      <w:szCs w:val="21"/>
                      <w:vertAlign w:val="superscript"/>
                      <w:lang w:val="en-US" w:eastAsia="zh-CN"/>
                    </w:rPr>
                    <w:t>3</w:t>
                  </w:r>
                  <w:r>
                    <w:rPr>
                      <w:rFonts w:hint="eastAsia" w:ascii="Times New Roman" w:eastAsia="宋体"/>
                      <w:color w:val="000000"/>
                      <w:kern w:val="0"/>
                      <w:sz w:val="21"/>
                      <w:szCs w:val="21"/>
                      <w:lang w:val="en-US" w:eastAsia="zh-CN"/>
                    </w:rPr>
                    <w:t>）</w:t>
                  </w:r>
                  <w:r>
                    <w:rPr>
                      <w:rFonts w:hint="eastAsia"/>
                      <w:color w:val="000000"/>
                      <w:kern w:val="0"/>
                      <w:sz w:val="21"/>
                      <w:szCs w:val="21"/>
                      <w:highlight w:val="none"/>
                      <w:lang w:val="en-US" w:eastAsia="zh-CN"/>
                    </w:rPr>
                    <w:t>收集后通过园区下水管网排至园区污水处理厂进行处理。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rPr>
                    <w:t>噪声</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rFonts w:hint="eastAsia" w:eastAsia="宋体"/>
                      <w:color w:val="000000"/>
                      <w:kern w:val="0"/>
                      <w:sz w:val="21"/>
                      <w:szCs w:val="21"/>
                      <w:lang w:eastAsia="zh-CN"/>
                    </w:rPr>
                  </w:pPr>
                  <w:r>
                    <w:rPr>
                      <w:color w:val="000000"/>
                      <w:kern w:val="0"/>
                      <w:sz w:val="21"/>
                      <w:szCs w:val="21"/>
                    </w:rPr>
                    <w:t>本项目产生的噪声主要为生产过程中各类机械设备，</w:t>
                  </w:r>
                  <w:r>
                    <w:rPr>
                      <w:rFonts w:hint="eastAsia"/>
                      <w:color w:val="000000"/>
                      <w:kern w:val="0"/>
                      <w:sz w:val="21"/>
                      <w:szCs w:val="21"/>
                      <w:lang w:val="en-US" w:eastAsia="zh-CN"/>
                    </w:rPr>
                    <w:t>本项目已选用安装低噪设备，对振动大的设备已采取基础减振措施，所有设备已安装于封闭生产车间内</w:t>
                  </w:r>
                  <w:r>
                    <w:rPr>
                      <w:rFonts w:hint="eastAsia"/>
                      <w:color w:val="000000"/>
                      <w:kern w:val="0"/>
                      <w:sz w:val="21"/>
                      <w:szCs w:val="21"/>
                      <w:lang w:eastAsia="zh-CN"/>
                    </w:rPr>
                    <w:t>、</w:t>
                  </w:r>
                  <w:r>
                    <w:rPr>
                      <w:rFonts w:hint="eastAsia"/>
                      <w:color w:val="000000"/>
                      <w:kern w:val="0"/>
                      <w:sz w:val="21"/>
                      <w:szCs w:val="21"/>
                      <w:lang w:val="en-US" w:eastAsia="zh-CN"/>
                    </w:rPr>
                    <w:t>已制定计划定期对</w:t>
                  </w:r>
                  <w:r>
                    <w:rPr>
                      <w:rFonts w:hint="eastAsia"/>
                      <w:color w:val="000000"/>
                      <w:kern w:val="0"/>
                      <w:sz w:val="21"/>
                      <w:szCs w:val="21"/>
                      <w:lang w:eastAsia="zh-CN"/>
                    </w:rPr>
                    <w:t>设备</w:t>
                  </w:r>
                  <w:r>
                    <w:rPr>
                      <w:rFonts w:hint="eastAsia"/>
                      <w:color w:val="000000"/>
                      <w:kern w:val="0"/>
                      <w:sz w:val="21"/>
                      <w:szCs w:val="21"/>
                      <w:lang w:val="en-US" w:eastAsia="zh-CN"/>
                    </w:rPr>
                    <w:t>进行</w:t>
                  </w:r>
                  <w:r>
                    <w:rPr>
                      <w:rFonts w:hint="eastAsia"/>
                      <w:color w:val="000000"/>
                      <w:kern w:val="0"/>
                      <w:sz w:val="21"/>
                      <w:szCs w:val="21"/>
                      <w:lang w:eastAsia="zh-CN"/>
                    </w:rPr>
                    <w:t>维护</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color w:val="000000"/>
                      <w:kern w:val="0"/>
                      <w:sz w:val="21"/>
                      <w:szCs w:val="21"/>
                      <w:highlight w:val="none"/>
                    </w:rPr>
                    <w:t>固废</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r>
                    <w:rPr>
                      <w:rFonts w:hint="eastAsia"/>
                      <w:color w:val="000000"/>
                      <w:kern w:val="0"/>
                      <w:sz w:val="21"/>
                      <w:szCs w:val="21"/>
                    </w:rPr>
                    <w:t>生活垃圾集中收集后定期由环卫部门清运处置。</w:t>
                  </w:r>
                  <w:r>
                    <w:rPr>
                      <w:rFonts w:hint="eastAsia"/>
                      <w:color w:val="000000"/>
                      <w:kern w:val="0"/>
                      <w:sz w:val="21"/>
                      <w:szCs w:val="21"/>
                      <w:lang w:eastAsia="zh-CN"/>
                    </w:rPr>
                    <w:t>废</w:t>
                  </w:r>
                  <w:r>
                    <w:rPr>
                      <w:rFonts w:hint="eastAsia"/>
                      <w:color w:val="000000"/>
                      <w:kern w:val="0"/>
                      <w:sz w:val="21"/>
                      <w:szCs w:val="21"/>
                      <w:lang w:val="en-US" w:eastAsia="zh-CN"/>
                    </w:rPr>
                    <w:t>边角料</w:t>
                  </w:r>
                  <w:r>
                    <w:rPr>
                      <w:color w:val="000000"/>
                      <w:kern w:val="0"/>
                      <w:sz w:val="21"/>
                      <w:szCs w:val="21"/>
                    </w:rPr>
                    <w:t>、</w:t>
                  </w:r>
                  <w:r>
                    <w:rPr>
                      <w:rFonts w:hint="eastAsia"/>
                      <w:color w:val="000000"/>
                      <w:kern w:val="0"/>
                      <w:sz w:val="21"/>
                      <w:szCs w:val="21"/>
                      <w:lang w:val="en-US" w:eastAsia="zh-CN"/>
                    </w:rPr>
                    <w:t>不合格产品及</w:t>
                  </w:r>
                  <w:r>
                    <w:rPr>
                      <w:color w:val="000000"/>
                      <w:kern w:val="0"/>
                      <w:sz w:val="21"/>
                      <w:szCs w:val="21"/>
                    </w:rPr>
                    <w:t>废</w:t>
                  </w:r>
                  <w:r>
                    <w:rPr>
                      <w:rFonts w:hint="eastAsia"/>
                      <w:color w:val="000000"/>
                      <w:kern w:val="0"/>
                      <w:sz w:val="21"/>
                      <w:szCs w:val="21"/>
                      <w:lang w:val="en-US" w:eastAsia="zh-CN"/>
                    </w:rPr>
                    <w:t>包装袋等一般固废</w:t>
                  </w:r>
                  <w:r>
                    <w:rPr>
                      <w:color w:val="000000"/>
                      <w:kern w:val="0"/>
                      <w:sz w:val="21"/>
                      <w:szCs w:val="21"/>
                    </w:rPr>
                    <w:t>经收集后</w:t>
                  </w:r>
                  <w:r>
                    <w:rPr>
                      <w:rFonts w:hint="eastAsia"/>
                      <w:color w:val="000000"/>
                      <w:kern w:val="0"/>
                      <w:sz w:val="21"/>
                      <w:szCs w:val="21"/>
                      <w:lang w:val="en-US" w:eastAsia="zh-CN"/>
                    </w:rPr>
                    <w:t>交由一般固废处置单位进行处理</w:t>
                  </w:r>
                  <w:r>
                    <w:rPr>
                      <w:rFonts w:hint="eastAsia"/>
                      <w:color w:val="000000"/>
                      <w:kern w:val="0"/>
                      <w:sz w:val="21"/>
                      <w:szCs w:val="21"/>
                      <w:lang w:eastAsia="zh-CN"/>
                    </w:rPr>
                    <w:t>。</w:t>
                  </w:r>
                  <w:r>
                    <w:rPr>
                      <w:color w:val="000000"/>
                      <w:kern w:val="0"/>
                      <w:sz w:val="21"/>
                      <w:szCs w:val="21"/>
                    </w:rPr>
                    <w:t>废润滑油</w:t>
                  </w:r>
                  <w:r>
                    <w:rPr>
                      <w:rFonts w:hint="eastAsia"/>
                      <w:color w:val="000000"/>
                      <w:kern w:val="0"/>
                      <w:sz w:val="21"/>
                      <w:szCs w:val="21"/>
                      <w:lang w:eastAsia="zh-CN"/>
                    </w:rPr>
                    <w:t>、</w:t>
                  </w:r>
                  <w:r>
                    <w:rPr>
                      <w:rFonts w:hint="eastAsia"/>
                      <w:color w:val="000000"/>
                      <w:kern w:val="0"/>
                      <w:sz w:val="21"/>
                      <w:szCs w:val="21"/>
                      <w:lang w:val="en-US" w:eastAsia="zh-CN"/>
                    </w:rPr>
                    <w:t>废油桶、废活性炭及沾染含油污泥的废手套、废抹布等危险废物</w:t>
                  </w:r>
                  <w:r>
                    <w:rPr>
                      <w:color w:val="000000"/>
                      <w:kern w:val="0"/>
                      <w:sz w:val="21"/>
                      <w:szCs w:val="21"/>
                    </w:rPr>
                    <w:t>收集暂存于</w:t>
                  </w:r>
                  <w:r>
                    <w:rPr>
                      <w:rFonts w:hint="eastAsia"/>
                      <w:color w:val="000000"/>
                      <w:kern w:val="0"/>
                      <w:sz w:val="21"/>
                      <w:szCs w:val="21"/>
                      <w:lang w:eastAsia="zh-CN"/>
                    </w:rPr>
                    <w:t>危险废物贮存库</w:t>
                  </w:r>
                  <w:r>
                    <w:rPr>
                      <w:color w:val="000000"/>
                      <w:kern w:val="0"/>
                      <w:sz w:val="21"/>
                      <w:szCs w:val="21"/>
                    </w:rPr>
                    <w:t>，定期交由有资质的单位处理。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ind w:firstLine="0" w:firstLineChars="0"/>
                    <w:jc w:val="center"/>
                    <w:rPr>
                      <w:rFonts w:hint="default" w:eastAsia="宋体"/>
                      <w:color w:val="000000"/>
                      <w:kern w:val="0"/>
                      <w:sz w:val="21"/>
                      <w:szCs w:val="21"/>
                      <w:lang w:val="en-US" w:eastAsia="zh-CN"/>
                    </w:rPr>
                  </w:pPr>
                  <w:r>
                    <w:rPr>
                      <w:rFonts w:hint="eastAsia"/>
                      <w:color w:val="000000"/>
                      <w:kern w:val="0"/>
                      <w:sz w:val="21"/>
                      <w:szCs w:val="21"/>
                      <w:lang w:val="en-US" w:eastAsia="zh-CN"/>
                    </w:rPr>
                    <w:t>一般固废暂存区</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ind w:firstLine="0" w:firstLineChars="0"/>
                    <w:jc w:val="center"/>
                    <w:rPr>
                      <w:rFonts w:hint="default"/>
                      <w:color w:val="000000"/>
                      <w:kern w:val="0"/>
                      <w:sz w:val="21"/>
                      <w:szCs w:val="21"/>
                      <w:lang w:val="en-US" w:eastAsia="zh-CN"/>
                    </w:rPr>
                  </w:pPr>
                  <w:r>
                    <w:rPr>
                      <w:rFonts w:hint="eastAsia" w:cs="Times New Roman"/>
                      <w:color w:val="000000"/>
                      <w:kern w:val="0"/>
                      <w:sz w:val="21"/>
                      <w:szCs w:val="21"/>
                      <w:lang w:val="en-US" w:eastAsia="zh-CN" w:bidi="ar-SA"/>
                    </w:rPr>
                    <w:t>设置于1</w:t>
                  </w:r>
                  <w:r>
                    <w:rPr>
                      <w:rFonts w:hint="default"/>
                      <w:color w:val="000000"/>
                      <w:kern w:val="0"/>
                      <w:sz w:val="21"/>
                      <w:szCs w:val="21"/>
                      <w:highlight w:val="none"/>
                      <w:lang w:val="en-US" w:eastAsia="zh-CN"/>
                    </w:rPr>
                    <w:t>#厂房</w:t>
                  </w:r>
                  <w:r>
                    <w:rPr>
                      <w:rFonts w:hint="eastAsia"/>
                      <w:color w:val="000000"/>
                      <w:kern w:val="0"/>
                      <w:sz w:val="21"/>
                      <w:szCs w:val="21"/>
                      <w:highlight w:val="none"/>
                      <w:lang w:val="en-US" w:eastAsia="zh-CN"/>
                    </w:rPr>
                    <w:t>内北侧</w:t>
                  </w:r>
                  <w:r>
                    <w:rPr>
                      <w:rFonts w:hint="eastAsia" w:cs="Times New Roman"/>
                      <w:color w:val="000000"/>
                      <w:kern w:val="0"/>
                      <w:sz w:val="21"/>
                      <w:szCs w:val="21"/>
                      <w:lang w:val="en-US" w:eastAsia="zh-CN" w:bidi="ar-SA"/>
                    </w:rPr>
                    <w:t>，堆放面积20m</w:t>
                  </w:r>
                  <w:r>
                    <w:rPr>
                      <w:rFonts w:hint="eastAsia" w:cs="Times New Roman"/>
                      <w:color w:val="000000"/>
                      <w:kern w:val="0"/>
                      <w:sz w:val="21"/>
                      <w:szCs w:val="21"/>
                      <w:vertAlign w:val="superscript"/>
                      <w:lang w:val="en-US" w:eastAsia="zh-CN" w:bidi="ar-SA"/>
                    </w:rPr>
                    <w:t>2</w:t>
                  </w:r>
                  <w:r>
                    <w:rPr>
                      <w:rFonts w:hint="eastAsia" w:cs="Times New Roman"/>
                      <w:color w:val="000000"/>
                      <w:kern w:val="0"/>
                      <w:sz w:val="21"/>
                      <w:szCs w:val="21"/>
                      <w:lang w:val="en-US" w:eastAsia="zh-CN" w:bidi="ar-SA"/>
                    </w:rPr>
                    <w:t>，1F</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27" w:type="dxa"/>
                  <w:vMerge w:val="continue"/>
                  <w:noWrap w:val="0"/>
                  <w:vAlign w:val="center"/>
                </w:tcPr>
                <w:p>
                  <w:pPr>
                    <w:pStyle w:val="48"/>
                    <w:keepNext/>
                    <w:keepLines w:val="0"/>
                    <w:pageBreakBefore w:val="0"/>
                    <w:widowControl/>
                    <w:kinsoku/>
                    <w:wordWrap/>
                    <w:overflowPunct/>
                    <w:topLinePunct w:val="0"/>
                    <w:autoSpaceDE/>
                    <w:autoSpaceDN/>
                    <w:bidi w:val="0"/>
                    <w:adjustRightInd w:val="0"/>
                    <w:snapToGrid w:val="0"/>
                    <w:jc w:val="center"/>
                    <w:rPr>
                      <w:color w:val="000000"/>
                      <w:kern w:val="0"/>
                      <w:sz w:val="21"/>
                      <w:szCs w:val="21"/>
                    </w:rPr>
                  </w:pPr>
                </w:p>
              </w:tc>
              <w:tc>
                <w:tcPr>
                  <w:tcW w:w="739" w:type="dxa"/>
                  <w:noWrap w:val="0"/>
                  <w:vAlign w:val="center"/>
                </w:tcPr>
                <w:p>
                  <w:pPr>
                    <w:pStyle w:val="48"/>
                    <w:keepNext/>
                    <w:keepLines w:val="0"/>
                    <w:pageBreakBefore w:val="0"/>
                    <w:widowControl/>
                    <w:kinsoku/>
                    <w:wordWrap/>
                    <w:overflowPunct/>
                    <w:topLinePunct w:val="0"/>
                    <w:autoSpaceDE/>
                    <w:autoSpaceDN/>
                    <w:bidi w:val="0"/>
                    <w:adjustRightInd w:val="0"/>
                    <w:snapToGrid w:val="0"/>
                    <w:ind w:firstLine="0" w:firstLineChars="0"/>
                    <w:jc w:val="center"/>
                    <w:rPr>
                      <w:rFonts w:hint="default" w:eastAsia="宋体"/>
                      <w:color w:val="000000"/>
                      <w:kern w:val="0"/>
                      <w:sz w:val="21"/>
                      <w:szCs w:val="21"/>
                      <w:lang w:val="en-US" w:eastAsia="zh-CN" w:bidi="ar-SA"/>
                    </w:rPr>
                  </w:pPr>
                  <w:r>
                    <w:rPr>
                      <w:rFonts w:hint="eastAsia"/>
                      <w:color w:val="000000"/>
                      <w:kern w:val="0"/>
                      <w:sz w:val="21"/>
                      <w:szCs w:val="21"/>
                      <w:lang w:val="en-US" w:eastAsia="zh-CN"/>
                    </w:rPr>
                    <w:t>危险废物贮存库</w:t>
                  </w:r>
                </w:p>
              </w:tc>
              <w:tc>
                <w:tcPr>
                  <w:tcW w:w="6460" w:type="dxa"/>
                  <w:gridSpan w:val="2"/>
                  <w:noWrap w:val="0"/>
                  <w:vAlign w:val="center"/>
                </w:tcPr>
                <w:p>
                  <w:pPr>
                    <w:pStyle w:val="48"/>
                    <w:keepNext/>
                    <w:keepLines w:val="0"/>
                    <w:pageBreakBefore w:val="0"/>
                    <w:widowControl/>
                    <w:kinsoku/>
                    <w:wordWrap/>
                    <w:overflowPunct/>
                    <w:topLinePunct w:val="0"/>
                    <w:autoSpaceDE/>
                    <w:autoSpaceDN/>
                    <w:bidi w:val="0"/>
                    <w:adjustRightInd w:val="0"/>
                    <w:snapToGrid w:val="0"/>
                    <w:ind w:firstLine="0" w:firstLineChars="0"/>
                    <w:jc w:val="center"/>
                    <w:rPr>
                      <w:rFonts w:hint="eastAsia"/>
                      <w:color w:val="000000"/>
                      <w:kern w:val="0"/>
                      <w:sz w:val="21"/>
                      <w:szCs w:val="21"/>
                      <w:lang w:val="en-US" w:eastAsia="zh-CN"/>
                    </w:rPr>
                  </w:pPr>
                  <w:r>
                    <w:rPr>
                      <w:rFonts w:hint="default"/>
                      <w:color w:val="000000"/>
                      <w:kern w:val="0"/>
                      <w:sz w:val="21"/>
                      <w:szCs w:val="21"/>
                      <w:highlight w:val="none"/>
                      <w:lang w:val="en-US" w:eastAsia="zh-CN"/>
                    </w:rPr>
                    <w:t>于</w:t>
                  </w:r>
                  <w:r>
                    <w:rPr>
                      <w:rFonts w:hint="eastAsia"/>
                      <w:color w:val="000000"/>
                      <w:kern w:val="0"/>
                      <w:sz w:val="21"/>
                      <w:szCs w:val="21"/>
                      <w:highlight w:val="none"/>
                      <w:lang w:val="en-US" w:eastAsia="zh-CN"/>
                    </w:rPr>
                    <w:t>2</w:t>
                  </w:r>
                  <w:r>
                    <w:rPr>
                      <w:rFonts w:hint="default"/>
                      <w:color w:val="000000"/>
                      <w:kern w:val="0"/>
                      <w:sz w:val="21"/>
                      <w:szCs w:val="21"/>
                      <w:highlight w:val="none"/>
                      <w:lang w:val="en-US" w:eastAsia="zh-CN"/>
                    </w:rPr>
                    <w:t>#厂房内</w:t>
                  </w:r>
                  <w:r>
                    <w:rPr>
                      <w:rFonts w:hint="eastAsia"/>
                      <w:color w:val="000000"/>
                      <w:kern w:val="0"/>
                      <w:sz w:val="21"/>
                      <w:szCs w:val="21"/>
                      <w:highlight w:val="none"/>
                      <w:lang w:val="en-US" w:eastAsia="zh-CN"/>
                    </w:rPr>
                    <w:t>北侧改造一间危险废物贮存库</w:t>
                  </w:r>
                  <w:r>
                    <w:rPr>
                      <w:rFonts w:hint="default"/>
                      <w:color w:val="000000"/>
                      <w:kern w:val="0"/>
                      <w:sz w:val="21"/>
                      <w:szCs w:val="21"/>
                      <w:highlight w:val="none"/>
                      <w:lang w:val="en-US" w:eastAsia="zh-CN"/>
                    </w:rPr>
                    <w:t>，建筑面积10m</w:t>
                  </w:r>
                  <w:r>
                    <w:rPr>
                      <w:rFonts w:hint="default"/>
                      <w:color w:val="000000"/>
                      <w:kern w:val="0"/>
                      <w:sz w:val="21"/>
                      <w:szCs w:val="21"/>
                      <w:highlight w:val="none"/>
                      <w:vertAlign w:val="superscript"/>
                      <w:lang w:val="en-US" w:eastAsia="zh-CN"/>
                    </w:rPr>
                    <w:t>2</w:t>
                  </w:r>
                  <w:r>
                    <w:rPr>
                      <w:rFonts w:hint="default"/>
                      <w:color w:val="000000"/>
                      <w:kern w:val="0"/>
                      <w:sz w:val="21"/>
                      <w:szCs w:val="21"/>
                      <w:highlight w:val="none"/>
                      <w:lang w:val="en-US" w:eastAsia="zh-CN"/>
                    </w:rPr>
                    <w:t>，建设要求执行《危险废物贮存污染控制标准》（GB18597-2023）</w:t>
                  </w:r>
                  <w:r>
                    <w:rPr>
                      <w:color w:val="000000"/>
                      <w:kern w:val="0"/>
                      <w:sz w:val="21"/>
                      <w:szCs w:val="21"/>
                      <w:highlight w:val="none"/>
                    </w:rPr>
                    <w:t>，危险废物进行标识，定期交由有资质单位进行无害化处置。</w:t>
                  </w:r>
                </w:p>
              </w:tc>
            </w:tr>
          </w:tbl>
          <w:p>
            <w:pPr>
              <w:keepNext/>
              <w:keepLines w:val="0"/>
              <w:pageBreakBefore w:val="0"/>
              <w:widowControl/>
              <w:kinsoku/>
              <w:wordWrap/>
              <w:overflowPunct/>
              <w:topLinePunct w:val="0"/>
              <w:autoSpaceDE/>
              <w:autoSpaceDN/>
              <w:bidi w:val="0"/>
              <w:rPr>
                <w:b/>
                <w:bCs/>
                <w:color w:val="000000"/>
                <w:kern w:val="0"/>
                <w:sz w:val="24"/>
                <w:szCs w:val="24"/>
                <w:highlight w:val="none"/>
              </w:rPr>
            </w:pPr>
            <w:r>
              <w:rPr>
                <w:b/>
                <w:bCs/>
                <w:color w:val="000000"/>
                <w:kern w:val="0"/>
                <w:sz w:val="24"/>
                <w:szCs w:val="24"/>
              </w:rPr>
              <w:t>2</w:t>
            </w:r>
            <w:r>
              <w:rPr>
                <w:b/>
                <w:bCs/>
                <w:color w:val="000000"/>
                <w:kern w:val="0"/>
                <w:sz w:val="24"/>
                <w:szCs w:val="24"/>
                <w:highlight w:val="none"/>
              </w:rPr>
              <w:t>主要产品产能</w:t>
            </w:r>
          </w:p>
          <w:p>
            <w:pPr>
              <w:keepNext/>
              <w:keepLines w:val="0"/>
              <w:pageBreakBefore w:val="0"/>
              <w:widowControl/>
              <w:kinsoku/>
              <w:wordWrap/>
              <w:overflowPunct/>
              <w:topLinePunct w:val="0"/>
              <w:autoSpaceDE/>
              <w:autoSpaceDN/>
              <w:bidi w:val="0"/>
              <w:ind w:firstLine="420" w:firstLineChars="200"/>
              <w:rPr>
                <w:b/>
                <w:bCs/>
                <w:color w:val="000000"/>
                <w:kern w:val="0"/>
                <w:sz w:val="21"/>
                <w:szCs w:val="21"/>
              </w:rPr>
            </w:pPr>
            <w:r>
              <w:rPr>
                <w:color w:val="000000"/>
                <w:kern w:val="0"/>
                <w:sz w:val="21"/>
                <w:szCs w:val="21"/>
              </w:rPr>
              <w:t>厂区主要生产产品见表</w:t>
            </w:r>
            <w:r>
              <w:rPr>
                <w:rFonts w:hint="eastAsia"/>
                <w:color w:val="000000"/>
                <w:kern w:val="0"/>
                <w:sz w:val="21"/>
                <w:szCs w:val="21"/>
                <w:lang w:val="en-US" w:eastAsia="zh-CN"/>
              </w:rPr>
              <w:t>2-2</w:t>
            </w:r>
            <w:r>
              <w:rPr>
                <w:rFonts w:hint="eastAsia"/>
                <w:color w:val="000000"/>
                <w:kern w:val="0"/>
                <w:sz w:val="21"/>
                <w:szCs w:val="21"/>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rPr>
            </w:pPr>
            <w:r>
              <w:rPr>
                <w:b/>
                <w:bCs/>
                <w:color w:val="000000"/>
                <w:kern w:val="0"/>
                <w:sz w:val="21"/>
                <w:szCs w:val="21"/>
              </w:rPr>
              <w:t>表</w:t>
            </w:r>
            <w:r>
              <w:rPr>
                <w:rFonts w:hint="eastAsia"/>
                <w:b/>
                <w:bCs/>
                <w:color w:val="000000"/>
                <w:kern w:val="0"/>
                <w:sz w:val="21"/>
                <w:szCs w:val="21"/>
                <w:lang w:val="en-US" w:eastAsia="zh-CN"/>
              </w:rPr>
              <w:t>2-2</w:t>
            </w:r>
            <w:r>
              <w:rPr>
                <w:b/>
                <w:bCs/>
                <w:color w:val="000000"/>
                <w:kern w:val="0"/>
                <w:sz w:val="21"/>
                <w:szCs w:val="21"/>
              </w:rPr>
              <w:t xml:space="preserve">                    主要产品产能表</w:t>
            </w:r>
          </w:p>
          <w:tbl>
            <w:tblPr>
              <w:tblStyle w:val="26"/>
              <w:tblW w:w="7937" w:type="dxa"/>
              <w:tblInd w:w="-57"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62"/>
              <w:gridCol w:w="1286"/>
              <w:gridCol w:w="767"/>
              <w:gridCol w:w="502"/>
              <w:gridCol w:w="2460"/>
              <w:gridCol w:w="246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9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序号</w:t>
                  </w:r>
                </w:p>
              </w:tc>
              <w:tc>
                <w:tcPr>
                  <w:tcW w:w="81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名称</w:t>
                  </w:r>
                </w:p>
              </w:tc>
              <w:tc>
                <w:tcPr>
                  <w:tcW w:w="48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设计产量</w:t>
                  </w:r>
                </w:p>
              </w:tc>
              <w:tc>
                <w:tcPr>
                  <w:tcW w:w="31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单位</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color w:val="000000"/>
                      <w:kern w:val="0"/>
                      <w:sz w:val="21"/>
                      <w:szCs w:val="21"/>
                    </w:rPr>
                  </w:pPr>
                  <w:r>
                    <w:rPr>
                      <w:color w:val="000000"/>
                      <w:kern w:val="0"/>
                      <w:sz w:val="21"/>
                      <w:szCs w:val="21"/>
                    </w:rPr>
                    <w:t>备注</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lang w:val="en-US" w:eastAsia="zh-CN"/>
                    </w:rPr>
                    <w:t>执行标准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val="en-US" w:eastAsia="zh-CN"/>
                    </w:rPr>
                  </w:pPr>
                  <w:r>
                    <w:rPr>
                      <w:rFonts w:hint="eastAsia"/>
                      <w:color w:val="000000"/>
                      <w:kern w:val="0"/>
                      <w:sz w:val="21"/>
                      <w:szCs w:val="21"/>
                      <w:lang w:val="en-US" w:eastAsia="zh-CN"/>
                    </w:rPr>
                    <w:t>1</w:t>
                  </w:r>
                </w:p>
              </w:tc>
              <w:tc>
                <w:tcPr>
                  <w:tcW w:w="81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MPP电力管</w:t>
                  </w:r>
                </w:p>
              </w:tc>
              <w:tc>
                <w:tcPr>
                  <w:tcW w:w="48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lang w:val="en-US" w:eastAsia="zh-CN"/>
                    </w:rPr>
                    <w:t>549</w:t>
                  </w:r>
                </w:p>
              </w:tc>
              <w:tc>
                <w:tcPr>
                  <w:tcW w:w="31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rPr>
                    <w:t>外径200mm</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《电力电缆导管技术条件第7部分：非开挖用塑料电缆导管》</w:t>
                  </w:r>
                  <w:r>
                    <w:rPr>
                      <w:rFonts w:hint="eastAsia"/>
                      <w:color w:val="000000"/>
                      <w:kern w:val="0"/>
                      <w:sz w:val="21"/>
                      <w:szCs w:val="21"/>
                      <w:lang w:eastAsia="zh-CN"/>
                    </w:rPr>
                    <w:t>（</w:t>
                  </w:r>
                  <w:r>
                    <w:rPr>
                      <w:rFonts w:hint="eastAsia"/>
                      <w:color w:val="000000"/>
                      <w:kern w:val="0"/>
                      <w:sz w:val="21"/>
                      <w:szCs w:val="21"/>
                    </w:rPr>
                    <w:t>DL/T</w:t>
                  </w:r>
                  <w:r>
                    <w:rPr>
                      <w:rFonts w:hint="eastAsia"/>
                      <w:color w:val="000000"/>
                      <w:kern w:val="0"/>
                      <w:sz w:val="21"/>
                      <w:szCs w:val="21"/>
                      <w:lang w:val="en-US" w:eastAsia="zh-CN"/>
                    </w:rPr>
                    <w:t xml:space="preserve"> </w:t>
                  </w:r>
                  <w:r>
                    <w:rPr>
                      <w:rFonts w:hint="eastAsia"/>
                      <w:color w:val="000000"/>
                      <w:kern w:val="0"/>
                      <w:sz w:val="21"/>
                      <w:szCs w:val="21"/>
                    </w:rPr>
                    <w:t>802.7-2023</w:t>
                  </w:r>
                  <w:r>
                    <w:rPr>
                      <w:rFonts w:hint="eastAsia"/>
                      <w:color w:val="000000"/>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2</w:t>
                  </w:r>
                </w:p>
              </w:tc>
              <w:tc>
                <w:tcPr>
                  <w:tcW w:w="81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钢带波纹管</w:t>
                  </w:r>
                </w:p>
              </w:tc>
              <w:tc>
                <w:tcPr>
                  <w:tcW w:w="48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1224</w:t>
                  </w:r>
                </w:p>
              </w:tc>
              <w:tc>
                <w:tcPr>
                  <w:tcW w:w="31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外径800mm</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eastAsia="zh-CN"/>
                    </w:rPr>
                  </w:pPr>
                  <w:r>
                    <w:rPr>
                      <w:rFonts w:hint="eastAsia"/>
                      <w:color w:val="000000"/>
                      <w:kern w:val="0"/>
                      <w:sz w:val="21"/>
                      <w:szCs w:val="21"/>
                    </w:rPr>
                    <w:t>《埋地排水用钢带增强聚乙烯（PE）螺旋波纹管》</w:t>
                  </w:r>
                  <w:r>
                    <w:rPr>
                      <w:rFonts w:hint="eastAsia"/>
                      <w:color w:val="000000"/>
                      <w:kern w:val="0"/>
                      <w:sz w:val="21"/>
                      <w:szCs w:val="21"/>
                      <w:lang w:eastAsia="zh-CN"/>
                    </w:rPr>
                    <w:t>（</w:t>
                  </w:r>
                  <w:r>
                    <w:rPr>
                      <w:rFonts w:hint="eastAsia"/>
                      <w:color w:val="000000"/>
                      <w:kern w:val="0"/>
                      <w:sz w:val="21"/>
                      <w:szCs w:val="21"/>
                    </w:rPr>
                    <w:t>CJ/T 225-2011</w:t>
                  </w:r>
                  <w:r>
                    <w:rPr>
                      <w:rFonts w:hint="eastAsia"/>
                      <w:color w:val="000000"/>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9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3</w:t>
                  </w:r>
                </w:p>
              </w:tc>
              <w:tc>
                <w:tcPr>
                  <w:tcW w:w="81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聚乙烯PE给水管</w:t>
                  </w:r>
                </w:p>
              </w:tc>
              <w:tc>
                <w:tcPr>
                  <w:tcW w:w="483"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olor w:val="000000"/>
                      <w:kern w:val="0"/>
                      <w:sz w:val="21"/>
                      <w:szCs w:val="21"/>
                      <w:lang w:val="en-US" w:eastAsia="zh-CN"/>
                    </w:rPr>
                  </w:pPr>
                  <w:r>
                    <w:rPr>
                      <w:rFonts w:hint="eastAsia"/>
                      <w:color w:val="000000"/>
                      <w:kern w:val="0"/>
                      <w:sz w:val="21"/>
                      <w:szCs w:val="21"/>
                      <w:lang w:val="en-US" w:eastAsia="zh-CN"/>
                    </w:rPr>
                    <w:t>135</w:t>
                  </w:r>
                </w:p>
              </w:tc>
              <w:tc>
                <w:tcPr>
                  <w:tcW w:w="316"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lang w:val="en-US" w:eastAsia="zh-CN"/>
                    </w:rPr>
                    <w:t>t</w:t>
                  </w:r>
                  <w:r>
                    <w:rPr>
                      <w:color w:val="000000"/>
                      <w:kern w:val="0"/>
                      <w:sz w:val="21"/>
                      <w:szCs w:val="21"/>
                    </w:rPr>
                    <w:t>/a</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olor w:val="000000"/>
                      <w:kern w:val="0"/>
                      <w:sz w:val="21"/>
                      <w:szCs w:val="21"/>
                    </w:rPr>
                    <w:t>外径110mm</w:t>
                  </w:r>
                </w:p>
              </w:tc>
              <w:tc>
                <w:tcPr>
                  <w:tcW w:w="154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eastAsia="宋体"/>
                      <w:color w:val="000000"/>
                      <w:kern w:val="0"/>
                      <w:sz w:val="21"/>
                      <w:szCs w:val="21"/>
                      <w:lang w:eastAsia="zh-CN"/>
                    </w:rPr>
                  </w:pPr>
                  <w:r>
                    <w:rPr>
                      <w:rFonts w:hint="eastAsia"/>
                      <w:color w:val="000000"/>
                      <w:kern w:val="0"/>
                      <w:sz w:val="21"/>
                      <w:szCs w:val="21"/>
                    </w:rPr>
                    <w:t>《给水用聚乙烯（PE）管道系统第2部分：管材》</w:t>
                  </w:r>
                  <w:r>
                    <w:rPr>
                      <w:rFonts w:hint="eastAsia"/>
                      <w:color w:val="000000"/>
                      <w:kern w:val="0"/>
                      <w:sz w:val="21"/>
                      <w:szCs w:val="21"/>
                      <w:lang w:eastAsia="zh-CN"/>
                    </w:rPr>
                    <w:t>（</w:t>
                  </w:r>
                  <w:r>
                    <w:rPr>
                      <w:rFonts w:hint="eastAsia"/>
                      <w:color w:val="000000"/>
                      <w:kern w:val="0"/>
                      <w:sz w:val="21"/>
                      <w:szCs w:val="21"/>
                    </w:rPr>
                    <w:t>GB/T 13663.2-2018</w:t>
                  </w:r>
                  <w:r>
                    <w:rPr>
                      <w:rFonts w:hint="eastAsia"/>
                      <w:color w:val="000000"/>
                      <w:kern w:val="0"/>
                      <w:sz w:val="21"/>
                      <w:szCs w:val="21"/>
                      <w:lang w:eastAsia="zh-CN"/>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5000" w:type="pct"/>
                  <w:gridSpan w:val="6"/>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eastAsia="宋体"/>
                      <w:color w:val="000000"/>
                      <w:kern w:val="0"/>
                      <w:sz w:val="21"/>
                      <w:szCs w:val="21"/>
                      <w:lang w:val="en-US" w:eastAsia="zh-CN"/>
                    </w:rPr>
                  </w:pPr>
                  <w:r>
                    <w:rPr>
                      <w:rFonts w:hint="eastAsia"/>
                      <w:color w:val="000000"/>
                      <w:kern w:val="0"/>
                      <w:sz w:val="21"/>
                      <w:szCs w:val="21"/>
                      <w:lang w:val="en-US" w:eastAsia="zh-CN"/>
                    </w:rPr>
                    <w:t>备注：</w:t>
                  </w:r>
                  <w:r>
                    <w:rPr>
                      <w:rFonts w:hint="default" w:eastAsia="宋体"/>
                      <w:color w:val="000000"/>
                      <w:kern w:val="0"/>
                      <w:sz w:val="21"/>
                      <w:szCs w:val="21"/>
                      <w:lang w:val="en-US" w:eastAsia="zh-CN"/>
                    </w:rPr>
                    <w:t>MPP电力管与聚乙烯PE给水管共用一条生产线（各生产90天）</w:t>
                  </w:r>
                </w:p>
              </w:tc>
            </w:tr>
          </w:tbl>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ascii="Times New Roman" w:hAnsi="Times New Roman" w:eastAsia="宋体" w:cs="Times New Roman"/>
                <w:b/>
                <w:bCs/>
                <w:color w:val="000000"/>
                <w:kern w:val="0"/>
                <w:sz w:val="21"/>
                <w:szCs w:val="21"/>
                <w:lang w:val="en-US" w:eastAsia="zh-CN"/>
              </w:rPr>
            </w:pPr>
            <w:r>
              <w:rPr>
                <w:rFonts w:hint="eastAsia" w:ascii="Times New Roman" w:hAnsi="Times New Roman" w:eastAsia="宋体" w:cs="Times New Roman"/>
                <w:b/>
                <w:bCs/>
                <w:color w:val="000000"/>
                <w:kern w:val="0"/>
                <w:sz w:val="21"/>
                <w:szCs w:val="21"/>
                <w:lang w:val="en-US" w:eastAsia="zh-CN"/>
              </w:rPr>
              <w:t xml:space="preserve">表2-3   </w:t>
            </w:r>
            <w:r>
              <w:rPr>
                <w:rFonts w:hint="eastAsia" w:cs="Times New Roman"/>
                <w:b/>
                <w:bCs/>
                <w:color w:val="000000"/>
                <w:kern w:val="0"/>
                <w:sz w:val="21"/>
                <w:szCs w:val="21"/>
                <w:lang w:val="en-US" w:eastAsia="zh-CN"/>
              </w:rPr>
              <w:t xml:space="preserve">                  </w:t>
            </w:r>
            <w:r>
              <w:rPr>
                <w:rFonts w:hint="eastAsia" w:ascii="Times New Roman" w:hAnsi="Times New Roman" w:eastAsia="宋体" w:cs="Times New Roman"/>
                <w:b/>
                <w:bCs/>
                <w:color w:val="000000"/>
                <w:kern w:val="0"/>
                <w:sz w:val="21"/>
                <w:szCs w:val="21"/>
                <w:lang w:val="en-US" w:eastAsia="zh-CN"/>
              </w:rPr>
              <w:t xml:space="preserve"> 产品标准要求</w:t>
            </w:r>
          </w:p>
          <w:tbl>
            <w:tblPr>
              <w:tblStyle w:val="27"/>
              <w:tblW w:w="7867" w:type="dxa"/>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958"/>
              <w:gridCol w:w="3395"/>
              <w:gridCol w:w="1766"/>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vMerge w:val="restar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项目</w:t>
                  </w:r>
                </w:p>
              </w:tc>
              <w:tc>
                <w:tcPr>
                  <w:tcW w:w="4524" w:type="pct"/>
                  <w:gridSpan w:val="3"/>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要求</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vMerge w:val="continue"/>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rPr>
                  </w:pPr>
                </w:p>
              </w:tc>
              <w:tc>
                <w:tcPr>
                  <w:tcW w:w="1244"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MPP电力管</w:t>
                  </w:r>
                </w:p>
              </w:tc>
              <w:tc>
                <w:tcPr>
                  <w:tcW w:w="2157"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钢带波纹管</w:t>
                  </w:r>
                </w:p>
              </w:tc>
              <w:tc>
                <w:tcPr>
                  <w:tcW w:w="1122"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000000"/>
                      <w:kern w:val="0"/>
                      <w:sz w:val="21"/>
                      <w:szCs w:val="21"/>
                      <w:lang w:val="en-US" w:eastAsia="zh-CN"/>
                    </w:rPr>
                  </w:pPr>
                  <w:r>
                    <w:rPr>
                      <w:rFonts w:hint="eastAsia"/>
                      <w:color w:val="000000"/>
                      <w:kern w:val="0"/>
                      <w:sz w:val="21"/>
                      <w:szCs w:val="21"/>
                    </w:rPr>
                    <w:t>聚乙烯PE给水管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5"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颜色</w:t>
                  </w:r>
                </w:p>
              </w:tc>
              <w:tc>
                <w:tcPr>
                  <w:tcW w:w="1244"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导管颜色应均匀一致，颜色由供需双方协商确定。</w:t>
                  </w:r>
                </w:p>
              </w:tc>
              <w:tc>
                <w:tcPr>
                  <w:tcW w:w="2157"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管材颜色宜为黑色，色泽应均匀。当采用其他颜色时，可由供需双方协商</w:t>
                  </w:r>
                  <w:r>
                    <w:rPr>
                      <w:rFonts w:hint="eastAsia" w:ascii="Times New Roman" w:hAnsi="Times New Roman" w:eastAsia="宋体" w:cs="Times New Roman"/>
                      <w:b w:val="0"/>
                      <w:bCs w:val="0"/>
                      <w:color w:val="000000"/>
                      <w:kern w:val="0"/>
                      <w:sz w:val="21"/>
                      <w:szCs w:val="21"/>
                      <w:lang w:val="en-US" w:eastAsia="zh-CN"/>
                    </w:rPr>
                    <w:t>。</w:t>
                  </w:r>
                </w:p>
              </w:tc>
              <w:tc>
                <w:tcPr>
                  <w:tcW w:w="1122"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管材应为黑色或蓝色</w:t>
                  </w:r>
                  <w:r>
                    <w:rPr>
                      <w:rFonts w:hint="eastAsia" w:ascii="Times New Roman" w:hAnsi="Times New Roman" w:eastAsia="宋体" w:cs="Times New Roman"/>
                      <w:b w:val="0"/>
                      <w:bCs w:val="0"/>
                      <w:color w:val="000000"/>
                      <w:kern w:val="0"/>
                      <w:sz w:val="21"/>
                      <w:szCs w:val="21"/>
                      <w:lang w:val="en-US" w:eastAsia="zh-CN"/>
                    </w:rPr>
                    <w:t>，</w:t>
                  </w:r>
                  <w:r>
                    <w:rPr>
                      <w:rFonts w:hint="default" w:ascii="Times New Roman" w:hAnsi="Times New Roman" w:eastAsia="宋体" w:cs="Times New Roman"/>
                      <w:b w:val="0"/>
                      <w:bCs w:val="0"/>
                      <w:color w:val="000000"/>
                      <w:kern w:val="0"/>
                      <w:sz w:val="21"/>
                      <w:szCs w:val="21"/>
                      <w:lang w:val="en-US" w:eastAsia="zh-CN"/>
                    </w:rPr>
                    <w:t>黑色管材上应共挤出至少三条蓝色条</w:t>
                  </w:r>
                  <w:r>
                    <w:rPr>
                      <w:rFonts w:hint="eastAsia" w:ascii="Times New Roman" w:hAnsi="Times New Roman" w:eastAsia="宋体" w:cs="Times New Roman"/>
                      <w:b w:val="0"/>
                      <w:bCs w:val="0"/>
                      <w:color w:val="000000"/>
                      <w:kern w:val="0"/>
                      <w:sz w:val="21"/>
                      <w:szCs w:val="21"/>
                      <w:lang w:val="en-US" w:eastAsia="zh-CN"/>
                    </w:rPr>
                    <w:t>，</w:t>
                  </w:r>
                  <w:r>
                    <w:rPr>
                      <w:rFonts w:hint="default" w:ascii="Times New Roman" w:hAnsi="Times New Roman" w:eastAsia="宋体" w:cs="Times New Roman"/>
                      <w:b w:val="0"/>
                      <w:bCs w:val="0"/>
                      <w:color w:val="000000"/>
                      <w:kern w:val="0"/>
                      <w:sz w:val="21"/>
                      <w:szCs w:val="21"/>
                      <w:lang w:val="en-US" w:eastAsia="zh-CN"/>
                    </w:rPr>
                    <w:t>色条应沿管材圆周方向均匀分布。</w:t>
                  </w:r>
                </w:p>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蓝色管材仅用于暗敷。</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外观</w:t>
                  </w:r>
                </w:p>
              </w:tc>
              <w:tc>
                <w:tcPr>
                  <w:tcW w:w="1244"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导管内外壁不应有气泡、裂口和明显的痕纹、凹陷、杂质、分解变色线及色泽不均等缺陷;导管内壁应光滑、平整;导管端面应切割平整并与轴线垂直。</w:t>
                  </w:r>
                </w:p>
              </w:tc>
              <w:tc>
                <w:tcPr>
                  <w:tcW w:w="2157"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1）管材内表面应规整平滑，外部波形应规整；管材内外壁应无气泡，无裂纹和可见杂质。（2）管材采用螺旋形端口时，切口应选在管材波谷的无钢带处，且切口两端应在管材的同一纵向线。（3）管材采用平面形端口时，切口应与管材轴线垂直。（4）管材在切割后的断面应修整，</w:t>
                  </w:r>
                  <w:r>
                    <w:rPr>
                      <w:rFonts w:hint="eastAsia" w:cs="Times New Roman"/>
                      <w:b w:val="0"/>
                      <w:bCs w:val="0"/>
                      <w:color w:val="000000"/>
                      <w:kern w:val="0"/>
                      <w:sz w:val="21"/>
                      <w:szCs w:val="21"/>
                      <w:lang w:val="en-US" w:eastAsia="zh-CN"/>
                    </w:rPr>
                    <w:t>无</w:t>
                  </w:r>
                  <w:r>
                    <w:rPr>
                      <w:rFonts w:hint="eastAsia" w:ascii="Times New Roman" w:hAnsi="Times New Roman" w:eastAsia="宋体" w:cs="Times New Roman"/>
                      <w:b w:val="0"/>
                      <w:bCs w:val="0"/>
                      <w:color w:val="000000"/>
                      <w:kern w:val="0"/>
                      <w:sz w:val="21"/>
                      <w:szCs w:val="21"/>
                      <w:lang w:val="en-US" w:eastAsia="zh-CN"/>
                    </w:rPr>
                    <w:t>毛刺，管材端口及空腔部分应密封，不允许钢带外露。</w:t>
                  </w:r>
                </w:p>
              </w:tc>
              <w:tc>
                <w:tcPr>
                  <w:tcW w:w="1122"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管材内外表面应清洁、光滑</w:t>
                  </w:r>
                  <w:r>
                    <w:rPr>
                      <w:rFonts w:hint="eastAsia" w:cs="Times New Roman"/>
                      <w:b w:val="0"/>
                      <w:bCs w:val="0"/>
                      <w:color w:val="000000"/>
                      <w:kern w:val="0"/>
                      <w:sz w:val="21"/>
                      <w:szCs w:val="21"/>
                      <w:lang w:val="en-US" w:eastAsia="zh-CN"/>
                    </w:rPr>
                    <w:t>，</w:t>
                  </w:r>
                  <w:r>
                    <w:rPr>
                      <w:rFonts w:hint="eastAsia" w:ascii="Times New Roman" w:hAnsi="Times New Roman" w:eastAsia="宋体" w:cs="Times New Roman"/>
                      <w:b w:val="0"/>
                      <w:bCs w:val="0"/>
                      <w:color w:val="000000"/>
                      <w:kern w:val="0"/>
                      <w:sz w:val="21"/>
                      <w:szCs w:val="21"/>
                      <w:lang w:val="en-US" w:eastAsia="zh-CN"/>
                    </w:rPr>
                    <w:t>不应有气泡、明显的划伤、凹陷、杂质、颜色不均等缺陷。管材两端应切割平整</w:t>
                  </w:r>
                  <w:r>
                    <w:rPr>
                      <w:rFonts w:hint="eastAsia" w:cs="Times New Roman"/>
                      <w:b w:val="0"/>
                      <w:bCs w:val="0"/>
                      <w:color w:val="000000"/>
                      <w:kern w:val="0"/>
                      <w:sz w:val="21"/>
                      <w:szCs w:val="21"/>
                      <w:lang w:val="en-US" w:eastAsia="zh-CN"/>
                    </w:rPr>
                    <w:t>，</w:t>
                  </w:r>
                  <w:r>
                    <w:rPr>
                      <w:rFonts w:hint="eastAsia" w:ascii="Times New Roman" w:hAnsi="Times New Roman" w:eastAsia="宋体" w:cs="Times New Roman"/>
                      <w:b w:val="0"/>
                      <w:bCs w:val="0"/>
                      <w:color w:val="000000"/>
                      <w:kern w:val="0"/>
                      <w:sz w:val="21"/>
                      <w:szCs w:val="21"/>
                      <w:lang w:val="en-US" w:eastAsia="zh-CN"/>
                    </w:rPr>
                    <w:t>并与管材轴线垂直。</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75"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长度</w:t>
                  </w:r>
                </w:p>
              </w:tc>
              <w:tc>
                <w:tcPr>
                  <w:tcW w:w="1244"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bCs w:val="0"/>
                      <w:color w:val="000000"/>
                      <w:kern w:val="0"/>
                      <w:sz w:val="21"/>
                      <w:szCs w:val="21"/>
                      <w:lang w:val="en-US" w:eastAsia="zh-CN"/>
                    </w:rPr>
                  </w:pPr>
                  <w:r>
                    <w:rPr>
                      <w:rFonts w:hint="eastAsia" w:ascii="Times New Roman" w:hAnsi="Times New Roman" w:eastAsia="宋体" w:cs="Times New Roman"/>
                      <w:b w:val="0"/>
                      <w:bCs w:val="0"/>
                      <w:color w:val="000000"/>
                      <w:kern w:val="0"/>
                      <w:sz w:val="21"/>
                      <w:szCs w:val="21"/>
                      <w:lang w:val="en-US" w:eastAsia="zh-CN"/>
                    </w:rPr>
                    <w:t>导管长度L一般为6m或9m，其他长度由供需双方协商确定，导管长度不应有负偏差。</w:t>
                  </w:r>
                </w:p>
              </w:tc>
              <w:tc>
                <w:tcPr>
                  <w:tcW w:w="2157"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bCs w:val="0"/>
                      <w:color w:val="000000"/>
                      <w:kern w:val="0"/>
                      <w:sz w:val="21"/>
                      <w:szCs w:val="21"/>
                      <w:lang w:val="en-US" w:eastAsia="zh-CN"/>
                    </w:rPr>
                  </w:pPr>
                  <w:r>
                    <w:rPr>
                      <w:rFonts w:hint="default" w:ascii="Times New Roman" w:hAnsi="Times New Roman" w:eastAsia="宋体" w:cs="Times New Roman"/>
                      <w:b w:val="0"/>
                      <w:bCs w:val="0"/>
                      <w:color w:val="000000"/>
                      <w:kern w:val="0"/>
                      <w:sz w:val="21"/>
                      <w:szCs w:val="21"/>
                      <w:lang w:val="en-US" w:eastAsia="zh-CN"/>
                    </w:rPr>
                    <w:t>管材长度一般为6m、9m</w:t>
                  </w:r>
                  <w:r>
                    <w:rPr>
                      <w:rFonts w:hint="eastAsia" w:cs="Times New Roman"/>
                      <w:b w:val="0"/>
                      <w:bCs w:val="0"/>
                      <w:color w:val="000000"/>
                      <w:kern w:val="0"/>
                      <w:sz w:val="21"/>
                      <w:szCs w:val="21"/>
                      <w:lang w:val="en-US" w:eastAsia="zh-CN"/>
                    </w:rPr>
                    <w:t>、</w:t>
                  </w:r>
                  <w:r>
                    <w:rPr>
                      <w:rFonts w:hint="default" w:ascii="Times New Roman" w:hAnsi="Times New Roman" w:eastAsia="宋体" w:cs="Times New Roman"/>
                      <w:b w:val="0"/>
                      <w:bCs w:val="0"/>
                      <w:color w:val="000000"/>
                      <w:kern w:val="0"/>
                      <w:sz w:val="21"/>
                      <w:szCs w:val="21"/>
                      <w:lang w:val="en-US" w:eastAsia="zh-CN"/>
                    </w:rPr>
                    <w:t>10m、12m，其他长度由供需双方协商确定</w:t>
                  </w:r>
                  <w:r>
                    <w:rPr>
                      <w:rFonts w:hint="eastAsia" w:ascii="Times New Roman" w:hAnsi="Times New Roman" w:eastAsia="宋体" w:cs="Times New Roman"/>
                      <w:b w:val="0"/>
                      <w:bCs w:val="0"/>
                      <w:color w:val="000000"/>
                      <w:kern w:val="0"/>
                      <w:sz w:val="21"/>
                      <w:szCs w:val="21"/>
                      <w:lang w:val="en-US" w:eastAsia="zh-CN"/>
                    </w:rPr>
                    <w:t>。</w:t>
                  </w:r>
                </w:p>
              </w:tc>
              <w:tc>
                <w:tcPr>
                  <w:tcW w:w="1122" w:type="pct"/>
                  <w:tcBorders>
                    <w:tl2br w:val="nil"/>
                    <w:tr2bl w:val="nil"/>
                  </w:tcBorders>
                  <w:vAlign w:val="center"/>
                </w:tcPr>
                <w:p>
                  <w:pPr>
                    <w:keepNext/>
                    <w:keepLines w:val="0"/>
                    <w:pageBreakBefore w:val="0"/>
                    <w:widowControl/>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b w:val="0"/>
                      <w:bCs w:val="0"/>
                      <w:color w:val="000000"/>
                      <w:kern w:val="0"/>
                      <w:sz w:val="21"/>
                      <w:szCs w:val="21"/>
                      <w:lang w:val="en-US" w:eastAsia="zh-CN"/>
                    </w:rPr>
                  </w:pPr>
                  <w:r>
                    <w:rPr>
                      <w:rFonts w:hint="eastAsia" w:cs="Times New Roman"/>
                      <w:b w:val="0"/>
                      <w:bCs w:val="0"/>
                      <w:color w:val="000000"/>
                      <w:kern w:val="0"/>
                      <w:sz w:val="21"/>
                      <w:szCs w:val="21"/>
                      <w:lang w:val="en-US" w:eastAsia="zh-CN"/>
                    </w:rPr>
                    <w:t>管材长度一般为6m、9m、12m，也可由供需双方商定。长度不应有负偏差</w:t>
                  </w:r>
                </w:p>
              </w:tc>
            </w:tr>
          </w:tbl>
          <w:p>
            <w:pPr>
              <w:keepNext/>
              <w:keepLines w:val="0"/>
              <w:pageBreakBefore w:val="0"/>
              <w:widowControl/>
              <w:kinsoku/>
              <w:wordWrap/>
              <w:overflowPunct/>
              <w:topLinePunct w:val="0"/>
              <w:autoSpaceDE/>
              <w:autoSpaceDN/>
              <w:bidi w:val="0"/>
              <w:rPr>
                <w:b/>
                <w:bCs/>
                <w:color w:val="000000"/>
                <w:kern w:val="0"/>
                <w:sz w:val="24"/>
                <w:szCs w:val="24"/>
              </w:rPr>
            </w:pPr>
            <w:r>
              <w:rPr>
                <w:rFonts w:hint="eastAsia"/>
                <w:b/>
                <w:bCs/>
                <w:color w:val="000000"/>
                <w:kern w:val="0"/>
                <w:sz w:val="24"/>
                <w:szCs w:val="24"/>
              </w:rPr>
              <w:t>3</w:t>
            </w:r>
            <w:r>
              <w:rPr>
                <w:b/>
                <w:bCs/>
                <w:color w:val="000000"/>
                <w:kern w:val="0"/>
                <w:sz w:val="24"/>
                <w:szCs w:val="24"/>
              </w:rPr>
              <w:t>主要生产设施及参数</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highlight w:val="none"/>
              </w:rPr>
            </w:pPr>
            <w:r>
              <w:rPr>
                <w:b/>
                <w:bCs/>
                <w:color w:val="000000"/>
                <w:kern w:val="0"/>
                <w:sz w:val="21"/>
                <w:szCs w:val="21"/>
                <w:highlight w:val="none"/>
              </w:rPr>
              <w:t>表</w:t>
            </w:r>
            <w:r>
              <w:rPr>
                <w:rFonts w:hint="eastAsia"/>
                <w:b/>
                <w:bCs/>
                <w:color w:val="000000"/>
                <w:kern w:val="0"/>
                <w:sz w:val="21"/>
                <w:szCs w:val="21"/>
                <w:highlight w:val="none"/>
                <w:lang w:val="en-US" w:eastAsia="zh-CN"/>
              </w:rPr>
              <w:t>2-4</w:t>
            </w:r>
            <w:r>
              <w:rPr>
                <w:b/>
                <w:bCs/>
                <w:color w:val="000000"/>
                <w:kern w:val="0"/>
                <w:sz w:val="21"/>
                <w:szCs w:val="21"/>
                <w:highlight w:val="none"/>
              </w:rPr>
              <w:t xml:space="preserve">                    项目生产设备设施表</w:t>
            </w:r>
          </w:p>
          <w:tbl>
            <w:tblPr>
              <w:tblStyle w:val="26"/>
              <w:tblW w:w="5063"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34"/>
              <w:gridCol w:w="2129"/>
              <w:gridCol w:w="2507"/>
              <w:gridCol w:w="1395"/>
              <w:gridCol w:w="635"/>
              <w:gridCol w:w="63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134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生产线名称</w:t>
                  </w: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设备名称</w:t>
                  </w:r>
                </w:p>
              </w:tc>
              <w:tc>
                <w:tcPr>
                  <w:tcW w:w="87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型号</w:t>
                  </w: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数量</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1</w:t>
                  </w:r>
                </w:p>
              </w:tc>
              <w:tc>
                <w:tcPr>
                  <w:tcW w:w="1341"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olor w:val="000000"/>
                      <w:kern w:val="0"/>
                      <w:sz w:val="21"/>
                      <w:szCs w:val="21"/>
                    </w:rPr>
                    <w:t>聚乙烯PE给水管</w:t>
                  </w:r>
                  <w:r>
                    <w:rPr>
                      <w:rFonts w:hint="eastAsia"/>
                      <w:color w:val="000000"/>
                      <w:kern w:val="0"/>
                      <w:sz w:val="21"/>
                      <w:szCs w:val="21"/>
                      <w:lang w:eastAsia="zh-CN"/>
                    </w:rPr>
                    <w:t>、</w:t>
                  </w:r>
                  <w:r>
                    <w:rPr>
                      <w:rFonts w:hint="eastAsia"/>
                      <w:color w:val="000000"/>
                      <w:kern w:val="0"/>
                      <w:sz w:val="21"/>
                      <w:szCs w:val="21"/>
                    </w:rPr>
                    <w:t>MPP电力管</w:t>
                  </w:r>
                  <w:r>
                    <w:rPr>
                      <w:rFonts w:hint="eastAsia"/>
                      <w:color w:val="000000"/>
                      <w:kern w:val="0"/>
                      <w:sz w:val="21"/>
                      <w:szCs w:val="21"/>
                      <w:lang w:val="en-US" w:eastAsia="zh-CN"/>
                    </w:rPr>
                    <w:t>生产线</w:t>
                  </w: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加料机</w:t>
                  </w:r>
                </w:p>
              </w:tc>
              <w:tc>
                <w:tcPr>
                  <w:tcW w:w="878"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rPr>
                    <w:t>JWG-MPP/PE315</w:t>
                  </w: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2</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r>
                    <w:rPr>
                      <w:rFonts w:hint="eastAsia" w:cs="Times New Roman"/>
                      <w:color w:val="000000"/>
                      <w:kern w:val="0"/>
                      <w:sz w:val="21"/>
                      <w:szCs w:val="21"/>
                      <w:lang w:val="en-US" w:eastAsia="zh-CN"/>
                    </w:rPr>
                    <w:t>搅拌机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3</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default" w:ascii="Times New Roman" w:hAnsi="Times New Roman" w:eastAsia="宋体" w:cs="Times New Roman"/>
                      <w:color w:val="000000"/>
                      <w:kern w:val="0"/>
                      <w:sz w:val="21"/>
                      <w:szCs w:val="21"/>
                    </w:rPr>
                    <w:t>挤出机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4</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管型成型机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5</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牵引机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6</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rPr>
                    <w:t>无屑切割机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7</w:t>
                  </w:r>
                </w:p>
              </w:tc>
              <w:tc>
                <w:tcPr>
                  <w:tcW w:w="1341"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olor w:val="000000"/>
                      <w:kern w:val="0"/>
                      <w:sz w:val="21"/>
                      <w:szCs w:val="21"/>
                    </w:rPr>
                    <w:t>钢带波纹管</w:t>
                  </w:r>
                  <w:r>
                    <w:rPr>
                      <w:rFonts w:hint="eastAsia"/>
                      <w:color w:val="000000"/>
                      <w:kern w:val="0"/>
                      <w:sz w:val="21"/>
                      <w:szCs w:val="21"/>
                      <w:lang w:val="en-US" w:eastAsia="zh-CN"/>
                    </w:rPr>
                    <w:t>生产线</w:t>
                  </w: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加料机</w:t>
                  </w:r>
                </w:p>
              </w:tc>
              <w:tc>
                <w:tcPr>
                  <w:tcW w:w="878"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w:t>
                  </w: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8</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p>
              </w:tc>
              <w:tc>
                <w:tcPr>
                  <w:tcW w:w="157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搅拌机</w:t>
                  </w:r>
                </w:p>
              </w:tc>
              <w:tc>
                <w:tcPr>
                  <w:tcW w:w="878" w:type="pct"/>
                  <w:vMerge w:val="continue"/>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p>
              </w:tc>
              <w:tc>
                <w:tcPr>
                  <w:tcW w:w="40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套</w:t>
                  </w:r>
                </w:p>
              </w:tc>
              <w:tc>
                <w:tcPr>
                  <w:tcW w:w="4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9</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挤出机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10</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缠绕机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11</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预热机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12</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覆膜机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13</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压弯机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14</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r>
                    <w:rPr>
                      <w:rFonts w:hint="eastAsia" w:cs="Times New Roman"/>
                      <w:color w:val="000000"/>
                      <w:kern w:val="0"/>
                      <w:sz w:val="21"/>
                      <w:szCs w:val="21"/>
                      <w:lang w:val="en-US" w:eastAsia="zh-CN"/>
                    </w:rPr>
                    <w:t>牵引机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15</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r>
                    <w:rPr>
                      <w:rFonts w:hint="eastAsia" w:cs="Times New Roman"/>
                      <w:color w:val="000000"/>
                      <w:kern w:val="0"/>
                      <w:sz w:val="21"/>
                      <w:szCs w:val="21"/>
                      <w:lang w:val="en-US" w:eastAsia="zh-CN"/>
                    </w:rPr>
                    <w:t>无屑切割机</w:t>
                  </w:r>
                </w:p>
              </w:tc>
              <w:tc>
                <w:tcPr>
                  <w:tcW w:w="878"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16</w:t>
                  </w:r>
                </w:p>
              </w:tc>
              <w:tc>
                <w:tcPr>
                  <w:tcW w:w="1341"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通用设备</w:t>
                  </w: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rPr>
                  </w:pPr>
                  <w:r>
                    <w:rPr>
                      <w:rFonts w:hint="eastAsia" w:cs="Times New Roman"/>
                      <w:color w:val="000000"/>
                      <w:kern w:val="0"/>
                      <w:sz w:val="21"/>
                      <w:szCs w:val="21"/>
                      <w:lang w:val="en-US" w:eastAsia="zh-CN"/>
                    </w:rPr>
                    <w:t>冷却塔</w:t>
                  </w:r>
                </w:p>
              </w:tc>
              <w:tc>
                <w:tcPr>
                  <w:tcW w:w="87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9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17</w:t>
                  </w:r>
                </w:p>
              </w:tc>
              <w:tc>
                <w:tcPr>
                  <w:tcW w:w="1341"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p>
              </w:tc>
              <w:tc>
                <w:tcPr>
                  <w:tcW w:w="1579"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二级活性炭装置</w:t>
                  </w:r>
                </w:p>
              </w:tc>
              <w:tc>
                <w:tcPr>
                  <w:tcW w:w="878"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cs="Times New Roman"/>
                      <w:color w:val="000000"/>
                      <w:kern w:val="0"/>
                      <w:sz w:val="21"/>
                      <w:szCs w:val="21"/>
                      <w:lang w:val="en-US" w:eastAsia="zh-CN"/>
                    </w:rPr>
                  </w:pPr>
                  <w:r>
                    <w:rPr>
                      <w:rFonts w:hint="eastAsia" w:cs="Times New Roman"/>
                      <w:color w:val="000000"/>
                      <w:kern w:val="0"/>
                      <w:sz w:val="21"/>
                      <w:szCs w:val="21"/>
                      <w:lang w:val="en-US" w:eastAsia="zh-CN"/>
                    </w:rPr>
                    <w:t>/</w:t>
                  </w:r>
                </w:p>
              </w:tc>
              <w:tc>
                <w:tcPr>
                  <w:tcW w:w="40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套</w:t>
                  </w:r>
                </w:p>
              </w:tc>
              <w:tc>
                <w:tcPr>
                  <w:tcW w:w="4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2</w:t>
                  </w:r>
                </w:p>
              </w:tc>
            </w:tr>
          </w:tbl>
          <w:p>
            <w:pPr>
              <w:keepNext/>
              <w:keepLines w:val="0"/>
              <w:pageBreakBefore w:val="0"/>
              <w:widowControl/>
              <w:kinsoku/>
              <w:wordWrap/>
              <w:overflowPunct/>
              <w:topLinePunct w:val="0"/>
              <w:autoSpaceDE/>
              <w:autoSpaceDN/>
              <w:bidi w:val="0"/>
              <w:rPr>
                <w:b/>
                <w:bCs/>
                <w:color w:val="000000"/>
                <w:kern w:val="0"/>
                <w:sz w:val="21"/>
                <w:szCs w:val="21"/>
              </w:rPr>
            </w:pPr>
            <w:r>
              <w:rPr>
                <w:rFonts w:hint="eastAsia"/>
                <w:b/>
                <w:bCs/>
                <w:color w:val="000000"/>
                <w:kern w:val="0"/>
                <w:sz w:val="21"/>
                <w:szCs w:val="21"/>
              </w:rPr>
              <w:t>4</w:t>
            </w:r>
            <w:r>
              <w:rPr>
                <w:b/>
                <w:bCs/>
                <w:color w:val="000000"/>
                <w:kern w:val="0"/>
                <w:sz w:val="21"/>
                <w:szCs w:val="21"/>
              </w:rPr>
              <w:t>主要原辅材料及种类</w:t>
            </w:r>
          </w:p>
          <w:p>
            <w:pPr>
              <w:keepNext/>
              <w:keepLines w:val="0"/>
              <w:pageBreakBefore w:val="0"/>
              <w:widowControl/>
              <w:kinsoku/>
              <w:wordWrap/>
              <w:overflowPunct/>
              <w:topLinePunct w:val="0"/>
              <w:autoSpaceDE/>
              <w:autoSpaceDN/>
              <w:bidi w:val="0"/>
              <w:ind w:firstLine="480" w:firstLineChars="200"/>
              <w:rPr>
                <w:color w:val="000000"/>
                <w:kern w:val="0"/>
              </w:rPr>
            </w:pPr>
            <w:r>
              <w:rPr>
                <w:color w:val="000000"/>
                <w:kern w:val="0"/>
              </w:rPr>
              <w:t>项目主要原辅料及燃料种类见表</w:t>
            </w:r>
            <w:r>
              <w:rPr>
                <w:rFonts w:hint="eastAsia"/>
                <w:color w:val="000000"/>
                <w:kern w:val="0"/>
                <w:lang w:val="en-US" w:eastAsia="zh-CN"/>
              </w:rPr>
              <w:t>2-5</w:t>
            </w:r>
            <w:r>
              <w:rPr>
                <w:color w:val="000000"/>
                <w:kern w:val="0"/>
              </w:rPr>
              <w:t>。</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kern w:val="0"/>
                <w:sz w:val="21"/>
                <w:szCs w:val="21"/>
                <w:highlight w:val="none"/>
              </w:rPr>
            </w:pPr>
            <w:r>
              <w:rPr>
                <w:b/>
                <w:bCs/>
                <w:color w:val="000000"/>
                <w:kern w:val="0"/>
                <w:sz w:val="21"/>
                <w:szCs w:val="21"/>
                <w:highlight w:val="none"/>
              </w:rPr>
              <w:t>表</w:t>
            </w:r>
            <w:r>
              <w:rPr>
                <w:rFonts w:hint="eastAsia"/>
                <w:b/>
                <w:bCs/>
                <w:color w:val="000000"/>
                <w:kern w:val="0"/>
                <w:sz w:val="21"/>
                <w:szCs w:val="21"/>
                <w:highlight w:val="none"/>
                <w:lang w:val="en-US" w:eastAsia="zh-CN"/>
              </w:rPr>
              <w:t>2-5</w:t>
            </w:r>
            <w:r>
              <w:rPr>
                <w:b/>
                <w:bCs/>
                <w:color w:val="000000"/>
                <w:kern w:val="0"/>
                <w:sz w:val="21"/>
                <w:szCs w:val="21"/>
                <w:highlight w:val="none"/>
              </w:rPr>
              <w:t xml:space="preserve">                 主要原辅材料种类表</w:t>
            </w:r>
          </w:p>
          <w:tbl>
            <w:tblPr>
              <w:tblStyle w:val="26"/>
              <w:tblW w:w="5061" w:type="pct"/>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287"/>
              <w:gridCol w:w="1054"/>
              <w:gridCol w:w="1054"/>
              <w:gridCol w:w="1002"/>
              <w:gridCol w:w="1439"/>
              <w:gridCol w:w="1440"/>
              <w:gridCol w:w="1659"/>
            </w:tblGrid>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序号</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rPr>
                    <w:t>生产线名称</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原料名称</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单位</w:t>
                  </w:r>
                </w:p>
              </w:tc>
              <w:tc>
                <w:tcPr>
                  <w:tcW w:w="906"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用量</w:t>
                  </w:r>
                </w:p>
              </w:tc>
              <w:tc>
                <w:tcPr>
                  <w:tcW w:w="907"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性状</w:t>
                  </w:r>
                </w:p>
              </w:tc>
              <w:tc>
                <w:tcPr>
                  <w:tcW w:w="104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包装形式</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1</w:t>
                  </w:r>
                </w:p>
              </w:tc>
              <w:tc>
                <w:tcPr>
                  <w:tcW w:w="664"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olor w:val="000000"/>
                      <w:kern w:val="0"/>
                      <w:sz w:val="21"/>
                      <w:szCs w:val="21"/>
                    </w:rPr>
                    <w:t>聚乙烯PE给水管</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olor w:val="000000"/>
                      <w:kern w:val="0"/>
                      <w:sz w:val="21"/>
                      <w:szCs w:val="21"/>
                      <w:lang w:val="en-US" w:eastAsia="zh-CN"/>
                    </w:rPr>
                    <w:t>高密度</w:t>
                  </w:r>
                  <w:r>
                    <w:rPr>
                      <w:rFonts w:hint="eastAsia"/>
                      <w:color w:val="000000"/>
                      <w:kern w:val="0"/>
                      <w:sz w:val="21"/>
                      <w:szCs w:val="21"/>
                    </w:rPr>
                    <w:t>聚乙烯</w:t>
                  </w:r>
                  <w:r>
                    <w:rPr>
                      <w:rFonts w:hint="eastAsia"/>
                      <w:color w:val="000000"/>
                      <w:kern w:val="0"/>
                      <w:sz w:val="21"/>
                      <w:szCs w:val="21"/>
                      <w:lang w:val="en-US" w:eastAsia="zh-CN"/>
                    </w:rPr>
                    <w:t>树脂</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134.2</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2</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ascii="Times New Roman" w:hAnsi="Times New Roman" w:eastAsia="宋体" w:cs="Times New Roman"/>
                      <w:color w:val="000000"/>
                      <w:kern w:val="0"/>
                      <w:sz w:val="21"/>
                      <w:szCs w:val="21"/>
                      <w:lang w:eastAsia="zh-CN"/>
                    </w:rPr>
                  </w:pPr>
                  <w:r>
                    <w:rPr>
                      <w:rFonts w:hint="eastAsia" w:cs="Times New Roman"/>
                      <w:color w:val="000000"/>
                      <w:kern w:val="0"/>
                      <w:sz w:val="21"/>
                      <w:szCs w:val="21"/>
                      <w:lang w:val="en-US" w:eastAsia="zh-CN" w:bidi="ar"/>
                    </w:rPr>
                    <w:t>色母</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906"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1.203</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rPr>
                    <w:t>3</w:t>
                  </w:r>
                </w:p>
              </w:tc>
              <w:tc>
                <w:tcPr>
                  <w:tcW w:w="664"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color w:val="000000"/>
                      <w:kern w:val="0"/>
                      <w:sz w:val="21"/>
                      <w:szCs w:val="21"/>
                    </w:rPr>
                    <w:t>钢带波纹管</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color w:val="000000"/>
                      <w:kern w:val="0"/>
                      <w:sz w:val="21"/>
                      <w:szCs w:val="21"/>
                    </w:rPr>
                  </w:pPr>
                  <w:r>
                    <w:rPr>
                      <w:rFonts w:hint="eastAsia" w:cs="Times New Roman"/>
                      <w:color w:val="000000"/>
                      <w:kern w:val="0"/>
                      <w:sz w:val="21"/>
                      <w:szCs w:val="21"/>
                      <w:lang w:val="en-US" w:eastAsia="zh-CN" w:bidi="ar"/>
                    </w:rPr>
                    <w:t>冷轧钢带</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461.617</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bidi="ar-SA"/>
                    </w:rPr>
                    <w:t>固态</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捆装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4</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rPr>
                    <w:t>消泡剂</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0.5</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5</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色母</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2</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6</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color w:val="000000"/>
                      <w:kern w:val="0"/>
                      <w:sz w:val="21"/>
                      <w:szCs w:val="21"/>
                      <w:lang w:val="en-US" w:eastAsia="zh-CN" w:bidi="ar"/>
                    </w:rPr>
                  </w:pPr>
                  <w:r>
                    <w:rPr>
                      <w:rFonts w:hint="eastAsia" w:cs="Times New Roman"/>
                      <w:color w:val="000000"/>
                      <w:kern w:val="0"/>
                      <w:sz w:val="21"/>
                      <w:szCs w:val="21"/>
                      <w:lang w:val="en-US" w:eastAsia="zh-CN" w:bidi="ar"/>
                    </w:rPr>
                    <w:t>粘接树脂</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96</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ascii="Times New Roman" w:hAnsi="Times New Roman" w:eastAsia="宋体" w:cs="Times New Roman"/>
                      <w:color w:val="000000"/>
                      <w:kern w:val="0"/>
                      <w:sz w:val="21"/>
                      <w:szCs w:val="21"/>
                      <w:lang w:val="en-US" w:eastAsia="zh-CN"/>
                    </w:rPr>
                    <w:t>7</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cs="Times New Roman"/>
                      <w:color w:val="000000"/>
                      <w:kern w:val="0"/>
                      <w:sz w:val="21"/>
                      <w:szCs w:val="21"/>
                      <w:lang w:val="en-US" w:eastAsia="zh-CN" w:bidi="ar"/>
                    </w:rPr>
                  </w:pPr>
                  <w:r>
                    <w:rPr>
                      <w:rFonts w:hint="eastAsia" w:cs="Times New Roman"/>
                      <w:color w:val="000000"/>
                      <w:kern w:val="0"/>
                      <w:sz w:val="21"/>
                      <w:szCs w:val="21"/>
                      <w:lang w:val="en-US" w:eastAsia="zh-CN" w:bidi="ar"/>
                    </w:rPr>
                    <w:t>钢带专用PE</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666</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8</w:t>
                  </w:r>
                </w:p>
              </w:tc>
              <w:tc>
                <w:tcPr>
                  <w:tcW w:w="664" w:type="pct"/>
                  <w:vMerge w:val="restar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color w:val="000000"/>
                      <w:kern w:val="0"/>
                      <w:sz w:val="21"/>
                      <w:szCs w:val="21"/>
                    </w:rPr>
                    <w:t>MPP电力管</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s="Times New Roman"/>
                      <w:color w:val="000000"/>
                      <w:kern w:val="0"/>
                      <w:sz w:val="21"/>
                      <w:szCs w:val="21"/>
                      <w:lang w:val="en-US" w:eastAsia="zh-CN" w:bidi="ar"/>
                    </w:rPr>
                  </w:pPr>
                  <w:r>
                    <w:rPr>
                      <w:rFonts w:hint="eastAsia"/>
                      <w:color w:val="000000"/>
                      <w:kern w:val="0"/>
                      <w:sz w:val="21"/>
                      <w:szCs w:val="21"/>
                    </w:rPr>
                    <w:t>聚</w:t>
                  </w:r>
                  <w:r>
                    <w:rPr>
                      <w:rFonts w:hint="eastAsia"/>
                      <w:color w:val="000000"/>
                      <w:kern w:val="0"/>
                      <w:sz w:val="21"/>
                      <w:szCs w:val="21"/>
                      <w:lang w:val="en-US" w:eastAsia="zh-CN"/>
                    </w:rPr>
                    <w:t>丙</w:t>
                  </w:r>
                  <w:r>
                    <w:rPr>
                      <w:rFonts w:hint="eastAsia"/>
                      <w:color w:val="000000"/>
                      <w:kern w:val="0"/>
                      <w:sz w:val="21"/>
                      <w:szCs w:val="21"/>
                    </w:rPr>
                    <w:t>烯</w:t>
                  </w:r>
                  <w:r>
                    <w:rPr>
                      <w:rFonts w:hint="eastAsia"/>
                      <w:color w:val="000000"/>
                      <w:kern w:val="0"/>
                      <w:sz w:val="21"/>
                      <w:szCs w:val="21"/>
                      <w:lang w:val="en-US" w:eastAsia="zh-CN"/>
                    </w:rPr>
                    <w:t>树脂</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color w:val="000000"/>
                      <w:kern w:val="0"/>
                      <w:sz w:val="21"/>
                      <w:szCs w:val="21"/>
                      <w:lang w:val="en-US" w:eastAsia="zh-CN" w:bidi="ar-SA"/>
                    </w:rPr>
                  </w:pPr>
                  <w:r>
                    <w:rPr>
                      <w:rFonts w:hint="eastAsia" w:cs="Times New Roman"/>
                      <w:b w:val="0"/>
                      <w:bCs w:val="0"/>
                      <w:color w:val="000000" w:themeColor="text1"/>
                      <w:kern w:val="2"/>
                      <w:sz w:val="21"/>
                      <w:szCs w:val="21"/>
                      <w:lang w:val="en-US" w:eastAsia="zh-CN" w:bidi="ar-SA"/>
                      <w14:textFill>
                        <w14:solidFill>
                          <w14:schemeClr w14:val="tx1"/>
                        </w14:solidFill>
                      </w14:textFill>
                    </w:rPr>
                    <w:t>548.923</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9</w:t>
                  </w:r>
                </w:p>
              </w:tc>
              <w:tc>
                <w:tcPr>
                  <w:tcW w:w="664" w:type="pct"/>
                  <w:vMerge w:val="continue"/>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s="Times New Roman"/>
                      <w:color w:val="000000"/>
                      <w:kern w:val="0"/>
                      <w:sz w:val="21"/>
                      <w:szCs w:val="21"/>
                      <w:lang w:val="en-US" w:eastAsia="zh-CN" w:bidi="ar"/>
                    </w:rPr>
                  </w:pPr>
                  <w:r>
                    <w:rPr>
                      <w:rFonts w:hint="eastAsia" w:cs="Times New Roman"/>
                      <w:color w:val="000000"/>
                      <w:kern w:val="0"/>
                      <w:sz w:val="21"/>
                      <w:szCs w:val="21"/>
                      <w:lang w:val="en-US" w:eastAsia="zh-CN" w:bidi="ar"/>
                    </w:rPr>
                    <w:t>色母</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t/a</w:t>
                  </w:r>
                </w:p>
              </w:tc>
              <w:tc>
                <w:tcPr>
                  <w:tcW w:w="906"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color w:val="000000" w:themeColor="text1"/>
                      <w:kern w:val="2"/>
                      <w:sz w:val="21"/>
                      <w:szCs w:val="21"/>
                      <w:lang w:val="en-US" w:eastAsia="zh-CN" w:bidi="ar-SA"/>
                      <w14:textFill>
                        <w14:solidFill>
                          <w14:schemeClr w14:val="tx1"/>
                        </w14:solidFill>
                      </w14:textFill>
                    </w:rPr>
                    <w:t>1.5</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颗粒</w:t>
                  </w:r>
                </w:p>
              </w:tc>
              <w:tc>
                <w:tcPr>
                  <w:tcW w:w="1045"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袋装</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11</w:t>
                  </w:r>
                </w:p>
              </w:tc>
              <w:tc>
                <w:tcPr>
                  <w:tcW w:w="664"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ascii="Times New Roman" w:hAnsi="Times New Roman" w:eastAsia="宋体" w:cs="Times New Roman"/>
                      <w:color w:val="000000"/>
                      <w:kern w:val="0"/>
                      <w:sz w:val="21"/>
                      <w:szCs w:val="21"/>
                      <w:lang w:val="en-US" w:eastAsia="zh-CN" w:bidi="ar-SA"/>
                    </w:rPr>
                    <w:t>/</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电</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rPr>
                  </w:pPr>
                  <w:r>
                    <w:rPr>
                      <w:rFonts w:hint="default" w:ascii="Times New Roman" w:hAnsi="Times New Roman" w:eastAsia="宋体" w:cs="Times New Roman"/>
                      <w:color w:val="000000"/>
                      <w:kern w:val="0"/>
                      <w:sz w:val="21"/>
                      <w:szCs w:val="21"/>
                    </w:rPr>
                    <w:t>万</w:t>
                  </w:r>
                  <w:r>
                    <w:rPr>
                      <w:rFonts w:hint="default" w:ascii="Times New Roman" w:hAnsi="Times New Roman" w:eastAsia="宋体" w:cs="Times New Roman"/>
                      <w:color w:val="000000"/>
                      <w:kern w:val="0"/>
                      <w:sz w:val="21"/>
                      <w:szCs w:val="21"/>
                      <w:lang w:val="en-US" w:eastAsia="zh-CN"/>
                    </w:rPr>
                    <w:t>kW</w:t>
                  </w:r>
                  <w:r>
                    <w:rPr>
                      <w:rFonts w:hint="default" w:ascii="Times New Roman" w:hAnsi="Times New Roman" w:eastAsia="宋体" w:cs="Times New Roman"/>
                      <w:color w:val="000000"/>
                      <w:kern w:val="0"/>
                      <w:sz w:val="21"/>
                      <w:szCs w:val="21"/>
                    </w:rPr>
                    <w:t>·h</w:t>
                  </w:r>
                </w:p>
              </w:tc>
              <w:tc>
                <w:tcPr>
                  <w:tcW w:w="906"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80</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w:t>
                  </w:r>
                </w:p>
              </w:tc>
              <w:tc>
                <w:tcPr>
                  <w:tcW w:w="104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r>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0"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12</w:t>
                  </w:r>
                </w:p>
              </w:tc>
              <w:tc>
                <w:tcPr>
                  <w:tcW w:w="664"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
                    </w:rPr>
                  </w:pPr>
                  <w:r>
                    <w:rPr>
                      <w:rFonts w:hint="eastAsia" w:ascii="Times New Roman" w:hAnsi="Times New Roman" w:eastAsia="宋体" w:cs="Times New Roman"/>
                      <w:color w:val="000000"/>
                      <w:kern w:val="0"/>
                      <w:sz w:val="21"/>
                      <w:szCs w:val="21"/>
                      <w:lang w:val="en-US" w:eastAsia="zh-CN" w:bidi="ar"/>
                    </w:rPr>
                    <w:t>/</w:t>
                  </w:r>
                </w:p>
              </w:tc>
              <w:tc>
                <w:tcPr>
                  <w:tcW w:w="664"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水</w:t>
                  </w:r>
                </w:p>
              </w:tc>
              <w:tc>
                <w:tcPr>
                  <w:tcW w:w="63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default" w:ascii="Times New Roman" w:hAnsi="Times New Roman" w:eastAsia="宋体" w:cs="Times New Roman"/>
                      <w:color w:val="000000"/>
                      <w:kern w:val="0"/>
                      <w:sz w:val="21"/>
                      <w:szCs w:val="21"/>
                      <w:lang w:val="en-US" w:eastAsia="zh-CN"/>
                    </w:rPr>
                    <w:t>m</w:t>
                  </w:r>
                  <w:r>
                    <w:rPr>
                      <w:rFonts w:hint="default" w:ascii="Times New Roman" w:hAnsi="Times New Roman" w:eastAsia="宋体" w:cs="Times New Roman"/>
                      <w:color w:val="000000"/>
                      <w:kern w:val="0"/>
                      <w:sz w:val="21"/>
                      <w:szCs w:val="21"/>
                      <w:vertAlign w:val="superscript"/>
                      <w:lang w:val="en-US" w:eastAsia="zh-CN"/>
                    </w:rPr>
                    <w:t>3</w:t>
                  </w:r>
                  <w:r>
                    <w:rPr>
                      <w:rFonts w:hint="default" w:ascii="Times New Roman" w:hAnsi="Times New Roman" w:eastAsia="宋体" w:cs="Times New Roman"/>
                      <w:color w:val="000000"/>
                      <w:kern w:val="0"/>
                      <w:sz w:val="21"/>
                      <w:szCs w:val="21"/>
                      <w:lang w:val="en-US" w:eastAsia="zh-CN"/>
                    </w:rPr>
                    <w:t>/a</w:t>
                  </w:r>
                </w:p>
              </w:tc>
              <w:tc>
                <w:tcPr>
                  <w:tcW w:w="906"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bidi="ar-SA"/>
                    </w:rPr>
                  </w:pPr>
                  <w:r>
                    <w:rPr>
                      <w:rFonts w:hint="eastAsia" w:cs="Times New Roman"/>
                      <w:color w:val="000000"/>
                      <w:kern w:val="0"/>
                      <w:sz w:val="21"/>
                      <w:szCs w:val="21"/>
                      <w:lang w:val="en-US" w:eastAsia="zh-CN"/>
                    </w:rPr>
                    <w:t>2404.08</w:t>
                  </w:r>
                </w:p>
              </w:tc>
              <w:tc>
                <w:tcPr>
                  <w:tcW w:w="907"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color w:val="000000"/>
                      <w:kern w:val="0"/>
                      <w:sz w:val="21"/>
                      <w:szCs w:val="21"/>
                      <w:lang w:val="en-US" w:eastAsia="zh-CN" w:bidi="ar-SA"/>
                    </w:rPr>
                  </w:pPr>
                  <w:r>
                    <w:rPr>
                      <w:rFonts w:hint="default" w:ascii="Times New Roman" w:hAnsi="Times New Roman" w:eastAsia="宋体" w:cs="Times New Roman"/>
                      <w:color w:val="000000"/>
                      <w:kern w:val="0"/>
                      <w:sz w:val="21"/>
                      <w:szCs w:val="21"/>
                      <w:lang w:val="en-US" w:eastAsia="zh-CN"/>
                    </w:rPr>
                    <w:t>/</w:t>
                  </w:r>
                </w:p>
              </w:tc>
              <w:tc>
                <w:tcPr>
                  <w:tcW w:w="1045"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color w:val="000000"/>
                      <w:kern w:val="0"/>
                      <w:sz w:val="21"/>
                      <w:szCs w:val="21"/>
                      <w:lang w:val="en-US" w:eastAsia="zh-CN"/>
                    </w:rPr>
                  </w:pPr>
                  <w:r>
                    <w:rPr>
                      <w:rFonts w:hint="eastAsia" w:cs="Times New Roman"/>
                      <w:color w:val="000000"/>
                      <w:kern w:val="0"/>
                      <w:sz w:val="21"/>
                      <w:szCs w:val="21"/>
                      <w:lang w:val="en-US" w:eastAsia="zh-CN"/>
                    </w:rPr>
                    <w:t>/</w:t>
                  </w:r>
                </w:p>
              </w:tc>
            </w:tr>
          </w:tbl>
          <w:p>
            <w:pPr>
              <w:pStyle w:val="35"/>
              <w:keepNext/>
              <w:keepLines w:val="0"/>
              <w:pageBreakBefore w:val="0"/>
              <w:widowControl/>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高密度聚乙烯：HDPE是一种结晶度高、非极性的热塑性树脂。无毒，无味，无臭的白色颗粒，熔点为130℃，分解温度为300℃。相对密度为0.946～0.976g/cm</w:t>
            </w:r>
            <w:r>
              <w:rPr>
                <w:rFonts w:hint="default" w:ascii="Times New Roman" w:hAnsi="Times New Roman" w:eastAsia="宋体" w:cs="Times New Roman"/>
                <w:sz w:val="24"/>
                <w:szCs w:val="24"/>
                <w:vertAlign w:val="superscript"/>
                <w:lang w:val="en-US" w:eastAsia="zh-CN"/>
              </w:rPr>
              <w:t>3</w:t>
            </w:r>
            <w:r>
              <w:rPr>
                <w:rFonts w:hint="default" w:ascii="Times New Roman" w:hAnsi="Times New Roman" w:eastAsia="宋体" w:cs="Times New Roman"/>
                <w:sz w:val="24"/>
                <w:szCs w:val="24"/>
                <w:lang w:val="en-US" w:eastAsia="zh-CN"/>
              </w:rPr>
              <w:t>，它具有良好的耐热性和耐寒性，化学稳定性好，还具有较高的刚性和韧性，机械强度好，介电性能，耐环境应力开裂性亦较好。</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色母：全称叫色母粒，也叫色种，是一种新型高分子材料专用着色剂，亦称颜料制备物。无毒。色母主要用在塑料上。色母粒是由载体树脂、填料和各种助剂组成的。母料中助剂的限度或填料的含量比实际塑料制品中的需要量要高数倍至十几倍。在成型加工过程中，必须根据母料中有关组分的含量和实际制品中需要加入的量，调节母料与基体树脂的配比。</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b w:val="0"/>
                <w:bCs w:val="0"/>
                <w:color w:val="000000"/>
                <w:kern w:val="0"/>
                <w:sz w:val="24"/>
                <w:szCs w:val="24"/>
                <w:lang w:val="en-US" w:eastAsia="zh-CN" w:bidi="ar"/>
              </w:rPr>
              <w:t>聚丙烯树脂：</w:t>
            </w:r>
            <w:r>
              <w:rPr>
                <w:rFonts w:hint="default" w:ascii="Times New Roman" w:hAnsi="Times New Roman" w:eastAsia="宋体" w:cs="Times New Roman"/>
                <w:color w:val="000000"/>
                <w:kern w:val="0"/>
                <w:sz w:val="24"/>
                <w:szCs w:val="24"/>
                <w:lang w:val="en-US" w:eastAsia="zh-CN" w:bidi="ar"/>
              </w:rPr>
              <w:t>聚丙烯，英文名称：Polypropylene（PP)，分子式：(C</w:t>
            </w:r>
            <w:r>
              <w:rPr>
                <w:rFonts w:hint="default" w:ascii="Times New Roman" w:hAnsi="Times New Roman" w:eastAsia="宋体" w:cs="Times New Roman"/>
                <w:color w:val="000000"/>
                <w:kern w:val="0"/>
                <w:sz w:val="24"/>
                <w:szCs w:val="24"/>
                <w:vertAlign w:val="subscript"/>
                <w:lang w:val="en-US" w:eastAsia="zh-CN" w:bidi="ar"/>
              </w:rPr>
              <w:t>3</w:t>
            </w:r>
            <w:r>
              <w:rPr>
                <w:rFonts w:hint="default" w:ascii="Times New Roman" w:hAnsi="Times New Roman" w:eastAsia="宋体" w:cs="Times New Roman"/>
                <w:color w:val="000000"/>
                <w:kern w:val="0"/>
                <w:sz w:val="24"/>
                <w:szCs w:val="24"/>
                <w:lang w:val="en-US" w:eastAsia="zh-CN" w:bidi="ar"/>
              </w:rPr>
              <w:t>H</w:t>
            </w:r>
            <w:r>
              <w:rPr>
                <w:rFonts w:hint="default" w:ascii="Times New Roman" w:hAnsi="Times New Roman" w:eastAsia="宋体" w:cs="Times New Roman"/>
                <w:color w:val="000000"/>
                <w:kern w:val="0"/>
                <w:sz w:val="24"/>
                <w:szCs w:val="24"/>
                <w:vertAlign w:val="subscript"/>
                <w:lang w:val="en-US" w:eastAsia="zh-CN" w:bidi="ar"/>
              </w:rPr>
              <w:t>6</w:t>
            </w:r>
            <w:r>
              <w:rPr>
                <w:rFonts w:hint="default" w:ascii="Times New Roman" w:hAnsi="Times New Roman" w:eastAsia="宋体" w:cs="Times New Roman"/>
                <w:color w:val="000000"/>
                <w:kern w:val="0"/>
                <w:sz w:val="24"/>
                <w:szCs w:val="24"/>
                <w:lang w:val="en-US" w:eastAsia="zh-CN" w:bidi="ar"/>
              </w:rPr>
              <w:t>)n。是由丙烯聚合而制得的一种热塑性树脂。无毒、无味，密度小，强度、刚度、硬度耐热性均优于低压聚乙烯</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可在100℃左右使用，是目前所有塑料中</w:t>
            </w:r>
            <w:r>
              <w:rPr>
                <w:rFonts w:hint="eastAsia" w:cs="Times New Roman"/>
                <w:color w:val="000000"/>
                <w:kern w:val="0"/>
                <w:sz w:val="24"/>
                <w:szCs w:val="24"/>
                <w:lang w:val="en-US" w:eastAsia="zh-CN" w:bidi="ar"/>
              </w:rPr>
              <w:t>最</w:t>
            </w:r>
            <w:r>
              <w:rPr>
                <w:rFonts w:hint="default" w:ascii="Times New Roman" w:hAnsi="Times New Roman" w:eastAsia="宋体" w:cs="Times New Roman"/>
                <w:color w:val="000000"/>
                <w:kern w:val="0"/>
                <w:sz w:val="24"/>
                <w:szCs w:val="24"/>
                <w:lang w:val="en-US" w:eastAsia="zh-CN" w:bidi="ar"/>
              </w:rPr>
              <w:t>轻的品种之一。熔化温度：熔点为189℃，分解温度为&gt;350℃。具有良好的电性能和高频绝缘性不受湿度影响，但低温时变脆、不耐磨、易老化。适于制作一般机械零件、耐腐蚀零件和绝缘零件。</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PE：聚乙烯（polyethylene，简称PE）是乙烯经聚合制得的一种热塑性树脂；由乙烯聚合而成的高分子化合物。为无毒、无味的白色颗粒，外观呈乳白色，有似蜡的手感，吸水率低，小于0.01%。聚乙烯膜透明，并随结晶度的提高而降低。聚乙烯膜的透水率低但透气性较大，不适于保鲜包装而适于防潮包装。易燃、氧指数为17.4，燃烧时低烟，有少量熔融落滴，火焰上黄下蓝，有石蜡气味。熔点92℃，分解温度300℃。</w:t>
            </w:r>
          </w:p>
          <w:p>
            <w:pPr>
              <w:keepNext w:val="0"/>
              <w:keepLines w:val="0"/>
              <w:widowControl/>
              <w:suppressLineNumbers w:val="0"/>
              <w:ind w:firstLine="480" w:firstLineChars="200"/>
              <w:jc w:val="left"/>
            </w:pPr>
            <w:r>
              <w:rPr>
                <w:rFonts w:hint="default" w:ascii="Times New Roman" w:hAnsi="Times New Roman" w:eastAsia="宋体" w:cs="Times New Roman"/>
                <w:color w:val="000000"/>
                <w:kern w:val="0"/>
                <w:sz w:val="24"/>
                <w:szCs w:val="24"/>
                <w:lang w:val="en-US" w:eastAsia="zh-CN" w:bidi="ar"/>
              </w:rPr>
              <w:t>塑料消泡剂：也称塑料干燥剂、塑料消泡母料，</w:t>
            </w:r>
            <w:r>
              <w:rPr>
                <w:rFonts w:hint="eastAsia" w:cs="Times New Roman"/>
                <w:color w:val="000000"/>
                <w:kern w:val="0"/>
                <w:sz w:val="24"/>
                <w:szCs w:val="24"/>
                <w:lang w:val="en-US" w:eastAsia="zh-CN" w:bidi="ar"/>
              </w:rPr>
              <w:t>颗粒状，</w:t>
            </w:r>
            <w:r>
              <w:rPr>
                <w:rFonts w:hint="default" w:ascii="Times New Roman" w:hAnsi="Times New Roman" w:eastAsia="宋体" w:cs="Times New Roman"/>
                <w:color w:val="000000"/>
                <w:kern w:val="0"/>
                <w:sz w:val="24"/>
                <w:szCs w:val="24"/>
                <w:lang w:val="en-US" w:eastAsia="zh-CN" w:bidi="ar"/>
              </w:rPr>
              <w:t>生产塑料制品过程中，一部分塑料原料含有微量水分，如不消除，会在所加工的制品表面形成气泡或水纹，对制品的性能和外观造成影响。而利用电热干燥机械消除水分的传统工艺，需要提前干燥原料造成生产不便，存在着延长制品加工时间而导致生产效率低下，电量消耗、加工环境恶化、生产成本增加等不足之处，塑料消泡剂是专为解决以PE为原材料的塑料制品在加工过程中的水泡问题而开发的一种新型功能母料。该母料在塑料成型加工前，通过少量添加和简单的混合，而不用经过干燥过程，就可以成型加工，具有使用方便，提高生产效率，降低能耗的优点。</w:t>
            </w:r>
          </w:p>
          <w:p>
            <w:pPr>
              <w:pStyle w:val="6"/>
              <w:rPr>
                <w:rFonts w:hint="eastAsia"/>
                <w:lang w:val="en-US" w:eastAsia="zh-CN"/>
              </w:rPr>
            </w:pPr>
            <w:r>
              <w:rPr>
                <w:rFonts w:hint="eastAsia"/>
                <w:lang w:val="en-US" w:eastAsia="zh-CN"/>
              </w:rPr>
              <w:t>粘接树脂：其主要为聚乙烯成分，白色均匀颗粒，密度0.940(g/cm</w:t>
            </w:r>
            <w:r>
              <w:rPr>
                <w:rFonts w:hint="eastAsia"/>
                <w:vertAlign w:val="superscript"/>
                <w:lang w:val="en-US" w:eastAsia="zh-CN"/>
              </w:rPr>
              <w:t>3</w:t>
            </w:r>
            <w:r>
              <w:rPr>
                <w:rFonts w:hint="eastAsia"/>
                <w:lang w:val="en-US" w:eastAsia="zh-CN"/>
              </w:rPr>
              <w:t>)，拉伸断裂强度25(Mpa)，熔点145℃，粘合强度高，粘接效果好，与铝材有极佳的黏结力，持久性、优良的耐候性，耐化学性，易加工，流动性好，通过熔融共挤出实现与HDPE铝带复合，获得高性能复合管，色泽光亮，颗粒均匀，卫生安全，无毒物残留。</w:t>
            </w:r>
          </w:p>
          <w:p>
            <w:pPr>
              <w:keepNext w:val="0"/>
              <w:keepLines w:val="0"/>
              <w:widowControl/>
              <w:suppressLineNumbers w:val="0"/>
              <w:ind w:firstLine="482" w:firstLineChars="200"/>
              <w:jc w:val="left"/>
              <w:rPr>
                <w:rFonts w:ascii="宋体" w:hAnsi="宋体" w:cs="宋体"/>
                <w:b/>
                <w:bCs/>
                <w:color w:val="000000"/>
                <w:kern w:val="0"/>
              </w:rPr>
            </w:pPr>
            <w:r>
              <w:rPr>
                <w:rFonts w:hint="eastAsia" w:ascii="宋体" w:hAnsi="宋体" w:cs="宋体"/>
                <w:b/>
                <w:bCs/>
                <w:color w:val="000000"/>
                <w:kern w:val="0"/>
              </w:rPr>
              <w:t>5公用工程</w:t>
            </w:r>
          </w:p>
          <w:p>
            <w:pPr>
              <w:keepNext/>
              <w:keepLines w:val="0"/>
              <w:pageBreakBefore w:val="0"/>
              <w:widowControl/>
              <w:numPr>
                <w:ilvl w:val="0"/>
                <w:numId w:val="0"/>
              </w:numPr>
              <w:kinsoku/>
              <w:wordWrap/>
              <w:overflowPunct/>
              <w:topLinePunct w:val="0"/>
              <w:autoSpaceDE/>
              <w:autoSpaceDN/>
              <w:bidi w:val="0"/>
              <w:ind w:firstLine="480" w:firstLineChars="200"/>
              <w:rPr>
                <w:rFonts w:hint="eastAsia"/>
                <w:color w:val="000000"/>
                <w:kern w:val="0"/>
                <w:lang w:val="en-US" w:eastAsia="zh-CN"/>
              </w:rPr>
            </w:pPr>
            <w:r>
              <w:rPr>
                <w:rFonts w:hint="eastAsia"/>
                <w:color w:val="000000"/>
                <w:kern w:val="0"/>
                <w:lang w:val="en-US" w:eastAsia="zh-CN"/>
              </w:rPr>
              <w:t>给水：本项目用水主要为冷却循环水补水、生活用水。</w:t>
            </w:r>
          </w:p>
          <w:p>
            <w:pPr>
              <w:keepNext/>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eastAsia"/>
                <w:color w:val="000000"/>
                <w:kern w:val="0"/>
                <w:lang w:val="en-US" w:eastAsia="zh-CN"/>
              </w:rPr>
            </w:pPr>
            <w:r>
              <w:rPr>
                <w:rFonts w:hint="eastAsia"/>
                <w:color w:val="000000"/>
                <w:kern w:val="0"/>
                <w:lang w:val="en-US" w:eastAsia="zh-CN"/>
              </w:rPr>
              <w:t>生活用水：依据《新疆维吾尔自治区生活用水定额》中的用水量估算，本项目定员</w:t>
            </w:r>
            <w:r>
              <w:rPr>
                <w:rFonts w:hint="eastAsia"/>
                <w:color w:val="000000"/>
                <w:kern w:val="0"/>
                <w:highlight w:val="none"/>
                <w:lang w:val="en-US" w:eastAsia="zh-CN"/>
              </w:rPr>
              <w:t>12</w:t>
            </w:r>
            <w:r>
              <w:rPr>
                <w:rFonts w:hint="eastAsia"/>
                <w:color w:val="000000"/>
                <w:kern w:val="0"/>
                <w:lang w:val="en-US" w:eastAsia="zh-CN"/>
              </w:rPr>
              <w:t>人，用水量按照每人平均80L/人·d计算，年工作日180天，则年生活用水量为172.8m</w:t>
            </w:r>
            <w:r>
              <w:rPr>
                <w:rFonts w:hint="eastAsia"/>
                <w:color w:val="000000"/>
                <w:kern w:val="0"/>
                <w:vertAlign w:val="superscript"/>
                <w:lang w:val="en-US" w:eastAsia="zh-CN"/>
              </w:rPr>
              <w:t>3</w:t>
            </w:r>
            <w:r>
              <w:rPr>
                <w:rFonts w:hint="eastAsia"/>
                <w:color w:val="000000"/>
                <w:kern w:val="0"/>
                <w:lang w:val="en-US" w:eastAsia="zh-CN"/>
              </w:rPr>
              <w:t>/a</w:t>
            </w:r>
            <w:r>
              <w:rPr>
                <w:rFonts w:hint="eastAsia"/>
                <w:lang w:eastAsia="zh-CN"/>
              </w:rPr>
              <w:t>。</w:t>
            </w:r>
          </w:p>
          <w:p>
            <w:pPr>
              <w:adjustRightInd w:val="0"/>
              <w:snapToGrid w:val="0"/>
              <w:spacing w:line="360" w:lineRule="auto"/>
              <w:ind w:firstLine="480" w:firstLineChars="200"/>
              <w:rPr>
                <w:rFonts w:ascii="Times New Roman" w:hAnsi="Times New Roman" w:eastAsia="宋体" w:cs="Times New Roman"/>
                <w:sz w:val="24"/>
              </w:rPr>
            </w:pPr>
            <w:r>
              <w:rPr>
                <w:rFonts w:hint="eastAsia"/>
                <w:color w:val="000000"/>
                <w:kern w:val="0"/>
                <w:highlight w:val="none"/>
                <w:lang w:val="en-US" w:eastAsia="zh-CN"/>
              </w:rPr>
              <w:t>冷却循环水</w:t>
            </w:r>
            <w:r>
              <w:rPr>
                <w:rFonts w:hint="eastAsia"/>
                <w:color w:val="000000"/>
                <w:kern w:val="0"/>
                <w:lang w:val="en-US" w:eastAsia="zh-CN"/>
              </w:rPr>
              <w:t>：</w:t>
            </w:r>
            <w:r>
              <w:rPr>
                <w:rFonts w:ascii="Times New Roman" w:hAnsi="Times New Roman" w:eastAsia="宋体" w:cs="Times New Roman"/>
                <w:kern w:val="0"/>
                <w:sz w:val="24"/>
                <w:lang w:bidi="en-US"/>
              </w:rPr>
              <w:t>本项目</w:t>
            </w:r>
            <w:r>
              <w:rPr>
                <w:rFonts w:hint="eastAsia"/>
                <w:color w:val="000000"/>
                <w:kern w:val="0"/>
                <w:highlight w:val="none"/>
                <w:lang w:val="en-US" w:eastAsia="zh-CN"/>
              </w:rPr>
              <w:t>聚乙烯PE给水管、</w:t>
            </w:r>
            <w:r>
              <w:rPr>
                <w:rFonts w:hint="eastAsia"/>
                <w:highlight w:val="none"/>
              </w:rPr>
              <w:t>钢带波纹管</w:t>
            </w:r>
            <w:r>
              <w:rPr>
                <w:rFonts w:hint="eastAsia"/>
                <w:color w:val="000000"/>
                <w:kern w:val="0"/>
                <w:highlight w:val="none"/>
                <w:lang w:val="en-US" w:eastAsia="zh-CN"/>
              </w:rPr>
              <w:t>及MPP电力管生产皆</w:t>
            </w:r>
            <w:r>
              <w:rPr>
                <w:rFonts w:hint="eastAsia" w:cs="Times New Roman"/>
                <w:kern w:val="0"/>
                <w:sz w:val="24"/>
                <w:lang w:val="en-US" w:eastAsia="zh-CN" w:bidi="en-US"/>
              </w:rPr>
              <w:t>需</w:t>
            </w:r>
            <w:r>
              <w:rPr>
                <w:rFonts w:hint="eastAsia" w:ascii="Times New Roman" w:hAnsi="Times New Roman" w:eastAsia="宋体" w:cs="Times New Roman"/>
                <w:kern w:val="0"/>
                <w:sz w:val="24"/>
                <w:lang w:val="en-US" w:eastAsia="zh-CN" w:bidi="en-US"/>
              </w:rPr>
              <w:t>进行冷却，冷却水进入循环水池+冷却塔进行冷却，冷却后循环使用，循环水量为50t/h。</w:t>
            </w:r>
            <w:r>
              <w:rPr>
                <w:rFonts w:ascii="Times New Roman" w:hAnsi="Times New Roman" w:eastAsia="宋体" w:cs="Times New Roman"/>
                <w:sz w:val="24"/>
              </w:rPr>
              <w:t>参考《工业循环水冷却设计规范》（GB/T50102-2014），开式冷却塔水损耗包括蒸发损失量和风吹损失量，蒸发损失量、风吹损失量、排水量以及补水量计算如下：</w:t>
            </w:r>
          </w:p>
          <w:p>
            <w:pPr>
              <w:widowControl w:val="0"/>
              <w:tabs>
                <w:tab w:val="left" w:pos="425"/>
              </w:tabs>
              <w:adjustRightInd w:val="0"/>
              <w:snapToGrid w:val="0"/>
              <w:spacing w:after="0" w:line="360" w:lineRule="auto"/>
              <w:ind w:left="0" w:leftChars="0"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1）蒸发损失水量</w:t>
            </w:r>
            <w:r>
              <w:rPr>
                <w:rFonts w:ascii="Times New Roman" w:hAnsi="Times New Roman" w:eastAsia="等线" w:cs="Times New Roman"/>
                <w:i/>
                <w:iCs/>
                <w:kern w:val="2"/>
                <w:sz w:val="24"/>
                <w:szCs w:val="24"/>
                <w:lang w:val="en-US" w:eastAsia="zh-CN" w:bidi="ar-SA"/>
              </w:rPr>
              <w:t>Q</w:t>
            </w:r>
            <w:r>
              <w:rPr>
                <w:rFonts w:ascii="Times New Roman" w:hAnsi="Times New Roman" w:eastAsia="等线" w:cs="Times New Roman"/>
                <w:iCs/>
                <w:kern w:val="2"/>
                <w:sz w:val="24"/>
                <w:szCs w:val="24"/>
                <w:vertAlign w:val="subscript"/>
                <w:lang w:val="en-US" w:eastAsia="zh-CN" w:bidi="ar-SA"/>
              </w:rPr>
              <w:t>e</w:t>
            </w:r>
          </w:p>
          <w:p>
            <w:pPr>
              <w:widowControl w:val="0"/>
              <w:tabs>
                <w:tab w:val="left" w:pos="425"/>
              </w:tabs>
              <w:adjustRightInd w:val="0"/>
              <w:snapToGrid w:val="0"/>
              <w:spacing w:after="0" w:line="360" w:lineRule="auto"/>
              <w:ind w:left="0" w:leftChars="0" w:firstLine="480" w:firstLineChars="200"/>
              <w:jc w:val="both"/>
              <w:rPr>
                <w:rFonts w:ascii="Times New Roman" w:hAnsi="Times New Roman" w:eastAsia="宋体" w:cs="Times New Roman"/>
                <w:kern w:val="0"/>
                <w:sz w:val="21"/>
                <w:szCs w:val="21"/>
                <w:lang w:val="en-US" w:eastAsia="zh-CN" w:bidi="ar-SA"/>
              </w:rPr>
            </w:pPr>
            <w:r>
              <w:rPr>
                <w:rFonts w:ascii="Times New Roman" w:hAnsi="Times New Roman" w:eastAsia="宋体" w:cs="Times New Roman"/>
                <w:kern w:val="2"/>
                <w:sz w:val="24"/>
                <w:szCs w:val="24"/>
                <w:lang w:val="en-US" w:eastAsia="zh-CN" w:bidi="ar-SA"/>
              </w:rPr>
              <w:t>蒸发损失水量计算公式如下：</w:t>
            </w:r>
          </w:p>
          <w:p>
            <w:pPr>
              <w:widowControl w:val="0"/>
              <w:tabs>
                <w:tab w:val="left" w:pos="425"/>
              </w:tabs>
              <w:adjustRightInd w:val="0"/>
              <w:snapToGrid w:val="0"/>
              <w:spacing w:after="0" w:line="360" w:lineRule="auto"/>
              <w:ind w:left="480" w:leftChars="200" w:firstLine="480" w:firstLineChars="200"/>
              <w:jc w:val="center"/>
              <w:rPr>
                <w:rFonts w:ascii="Times New Roman" w:hAnsi="Times New Roman" w:eastAsia="宋体" w:cs="Times New Roman"/>
                <w:kern w:val="2"/>
                <w:sz w:val="24"/>
                <w:szCs w:val="24"/>
                <w:lang w:val="en-US" w:eastAsia="zh-CN" w:bidi="ar-SA"/>
              </w:rPr>
            </w:pPr>
            <w:r>
              <w:rPr>
                <w:rFonts w:ascii="Times New Roman" w:hAnsi="Times New Roman" w:eastAsia="等线" w:cs="Times New Roman"/>
                <w:i/>
                <w:iCs/>
                <w:kern w:val="2"/>
                <w:sz w:val="24"/>
                <w:szCs w:val="24"/>
                <w:lang w:val="en-US" w:eastAsia="zh-CN" w:bidi="ar-SA"/>
              </w:rPr>
              <w:t>Q</w:t>
            </w:r>
            <w:r>
              <w:rPr>
                <w:rFonts w:ascii="Times New Roman" w:hAnsi="Times New Roman" w:eastAsia="等线" w:cs="Times New Roman"/>
                <w:iCs/>
                <w:kern w:val="2"/>
                <w:sz w:val="24"/>
                <w:szCs w:val="24"/>
                <w:vertAlign w:val="subscript"/>
                <w:lang w:val="en-US" w:eastAsia="zh-CN" w:bidi="ar-SA"/>
              </w:rPr>
              <w:t>e</w:t>
            </w:r>
            <w:r>
              <w:rPr>
                <w:rFonts w:ascii="Times New Roman" w:hAnsi="Times New Roman" w:eastAsia="TimesNewRomanPSMT" w:cs="Times New Roman"/>
                <w:kern w:val="2"/>
                <w:sz w:val="24"/>
                <w:szCs w:val="24"/>
                <w:lang w:val="en-US" w:eastAsia="zh-CN" w:bidi="ar-SA"/>
              </w:rPr>
              <w:t>=</w:t>
            </w:r>
            <w:r>
              <w:rPr>
                <w:rFonts w:ascii="Times New Roman" w:hAnsi="Times New Roman" w:eastAsia="TimesNewRomanPSMT" w:cs="Times New Roman"/>
                <w:i/>
                <w:kern w:val="2"/>
                <w:sz w:val="24"/>
                <w:szCs w:val="24"/>
                <w:lang w:val="en-US" w:eastAsia="zh-CN" w:bidi="ar-SA"/>
              </w:rPr>
              <w:t>k</w:t>
            </w:r>
            <w:r>
              <w:rPr>
                <w:rFonts w:ascii="Times New Roman" w:hAnsi="Times New Roman" w:eastAsia="等线" w:cs="Times New Roman"/>
                <w:i/>
                <w:kern w:val="2"/>
                <w:sz w:val="24"/>
                <w:szCs w:val="24"/>
                <w:lang w:val="en-US" w:eastAsia="zh-CN" w:bidi="ar-SA"/>
              </w:rPr>
              <w:t>×</w:t>
            </w:r>
            <w:r>
              <w:rPr>
                <w:rFonts w:ascii="Times New Roman" w:hAnsi="Times New Roman" w:eastAsia="TimesNewRomanPSMT" w:cs="Times New Roman"/>
                <w:kern w:val="2"/>
                <w:sz w:val="24"/>
                <w:szCs w:val="24"/>
                <w:lang w:val="en-US" w:eastAsia="zh-CN" w:bidi="ar-SA"/>
              </w:rPr>
              <w:t>Δ</w:t>
            </w:r>
            <w:r>
              <w:rPr>
                <w:rFonts w:ascii="Times New Roman" w:hAnsi="Times New Roman" w:eastAsia="TimesNewRomanPSMT" w:cs="Times New Roman"/>
                <w:i/>
                <w:kern w:val="2"/>
                <w:sz w:val="24"/>
                <w:szCs w:val="24"/>
                <w:lang w:val="en-US" w:eastAsia="zh-CN" w:bidi="ar-SA"/>
              </w:rPr>
              <w:t>t</w:t>
            </w:r>
            <w:r>
              <w:rPr>
                <w:rFonts w:ascii="Times New Roman" w:hAnsi="Times New Roman" w:eastAsia="等线" w:cs="Times New Roman"/>
                <w:i/>
                <w:kern w:val="2"/>
                <w:sz w:val="24"/>
                <w:szCs w:val="24"/>
                <w:lang w:val="en-US" w:eastAsia="zh-CN" w:bidi="ar-SA"/>
              </w:rPr>
              <w:t>×</w:t>
            </w:r>
            <w:r>
              <w:rPr>
                <w:rFonts w:ascii="Times New Roman" w:hAnsi="Times New Roman" w:eastAsia="宋体" w:cs="Times New Roman"/>
                <w:i/>
                <w:kern w:val="2"/>
                <w:sz w:val="24"/>
                <w:szCs w:val="24"/>
                <w:lang w:val="en-US" w:eastAsia="zh-CN" w:bidi="ar-SA"/>
              </w:rPr>
              <w:t>Q</w:t>
            </w:r>
            <w:r>
              <w:rPr>
                <w:rFonts w:ascii="Times New Roman" w:hAnsi="Times New Roman" w:eastAsia="宋体" w:cs="Times New Roman"/>
                <w:iCs/>
                <w:kern w:val="2"/>
                <w:sz w:val="24"/>
                <w:szCs w:val="24"/>
                <w:vertAlign w:val="subscript"/>
                <w:lang w:val="en-US" w:eastAsia="zh-CN" w:bidi="ar-SA"/>
              </w:rPr>
              <w:t>r</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式中：</w:t>
            </w: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Cs/>
                <w:kern w:val="2"/>
                <w:sz w:val="24"/>
                <w:szCs w:val="24"/>
                <w:vertAlign w:val="subscript"/>
                <w:lang w:val="en-US" w:eastAsia="zh-CN" w:bidi="ar-SA"/>
              </w:rPr>
              <w:t>e</w:t>
            </w:r>
            <w:r>
              <w:rPr>
                <w:rFonts w:ascii="Times New Roman" w:hAnsi="Times New Roman" w:eastAsia="宋体" w:cs="Times New Roman"/>
                <w:kern w:val="2"/>
                <w:sz w:val="24"/>
                <w:szCs w:val="24"/>
                <w:lang w:val="en-US" w:eastAsia="zh-CN" w:bidi="ar-SA"/>
              </w:rPr>
              <w:t xml:space="preserve"> </w:t>
            </w:r>
            <w:r>
              <w:rPr>
                <w:rFonts w:ascii="Times New Roman" w:hAnsi="Times New Roman" w:eastAsia="宋体" w:cs="Times New Roman"/>
                <w:iCs/>
                <w:kern w:val="2"/>
                <w:sz w:val="24"/>
                <w:szCs w:val="24"/>
                <w:lang w:val="en-US" w:eastAsia="zh-CN" w:bidi="ar-SA"/>
              </w:rPr>
              <w:t>——</w:t>
            </w:r>
            <w:r>
              <w:rPr>
                <w:rFonts w:ascii="Times New Roman" w:hAnsi="Times New Roman" w:eastAsia="宋体" w:cs="Times New Roman"/>
                <w:kern w:val="2"/>
                <w:sz w:val="24"/>
                <w:szCs w:val="24"/>
                <w:lang w:val="en-US" w:eastAsia="zh-CN" w:bidi="ar-SA"/>
              </w:rPr>
              <w:t>蒸发损失率，</w:t>
            </w:r>
            <w:r>
              <w:rPr>
                <w:rFonts w:ascii="Times New Roman" w:hAnsi="Times New Roman" w:eastAsia="宋体" w:cs="Times New Roman"/>
                <w:iCs/>
                <w:kern w:val="2"/>
                <w:sz w:val="24"/>
                <w:szCs w:val="24"/>
                <w:lang w:val="en-US" w:eastAsia="zh-CN" w:bidi="ar-SA"/>
              </w:rPr>
              <w:t>m</w:t>
            </w:r>
            <w:r>
              <w:rPr>
                <w:rFonts w:ascii="Times New Roman" w:hAnsi="Times New Roman" w:eastAsia="宋体" w:cs="Times New Roman"/>
                <w:iCs/>
                <w:kern w:val="2"/>
                <w:sz w:val="24"/>
                <w:szCs w:val="24"/>
                <w:vertAlign w:val="superscript"/>
                <w:lang w:val="en-US" w:eastAsia="zh-CN" w:bidi="ar-SA"/>
              </w:rPr>
              <w:t>3</w:t>
            </w:r>
            <w:r>
              <w:rPr>
                <w:rFonts w:ascii="Times New Roman" w:hAnsi="Times New Roman" w:eastAsia="宋体" w:cs="Times New Roman"/>
                <w:iCs/>
                <w:kern w:val="2"/>
                <w:sz w:val="24"/>
                <w:szCs w:val="24"/>
                <w:lang w:val="en-US" w:eastAsia="zh-CN" w:bidi="ar-SA"/>
              </w:rPr>
              <w:t>/h</w:t>
            </w:r>
            <w:r>
              <w:rPr>
                <w:rFonts w:ascii="Times New Roman" w:hAnsi="Times New Roman" w:eastAsia="宋体" w:cs="Times New Roman"/>
                <w:kern w:val="2"/>
                <w:sz w:val="24"/>
                <w:szCs w:val="24"/>
                <w:lang w:val="en-US" w:eastAsia="zh-CN" w:bidi="ar-SA"/>
              </w:rPr>
              <w:t>；</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1200" w:firstLineChars="500"/>
              <w:jc w:val="both"/>
              <w:textAlignment w:val="auto"/>
              <w:rPr>
                <w:rFonts w:ascii="Times New Roman" w:hAnsi="Times New Roman" w:eastAsia="宋体" w:cs="Times New Roman"/>
                <w:kern w:val="0"/>
                <w:sz w:val="24"/>
                <w:szCs w:val="24"/>
                <w:lang w:val="en-US" w:eastAsia="zh-CN" w:bidi="en-US"/>
              </w:rPr>
            </w:pPr>
            <w:r>
              <w:rPr>
                <w:rFonts w:ascii="Times New Roman" w:hAnsi="Times New Roman" w:eastAsia="宋体" w:cs="Times New Roman"/>
                <w:i/>
                <w:kern w:val="2"/>
                <w:sz w:val="24"/>
                <w:szCs w:val="24"/>
                <w:lang w:val="en-US" w:eastAsia="zh-CN" w:bidi="ar-SA"/>
              </w:rPr>
              <w:t>k</w:t>
            </w:r>
            <w:r>
              <w:rPr>
                <w:rFonts w:ascii="Times New Roman" w:hAnsi="Times New Roman" w:eastAsia="宋体" w:cs="Times New Roman"/>
                <w:iCs/>
                <w:kern w:val="2"/>
                <w:sz w:val="24"/>
                <w:szCs w:val="24"/>
                <w:lang w:val="en-US" w:eastAsia="zh-CN" w:bidi="ar-SA"/>
              </w:rPr>
              <w:t>——</w:t>
            </w:r>
            <w:r>
              <w:rPr>
                <w:rFonts w:ascii="Times New Roman" w:hAnsi="Times New Roman" w:eastAsia="宋体" w:cs="Times New Roman"/>
                <w:kern w:val="2"/>
                <w:sz w:val="24"/>
                <w:szCs w:val="24"/>
                <w:lang w:val="en-US" w:eastAsia="zh-CN" w:bidi="ar-SA"/>
              </w:rPr>
              <w:t>系气温数，1/℃，根据建设单位设计参数，进塔温度设为</w:t>
            </w:r>
            <w:r>
              <w:rPr>
                <w:rFonts w:ascii="Times New Roman" w:hAnsi="Times New Roman" w:eastAsia="宋体" w:cs="Times New Roman"/>
                <w:kern w:val="0"/>
                <w:sz w:val="24"/>
                <w:szCs w:val="24"/>
                <w:lang w:val="en-US" w:eastAsia="zh-CN" w:bidi="en-US"/>
              </w:rPr>
              <w:t>37℃，出塔温度为32℃，湿球温度为28℃，则K取值0.00157；</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ascii="Times New Roman" w:hAnsi="Times New Roman" w:eastAsia="宋体" w:cs="Times New Roman"/>
                <w:kern w:val="0"/>
                <w:sz w:val="24"/>
                <w:szCs w:val="24"/>
                <w:lang w:val="en-US" w:eastAsia="zh-CN" w:bidi="en-US"/>
              </w:rPr>
            </w:pPr>
            <w:r>
              <w:rPr>
                <w:rFonts w:ascii="Times New Roman" w:hAnsi="Times New Roman" w:eastAsia="宋体" w:cs="Times New Roman"/>
                <w:kern w:val="0"/>
                <w:sz w:val="24"/>
                <w:szCs w:val="24"/>
                <w:lang w:val="en-US" w:eastAsia="zh-CN" w:bidi="en-US"/>
              </w:rPr>
              <w:t>Δt——冷却塔进水与出水温度差，℃，本项目取值5；</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ascii="Times New Roman" w:hAnsi="Times New Roman" w:eastAsia="宋体" w:cs="Times New Roman"/>
                <w:kern w:val="0"/>
                <w:sz w:val="24"/>
                <w:szCs w:val="24"/>
                <w:lang w:val="en-US" w:eastAsia="zh-CN" w:bidi="en-US"/>
              </w:rPr>
            </w:pPr>
            <w:r>
              <w:rPr>
                <w:rFonts w:ascii="Times New Roman" w:hAnsi="Times New Roman" w:eastAsia="宋体" w:cs="Times New Roman"/>
                <w:kern w:val="0"/>
                <w:sz w:val="24"/>
                <w:szCs w:val="24"/>
                <w:lang w:val="en-US" w:eastAsia="zh-CN" w:bidi="en-US"/>
              </w:rPr>
              <w:t>Qr——循环水量，</w:t>
            </w:r>
            <w:r>
              <w:rPr>
                <w:rFonts w:ascii="Times New Roman" w:hAnsi="Times New Roman" w:eastAsia="宋体" w:cs="Times New Roman"/>
                <w:iCs/>
                <w:kern w:val="2"/>
                <w:sz w:val="24"/>
                <w:szCs w:val="24"/>
                <w:lang w:val="en-US" w:eastAsia="zh-CN" w:bidi="ar-SA"/>
              </w:rPr>
              <w:t>m</w:t>
            </w:r>
            <w:r>
              <w:rPr>
                <w:rFonts w:ascii="Times New Roman" w:hAnsi="Times New Roman" w:eastAsia="宋体" w:cs="Times New Roman"/>
                <w:iCs/>
                <w:kern w:val="2"/>
                <w:sz w:val="24"/>
                <w:szCs w:val="24"/>
                <w:vertAlign w:val="superscript"/>
                <w:lang w:val="en-US" w:eastAsia="zh-CN" w:bidi="ar-SA"/>
              </w:rPr>
              <w:t>3</w:t>
            </w:r>
            <w:r>
              <w:rPr>
                <w:rFonts w:ascii="Times New Roman" w:hAnsi="Times New Roman" w:eastAsia="宋体" w:cs="Times New Roman"/>
                <w:kern w:val="0"/>
                <w:sz w:val="24"/>
                <w:szCs w:val="24"/>
                <w:lang w:val="en-US" w:eastAsia="zh-CN" w:bidi="en-US"/>
              </w:rPr>
              <w:t>/h。</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计算得Qe值为</w:t>
            </w:r>
            <w:r>
              <w:rPr>
                <w:rFonts w:hint="eastAsia" w:ascii="Times New Roman" w:hAnsi="Times New Roman" w:eastAsia="宋体" w:cs="Times New Roman"/>
                <w:kern w:val="0"/>
                <w:sz w:val="24"/>
                <w:lang w:val="en-US" w:eastAsia="zh-CN" w:bidi="en-US"/>
              </w:rPr>
              <w:t>0.3925</w:t>
            </w:r>
            <w:r>
              <w:rPr>
                <w:rFonts w:ascii="Times New Roman" w:hAnsi="Times New Roman" w:eastAsia="宋体" w:cs="Times New Roman"/>
                <w:iCs/>
                <w:sz w:val="24"/>
              </w:rPr>
              <w:t>m</w:t>
            </w:r>
            <w:r>
              <w:rPr>
                <w:rFonts w:ascii="Times New Roman" w:hAnsi="Times New Roman" w:eastAsia="宋体" w:cs="Times New Roman"/>
                <w:iCs/>
                <w:sz w:val="24"/>
                <w:vertAlign w:val="superscript"/>
              </w:rPr>
              <w:t>3</w:t>
            </w:r>
            <w:r>
              <w:rPr>
                <w:rFonts w:ascii="Times New Roman" w:hAnsi="Times New Roman" w:eastAsia="宋体" w:cs="Times New Roman"/>
                <w:kern w:val="0"/>
                <w:sz w:val="24"/>
                <w:lang w:bidi="en-US"/>
              </w:rPr>
              <w:t>/h，则冷却塔日均冷却蒸发耗水量为</w:t>
            </w:r>
            <w:r>
              <w:rPr>
                <w:rFonts w:hint="eastAsia" w:cs="Times New Roman"/>
                <w:kern w:val="0"/>
                <w:sz w:val="24"/>
                <w:lang w:val="en-US" w:eastAsia="zh-CN" w:bidi="en-US"/>
              </w:rPr>
              <w:t>9.42</w:t>
            </w:r>
            <w:r>
              <w:rPr>
                <w:rFonts w:ascii="Times New Roman" w:hAnsi="Times New Roman" w:eastAsia="宋体" w:cs="Times New Roman"/>
                <w:iCs/>
                <w:sz w:val="24"/>
              </w:rPr>
              <w:t>m</w:t>
            </w:r>
            <w:r>
              <w:rPr>
                <w:rFonts w:ascii="Times New Roman" w:hAnsi="Times New Roman" w:eastAsia="宋体" w:cs="Times New Roman"/>
                <w:iCs/>
                <w:sz w:val="24"/>
                <w:vertAlign w:val="superscript"/>
              </w:rPr>
              <w:t>3</w:t>
            </w:r>
            <w:r>
              <w:rPr>
                <w:rFonts w:ascii="Times New Roman" w:hAnsi="Times New Roman" w:eastAsia="宋体" w:cs="Times New Roman"/>
                <w:kern w:val="0"/>
                <w:sz w:val="24"/>
                <w:lang w:bidi="en-US"/>
              </w:rPr>
              <w:t>/d，即</w:t>
            </w:r>
            <w:r>
              <w:rPr>
                <w:rFonts w:hint="eastAsia" w:cs="Times New Roman"/>
                <w:kern w:val="0"/>
                <w:sz w:val="24"/>
                <w:lang w:val="en-US" w:eastAsia="zh-CN" w:bidi="en-US"/>
              </w:rPr>
              <w:t>1695.6</w:t>
            </w:r>
            <w:r>
              <w:rPr>
                <w:rFonts w:ascii="Times New Roman" w:hAnsi="Times New Roman" w:eastAsia="宋体" w:cs="Times New Roman"/>
                <w:iCs/>
                <w:sz w:val="24"/>
              </w:rPr>
              <w:t>m</w:t>
            </w:r>
            <w:r>
              <w:rPr>
                <w:rFonts w:ascii="Times New Roman" w:hAnsi="Times New Roman" w:eastAsia="宋体" w:cs="Times New Roman"/>
                <w:iCs/>
                <w:sz w:val="24"/>
                <w:vertAlign w:val="superscript"/>
              </w:rPr>
              <w:t>3</w:t>
            </w:r>
            <w:r>
              <w:rPr>
                <w:rFonts w:ascii="Times New Roman" w:hAnsi="Times New Roman" w:eastAsia="宋体" w:cs="Times New Roman"/>
                <w:kern w:val="0"/>
                <w:sz w:val="24"/>
                <w:lang w:bidi="en-US"/>
              </w:rPr>
              <w:t>/a。</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2）风吹损失水量Qw</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风吹损失水量计算公式如下：</w:t>
            </w:r>
          </w:p>
          <w:p>
            <w:pPr>
              <w:spacing w:line="360" w:lineRule="auto"/>
              <w:ind w:firstLine="480" w:firstLineChars="200"/>
              <w:jc w:val="center"/>
              <w:rPr>
                <w:rFonts w:ascii="Times New Roman" w:hAnsi="Times New Roman" w:eastAsia="宋体" w:cs="Times New Roman"/>
                <w:kern w:val="0"/>
                <w:sz w:val="24"/>
                <w:lang w:bidi="en-US"/>
              </w:rPr>
            </w:pPr>
            <w:r>
              <w:rPr>
                <w:rFonts w:ascii="Times New Roman" w:hAnsi="Times New Roman" w:eastAsia="等线" w:cs="Times New Roman"/>
                <w:i/>
                <w:iCs/>
                <w:sz w:val="24"/>
              </w:rPr>
              <w:t>Q</w:t>
            </w:r>
            <w:r>
              <w:rPr>
                <w:rFonts w:ascii="Times New Roman" w:hAnsi="Times New Roman" w:eastAsia="等线" w:cs="Times New Roman"/>
                <w:i/>
                <w:iCs/>
                <w:sz w:val="24"/>
                <w:vertAlign w:val="subscript"/>
              </w:rPr>
              <w:t>w</w:t>
            </w:r>
            <w:r>
              <w:rPr>
                <w:rFonts w:ascii="Times New Roman" w:hAnsi="Times New Roman" w:eastAsia="宋体" w:cs="Times New Roman"/>
                <w:kern w:val="0"/>
                <w:sz w:val="24"/>
                <w:lang w:bidi="en-US"/>
              </w:rPr>
              <w:t>=Pw×Qr</w:t>
            </w:r>
          </w:p>
          <w:p>
            <w:pPr>
              <w:widowControl w:val="0"/>
              <w:tabs>
                <w:tab w:val="left" w:pos="425"/>
              </w:tabs>
              <w:adjustRightInd w:val="0"/>
              <w:snapToGrid w:val="0"/>
              <w:spacing w:after="0" w:line="360" w:lineRule="auto"/>
              <w:ind w:left="480" w:leftChars="200"/>
              <w:jc w:val="both"/>
              <w:rPr>
                <w:rFonts w:ascii="Times New Roman" w:hAnsi="Times New Roman" w:eastAsia="宋体" w:cs="Times New Roman"/>
                <w:kern w:val="0"/>
                <w:sz w:val="24"/>
                <w:szCs w:val="24"/>
                <w:lang w:val="en-US" w:eastAsia="zh-CN" w:bidi="en-US"/>
              </w:rPr>
            </w:pPr>
            <w:r>
              <w:rPr>
                <w:rFonts w:ascii="Times New Roman" w:hAnsi="Times New Roman" w:eastAsia="宋体" w:cs="Times New Roman"/>
                <w:kern w:val="0"/>
                <w:sz w:val="24"/>
                <w:szCs w:val="24"/>
                <w:lang w:val="en-US" w:eastAsia="zh-CN" w:bidi="en-US"/>
              </w:rPr>
              <w:t>式中：Qw——风吹损失水量，</w:t>
            </w:r>
            <w:r>
              <w:rPr>
                <w:rFonts w:ascii="Times New Roman" w:hAnsi="Times New Roman" w:eastAsia="宋体" w:cs="Times New Roman"/>
                <w:iCs/>
                <w:kern w:val="2"/>
                <w:sz w:val="24"/>
                <w:szCs w:val="24"/>
                <w:lang w:val="en-US" w:eastAsia="zh-CN" w:bidi="ar-SA"/>
              </w:rPr>
              <w:t>m</w:t>
            </w:r>
            <w:r>
              <w:rPr>
                <w:rFonts w:ascii="Times New Roman" w:hAnsi="Times New Roman" w:eastAsia="宋体" w:cs="Times New Roman"/>
                <w:iCs/>
                <w:kern w:val="2"/>
                <w:sz w:val="24"/>
                <w:szCs w:val="24"/>
                <w:vertAlign w:val="superscript"/>
                <w:lang w:val="en-US" w:eastAsia="zh-CN" w:bidi="ar-SA"/>
              </w:rPr>
              <w:t>3</w:t>
            </w:r>
            <w:r>
              <w:rPr>
                <w:rFonts w:ascii="Times New Roman" w:hAnsi="Times New Roman" w:eastAsia="宋体" w:cs="Times New Roman"/>
                <w:kern w:val="0"/>
                <w:sz w:val="24"/>
                <w:szCs w:val="24"/>
                <w:lang w:val="en-US" w:eastAsia="zh-CN" w:bidi="en-US"/>
              </w:rPr>
              <w:t>/h；</w:t>
            </w:r>
          </w:p>
          <w:p>
            <w:pPr>
              <w:spacing w:line="360" w:lineRule="auto"/>
              <w:ind w:firstLine="1200" w:firstLineChars="5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Pw——冷却塔的风水损失率，%，取值0.05%；</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计算得Qw值为</w:t>
            </w:r>
            <w:r>
              <w:rPr>
                <w:rFonts w:hint="eastAsia" w:ascii="Times New Roman" w:hAnsi="Times New Roman" w:eastAsia="宋体" w:cs="Times New Roman"/>
                <w:kern w:val="0"/>
                <w:sz w:val="24"/>
                <w:lang w:val="en-US" w:eastAsia="zh-CN" w:bidi="en-US"/>
              </w:rPr>
              <w:t>0.025</w:t>
            </w:r>
            <w:r>
              <w:rPr>
                <w:rFonts w:ascii="Times New Roman" w:hAnsi="Times New Roman" w:eastAsia="宋体" w:cs="Times New Roman"/>
                <w:kern w:val="0"/>
                <w:sz w:val="24"/>
                <w:lang w:bidi="en-US"/>
              </w:rPr>
              <w:t>m</w:t>
            </w:r>
            <w:r>
              <w:rPr>
                <w:rFonts w:ascii="Times New Roman" w:hAnsi="Times New Roman" w:eastAsia="宋体" w:cs="Times New Roman"/>
                <w:kern w:val="0"/>
                <w:sz w:val="24"/>
                <w:vertAlign w:val="superscript"/>
                <w:lang w:bidi="en-US"/>
              </w:rPr>
              <w:t>3</w:t>
            </w:r>
            <w:r>
              <w:rPr>
                <w:rFonts w:ascii="Times New Roman" w:hAnsi="Times New Roman" w:eastAsia="宋体" w:cs="Times New Roman"/>
                <w:kern w:val="0"/>
                <w:sz w:val="24"/>
                <w:lang w:bidi="en-US"/>
              </w:rPr>
              <w:t>/h，则冷却塔日均冷却风吹耗水量为</w:t>
            </w:r>
            <w:r>
              <w:rPr>
                <w:rFonts w:hint="eastAsia" w:ascii="Times New Roman" w:hAnsi="Times New Roman" w:eastAsia="宋体" w:cs="Times New Roman"/>
                <w:kern w:val="0"/>
                <w:sz w:val="24"/>
                <w:lang w:val="en-US" w:eastAsia="zh-CN" w:bidi="en-US"/>
              </w:rPr>
              <w:t>0.</w:t>
            </w:r>
            <w:r>
              <w:rPr>
                <w:rFonts w:hint="eastAsia" w:cs="Times New Roman"/>
                <w:kern w:val="0"/>
                <w:sz w:val="24"/>
                <w:lang w:val="en-US" w:eastAsia="zh-CN" w:bidi="en-US"/>
              </w:rPr>
              <w:t>6</w:t>
            </w:r>
            <w:r>
              <w:rPr>
                <w:rFonts w:ascii="Times New Roman" w:hAnsi="Times New Roman" w:eastAsia="宋体" w:cs="Times New Roman"/>
                <w:iCs/>
                <w:sz w:val="24"/>
              </w:rPr>
              <w:t>m</w:t>
            </w:r>
            <w:r>
              <w:rPr>
                <w:rFonts w:ascii="Times New Roman" w:hAnsi="Times New Roman" w:eastAsia="宋体" w:cs="Times New Roman"/>
                <w:iCs/>
                <w:sz w:val="24"/>
                <w:vertAlign w:val="superscript"/>
              </w:rPr>
              <w:t>3</w:t>
            </w:r>
            <w:r>
              <w:rPr>
                <w:rFonts w:ascii="Times New Roman" w:hAnsi="Times New Roman" w:eastAsia="宋体" w:cs="Times New Roman"/>
                <w:kern w:val="0"/>
                <w:sz w:val="24"/>
                <w:lang w:bidi="en-US"/>
              </w:rPr>
              <w:t>/d，即</w:t>
            </w:r>
            <w:r>
              <w:rPr>
                <w:rFonts w:hint="eastAsia" w:cs="Times New Roman"/>
                <w:kern w:val="0"/>
                <w:sz w:val="24"/>
                <w:lang w:val="en-US" w:eastAsia="zh-CN" w:bidi="en-US"/>
              </w:rPr>
              <w:t>108</w:t>
            </w:r>
            <w:r>
              <w:rPr>
                <w:rFonts w:ascii="Times New Roman" w:hAnsi="Times New Roman" w:eastAsia="宋体" w:cs="Times New Roman"/>
                <w:iCs/>
                <w:sz w:val="24"/>
              </w:rPr>
              <w:t>m</w:t>
            </w:r>
            <w:r>
              <w:rPr>
                <w:rFonts w:ascii="Times New Roman" w:hAnsi="Times New Roman" w:eastAsia="宋体" w:cs="Times New Roman"/>
                <w:iCs/>
                <w:sz w:val="24"/>
                <w:vertAlign w:val="superscript"/>
              </w:rPr>
              <w:t>3</w:t>
            </w:r>
            <w:r>
              <w:rPr>
                <w:rFonts w:ascii="Times New Roman" w:hAnsi="Times New Roman" w:eastAsia="宋体" w:cs="Times New Roman"/>
                <w:kern w:val="0"/>
                <w:sz w:val="24"/>
                <w:lang w:bidi="en-US"/>
              </w:rPr>
              <w:t>/a。</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3）排水量Qb</w:t>
            </w:r>
          </w:p>
          <w:p>
            <w:pPr>
              <w:spacing w:line="360" w:lineRule="auto"/>
              <w:ind w:firstLine="480" w:firstLineChars="200"/>
              <w:rPr>
                <w:rFonts w:ascii="Times New Roman" w:hAnsi="Times New Roman" w:eastAsia="宋体" w:cs="Times New Roman"/>
                <w:kern w:val="0"/>
                <w:sz w:val="24"/>
                <w:lang w:bidi="en-US"/>
              </w:rPr>
            </w:pPr>
            <w:r>
              <w:rPr>
                <w:rFonts w:ascii="Times New Roman" w:hAnsi="Times New Roman" w:eastAsia="宋体" w:cs="Times New Roman"/>
                <w:kern w:val="0"/>
                <w:sz w:val="24"/>
                <w:lang w:bidi="en-US"/>
              </w:rPr>
              <w:t>排水量计算公式如下：</w:t>
            </w:r>
          </w:p>
          <w:p>
            <w:pPr>
              <w:spacing w:line="360" w:lineRule="auto"/>
              <w:ind w:firstLine="480" w:firstLineChars="200"/>
              <w:jc w:val="center"/>
              <w:rPr>
                <w:rFonts w:ascii="Times New Roman" w:hAnsi="Times New Roman" w:eastAsia="等线" w:cs="Times New Roman"/>
                <w:i/>
                <w:iCs/>
                <w:sz w:val="24"/>
              </w:rPr>
            </w:pP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
                <w:iCs/>
                <w:kern w:val="2"/>
                <w:sz w:val="24"/>
                <w:szCs w:val="24"/>
                <w:vertAlign w:val="subscript"/>
                <w:lang w:val="en-US" w:eastAsia="zh-CN" w:bidi="ar-SA"/>
              </w:rPr>
              <w:t>b</w:t>
            </w:r>
            <w:r>
              <w:rPr>
                <w:rFonts w:ascii="Times New Roman" w:hAnsi="Times New Roman" w:eastAsia="宋体" w:cs="Times New Roman"/>
                <w:sz w:val="24"/>
              </w:rPr>
              <w:t>=</w:t>
            </w:r>
            <w:r>
              <w:rPr>
                <w:rFonts w:ascii="Times New Roman" w:hAnsi="Times New Roman" w:eastAsia="等线" w:cs="Times New Roman"/>
                <w:i/>
                <w:iCs/>
                <w:sz w:val="24"/>
              </w:rPr>
              <w:t>Q</w:t>
            </w:r>
            <w:r>
              <w:rPr>
                <w:rFonts w:ascii="Times New Roman" w:hAnsi="Times New Roman" w:eastAsia="等线" w:cs="Times New Roman"/>
                <w:iCs/>
                <w:sz w:val="24"/>
                <w:vertAlign w:val="subscript"/>
              </w:rPr>
              <w:t>e</w:t>
            </w:r>
            <w:r>
              <w:rPr>
                <w:rFonts w:ascii="Times New Roman" w:hAnsi="Times New Roman" w:eastAsia="等线" w:cs="Times New Roman"/>
                <w:iCs/>
                <w:sz w:val="24"/>
              </w:rPr>
              <w:t>/（N-1）-</w:t>
            </w:r>
            <w:r>
              <w:rPr>
                <w:rFonts w:ascii="Times New Roman" w:hAnsi="Times New Roman" w:eastAsia="等线" w:cs="Times New Roman"/>
                <w:i/>
                <w:iCs/>
                <w:sz w:val="24"/>
              </w:rPr>
              <w:t>Q</w:t>
            </w:r>
            <w:r>
              <w:rPr>
                <w:rFonts w:ascii="Times New Roman" w:hAnsi="Times New Roman" w:eastAsia="等线" w:cs="Times New Roman"/>
                <w:i/>
                <w:iCs/>
                <w:sz w:val="24"/>
                <w:vertAlign w:val="subscript"/>
              </w:rPr>
              <w:t>w</w:t>
            </w:r>
          </w:p>
          <w:p>
            <w:pPr>
              <w:widowControl w:val="0"/>
              <w:tabs>
                <w:tab w:val="left" w:pos="425"/>
              </w:tabs>
              <w:adjustRightInd w:val="0"/>
              <w:snapToGrid w:val="0"/>
              <w:spacing w:after="0" w:line="360" w:lineRule="auto"/>
              <w:ind w:left="480" w:left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式中：</w:t>
            </w: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
                <w:iCs/>
                <w:kern w:val="2"/>
                <w:sz w:val="24"/>
                <w:szCs w:val="24"/>
                <w:vertAlign w:val="subscript"/>
                <w:lang w:val="en-US" w:eastAsia="zh-CN" w:bidi="ar-SA"/>
              </w:rPr>
              <w:t>b</w:t>
            </w:r>
            <w:r>
              <w:rPr>
                <w:rFonts w:ascii="Times New Roman" w:hAnsi="Times New Roman" w:eastAsia="宋体" w:cs="Times New Roman"/>
                <w:iCs/>
                <w:kern w:val="2"/>
                <w:sz w:val="24"/>
                <w:szCs w:val="24"/>
                <w:lang w:val="en-US" w:eastAsia="zh-CN" w:bidi="ar-SA"/>
              </w:rPr>
              <w:t>——</w:t>
            </w:r>
            <w:r>
              <w:rPr>
                <w:rFonts w:ascii="Times New Roman" w:hAnsi="Times New Roman" w:eastAsia="宋体" w:cs="Times New Roman"/>
                <w:kern w:val="2"/>
                <w:sz w:val="24"/>
                <w:szCs w:val="24"/>
                <w:lang w:val="en-US" w:eastAsia="zh-CN" w:bidi="ar-SA"/>
              </w:rPr>
              <w:t>排水量，</w:t>
            </w:r>
            <w:r>
              <w:rPr>
                <w:rFonts w:ascii="Times New Roman" w:hAnsi="Times New Roman" w:eastAsia="宋体" w:cs="Times New Roman"/>
                <w:iCs/>
                <w:kern w:val="2"/>
                <w:sz w:val="24"/>
                <w:szCs w:val="24"/>
                <w:lang w:val="en-US" w:eastAsia="zh-CN" w:bidi="ar-SA"/>
              </w:rPr>
              <w:t>m</w:t>
            </w:r>
            <w:r>
              <w:rPr>
                <w:rFonts w:ascii="Times New Roman" w:hAnsi="Times New Roman" w:eastAsia="宋体" w:cs="Times New Roman"/>
                <w:iCs/>
                <w:kern w:val="2"/>
                <w:sz w:val="24"/>
                <w:szCs w:val="24"/>
                <w:vertAlign w:val="superscript"/>
                <w:lang w:val="en-US" w:eastAsia="zh-CN" w:bidi="ar-SA"/>
              </w:rPr>
              <w:t>3</w:t>
            </w:r>
            <w:r>
              <w:rPr>
                <w:rFonts w:ascii="Times New Roman" w:hAnsi="Times New Roman" w:eastAsia="宋体" w:cs="Times New Roman"/>
                <w:iCs/>
                <w:kern w:val="2"/>
                <w:sz w:val="24"/>
                <w:szCs w:val="24"/>
                <w:lang w:val="en-US" w:eastAsia="zh-CN" w:bidi="ar-SA"/>
              </w:rPr>
              <w:t>/h</w:t>
            </w:r>
            <w:r>
              <w:rPr>
                <w:rFonts w:ascii="Times New Roman" w:hAnsi="Times New Roman" w:eastAsia="宋体" w:cs="Times New Roman"/>
                <w:kern w:val="2"/>
                <w:sz w:val="24"/>
                <w:szCs w:val="24"/>
                <w:lang w:val="en-US" w:eastAsia="zh-CN" w:bidi="ar-SA"/>
              </w:rPr>
              <w:t>；</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i/>
                <w:kern w:val="2"/>
                <w:sz w:val="24"/>
                <w:szCs w:val="24"/>
                <w:lang w:val="en-US" w:eastAsia="zh-CN" w:bidi="ar-SA"/>
              </w:rPr>
              <w:t>N</w:t>
            </w:r>
            <w:r>
              <w:rPr>
                <w:rFonts w:ascii="Times New Roman" w:hAnsi="Times New Roman" w:eastAsia="宋体" w:cs="Times New Roman"/>
                <w:iCs/>
                <w:kern w:val="2"/>
                <w:sz w:val="24"/>
                <w:szCs w:val="24"/>
                <w:lang w:val="en-US" w:eastAsia="zh-CN" w:bidi="ar-SA"/>
              </w:rPr>
              <w:t>——</w:t>
            </w:r>
            <w:r>
              <w:rPr>
                <w:rFonts w:ascii="Times New Roman" w:hAnsi="Times New Roman" w:eastAsia="宋体" w:cs="Times New Roman"/>
                <w:kern w:val="2"/>
                <w:sz w:val="24"/>
                <w:szCs w:val="24"/>
                <w:lang w:val="en-US" w:eastAsia="zh-CN" w:bidi="ar-SA"/>
              </w:rPr>
              <w:t>浓水倍数，根据《建筑给水排水设计手册》，N一般不超过5~6，本项目取值5。</w:t>
            </w:r>
          </w:p>
          <w:p>
            <w:pPr>
              <w:keepNext w:val="0"/>
              <w:keepLines w:val="0"/>
              <w:pageBreakBefore w:val="0"/>
              <w:widowControl w:val="0"/>
              <w:tabs>
                <w:tab w:val="left" w:pos="425"/>
              </w:tabs>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计算得</w:t>
            </w: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Cs/>
                <w:kern w:val="2"/>
                <w:sz w:val="24"/>
                <w:szCs w:val="24"/>
                <w:vertAlign w:val="subscript"/>
                <w:lang w:val="en-US" w:eastAsia="zh-CN" w:bidi="ar-SA"/>
              </w:rPr>
              <w:t>b</w:t>
            </w:r>
            <w:r>
              <w:rPr>
                <w:rFonts w:ascii="Times New Roman" w:hAnsi="Times New Roman" w:eastAsia="宋体" w:cs="Times New Roman"/>
                <w:kern w:val="2"/>
                <w:sz w:val="24"/>
                <w:szCs w:val="24"/>
                <w:lang w:val="en-US" w:eastAsia="zh-CN" w:bidi="ar-SA"/>
              </w:rPr>
              <w:t>值为</w:t>
            </w:r>
            <w:r>
              <w:rPr>
                <w:rFonts w:hint="eastAsia" w:ascii="Times New Roman" w:hAnsi="Times New Roman" w:eastAsia="宋体" w:cs="Times New Roman"/>
                <w:kern w:val="2"/>
                <w:sz w:val="24"/>
                <w:szCs w:val="24"/>
                <w:lang w:val="en-US" w:eastAsia="zh-CN" w:bidi="ar-SA"/>
              </w:rPr>
              <w:t>0.0</w:t>
            </w:r>
            <w:r>
              <w:rPr>
                <w:rFonts w:hint="eastAsia" w:cs="Times New Roman"/>
                <w:kern w:val="2"/>
                <w:sz w:val="24"/>
                <w:szCs w:val="24"/>
                <w:lang w:val="en-US" w:eastAsia="zh-CN" w:bidi="ar-SA"/>
              </w:rPr>
              <w:t>99</w:t>
            </w:r>
            <w:r>
              <w:rPr>
                <w:rFonts w:ascii="Times New Roman" w:hAnsi="Times New Roman" w:eastAsia="宋体" w:cs="Times New Roman"/>
                <w:iCs/>
                <w:kern w:val="2"/>
                <w:sz w:val="24"/>
                <w:szCs w:val="24"/>
                <w:lang w:val="en-US" w:eastAsia="zh-CN" w:bidi="ar-SA"/>
              </w:rPr>
              <w:t>m</w:t>
            </w:r>
            <w:r>
              <w:rPr>
                <w:rFonts w:ascii="Times New Roman" w:hAnsi="Times New Roman" w:eastAsia="宋体" w:cs="Times New Roman"/>
                <w:iCs/>
                <w:kern w:val="2"/>
                <w:sz w:val="24"/>
                <w:szCs w:val="24"/>
                <w:vertAlign w:val="superscript"/>
                <w:lang w:val="en-US" w:eastAsia="zh-CN" w:bidi="ar-SA"/>
              </w:rPr>
              <w:t>3</w:t>
            </w:r>
            <w:r>
              <w:rPr>
                <w:rFonts w:ascii="Times New Roman" w:hAnsi="Times New Roman" w:eastAsia="宋体" w:cs="Times New Roman"/>
                <w:iCs/>
                <w:kern w:val="2"/>
                <w:sz w:val="24"/>
                <w:szCs w:val="24"/>
                <w:lang w:val="en-US" w:eastAsia="zh-CN" w:bidi="ar-SA"/>
              </w:rPr>
              <w:t>/h</w:t>
            </w:r>
            <w:r>
              <w:rPr>
                <w:rFonts w:ascii="Times New Roman" w:hAnsi="Times New Roman" w:eastAsia="宋体" w:cs="Times New Roman"/>
                <w:kern w:val="2"/>
                <w:sz w:val="24"/>
                <w:szCs w:val="24"/>
                <w:lang w:val="en-US" w:eastAsia="zh-CN" w:bidi="ar-SA"/>
              </w:rPr>
              <w:t>，则冷却塔日均排水量为</w:t>
            </w:r>
            <w:r>
              <w:rPr>
                <w:rFonts w:hint="eastAsia" w:cs="Times New Roman"/>
                <w:kern w:val="2"/>
                <w:sz w:val="24"/>
                <w:szCs w:val="24"/>
                <w:lang w:val="en-US" w:eastAsia="zh-CN" w:bidi="ar-SA"/>
              </w:rPr>
              <w:t>2.376</w:t>
            </w:r>
            <w:r>
              <w:rPr>
                <w:rFonts w:ascii="Times New Roman" w:hAnsi="Times New Roman" w:eastAsia="宋体" w:cs="Times New Roman"/>
                <w:kern w:val="2"/>
                <w:sz w:val="24"/>
                <w:szCs w:val="24"/>
                <w:lang w:val="en-US" w:eastAsia="zh-CN" w:bidi="ar-SA"/>
              </w:rPr>
              <w:t>m</w:t>
            </w:r>
            <w:r>
              <w:rPr>
                <w:rFonts w:ascii="Times New Roman" w:hAnsi="Times New Roman" w:eastAsia="宋体" w:cs="Times New Roman"/>
                <w:kern w:val="2"/>
                <w:sz w:val="24"/>
                <w:szCs w:val="24"/>
                <w:vertAlign w:val="superscript"/>
                <w:lang w:val="en-US" w:eastAsia="zh-CN" w:bidi="ar-SA"/>
              </w:rPr>
              <w:t>3</w:t>
            </w:r>
            <w:r>
              <w:rPr>
                <w:rFonts w:ascii="Times New Roman" w:hAnsi="Times New Roman" w:eastAsia="宋体" w:cs="Times New Roman"/>
                <w:kern w:val="2"/>
                <w:sz w:val="24"/>
                <w:szCs w:val="24"/>
                <w:lang w:val="en-US" w:eastAsia="zh-CN" w:bidi="ar-SA"/>
              </w:rPr>
              <w:t>/d，即</w:t>
            </w:r>
            <w:r>
              <w:rPr>
                <w:rFonts w:hint="eastAsia" w:cs="Times New Roman"/>
                <w:kern w:val="2"/>
                <w:sz w:val="24"/>
                <w:szCs w:val="24"/>
                <w:lang w:val="en-US" w:eastAsia="zh-CN" w:bidi="ar-SA"/>
              </w:rPr>
              <w:t>427.68</w:t>
            </w:r>
            <w:r>
              <w:rPr>
                <w:rFonts w:ascii="Times New Roman" w:hAnsi="Times New Roman" w:eastAsia="宋体" w:cs="Times New Roman"/>
                <w:kern w:val="2"/>
                <w:sz w:val="24"/>
                <w:szCs w:val="24"/>
                <w:lang w:val="en-US" w:eastAsia="zh-CN" w:bidi="ar-SA"/>
              </w:rPr>
              <w:t>m</w:t>
            </w:r>
            <w:r>
              <w:rPr>
                <w:rFonts w:ascii="Times New Roman" w:hAnsi="Times New Roman" w:eastAsia="宋体" w:cs="Times New Roman"/>
                <w:kern w:val="2"/>
                <w:sz w:val="24"/>
                <w:szCs w:val="24"/>
                <w:vertAlign w:val="superscript"/>
                <w:lang w:val="en-US" w:eastAsia="zh-CN" w:bidi="ar-SA"/>
              </w:rPr>
              <w:t>3</w:t>
            </w:r>
            <w:r>
              <w:rPr>
                <w:rFonts w:ascii="Times New Roman" w:hAnsi="Times New Roman" w:eastAsia="宋体" w:cs="Times New Roman"/>
                <w:kern w:val="2"/>
                <w:sz w:val="24"/>
                <w:szCs w:val="24"/>
                <w:lang w:val="en-US" w:eastAsia="zh-CN" w:bidi="ar-SA"/>
              </w:rPr>
              <w:t>/a。</w:t>
            </w:r>
          </w:p>
          <w:p>
            <w:pPr>
              <w:widowControl w:val="0"/>
              <w:tabs>
                <w:tab w:val="left" w:pos="425"/>
              </w:tabs>
              <w:adjustRightInd w:val="0"/>
              <w:snapToGrid w:val="0"/>
              <w:spacing w:after="0" w:line="360" w:lineRule="auto"/>
              <w:ind w:left="0" w:leftChars="0"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4）补水量</w:t>
            </w: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
                <w:iCs/>
                <w:kern w:val="2"/>
                <w:sz w:val="24"/>
                <w:szCs w:val="24"/>
                <w:vertAlign w:val="subscript"/>
                <w:lang w:val="en-US" w:eastAsia="zh-CN" w:bidi="ar-SA"/>
              </w:rPr>
              <w:t>m</w:t>
            </w:r>
          </w:p>
          <w:p>
            <w:pPr>
              <w:widowControl w:val="0"/>
              <w:tabs>
                <w:tab w:val="left" w:pos="425"/>
              </w:tabs>
              <w:adjustRightInd w:val="0"/>
              <w:snapToGrid w:val="0"/>
              <w:spacing w:after="0" w:line="360" w:lineRule="auto"/>
              <w:ind w:left="0" w:leftChars="0" w:firstLine="480" w:firstLineChars="2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kern w:val="2"/>
                <w:sz w:val="24"/>
                <w:szCs w:val="24"/>
                <w:lang w:val="en-US" w:eastAsia="zh-CN" w:bidi="ar-SA"/>
              </w:rPr>
              <w:t>排水量计算公式如下：</w:t>
            </w:r>
          </w:p>
          <w:p>
            <w:pPr>
              <w:widowControl w:val="0"/>
              <w:tabs>
                <w:tab w:val="left" w:pos="425"/>
              </w:tabs>
              <w:adjustRightInd w:val="0"/>
              <w:snapToGrid w:val="0"/>
              <w:spacing w:after="0" w:line="360" w:lineRule="auto"/>
              <w:ind w:left="480" w:leftChars="200"/>
              <w:jc w:val="center"/>
              <w:rPr>
                <w:rFonts w:ascii="Times New Roman" w:hAnsi="Times New Roman" w:eastAsia="宋体" w:cs="Times New Roman"/>
                <w:kern w:val="2"/>
                <w:sz w:val="24"/>
                <w:szCs w:val="24"/>
                <w:lang w:val="en-US" w:eastAsia="zh-CN" w:bidi="ar-SA"/>
              </w:rPr>
            </w:pPr>
            <w:r>
              <w:rPr>
                <w:rFonts w:ascii="Times New Roman" w:hAnsi="Times New Roman" w:eastAsia="宋体" w:cs="Times New Roman"/>
                <w:i/>
                <w:iCs/>
                <w:kern w:val="2"/>
                <w:sz w:val="24"/>
                <w:szCs w:val="24"/>
                <w:lang w:val="en-US" w:eastAsia="zh-CN" w:bidi="ar-SA"/>
              </w:rPr>
              <w:t>Q</w:t>
            </w:r>
            <w:r>
              <w:rPr>
                <w:rFonts w:ascii="Times New Roman" w:hAnsi="Times New Roman" w:eastAsia="宋体" w:cs="Times New Roman"/>
                <w:i/>
                <w:iCs/>
                <w:kern w:val="2"/>
                <w:sz w:val="24"/>
                <w:szCs w:val="24"/>
                <w:vertAlign w:val="subscript"/>
                <w:lang w:val="en-US" w:eastAsia="zh-CN" w:bidi="ar-SA"/>
              </w:rPr>
              <w:t>m</w:t>
            </w:r>
            <w:r>
              <w:rPr>
                <w:rFonts w:ascii="Times New Roman" w:hAnsi="Times New Roman" w:eastAsia="宋体" w:cs="Times New Roman"/>
                <w:kern w:val="2"/>
                <w:sz w:val="24"/>
                <w:szCs w:val="24"/>
                <w:lang w:val="en-US" w:eastAsia="zh-CN" w:bidi="ar-SA"/>
              </w:rPr>
              <w:t>=</w:t>
            </w:r>
            <w:r>
              <w:rPr>
                <w:rFonts w:ascii="Times New Roman" w:hAnsi="Times New Roman" w:eastAsia="等线" w:cs="Times New Roman"/>
                <w:i/>
                <w:iCs/>
                <w:kern w:val="2"/>
                <w:sz w:val="24"/>
                <w:szCs w:val="24"/>
                <w:lang w:val="en-US" w:eastAsia="zh-CN" w:bidi="ar-SA"/>
              </w:rPr>
              <w:t xml:space="preserve"> Q</w:t>
            </w:r>
            <w:r>
              <w:rPr>
                <w:rFonts w:ascii="Times New Roman" w:hAnsi="Times New Roman" w:eastAsia="等线" w:cs="Times New Roman"/>
                <w:iCs/>
                <w:kern w:val="2"/>
                <w:sz w:val="24"/>
                <w:szCs w:val="24"/>
                <w:vertAlign w:val="subscript"/>
                <w:lang w:val="en-US" w:eastAsia="zh-CN" w:bidi="ar-SA"/>
              </w:rPr>
              <w:t>e</w:t>
            </w:r>
            <w:r>
              <w:rPr>
                <w:rFonts w:ascii="Times New Roman" w:hAnsi="Times New Roman" w:eastAsia="等线" w:cs="Times New Roman"/>
                <w:iCs/>
                <w:kern w:val="2"/>
                <w:sz w:val="24"/>
                <w:szCs w:val="24"/>
                <w:lang w:val="en-US" w:eastAsia="zh-CN" w:bidi="ar-SA"/>
              </w:rPr>
              <w:t>+</w:t>
            </w:r>
            <w:r>
              <w:rPr>
                <w:rFonts w:ascii="Times New Roman" w:hAnsi="Times New Roman" w:eastAsia="等线" w:cs="Times New Roman"/>
                <w:i/>
                <w:iCs/>
                <w:kern w:val="2"/>
                <w:sz w:val="24"/>
                <w:szCs w:val="24"/>
                <w:lang w:val="en-US" w:eastAsia="zh-CN" w:bidi="ar-SA"/>
              </w:rPr>
              <w:t xml:space="preserve"> Q</w:t>
            </w:r>
            <w:r>
              <w:rPr>
                <w:rFonts w:ascii="Times New Roman" w:hAnsi="Times New Roman" w:eastAsia="等线" w:cs="Times New Roman"/>
                <w:i/>
                <w:iCs/>
                <w:kern w:val="2"/>
                <w:sz w:val="24"/>
                <w:szCs w:val="24"/>
                <w:vertAlign w:val="subscript"/>
                <w:lang w:val="en-US" w:eastAsia="zh-CN" w:bidi="ar-SA"/>
              </w:rPr>
              <w:t>w</w:t>
            </w:r>
            <w:r>
              <w:rPr>
                <w:rFonts w:ascii="Times New Roman" w:hAnsi="Times New Roman" w:eastAsia="等线" w:cs="Times New Roman"/>
                <w:i/>
                <w:iCs/>
                <w:kern w:val="2"/>
                <w:sz w:val="24"/>
                <w:szCs w:val="24"/>
                <w:lang w:val="en-US" w:eastAsia="zh-CN" w:bidi="ar-SA"/>
              </w:rPr>
              <w:t>+</w:t>
            </w:r>
            <w:r>
              <w:rPr>
                <w:rFonts w:ascii="Times New Roman" w:hAnsi="Times New Roman" w:eastAsia="宋体" w:cs="Times New Roman"/>
                <w:i/>
                <w:iCs/>
                <w:kern w:val="2"/>
                <w:sz w:val="24"/>
                <w:szCs w:val="24"/>
                <w:lang w:val="en-US" w:eastAsia="zh-CN" w:bidi="ar-SA"/>
              </w:rPr>
              <w:t xml:space="preserve"> Q</w:t>
            </w:r>
            <w:r>
              <w:rPr>
                <w:rFonts w:ascii="Times New Roman" w:hAnsi="Times New Roman" w:eastAsia="宋体" w:cs="Times New Roman"/>
                <w:i/>
                <w:iCs/>
                <w:kern w:val="2"/>
                <w:sz w:val="24"/>
                <w:szCs w:val="24"/>
                <w:vertAlign w:val="subscript"/>
                <w:lang w:val="en-US" w:eastAsia="zh-CN" w:bidi="ar-SA"/>
              </w:rPr>
              <w:t>b</w:t>
            </w:r>
          </w:p>
          <w:p>
            <w:pPr>
              <w:widowControl/>
              <w:adjustRightInd/>
              <w:snapToGrid/>
              <w:spacing w:line="360" w:lineRule="auto"/>
              <w:ind w:firstLine="480" w:firstLineChars="200"/>
              <w:jc w:val="left"/>
              <w:textAlignment w:val="baseline"/>
              <w:rPr>
                <w:rFonts w:ascii="Times New Roman" w:hAnsi="Times New Roman" w:eastAsia="宋体" w:cs="Times New Roman"/>
                <w:color w:val="auto"/>
                <w:kern w:val="0"/>
                <w:sz w:val="24"/>
                <w:szCs w:val="24"/>
                <w:lang w:val="en-US" w:eastAsia="zh-CN" w:bidi="en-US"/>
              </w:rPr>
            </w:pPr>
            <w:r>
              <w:rPr>
                <w:rFonts w:ascii="Times New Roman" w:hAnsi="Times New Roman" w:eastAsia="宋体" w:cs="Times New Roman"/>
                <w:color w:val="auto"/>
                <w:kern w:val="0"/>
                <w:sz w:val="24"/>
                <w:szCs w:val="24"/>
                <w:lang w:val="en-US" w:eastAsia="zh-CN" w:bidi="en-US"/>
              </w:rPr>
              <w:t>计算得冷却塔补水量为</w:t>
            </w:r>
            <w:r>
              <w:rPr>
                <w:rFonts w:hint="eastAsia" w:ascii="Times New Roman" w:hAnsi="Times New Roman" w:eastAsia="宋体" w:cs="Times New Roman"/>
                <w:color w:val="auto"/>
                <w:kern w:val="0"/>
                <w:sz w:val="24"/>
                <w:szCs w:val="24"/>
                <w:lang w:val="en-US" w:eastAsia="zh-CN" w:bidi="en-US"/>
              </w:rPr>
              <w:t>0.</w:t>
            </w:r>
            <w:r>
              <w:rPr>
                <w:rFonts w:hint="eastAsia" w:cs="Times New Roman"/>
                <w:color w:val="auto"/>
                <w:kern w:val="0"/>
                <w:sz w:val="24"/>
                <w:szCs w:val="24"/>
                <w:lang w:val="en-US" w:eastAsia="zh-CN" w:bidi="en-US"/>
              </w:rPr>
              <w:t>5165</w:t>
            </w:r>
            <w:r>
              <w:rPr>
                <w:rFonts w:ascii="Times New Roman" w:hAnsi="Times New Roman" w:eastAsia="宋体" w:cs="Times New Roman"/>
                <w:iCs/>
                <w:color w:val="auto"/>
                <w:kern w:val="0"/>
                <w:sz w:val="24"/>
                <w:szCs w:val="24"/>
                <w:lang w:val="en-US" w:eastAsia="zh-CN" w:bidi="en-US"/>
              </w:rPr>
              <w:t>m</w:t>
            </w:r>
            <w:r>
              <w:rPr>
                <w:rFonts w:ascii="Times New Roman" w:hAnsi="Times New Roman" w:eastAsia="宋体" w:cs="Times New Roman"/>
                <w:iCs/>
                <w:color w:val="auto"/>
                <w:kern w:val="0"/>
                <w:sz w:val="24"/>
                <w:szCs w:val="24"/>
                <w:vertAlign w:val="superscript"/>
                <w:lang w:val="en-US" w:eastAsia="zh-CN" w:bidi="en-US"/>
              </w:rPr>
              <w:t>3</w:t>
            </w:r>
            <w:r>
              <w:rPr>
                <w:rFonts w:ascii="Times New Roman" w:hAnsi="Times New Roman" w:eastAsia="宋体" w:cs="Times New Roman"/>
                <w:iCs/>
                <w:color w:val="auto"/>
                <w:kern w:val="0"/>
                <w:sz w:val="24"/>
                <w:szCs w:val="24"/>
                <w:lang w:val="en-US" w:eastAsia="zh-CN" w:bidi="en-US"/>
              </w:rPr>
              <w:t>/h，</w:t>
            </w:r>
            <w:r>
              <w:rPr>
                <w:rFonts w:ascii="Times New Roman" w:hAnsi="Times New Roman" w:eastAsia="宋体" w:cs="Times New Roman"/>
                <w:color w:val="auto"/>
                <w:kern w:val="0"/>
                <w:sz w:val="24"/>
                <w:szCs w:val="24"/>
                <w:lang w:val="en-US" w:eastAsia="zh-CN" w:bidi="en-US"/>
              </w:rPr>
              <w:t>则冷却塔日均补水量为</w:t>
            </w:r>
            <w:r>
              <w:rPr>
                <w:rFonts w:hint="eastAsia" w:cs="Times New Roman"/>
                <w:color w:val="auto"/>
                <w:kern w:val="0"/>
                <w:sz w:val="24"/>
                <w:szCs w:val="24"/>
                <w:lang w:val="en-US" w:eastAsia="zh-CN" w:bidi="en-US"/>
              </w:rPr>
              <w:t>12.396</w:t>
            </w:r>
            <w:r>
              <w:rPr>
                <w:rFonts w:ascii="Times New Roman" w:hAnsi="Times New Roman" w:eastAsia="宋体" w:cs="Times New Roman"/>
                <w:color w:val="auto"/>
                <w:kern w:val="0"/>
                <w:sz w:val="24"/>
                <w:szCs w:val="24"/>
                <w:lang w:val="en-US" w:eastAsia="zh-CN" w:bidi="en-US"/>
              </w:rPr>
              <w:t>m</w:t>
            </w:r>
            <w:r>
              <w:rPr>
                <w:rFonts w:ascii="Times New Roman" w:hAnsi="Times New Roman" w:eastAsia="宋体" w:cs="Times New Roman"/>
                <w:color w:val="auto"/>
                <w:kern w:val="0"/>
                <w:sz w:val="24"/>
                <w:szCs w:val="24"/>
                <w:vertAlign w:val="superscript"/>
                <w:lang w:val="en-US" w:eastAsia="zh-CN" w:bidi="en-US"/>
              </w:rPr>
              <w:t>3</w:t>
            </w:r>
            <w:r>
              <w:rPr>
                <w:rFonts w:ascii="Times New Roman" w:hAnsi="Times New Roman" w:eastAsia="宋体" w:cs="Times New Roman"/>
                <w:color w:val="auto"/>
                <w:kern w:val="0"/>
                <w:sz w:val="24"/>
                <w:szCs w:val="24"/>
                <w:lang w:val="en-US" w:eastAsia="zh-CN" w:bidi="en-US"/>
              </w:rPr>
              <w:t>/d，即</w:t>
            </w:r>
            <w:r>
              <w:rPr>
                <w:rFonts w:hint="eastAsia" w:cs="Times New Roman"/>
                <w:color w:val="auto"/>
                <w:kern w:val="0"/>
                <w:sz w:val="24"/>
                <w:szCs w:val="24"/>
                <w:lang w:val="en-US" w:eastAsia="zh-CN" w:bidi="en-US"/>
              </w:rPr>
              <w:t>2231.28</w:t>
            </w:r>
            <w:r>
              <w:rPr>
                <w:rFonts w:ascii="Times New Roman" w:hAnsi="Times New Roman" w:eastAsia="宋体" w:cs="Times New Roman"/>
                <w:color w:val="auto"/>
                <w:kern w:val="0"/>
                <w:sz w:val="24"/>
                <w:szCs w:val="24"/>
                <w:lang w:val="en-US" w:eastAsia="zh-CN" w:bidi="en-US"/>
              </w:rPr>
              <w:t>m</w:t>
            </w:r>
            <w:r>
              <w:rPr>
                <w:rFonts w:ascii="Times New Roman" w:hAnsi="Times New Roman" w:eastAsia="宋体" w:cs="Times New Roman"/>
                <w:color w:val="auto"/>
                <w:kern w:val="0"/>
                <w:sz w:val="24"/>
                <w:szCs w:val="24"/>
                <w:vertAlign w:val="superscript"/>
                <w:lang w:val="en-US" w:eastAsia="zh-CN" w:bidi="en-US"/>
              </w:rPr>
              <w:t>3</w:t>
            </w:r>
            <w:r>
              <w:rPr>
                <w:rFonts w:ascii="Times New Roman" w:hAnsi="Times New Roman" w:eastAsia="宋体" w:cs="Times New Roman"/>
                <w:color w:val="auto"/>
                <w:kern w:val="0"/>
                <w:sz w:val="24"/>
                <w:szCs w:val="24"/>
                <w:lang w:val="en-US" w:eastAsia="zh-CN" w:bidi="en-US"/>
              </w:rPr>
              <w:t>/a。</w:t>
            </w:r>
          </w:p>
          <w:p>
            <w:pPr>
              <w:keepNext/>
              <w:keepLines w:val="0"/>
              <w:pageBreakBefore w:val="0"/>
              <w:widowControl/>
              <w:numPr>
                <w:ilvl w:val="0"/>
                <w:numId w:val="0"/>
              </w:numPr>
              <w:kinsoku/>
              <w:wordWrap/>
              <w:overflowPunct/>
              <w:topLinePunct w:val="0"/>
              <w:autoSpaceDE/>
              <w:autoSpaceDN/>
              <w:bidi w:val="0"/>
              <w:adjustRightInd/>
              <w:snapToGrid/>
              <w:ind w:firstLine="480" w:firstLineChars="200"/>
              <w:textAlignment w:val="auto"/>
              <w:rPr>
                <w:rFonts w:hint="default" w:eastAsia="宋体"/>
                <w:color w:val="000000"/>
                <w:kern w:val="0"/>
                <w:lang w:val="en-US" w:eastAsia="zh-CN"/>
              </w:rPr>
            </w:pPr>
            <w:r>
              <w:rPr>
                <w:rFonts w:hint="eastAsia" w:eastAsia="宋体"/>
                <w:color w:val="000000"/>
                <w:kern w:val="0"/>
                <w:lang w:val="en-US" w:eastAsia="zh-CN"/>
              </w:rPr>
              <w:t>综上所述，本项目总用水量为</w:t>
            </w:r>
            <w:r>
              <w:rPr>
                <w:rFonts w:hint="eastAsia"/>
                <w:color w:val="000000"/>
                <w:kern w:val="0"/>
                <w:lang w:val="en-US" w:eastAsia="zh-CN"/>
              </w:rPr>
              <w:t>2404.08</w:t>
            </w:r>
            <w:r>
              <w:rPr>
                <w:rFonts w:hint="eastAsia" w:eastAsia="宋体"/>
                <w:color w:val="000000"/>
                <w:kern w:val="0"/>
                <w:lang w:val="en-US" w:eastAsia="zh-CN"/>
              </w:rPr>
              <w:t>m</w:t>
            </w:r>
            <w:r>
              <w:rPr>
                <w:rFonts w:hint="eastAsia" w:eastAsia="宋体"/>
                <w:color w:val="000000"/>
                <w:kern w:val="0"/>
                <w:vertAlign w:val="superscript"/>
                <w:lang w:val="en-US" w:eastAsia="zh-CN"/>
              </w:rPr>
              <w:t>3</w:t>
            </w:r>
            <w:r>
              <w:rPr>
                <w:rFonts w:hint="eastAsia" w:eastAsia="宋体"/>
                <w:color w:val="000000"/>
                <w:kern w:val="0"/>
                <w:lang w:val="en-US" w:eastAsia="zh-CN"/>
              </w:rPr>
              <w:t>/a。</w:t>
            </w:r>
          </w:p>
          <w:p>
            <w:pPr>
              <w:keepNext/>
              <w:keepLines w:val="0"/>
              <w:pageBreakBefore w:val="0"/>
              <w:widowControl/>
              <w:kinsoku/>
              <w:wordWrap/>
              <w:overflowPunct/>
              <w:topLinePunct w:val="0"/>
              <w:autoSpaceDE/>
              <w:autoSpaceDN/>
              <w:bidi w:val="0"/>
              <w:ind w:firstLine="480" w:firstLineChars="200"/>
              <w:jc w:val="both"/>
              <w:rPr>
                <w:rFonts w:hint="eastAsia"/>
                <w:lang w:val="en-US" w:eastAsia="zh-CN"/>
              </w:rPr>
            </w:pPr>
            <w:r>
              <w:rPr>
                <w:rFonts w:hint="eastAsia"/>
                <w:lang w:val="en-US" w:eastAsia="zh-CN"/>
              </w:rPr>
              <w:t>排水：本项目循环冷却水循环使用定期补充损耗，循环水定期排水427.68m</w:t>
            </w:r>
            <w:r>
              <w:rPr>
                <w:rFonts w:hint="eastAsia"/>
                <w:vertAlign w:val="superscript"/>
                <w:lang w:val="en-US" w:eastAsia="zh-CN"/>
              </w:rPr>
              <w:t>3</w:t>
            </w:r>
            <w:r>
              <w:rPr>
                <w:rFonts w:hint="eastAsia"/>
                <w:lang w:val="en-US" w:eastAsia="zh-CN"/>
              </w:rPr>
              <w:t>/a，属于清净下水，通过园区下水管网排至园区污水处理厂进行处理。</w:t>
            </w:r>
          </w:p>
          <w:p>
            <w:pPr>
              <w:keepNext/>
              <w:keepLines w:val="0"/>
              <w:pageBreakBefore w:val="0"/>
              <w:widowControl/>
              <w:kinsoku/>
              <w:wordWrap/>
              <w:overflowPunct/>
              <w:topLinePunct w:val="0"/>
              <w:autoSpaceDE/>
              <w:autoSpaceDN/>
              <w:bidi w:val="0"/>
              <w:ind w:firstLine="480" w:firstLineChars="200"/>
              <w:jc w:val="left"/>
              <w:rPr>
                <w:rFonts w:hint="eastAsia"/>
                <w:lang w:val="en-US" w:eastAsia="zh-CN"/>
              </w:rPr>
            </w:pPr>
            <w:r>
              <w:rPr>
                <w:rFonts w:hint="eastAsia"/>
                <w:lang w:val="en-US" w:eastAsia="zh-CN"/>
              </w:rPr>
              <w:t>项目生活用水量为172.8m</w:t>
            </w:r>
            <w:r>
              <w:rPr>
                <w:rFonts w:hint="eastAsia"/>
                <w:vertAlign w:val="superscript"/>
                <w:lang w:val="en-US" w:eastAsia="zh-CN"/>
              </w:rPr>
              <w:t>3</w:t>
            </w:r>
            <w:r>
              <w:rPr>
                <w:rFonts w:hint="eastAsia"/>
                <w:lang w:val="en-US" w:eastAsia="zh-CN"/>
              </w:rPr>
              <w:t>/a，产生量按照80%计算，则生活污水量为138.24m</w:t>
            </w:r>
            <w:r>
              <w:rPr>
                <w:rFonts w:hint="eastAsia"/>
                <w:vertAlign w:val="superscript"/>
                <w:lang w:val="en-US" w:eastAsia="zh-CN"/>
              </w:rPr>
              <w:t>3</w:t>
            </w:r>
            <w:r>
              <w:rPr>
                <w:rFonts w:hint="eastAsia"/>
                <w:lang w:val="en-US" w:eastAsia="zh-CN"/>
              </w:rPr>
              <w:t>/a。生活污水经化粪池收集后，</w:t>
            </w:r>
            <w:r>
              <w:rPr>
                <w:rFonts w:hint="eastAsia"/>
                <w:color w:val="000000" w:themeColor="text1"/>
                <w:sz w:val="24"/>
                <w:szCs w:val="24"/>
                <w:lang w:val="en-US" w:eastAsia="zh-CN"/>
                <w14:textFill>
                  <w14:solidFill>
                    <w14:schemeClr w14:val="tx1"/>
                  </w14:solidFill>
                </w14:textFill>
              </w:rPr>
              <w:t>通过园区管网排至园区污水处理厂</w:t>
            </w:r>
            <w:r>
              <w:rPr>
                <w:rFonts w:hint="eastAsia"/>
                <w:lang w:val="en-US" w:eastAsia="zh-CN"/>
              </w:rPr>
              <w:t>。</w:t>
            </w:r>
          </w:p>
          <w:p>
            <w:pPr>
              <w:pStyle w:val="10"/>
              <w:rPr>
                <w:rFonts w:hint="eastAsia"/>
                <w:lang w:val="en-US" w:eastAsia="zh-CN"/>
              </w:rPr>
            </w:pPr>
          </w:p>
          <w:p>
            <w:pPr>
              <w:keepNext/>
              <w:keepLines w:val="0"/>
              <w:pageBreakBefore w:val="0"/>
              <w:widowControl/>
              <w:kinsoku/>
              <w:wordWrap/>
              <w:overflowPunct/>
              <w:topLinePunct w:val="0"/>
              <w:autoSpaceDE/>
              <w:autoSpaceDN/>
              <w:bidi w:val="0"/>
              <w:jc w:val="center"/>
              <w:rPr>
                <w:rFonts w:hint="eastAsia"/>
                <w:b/>
                <w:bCs/>
                <w:color w:val="000000"/>
                <w:kern w:val="0"/>
                <w:lang w:val="en-US" w:eastAsia="zh-CN"/>
              </w:rPr>
            </w:pPr>
            <w:r>
              <w:rPr>
                <w:rFonts w:hint="eastAsia"/>
                <w:b/>
                <w:bCs/>
                <w:color w:val="000000"/>
                <w:kern w:val="0"/>
                <w:lang w:val="en-US" w:eastAsia="zh-CN"/>
              </w:rPr>
              <w:drawing>
                <wp:inline distT="0" distB="0" distL="114300" distR="114300">
                  <wp:extent cx="4966335" cy="1303655"/>
                  <wp:effectExtent l="0" t="0" r="0" b="0"/>
                  <wp:docPr id="11" name="ECB019B1-382A-4266-B25C-5B523AA43C14-1" descr="C:/Users/Administrator/AppData/Local/Temp/wps.FvsUC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CB019B1-382A-4266-B25C-5B523AA43C14-1" descr="C:/Users/Administrator/AppData/Local/Temp/wps.FvsUCvwps"/>
                          <pic:cNvPicPr>
                            <a:picLocks noChangeAspect="1"/>
                          </pic:cNvPicPr>
                        </pic:nvPicPr>
                        <pic:blipFill>
                          <a:blip r:embed="rId11"/>
                          <a:stretch>
                            <a:fillRect/>
                          </a:stretch>
                        </pic:blipFill>
                        <pic:spPr>
                          <a:xfrm>
                            <a:off x="0" y="0"/>
                            <a:ext cx="4966335" cy="1303655"/>
                          </a:xfrm>
                          <a:prstGeom prst="rect">
                            <a:avLst/>
                          </a:prstGeom>
                        </pic:spPr>
                      </pic:pic>
                    </a:graphicData>
                  </a:graphic>
                </wp:inline>
              </w:drawing>
            </w:r>
          </w:p>
          <w:p>
            <w:pPr>
              <w:keepNext/>
              <w:keepLines w:val="0"/>
              <w:pageBreakBefore w:val="0"/>
              <w:widowControl/>
              <w:kinsoku/>
              <w:wordWrap/>
              <w:overflowPunct/>
              <w:topLinePunct w:val="0"/>
              <w:autoSpaceDE/>
              <w:autoSpaceDN/>
              <w:bidi w:val="0"/>
              <w:jc w:val="center"/>
              <w:rPr>
                <w:rFonts w:hint="default"/>
                <w:b/>
                <w:bCs/>
                <w:color w:val="000000"/>
                <w:kern w:val="0"/>
                <w:lang w:val="en-US" w:eastAsia="zh-CN"/>
              </w:rPr>
            </w:pPr>
            <w:r>
              <w:rPr>
                <w:rFonts w:hint="eastAsia"/>
                <w:b/>
                <w:bCs/>
                <w:color w:val="000000"/>
                <w:kern w:val="0"/>
                <w:lang w:val="en-US" w:eastAsia="zh-CN"/>
              </w:rPr>
              <w:t>图2-1    水平衡图（单位：m</w:t>
            </w:r>
            <w:r>
              <w:rPr>
                <w:rFonts w:hint="eastAsia"/>
                <w:b/>
                <w:bCs/>
                <w:color w:val="000000"/>
                <w:kern w:val="0"/>
                <w:vertAlign w:val="superscript"/>
                <w:lang w:val="en-US" w:eastAsia="zh-CN"/>
              </w:rPr>
              <w:t>3</w:t>
            </w:r>
            <w:r>
              <w:rPr>
                <w:rFonts w:hint="eastAsia"/>
                <w:b/>
                <w:bCs/>
                <w:color w:val="000000"/>
                <w:kern w:val="0"/>
                <w:lang w:val="en-US" w:eastAsia="zh-CN"/>
              </w:rPr>
              <w:t>/a）</w:t>
            </w:r>
          </w:p>
          <w:p>
            <w:pPr>
              <w:keepNext/>
              <w:keepLines w:val="0"/>
              <w:pageBreakBefore w:val="0"/>
              <w:widowControl/>
              <w:kinsoku/>
              <w:wordWrap/>
              <w:overflowPunct/>
              <w:topLinePunct w:val="0"/>
              <w:autoSpaceDE/>
              <w:autoSpaceDN/>
              <w:bidi w:val="0"/>
              <w:ind w:firstLine="480" w:firstLineChars="200"/>
              <w:jc w:val="left"/>
              <w:rPr>
                <w:rFonts w:hint="eastAsia"/>
                <w:color w:val="000000"/>
                <w:kern w:val="0"/>
                <w:lang w:val="en-US" w:eastAsia="zh-CN"/>
              </w:rPr>
            </w:pPr>
            <w:r>
              <w:rPr>
                <w:rFonts w:hint="eastAsia"/>
                <w:color w:val="000000"/>
                <w:kern w:val="0"/>
                <w:lang w:val="en-US" w:eastAsia="zh-CN"/>
              </w:rPr>
              <w:t>供电：依托现有供电设施。</w:t>
            </w:r>
          </w:p>
          <w:p>
            <w:pPr>
              <w:keepNext/>
              <w:keepLines w:val="0"/>
              <w:pageBreakBefore w:val="0"/>
              <w:widowControl/>
              <w:kinsoku/>
              <w:wordWrap/>
              <w:overflowPunct/>
              <w:topLinePunct w:val="0"/>
              <w:autoSpaceDE/>
              <w:autoSpaceDN/>
              <w:bidi w:val="0"/>
              <w:ind w:firstLine="480" w:firstLineChars="200"/>
              <w:jc w:val="left"/>
              <w:rPr>
                <w:rFonts w:hint="default"/>
                <w:color w:val="000000"/>
                <w:kern w:val="0"/>
                <w:lang w:val="en-US" w:eastAsia="zh-CN"/>
              </w:rPr>
            </w:pPr>
            <w:r>
              <w:rPr>
                <w:rFonts w:hint="eastAsia"/>
                <w:color w:val="000000"/>
                <w:kern w:val="0"/>
                <w:lang w:val="en-US" w:eastAsia="zh-CN"/>
              </w:rPr>
              <w:t>供热：项目生产采用设备电供热，冬季不生产。</w:t>
            </w:r>
          </w:p>
          <w:p>
            <w:pPr>
              <w:keepNext/>
              <w:keepLines w:val="0"/>
              <w:pageBreakBefore w:val="0"/>
              <w:widowControl/>
              <w:kinsoku/>
              <w:wordWrap/>
              <w:overflowPunct/>
              <w:topLinePunct w:val="0"/>
              <w:autoSpaceDE/>
              <w:autoSpaceDN/>
              <w:bidi w:val="0"/>
              <w:rPr>
                <w:b/>
                <w:bCs/>
                <w:color w:val="000000"/>
                <w:kern w:val="0"/>
              </w:rPr>
            </w:pPr>
            <w:r>
              <w:rPr>
                <w:rFonts w:hint="eastAsia"/>
                <w:b/>
                <w:bCs/>
                <w:color w:val="000000"/>
                <w:kern w:val="0"/>
              </w:rPr>
              <w:t>6</w:t>
            </w:r>
            <w:r>
              <w:rPr>
                <w:b/>
                <w:bCs/>
                <w:color w:val="000000"/>
                <w:kern w:val="0"/>
              </w:rPr>
              <w:t>劳动定员</w:t>
            </w:r>
          </w:p>
          <w:p>
            <w:pPr>
              <w:keepNext/>
              <w:keepLines w:val="0"/>
              <w:pageBreakBefore w:val="0"/>
              <w:widowControl/>
              <w:kinsoku/>
              <w:wordWrap/>
              <w:overflowPunct/>
              <w:topLinePunct w:val="0"/>
              <w:autoSpaceDE/>
              <w:autoSpaceDN/>
              <w:bidi w:val="0"/>
              <w:ind w:firstLine="480" w:firstLineChars="200"/>
              <w:jc w:val="left"/>
              <w:rPr>
                <w:rFonts w:hint="default" w:ascii="Times New Roman" w:hAnsi="Times New Roman" w:eastAsia="宋体" w:cs="Times New Roman"/>
                <w:color w:val="000000"/>
                <w:kern w:val="0"/>
                <w:lang w:val="en-US" w:eastAsia="zh-CN"/>
              </w:rPr>
            </w:pPr>
            <w:r>
              <w:rPr>
                <w:rFonts w:hint="eastAsia" w:ascii="Times New Roman" w:hAnsi="Times New Roman" w:eastAsia="宋体" w:cs="Times New Roman"/>
                <w:color w:val="000000"/>
                <w:kern w:val="0"/>
                <w:lang w:val="en-US" w:eastAsia="zh-CN"/>
              </w:rPr>
              <w:t>本项目</w:t>
            </w:r>
            <w:r>
              <w:rPr>
                <w:rFonts w:hint="eastAsia" w:cs="Times New Roman"/>
                <w:color w:val="000000"/>
                <w:kern w:val="0"/>
                <w:lang w:val="en-US" w:eastAsia="zh-CN"/>
              </w:rPr>
              <w:t>工作人员共</w:t>
            </w:r>
            <w:r>
              <w:rPr>
                <w:rFonts w:hint="eastAsia" w:cs="Times New Roman"/>
                <w:color w:val="000000"/>
                <w:kern w:val="0"/>
                <w:highlight w:val="none"/>
                <w:lang w:val="en-US" w:eastAsia="zh-CN"/>
              </w:rPr>
              <w:t>12</w:t>
            </w:r>
            <w:r>
              <w:rPr>
                <w:rFonts w:hint="eastAsia" w:cs="Times New Roman"/>
                <w:color w:val="000000"/>
                <w:kern w:val="0"/>
                <w:lang w:val="en-US" w:eastAsia="zh-CN"/>
              </w:rPr>
              <w:t>人，每天3班，每班8小时，年工作180d</w:t>
            </w:r>
            <w:r>
              <w:rPr>
                <w:rFonts w:hint="eastAsia" w:ascii="Times New Roman" w:hAnsi="Times New Roman" w:eastAsia="宋体" w:cs="Times New Roman"/>
                <w:color w:val="000000"/>
                <w:kern w:val="0"/>
                <w:lang w:val="en-US" w:eastAsia="zh-CN"/>
              </w:rPr>
              <w:t>。</w:t>
            </w:r>
          </w:p>
          <w:p>
            <w:pPr>
              <w:keepNext/>
              <w:keepLines w:val="0"/>
              <w:pageBreakBefore w:val="0"/>
              <w:widowControl/>
              <w:kinsoku/>
              <w:wordWrap/>
              <w:overflowPunct/>
              <w:topLinePunct w:val="0"/>
              <w:autoSpaceDE/>
              <w:autoSpaceDN/>
              <w:bidi w:val="0"/>
              <w:rPr>
                <w:b/>
                <w:bCs/>
                <w:color w:val="000000"/>
                <w:kern w:val="0"/>
              </w:rPr>
            </w:pPr>
            <w:r>
              <w:rPr>
                <w:rFonts w:hint="eastAsia"/>
                <w:b/>
                <w:bCs/>
                <w:color w:val="000000"/>
                <w:kern w:val="0"/>
              </w:rPr>
              <w:t>7</w:t>
            </w:r>
            <w:r>
              <w:rPr>
                <w:b/>
                <w:bCs/>
                <w:color w:val="000000"/>
                <w:kern w:val="0"/>
                <w:highlight w:val="none"/>
              </w:rPr>
              <w:t>厂区平面布置</w:t>
            </w:r>
          </w:p>
          <w:p>
            <w:pPr>
              <w:keepNext/>
              <w:keepLines w:val="0"/>
              <w:pageBreakBefore w:val="0"/>
              <w:widowControl/>
              <w:kinsoku/>
              <w:wordWrap/>
              <w:overflowPunct/>
              <w:topLinePunct w:val="0"/>
              <w:autoSpaceDE/>
              <w:autoSpaceDN/>
              <w:bidi w:val="0"/>
              <w:adjustRightInd w:val="0"/>
              <w:snapToGrid w:val="0"/>
              <w:ind w:firstLine="480" w:firstLineChars="200"/>
              <w:rPr>
                <w:rFonts w:hint="eastAsia"/>
                <w:color w:val="000000"/>
                <w:kern w:val="0"/>
              </w:rPr>
            </w:pPr>
            <w:r>
              <w:rPr>
                <w:color w:val="000000"/>
                <w:kern w:val="0"/>
              </w:rPr>
              <w:t>项目区</w:t>
            </w:r>
            <w:r>
              <w:rPr>
                <w:rFonts w:hint="eastAsia"/>
                <w:color w:val="000000"/>
                <w:kern w:val="0"/>
              </w:rPr>
              <w:t>主入口位于</w:t>
            </w:r>
            <w:r>
              <w:rPr>
                <w:rFonts w:hint="eastAsia"/>
                <w:color w:val="000000"/>
                <w:kern w:val="0"/>
                <w:lang w:val="en-US" w:eastAsia="zh-CN"/>
              </w:rPr>
              <w:t>厂区西南</w:t>
            </w:r>
            <w:r>
              <w:rPr>
                <w:rFonts w:hint="eastAsia"/>
                <w:color w:val="000000"/>
                <w:kern w:val="0"/>
              </w:rPr>
              <w:t>侧，</w:t>
            </w:r>
            <w:r>
              <w:rPr>
                <w:rFonts w:hint="eastAsia"/>
                <w:color w:val="000000"/>
                <w:kern w:val="0"/>
                <w:lang w:val="en-US" w:eastAsia="zh-CN"/>
              </w:rPr>
              <w:t>1#厂房位于项目区北侧，2#厂房位于项目区北侧，货棚位于2#厂房南侧，一般固废暂存区位于1#厂房内北侧，危险废物贮存库位于2#厂房内北侧，员工宿舍位于厂区南侧，</w:t>
            </w:r>
            <w:r>
              <w:rPr>
                <w:color w:val="000000"/>
                <w:kern w:val="0"/>
              </w:rPr>
              <w:t>项目平面布置见附图</w:t>
            </w:r>
            <w:r>
              <w:rPr>
                <w:rFonts w:hint="eastAsia"/>
                <w:color w:val="000000"/>
                <w:kern w:val="0"/>
                <w:lang w:val="en-US" w:eastAsia="zh-CN"/>
              </w:rPr>
              <w:t>6</w:t>
            </w:r>
            <w:r>
              <w:rPr>
                <w:rFonts w:hint="eastAsia"/>
                <w:color w:val="000000"/>
                <w:kern w:val="0"/>
              </w:rPr>
              <w:t>。</w:t>
            </w:r>
          </w:p>
          <w:p>
            <w:pPr>
              <w:keepNext/>
              <w:keepLines w:val="0"/>
              <w:pageBreakBefore w:val="0"/>
              <w:widowControl/>
              <w:kinsoku/>
              <w:wordWrap/>
              <w:overflowPunct/>
              <w:topLinePunct w:val="0"/>
              <w:autoSpaceDE/>
              <w:autoSpaceDN/>
              <w:bidi w:val="0"/>
              <w:adjustRightInd w:val="0"/>
              <w:snapToGrid w:val="0"/>
              <w:rPr>
                <w:b/>
                <w:color w:val="000000"/>
                <w:kern w:val="0"/>
              </w:rPr>
            </w:pPr>
            <w:r>
              <w:rPr>
                <w:rFonts w:hint="eastAsia"/>
                <w:b/>
                <w:color w:val="000000"/>
                <w:kern w:val="0"/>
              </w:rPr>
              <w:t>8、</w:t>
            </w:r>
            <w:r>
              <w:rPr>
                <w:b/>
                <w:color w:val="000000"/>
                <w:kern w:val="0"/>
                <w:highlight w:val="none"/>
              </w:rPr>
              <w:t>环保投资</w:t>
            </w:r>
          </w:p>
          <w:p>
            <w:pPr>
              <w:pStyle w:val="61"/>
              <w:keepNext/>
              <w:keepLines w:val="0"/>
              <w:pageBreakBefore w:val="0"/>
              <w:widowControl/>
              <w:kinsoku/>
              <w:wordWrap/>
              <w:overflowPunct/>
              <w:topLinePunct w:val="0"/>
              <w:autoSpaceDE/>
              <w:autoSpaceDN/>
              <w:bidi w:val="0"/>
              <w:adjustRightInd w:val="0"/>
              <w:snapToGrid w:val="0"/>
              <w:rPr>
                <w:rFonts w:cs="Times New Roman"/>
                <w:color w:val="000000"/>
              </w:rPr>
            </w:pPr>
            <w:r>
              <w:rPr>
                <w:rFonts w:cs="Times New Roman"/>
                <w:color w:val="000000"/>
              </w:rPr>
              <w:t>项目</w:t>
            </w:r>
            <w:r>
              <w:rPr>
                <w:rFonts w:hint="eastAsia" w:cs="Times New Roman"/>
                <w:color w:val="000000"/>
              </w:rPr>
              <w:t>环保</w:t>
            </w:r>
            <w:r>
              <w:rPr>
                <w:rFonts w:cs="Times New Roman"/>
                <w:color w:val="000000"/>
              </w:rPr>
              <w:t>投资</w:t>
            </w:r>
            <w:r>
              <w:rPr>
                <w:rFonts w:hint="eastAsia" w:cs="Times New Roman"/>
                <w:color w:val="000000"/>
                <w:lang w:val="en-US" w:eastAsia="zh-CN"/>
              </w:rPr>
              <w:t>25</w:t>
            </w:r>
            <w:r>
              <w:rPr>
                <w:rFonts w:cs="Times New Roman"/>
                <w:color w:val="000000"/>
              </w:rPr>
              <w:t>万元，占本项目总投资</w:t>
            </w:r>
            <w:r>
              <w:rPr>
                <w:rFonts w:hint="eastAsia" w:cs="Times New Roman"/>
                <w:color w:val="000000"/>
                <w:lang w:val="en-US" w:eastAsia="zh-CN"/>
              </w:rPr>
              <w:t>300</w:t>
            </w:r>
            <w:r>
              <w:rPr>
                <w:rFonts w:cs="Times New Roman"/>
                <w:color w:val="000000"/>
              </w:rPr>
              <w:t>万元的</w:t>
            </w:r>
            <w:r>
              <w:rPr>
                <w:rFonts w:hint="eastAsia" w:cs="Times New Roman"/>
                <w:color w:val="000000"/>
                <w:lang w:val="en-US" w:eastAsia="zh-CN"/>
              </w:rPr>
              <w:t>8.3</w:t>
            </w:r>
            <w:r>
              <w:rPr>
                <w:rFonts w:cs="Times New Roman"/>
                <w:color w:val="000000"/>
              </w:rPr>
              <w:t>%，本项目环保设施及投资见下表。</w:t>
            </w:r>
          </w:p>
          <w:p>
            <w:pPr>
              <w:pStyle w:val="61"/>
              <w:keepNext/>
              <w:keepLines w:val="0"/>
              <w:pageBreakBefore w:val="0"/>
              <w:widowControl/>
              <w:kinsoku/>
              <w:wordWrap/>
              <w:overflowPunct/>
              <w:topLinePunct w:val="0"/>
              <w:autoSpaceDE/>
              <w:autoSpaceDN/>
              <w:bidi w:val="0"/>
              <w:adjustRightInd w:val="0"/>
              <w:snapToGrid w:val="0"/>
              <w:spacing w:line="240" w:lineRule="auto"/>
              <w:ind w:firstLine="422"/>
              <w:rPr>
                <w:rFonts w:cs="Times New Roman"/>
                <w:b/>
                <w:bCs/>
                <w:color w:val="000000"/>
                <w:sz w:val="21"/>
                <w:szCs w:val="21"/>
              </w:rPr>
            </w:pPr>
            <w:r>
              <w:rPr>
                <w:rFonts w:cs="Times New Roman"/>
                <w:b/>
                <w:bCs/>
                <w:color w:val="000000"/>
                <w:sz w:val="21"/>
                <w:szCs w:val="21"/>
              </w:rPr>
              <w:t>表</w:t>
            </w:r>
            <w:r>
              <w:rPr>
                <w:rFonts w:hint="eastAsia" w:cs="Times New Roman"/>
                <w:b/>
                <w:bCs/>
                <w:color w:val="000000"/>
                <w:sz w:val="21"/>
                <w:szCs w:val="21"/>
                <w:lang w:val="en-US" w:eastAsia="zh-CN"/>
              </w:rPr>
              <w:t>2-6</w:t>
            </w:r>
            <w:r>
              <w:rPr>
                <w:rFonts w:cs="Times New Roman"/>
                <w:b/>
                <w:bCs/>
                <w:color w:val="000000"/>
                <w:sz w:val="21"/>
                <w:szCs w:val="21"/>
              </w:rPr>
              <w:t xml:space="preserve">    </w:t>
            </w:r>
            <w:r>
              <w:rPr>
                <w:rFonts w:hint="eastAsia" w:cs="Times New Roman"/>
                <w:b/>
                <w:bCs/>
                <w:color w:val="000000"/>
                <w:sz w:val="21"/>
                <w:szCs w:val="21"/>
              </w:rPr>
              <w:t xml:space="preserve">                环保设施及投资一览表</w:t>
            </w:r>
          </w:p>
          <w:tbl>
            <w:tblPr>
              <w:tblStyle w:val="26"/>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8"/>
              <w:gridCol w:w="764"/>
              <w:gridCol w:w="988"/>
              <w:gridCol w:w="4127"/>
              <w:gridCol w:w="13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序号</w:t>
                  </w:r>
                </w:p>
              </w:tc>
              <w:tc>
                <w:tcPr>
                  <w:tcW w:w="48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类别</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内容</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环保投资（万元）</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restar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运营期</w:t>
                  </w:r>
                </w:p>
              </w:tc>
              <w:tc>
                <w:tcPr>
                  <w:tcW w:w="48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废气治理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rFonts w:hint="eastAsia"/>
                      <w:color w:val="000000"/>
                      <w:sz w:val="21"/>
                      <w:szCs w:val="21"/>
                      <w:highlight w:val="none"/>
                      <w:lang w:val="en-US" w:eastAsia="zh-CN"/>
                    </w:rPr>
                    <w:t>密闭式集气罩、二级活性炭装置（2套）</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6"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噪声治理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lang w:val="en-US" w:eastAsia="zh-CN"/>
                    </w:rPr>
                    <w:t>本项目</w:t>
                  </w:r>
                  <w:r>
                    <w:rPr>
                      <w:rFonts w:hint="eastAsia"/>
                      <w:color w:val="000000"/>
                      <w:sz w:val="21"/>
                      <w:szCs w:val="21"/>
                      <w:lang w:val="en-US" w:eastAsia="zh-CN"/>
                    </w:rPr>
                    <w:t>已选用安装低噪设备，对振动大的设备已采取基础减振措施，所有设备已安装于封闭生产车间内</w:t>
                  </w:r>
                  <w:r>
                    <w:rPr>
                      <w:color w:val="000000"/>
                      <w:sz w:val="21"/>
                      <w:szCs w:val="21"/>
                    </w:rPr>
                    <w:t>、</w:t>
                  </w:r>
                  <w:r>
                    <w:rPr>
                      <w:rFonts w:hint="eastAsia"/>
                      <w:color w:val="000000"/>
                      <w:sz w:val="21"/>
                      <w:szCs w:val="21"/>
                      <w:lang w:val="en-US" w:eastAsia="zh-CN"/>
                    </w:rPr>
                    <w:t>已制定计划定期对</w:t>
                  </w:r>
                  <w:r>
                    <w:rPr>
                      <w:color w:val="000000"/>
                      <w:sz w:val="21"/>
                      <w:szCs w:val="21"/>
                    </w:rPr>
                    <w:t>设备</w:t>
                  </w:r>
                  <w:r>
                    <w:rPr>
                      <w:rFonts w:hint="eastAsia"/>
                      <w:color w:val="000000"/>
                      <w:sz w:val="21"/>
                      <w:szCs w:val="21"/>
                      <w:lang w:val="en-US" w:eastAsia="zh-CN"/>
                    </w:rPr>
                    <w:t>进行</w:t>
                  </w:r>
                  <w:r>
                    <w:rPr>
                      <w:color w:val="000000"/>
                      <w:sz w:val="21"/>
                      <w:szCs w:val="21"/>
                    </w:rPr>
                    <w:t>维护</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414"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6" w:type="pct"/>
                  <w:vMerge w:val="restar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废水治理</w:t>
                  </w:r>
                </w:p>
              </w:tc>
              <w:tc>
                <w:tcPr>
                  <w:tcW w:w="3262"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rPr>
                    <w:t>循环水池（</w:t>
                  </w:r>
                  <w:r>
                    <w:rPr>
                      <w:rFonts w:hint="eastAsia"/>
                      <w:color w:val="000000"/>
                      <w:sz w:val="21"/>
                      <w:szCs w:val="21"/>
                      <w:lang w:val="en-US" w:eastAsia="zh-CN"/>
                    </w:rPr>
                    <w:t>1</w:t>
                  </w:r>
                  <w:r>
                    <w:rPr>
                      <w:rFonts w:hint="eastAsia"/>
                      <w:color w:val="000000"/>
                      <w:sz w:val="21"/>
                      <w:szCs w:val="21"/>
                    </w:rPr>
                    <w:t>个）</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414"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6" w:type="pct"/>
                  <w:vMerge w:val="restar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固废治理</w:t>
                  </w:r>
                </w:p>
              </w:tc>
              <w:tc>
                <w:tcPr>
                  <w:tcW w:w="63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一般工业固废</w:t>
                  </w:r>
                </w:p>
              </w:tc>
              <w:tc>
                <w:tcPr>
                  <w:tcW w:w="2631"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rPr>
                    <w:t>一般固废</w:t>
                  </w:r>
                  <w:r>
                    <w:rPr>
                      <w:rFonts w:hint="eastAsia"/>
                      <w:color w:val="000000"/>
                      <w:sz w:val="21"/>
                      <w:szCs w:val="21"/>
                      <w:lang w:val="en-US" w:eastAsia="zh-CN"/>
                    </w:rPr>
                    <w:t>暂存区</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414"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486" w:type="pct"/>
                  <w:vMerge w:val="continue"/>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p>
              </w:tc>
              <w:tc>
                <w:tcPr>
                  <w:tcW w:w="630"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危险废物</w:t>
                  </w:r>
                </w:p>
              </w:tc>
              <w:tc>
                <w:tcPr>
                  <w:tcW w:w="2631"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危险废物暂存于危险废物</w:t>
                  </w:r>
                  <w:r>
                    <w:rPr>
                      <w:rFonts w:hint="eastAsia"/>
                      <w:color w:val="000000"/>
                      <w:sz w:val="21"/>
                      <w:szCs w:val="21"/>
                      <w:lang w:val="en-US" w:eastAsia="zh-CN"/>
                    </w:rPr>
                    <w:t>贮存库</w:t>
                  </w:r>
                  <w:r>
                    <w:rPr>
                      <w:color w:val="000000"/>
                      <w:sz w:val="21"/>
                      <w:szCs w:val="21"/>
                    </w:rPr>
                    <w:t>贮存，委托有危险废物处置资质的单位处置</w:t>
                  </w:r>
                </w:p>
              </w:tc>
              <w:tc>
                <w:tcPr>
                  <w:tcW w:w="835" w:type="pct"/>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t>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901" w:type="pct"/>
                  <w:gridSpan w:val="2"/>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color w:val="000000"/>
                      <w:sz w:val="21"/>
                      <w:szCs w:val="21"/>
                    </w:rPr>
                  </w:pPr>
                  <w:r>
                    <w:rPr>
                      <w:color w:val="000000"/>
                      <w:sz w:val="21"/>
                      <w:szCs w:val="21"/>
                    </w:rPr>
                    <w:t>总计</w:t>
                  </w:r>
                </w:p>
              </w:tc>
              <w:tc>
                <w:tcPr>
                  <w:tcW w:w="4098" w:type="pct"/>
                  <w:gridSpan w:val="3"/>
                  <w:noWrap w:val="0"/>
                  <w:vAlign w:val="center"/>
                </w:tcPr>
                <w:p>
                  <w:pPr>
                    <w:pStyle w:val="6"/>
                    <w:keepNext/>
                    <w:keepLines w:val="0"/>
                    <w:pageBreakBefore w:val="0"/>
                    <w:widowControl/>
                    <w:kinsoku/>
                    <w:wordWrap/>
                    <w:overflowPunct/>
                    <w:topLinePunct w:val="0"/>
                    <w:autoSpaceDE/>
                    <w:autoSpaceDN/>
                    <w:bidi w:val="0"/>
                    <w:adjustRightInd w:val="0"/>
                    <w:snapToGrid w:val="0"/>
                    <w:spacing w:line="240" w:lineRule="auto"/>
                    <w:ind w:firstLine="0" w:firstLineChars="0"/>
                    <w:jc w:val="center"/>
                    <w:rPr>
                      <w:rFonts w:hint="default" w:eastAsia="宋体"/>
                      <w:color w:val="000000"/>
                      <w:sz w:val="21"/>
                      <w:szCs w:val="21"/>
                      <w:lang w:val="en-US" w:eastAsia="zh-CN"/>
                    </w:rPr>
                  </w:pPr>
                  <w:r>
                    <w:rPr>
                      <w:rFonts w:hint="eastAsia"/>
                      <w:color w:val="000000"/>
                      <w:sz w:val="21"/>
                      <w:szCs w:val="21"/>
                      <w:lang w:val="en-US" w:eastAsia="zh-CN"/>
                    </w:rPr>
                    <w:t>25</w:t>
                  </w:r>
                </w:p>
              </w:tc>
            </w:tr>
          </w:tbl>
          <w:p>
            <w:pPr>
              <w:keepNext/>
              <w:keepLines w:val="0"/>
              <w:pageBreakBefore w:val="0"/>
              <w:widowControl/>
              <w:kinsoku/>
              <w:wordWrap/>
              <w:overflowPunct/>
              <w:topLinePunct w:val="0"/>
              <w:autoSpaceDE/>
              <w:autoSpaceDN/>
              <w:bidi w:val="0"/>
              <w:ind w:firstLine="480" w:firstLineChars="200"/>
              <w:rPr>
                <w:color w:val="000000"/>
                <w:kern w:val="0"/>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2" w:type="dxa"/>
            <w:tcBorders>
              <w:tl2br w:val="nil"/>
              <w:tr2bl w:val="nil"/>
            </w:tcBorders>
            <w:noWrap w:val="0"/>
            <w:vAlign w:val="center"/>
          </w:tcPr>
          <w:p>
            <w:pPr>
              <w:pStyle w:val="21"/>
              <w:keepNext/>
              <w:keepLines w:val="0"/>
              <w:pageBreakBefore w:val="0"/>
              <w:widowControl/>
              <w:kinsoku/>
              <w:wordWrap/>
              <w:overflowPunct/>
              <w:topLinePunct w:val="0"/>
              <w:autoSpaceDE/>
              <w:autoSpaceDN/>
              <w:bidi w:val="0"/>
              <w:adjustRightInd w:val="0"/>
              <w:snapToGrid w:val="0"/>
              <w:spacing w:before="0" w:beforeAutospacing="0" w:after="0" w:afterAutospacing="0"/>
              <w:jc w:val="center"/>
              <w:rPr>
                <w:rFonts w:ascii="Times New Roman" w:hAnsi="Times New Roman"/>
                <w:color w:val="000000"/>
                <w:sz w:val="21"/>
                <w:szCs w:val="21"/>
              </w:rPr>
            </w:pPr>
            <w:r>
              <w:rPr>
                <w:rFonts w:ascii="Times New Roman" w:hAnsi="Times New Roman"/>
                <w:color w:val="000000"/>
                <w:sz w:val="21"/>
                <w:szCs w:val="21"/>
              </w:rPr>
              <w:t>工艺流程和产排污环节</w:t>
            </w:r>
          </w:p>
        </w:tc>
        <w:tc>
          <w:tcPr>
            <w:tcW w:w="8054" w:type="dxa"/>
            <w:tcBorders>
              <w:tl2br w:val="nil"/>
              <w:tr2bl w:val="nil"/>
            </w:tcBorders>
            <w:noWrap w:val="0"/>
            <w:vAlign w:val="top"/>
          </w:tcPr>
          <w:p>
            <w:pPr>
              <w:adjustRightInd w:val="0"/>
              <w:snapToGrid w:val="0"/>
              <w:rPr>
                <w:rFonts w:ascii="Times New Roman" w:hAnsi="Times New Roman" w:eastAsia="宋体" w:cs="Times New Roman"/>
                <w:b/>
                <w:bCs/>
                <w:color w:val="000000"/>
                <w:kern w:val="0"/>
              </w:rPr>
            </w:pPr>
            <w:r>
              <w:rPr>
                <w:rFonts w:ascii="Times New Roman" w:hAnsi="Times New Roman" w:eastAsia="宋体" w:cs="Times New Roman"/>
                <w:b/>
                <w:bCs/>
                <w:color w:val="000000"/>
                <w:kern w:val="0"/>
              </w:rPr>
              <w:t>施工期工艺流程和产排污环节：</w:t>
            </w:r>
          </w:p>
          <w:p>
            <w:pPr>
              <w:adjustRightInd w:val="0"/>
              <w:snapToGrid w:val="0"/>
              <w:ind w:firstLine="480" w:firstLineChars="200"/>
              <w:rPr>
                <w:rFonts w:ascii="Times New Roman" w:hAnsi="Times New Roman" w:eastAsia="宋体" w:cs="Times New Roman"/>
                <w:color w:val="000000"/>
                <w:kern w:val="0"/>
              </w:rPr>
            </w:pPr>
            <w:bookmarkStart w:id="3" w:name="_Toc27878"/>
            <w:r>
              <w:rPr>
                <w:rFonts w:ascii="Times New Roman" w:hAnsi="Times New Roman" w:eastAsia="宋体" w:cs="Times New Roman"/>
                <w:color w:val="000000"/>
                <w:kern w:val="0"/>
              </w:rPr>
              <w:t>施工</w:t>
            </w:r>
            <w:r>
              <w:rPr>
                <w:rFonts w:hint="eastAsia" w:ascii="Times New Roman" w:hAnsi="Times New Roman" w:eastAsia="宋体" w:cs="Times New Roman"/>
                <w:color w:val="000000"/>
                <w:kern w:val="0"/>
              </w:rPr>
              <w:t>期</w:t>
            </w:r>
            <w:r>
              <w:rPr>
                <w:rFonts w:ascii="Times New Roman" w:hAnsi="Times New Roman" w:eastAsia="宋体" w:cs="Times New Roman"/>
                <w:color w:val="000000"/>
                <w:kern w:val="0"/>
              </w:rPr>
              <w:t>工艺流程及产污环节图：</w:t>
            </w:r>
            <w:bookmarkEnd w:id="3"/>
          </w:p>
          <w:p>
            <w:pPr>
              <w:adjustRightInd w:val="0"/>
              <w:snapToGrid w:val="0"/>
              <w:jc w:val="center"/>
              <w:rPr>
                <w:rFonts w:hint="eastAsia" w:ascii="Times New Roman" w:hAnsi="Times New Roman" w:eastAsia="宋体" w:cs="Times New Roman"/>
                <w:b/>
                <w:bCs/>
                <w:color w:val="000000"/>
                <w:kern w:val="0"/>
                <w:lang w:eastAsia="zh-CN"/>
              </w:rPr>
            </w:pPr>
            <w:r>
              <w:rPr>
                <w:rFonts w:hint="eastAsia" w:ascii="Times New Roman" w:hAnsi="Times New Roman" w:eastAsia="宋体" w:cs="Times New Roman"/>
                <w:b/>
                <w:bCs/>
                <w:sz w:val="24"/>
                <w:szCs w:val="24"/>
                <w:lang w:eastAsia="zh-CN"/>
              </w:rPr>
              <w:drawing>
                <wp:inline distT="0" distB="0" distL="114300" distR="114300">
                  <wp:extent cx="2804160" cy="1447800"/>
                  <wp:effectExtent l="0" t="0" r="0" b="0"/>
                  <wp:docPr id="2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ECB019B1-382A-4266-B25C-5B523AA43C14-2" descr="wps"/>
                          <pic:cNvPicPr>
                            <a:picLocks noChangeAspect="1"/>
                          </pic:cNvPicPr>
                        </pic:nvPicPr>
                        <pic:blipFill>
                          <a:blip r:embed="rId12"/>
                          <a:srcRect t="9761" b="17888"/>
                          <a:stretch>
                            <a:fillRect/>
                          </a:stretch>
                        </pic:blipFill>
                        <pic:spPr>
                          <a:xfrm>
                            <a:off x="0" y="0"/>
                            <a:ext cx="2804160" cy="1447800"/>
                          </a:xfrm>
                          <a:prstGeom prst="rect">
                            <a:avLst/>
                          </a:prstGeom>
                        </pic:spPr>
                      </pic:pic>
                    </a:graphicData>
                  </a:graphic>
                </wp:inline>
              </w:drawing>
            </w:r>
          </w:p>
          <w:p>
            <w:pPr>
              <w:adjustRightInd w:val="0"/>
              <w:snapToGrid w:val="0"/>
              <w:jc w:val="center"/>
              <w:rPr>
                <w:rFonts w:hint="eastAsia" w:ascii="Times New Roman" w:hAnsi="Times New Roman" w:eastAsia="宋体" w:cs="Times New Roman"/>
                <w:b/>
                <w:bCs/>
                <w:color w:val="000000"/>
                <w:kern w:val="0"/>
                <w:sz w:val="21"/>
                <w:szCs w:val="21"/>
                <w:lang w:eastAsia="zh-CN"/>
              </w:rPr>
            </w:pPr>
            <w:r>
              <w:rPr>
                <w:rFonts w:hint="eastAsia" w:ascii="Times New Roman" w:hAnsi="Times New Roman" w:eastAsia="宋体" w:cs="Times New Roman"/>
                <w:b/>
                <w:bCs/>
                <w:color w:val="000000"/>
                <w:kern w:val="0"/>
                <w:sz w:val="21"/>
                <w:szCs w:val="21"/>
                <w:lang w:eastAsia="zh-CN"/>
              </w:rPr>
              <w:t>图2</w:t>
            </w:r>
            <w:r>
              <w:rPr>
                <w:rFonts w:hint="eastAsia" w:ascii="Times New Roman" w:hAnsi="Times New Roman" w:eastAsia="宋体" w:cs="Times New Roman"/>
                <w:b/>
                <w:bCs/>
                <w:color w:val="000000"/>
                <w:kern w:val="0"/>
                <w:sz w:val="21"/>
                <w:szCs w:val="21"/>
                <w:lang w:val="en-US" w:eastAsia="zh-CN"/>
              </w:rPr>
              <w:t>-2</w:t>
            </w:r>
            <w:r>
              <w:rPr>
                <w:rFonts w:hint="eastAsia" w:ascii="Times New Roman" w:hAnsi="Times New Roman" w:eastAsia="宋体" w:cs="Times New Roman"/>
                <w:b/>
                <w:bCs/>
                <w:color w:val="000000"/>
                <w:kern w:val="0"/>
                <w:sz w:val="21"/>
                <w:szCs w:val="21"/>
                <w:lang w:eastAsia="zh-CN"/>
              </w:rPr>
              <w:t xml:space="preserve">  </w:t>
            </w:r>
            <w:r>
              <w:rPr>
                <w:rFonts w:hint="eastAsia" w:ascii="Times New Roman" w:hAnsi="Times New Roman" w:eastAsia="宋体" w:cs="Times New Roman"/>
                <w:b/>
                <w:bCs/>
                <w:color w:val="000000"/>
                <w:kern w:val="0"/>
                <w:sz w:val="21"/>
                <w:szCs w:val="21"/>
                <w:lang w:val="en-US" w:eastAsia="zh-CN"/>
              </w:rPr>
              <w:t xml:space="preserve">  </w:t>
            </w:r>
            <w:r>
              <w:rPr>
                <w:rFonts w:hint="eastAsia" w:ascii="Times New Roman" w:hAnsi="Times New Roman" w:eastAsia="宋体" w:cs="Times New Roman"/>
                <w:b/>
                <w:bCs/>
                <w:color w:val="000000"/>
                <w:kern w:val="0"/>
                <w:sz w:val="21"/>
                <w:szCs w:val="21"/>
                <w:lang w:eastAsia="zh-CN"/>
              </w:rPr>
              <w:t xml:space="preserve"> 施工工艺流程及产污环节图</w:t>
            </w:r>
          </w:p>
          <w:p>
            <w:pPr>
              <w:pStyle w:val="9"/>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b/>
                <w:bCs/>
                <w:color w:val="000000"/>
                <w:kern w:val="0"/>
                <w:sz w:val="24"/>
                <w:szCs w:val="24"/>
                <w:lang w:val="en-US" w:eastAsia="zh-CN"/>
              </w:rPr>
              <w:t>聚乙烯PE给水管/MPP电力管</w:t>
            </w:r>
            <w:r>
              <w:rPr>
                <w:rFonts w:hint="default" w:ascii="Times New Roman" w:hAnsi="Times New Roman" w:eastAsia="宋体" w:cs="Times New Roman"/>
                <w:b/>
                <w:bCs/>
                <w:color w:val="000000"/>
                <w:kern w:val="0"/>
                <w:sz w:val="24"/>
                <w:szCs w:val="24"/>
              </w:rPr>
              <w:t>生产线工艺流程：</w:t>
            </w:r>
          </w:p>
          <w:p>
            <w:pPr>
              <w:keepNext/>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drawing>
                <wp:inline distT="0" distB="0" distL="114300" distR="114300">
                  <wp:extent cx="2259965" cy="3284855"/>
                  <wp:effectExtent l="0" t="0" r="0" b="0"/>
                  <wp:docPr id="3" name="ECB019B1-382A-4266-B25C-5B523AA43C14-3" descr="C:/Users/Administrator/AppData/Local/Temp/wps.Tycca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CB019B1-382A-4266-B25C-5B523AA43C14-3" descr="C:/Users/Administrator/AppData/Local/Temp/wps.TyccaRwps"/>
                          <pic:cNvPicPr>
                            <a:picLocks noChangeAspect="1"/>
                          </pic:cNvPicPr>
                        </pic:nvPicPr>
                        <pic:blipFill>
                          <a:blip r:embed="rId13"/>
                          <a:stretch>
                            <a:fillRect/>
                          </a:stretch>
                        </pic:blipFill>
                        <pic:spPr>
                          <a:xfrm>
                            <a:off x="0" y="0"/>
                            <a:ext cx="2259965" cy="3284855"/>
                          </a:xfrm>
                          <a:prstGeom prst="rect">
                            <a:avLst/>
                          </a:prstGeom>
                        </pic:spPr>
                      </pic:pic>
                    </a:graphicData>
                  </a:graphic>
                </wp:inline>
              </w:drawing>
            </w:r>
          </w:p>
          <w:p>
            <w:pPr>
              <w:keepNext/>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000000"/>
                <w:kern w:val="0"/>
              </w:rPr>
            </w:pPr>
            <w:r>
              <w:rPr>
                <w:rFonts w:hint="default" w:ascii="Times New Roman" w:hAnsi="Times New Roman" w:eastAsia="宋体" w:cs="Times New Roman"/>
                <w:b/>
                <w:bCs/>
                <w:color w:val="000000"/>
                <w:kern w:val="0"/>
                <w:sz w:val="21"/>
                <w:szCs w:val="21"/>
              </w:rPr>
              <w:t>图</w:t>
            </w:r>
            <w:r>
              <w:rPr>
                <w:rFonts w:hint="default" w:ascii="Times New Roman" w:hAnsi="Times New Roman" w:eastAsia="宋体" w:cs="Times New Roman"/>
                <w:b/>
                <w:bCs/>
                <w:color w:val="000000"/>
                <w:kern w:val="0"/>
                <w:sz w:val="21"/>
                <w:szCs w:val="21"/>
                <w:lang w:val="en-US" w:eastAsia="zh-CN"/>
              </w:rPr>
              <w:t>2-3</w:t>
            </w:r>
            <w:r>
              <w:rPr>
                <w:rFonts w:hint="default" w:ascii="Times New Roman" w:hAnsi="Times New Roman" w:eastAsia="宋体" w:cs="Times New Roman"/>
                <w:b/>
                <w:bCs/>
                <w:color w:val="000000"/>
                <w:kern w:val="0"/>
                <w:sz w:val="21"/>
                <w:szCs w:val="21"/>
              </w:rPr>
              <w:t xml:space="preserve">    </w:t>
            </w:r>
            <w:r>
              <w:rPr>
                <w:rFonts w:hint="default" w:ascii="Times New Roman" w:hAnsi="Times New Roman" w:eastAsia="宋体" w:cs="Times New Roman"/>
                <w:b/>
                <w:bCs/>
                <w:color w:val="000000"/>
                <w:kern w:val="0"/>
                <w:sz w:val="21"/>
                <w:szCs w:val="21"/>
                <w:lang w:val="en-US" w:eastAsia="zh-CN"/>
              </w:rPr>
              <w:t>聚乙烯PE给水管</w:t>
            </w:r>
            <w:r>
              <w:rPr>
                <w:rFonts w:hint="eastAsia" w:cs="Times New Roman"/>
                <w:b/>
                <w:bCs/>
                <w:color w:val="000000"/>
                <w:kern w:val="0"/>
                <w:sz w:val="21"/>
                <w:szCs w:val="21"/>
                <w:lang w:val="en-US" w:eastAsia="zh-CN"/>
              </w:rPr>
              <w:t>/MPP电力管</w:t>
            </w:r>
            <w:r>
              <w:rPr>
                <w:rFonts w:hint="default" w:ascii="Times New Roman" w:hAnsi="Times New Roman" w:eastAsia="宋体" w:cs="Times New Roman"/>
                <w:b/>
                <w:bCs/>
                <w:color w:val="000000"/>
                <w:kern w:val="0"/>
                <w:sz w:val="21"/>
                <w:szCs w:val="21"/>
              </w:rPr>
              <w:t>生产线工艺流程及产污环节图</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eastAsia="宋体"/>
                <w:lang w:val="en-US" w:eastAsia="zh-CN"/>
              </w:rPr>
            </w:pPr>
            <w:r>
              <w:rPr>
                <w:rFonts w:hint="eastAsia"/>
                <w:lang w:val="en-US" w:eastAsia="zh-CN"/>
              </w:rPr>
              <w:t>本项目</w:t>
            </w:r>
            <w:r>
              <w:rPr>
                <w:rFonts w:hint="eastAsia" w:cs="Times New Roman"/>
                <w:color w:val="000000"/>
                <w:kern w:val="0"/>
                <w:sz w:val="24"/>
                <w:szCs w:val="24"/>
                <w:lang w:val="en-US" w:eastAsia="zh-CN" w:bidi="ar"/>
              </w:rPr>
              <w:t>聚乙烯PE给水管及MPP电力管生产工艺及生产线相同，仅原料辅配比不同。</w:t>
            </w:r>
          </w:p>
          <w:p>
            <w:pPr>
              <w:keepNext w:val="0"/>
              <w:keepLines w:val="0"/>
              <w:widowControl/>
              <w:suppressLineNumbers w:val="0"/>
              <w:jc w:val="left"/>
              <w:rPr>
                <w:rFonts w:hint="default" w:ascii="Times New Roman" w:hAnsi="Times New Roman" w:eastAsia="宋体" w:cs="Times New Roman"/>
                <w:lang w:val="en-US"/>
              </w:rPr>
            </w:pPr>
            <w:r>
              <w:rPr>
                <w:rFonts w:hint="default" w:ascii="Times New Roman" w:hAnsi="Times New Roman" w:eastAsia="宋体" w:cs="Times New Roman"/>
                <w:color w:val="000000"/>
                <w:kern w:val="0"/>
                <w:sz w:val="24"/>
                <w:szCs w:val="24"/>
                <w:lang w:val="en-US" w:eastAsia="zh-CN" w:bidi="ar"/>
              </w:rPr>
              <w:t>（1）混料</w:t>
            </w:r>
            <w:r>
              <w:rPr>
                <w:rFonts w:hint="eastAsia" w:cs="Times New Roman"/>
                <w:color w:val="000000"/>
                <w:kern w:val="0"/>
                <w:sz w:val="24"/>
                <w:szCs w:val="24"/>
                <w:lang w:val="en-US" w:eastAsia="zh-CN" w:bidi="ar"/>
              </w:rPr>
              <w:t>、上料</w:t>
            </w:r>
          </w:p>
          <w:p>
            <w:pPr>
              <w:keepNext w:val="0"/>
              <w:keepLines w:val="0"/>
              <w:widowControl/>
              <w:suppressLineNumbers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将准备好的高密度聚乙烯树脂</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MPP树脂</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色母按照一定的比例</w:t>
            </w:r>
            <w:r>
              <w:rPr>
                <w:rFonts w:hint="eastAsia" w:cs="Times New Roman"/>
                <w:color w:val="000000"/>
                <w:kern w:val="0"/>
                <w:sz w:val="24"/>
                <w:szCs w:val="24"/>
                <w:lang w:val="en-US" w:eastAsia="zh-CN" w:bidi="ar"/>
              </w:rPr>
              <w:t>加入</w:t>
            </w:r>
            <w:r>
              <w:rPr>
                <w:rFonts w:hint="default" w:ascii="Times New Roman" w:hAnsi="Times New Roman" w:eastAsia="宋体" w:cs="Times New Roman"/>
                <w:color w:val="000000"/>
                <w:kern w:val="0"/>
                <w:sz w:val="24"/>
                <w:szCs w:val="24"/>
                <w:lang w:val="en-US" w:eastAsia="zh-CN" w:bidi="ar"/>
              </w:rPr>
              <w:t>上料系统中。上料系统通常采用自动上料装置，能够准确地将原料输送到挤出机的料斗中。本工序主要污染源为设备运行噪声，投料后产生的废包装。</w:t>
            </w:r>
          </w:p>
          <w:p>
            <w:pPr>
              <w:keepNext w:val="0"/>
              <w:keepLines w:val="0"/>
              <w:widowControl/>
              <w:suppressLineNumbers w:val="0"/>
              <w:jc w:val="left"/>
              <w:rPr>
                <w:rFonts w:hint="default" w:ascii="Times New Roman" w:hAnsi="Times New Roman" w:eastAsia="宋体" w:cs="Times New Roman"/>
                <w:lang w:val="en-US"/>
              </w:rPr>
            </w:pPr>
            <w:r>
              <w:rPr>
                <w:rFonts w:hint="default" w:ascii="Times New Roman" w:hAnsi="Times New Roman" w:eastAsia="宋体" w:cs="Times New Roman"/>
                <w:color w:val="000000"/>
                <w:kern w:val="0"/>
                <w:sz w:val="24"/>
                <w:szCs w:val="24"/>
                <w:lang w:val="en-US" w:eastAsia="zh-CN" w:bidi="ar"/>
              </w:rPr>
              <w:t>（2）挤出成型</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料从料斗进入挤出机后，在挤出机的机筒内被加热和螺杆的旋转推动作用下逐渐塑化。塑化好的聚乙烯物料在螺杆的挤压下，从挤出机的机头挤出，形成具有一定形状和尺寸的管状坯料。本工序主要污染源为原料熔化产生的有机废气</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设备运行噪声</w:t>
            </w:r>
            <w:r>
              <w:rPr>
                <w:rFonts w:hint="eastAsia" w:cs="Times New Roman"/>
                <w:color w:val="000000"/>
                <w:kern w:val="0"/>
                <w:sz w:val="24"/>
                <w:szCs w:val="24"/>
                <w:lang w:val="en-US" w:eastAsia="zh-CN" w:bidi="ar"/>
              </w:rPr>
              <w:t>及废边角料</w:t>
            </w:r>
            <w:r>
              <w:rPr>
                <w:rFonts w:hint="default" w:ascii="Times New Roman" w:hAnsi="Times New Roman" w:eastAsia="宋体" w:cs="Times New Roman"/>
                <w:color w:val="000000"/>
                <w:kern w:val="0"/>
                <w:sz w:val="24"/>
                <w:szCs w:val="24"/>
                <w:lang w:val="en-US" w:eastAsia="zh-CN" w:bidi="ar"/>
              </w:rPr>
              <w:t>。</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（3）冷却</w:t>
            </w:r>
          </w:p>
          <w:p>
            <w:pPr>
              <w:keepNext w:val="0"/>
              <w:keepLines w:val="0"/>
              <w:widowControl/>
              <w:suppressLineNumbers w:val="0"/>
              <w:ind w:firstLine="480" w:firstLineChars="200"/>
              <w:jc w:val="left"/>
              <w:rPr>
                <w:rFonts w:hint="eastAsia" w:ascii="Times New Roman" w:hAnsi="Times New Roman" w:eastAsia="宋体" w:cs="Times New Roman"/>
                <w:lang w:eastAsia="zh-CN"/>
              </w:rPr>
            </w:pPr>
            <w:r>
              <w:rPr>
                <w:rFonts w:hint="default" w:ascii="Times New Roman" w:hAnsi="Times New Roman" w:eastAsia="宋体" w:cs="Times New Roman"/>
                <w:i w:val="0"/>
                <w:iCs w:val="0"/>
                <w:caps w:val="0"/>
                <w:spacing w:val="0"/>
                <w:sz w:val="24"/>
                <w:szCs w:val="24"/>
                <w:shd w:val="clear" w:fill="FFFFFF"/>
              </w:rPr>
              <w:t>经过真空定径后的管材进入冷却槽，通过</w:t>
            </w:r>
            <w:r>
              <w:rPr>
                <w:rFonts w:hint="eastAsia" w:cs="Times New Roman"/>
                <w:i w:val="0"/>
                <w:iCs w:val="0"/>
                <w:caps w:val="0"/>
                <w:spacing w:val="0"/>
                <w:sz w:val="24"/>
                <w:szCs w:val="24"/>
                <w:shd w:val="clear" w:fill="FFFFFF"/>
                <w:lang w:val="en-US" w:eastAsia="zh-CN"/>
              </w:rPr>
              <w:t>冷却</w:t>
            </w:r>
            <w:r>
              <w:rPr>
                <w:rFonts w:hint="default" w:ascii="Times New Roman" w:hAnsi="Times New Roman" w:eastAsia="宋体" w:cs="Times New Roman"/>
                <w:i w:val="0"/>
                <w:iCs w:val="0"/>
                <w:caps w:val="0"/>
                <w:spacing w:val="0"/>
                <w:sz w:val="24"/>
                <w:szCs w:val="24"/>
                <w:shd w:val="clear" w:fill="FFFFFF"/>
              </w:rPr>
              <w:t>水对管材进行进一步冷却。</w:t>
            </w:r>
            <w:r>
              <w:rPr>
                <w:rFonts w:hint="default" w:ascii="Times New Roman" w:hAnsi="Times New Roman" w:eastAsia="宋体" w:cs="Times New Roman"/>
                <w:color w:val="000000"/>
                <w:kern w:val="0"/>
                <w:sz w:val="24"/>
                <w:szCs w:val="24"/>
                <w:lang w:val="en-US" w:eastAsia="zh-CN" w:bidi="ar"/>
              </w:rPr>
              <w:t>本工序主要污染源为</w:t>
            </w:r>
            <w:r>
              <w:rPr>
                <w:rFonts w:hint="default" w:ascii="Times New Roman" w:hAnsi="Times New Roman" w:eastAsia="宋体" w:cs="Times New Roman"/>
                <w:color w:val="000000"/>
                <w:kern w:val="0"/>
                <w:lang w:val="en-US" w:eastAsia="zh-CN"/>
              </w:rPr>
              <w:t>冷却</w:t>
            </w:r>
            <w:r>
              <w:rPr>
                <w:rFonts w:hint="default" w:ascii="Times New Roman" w:hAnsi="Times New Roman" w:eastAsia="宋体" w:cs="Times New Roman"/>
                <w:color w:val="000000"/>
                <w:kern w:val="0"/>
              </w:rPr>
              <w:t>水</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kern w:val="0"/>
              </w:rPr>
              <w:t>循环使用</w:t>
            </w:r>
            <w:r>
              <w:rPr>
                <w:rFonts w:hint="eastAsia" w:cs="Times New Roman"/>
                <w:color w:val="000000"/>
                <w:kern w:val="0"/>
                <w:lang w:eastAsia="zh-CN"/>
              </w:rPr>
              <w:t>，</w:t>
            </w:r>
            <w:r>
              <w:rPr>
                <w:rFonts w:hint="eastAsia" w:cs="Times New Roman"/>
                <w:color w:val="000000"/>
                <w:kern w:val="0"/>
                <w:lang w:val="en-US" w:eastAsia="zh-CN"/>
              </w:rPr>
              <w:t>循环水定期排水属于清净下水，通过园区下水管网排至园区污水处理厂进行处理</w:t>
            </w:r>
            <w:r>
              <w:rPr>
                <w:rFonts w:hint="eastAsia"/>
                <w:lang w:eastAsia="zh-CN"/>
              </w:rPr>
              <w:t>。</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（4）切割</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采用</w:t>
            </w:r>
            <w:r>
              <w:rPr>
                <w:rFonts w:hint="eastAsia" w:cs="Times New Roman"/>
                <w:color w:val="000000"/>
                <w:kern w:val="0"/>
                <w:sz w:val="24"/>
                <w:szCs w:val="24"/>
                <w:lang w:val="en-US" w:eastAsia="zh-CN" w:bidi="ar"/>
              </w:rPr>
              <w:t>行星式无屑</w:t>
            </w:r>
            <w:r>
              <w:rPr>
                <w:rFonts w:hint="default" w:ascii="Times New Roman" w:hAnsi="Times New Roman" w:eastAsia="宋体" w:cs="Times New Roman"/>
                <w:color w:val="000000"/>
                <w:kern w:val="0"/>
                <w:sz w:val="24"/>
                <w:szCs w:val="24"/>
                <w:lang w:val="en-US" w:eastAsia="zh-CN" w:bidi="ar"/>
              </w:rPr>
              <w:t>切割</w:t>
            </w:r>
            <w:r>
              <w:rPr>
                <w:rFonts w:hint="eastAsia" w:cs="Times New Roman"/>
                <w:color w:val="000000"/>
                <w:kern w:val="0"/>
                <w:sz w:val="24"/>
                <w:szCs w:val="24"/>
                <w:lang w:val="en-US" w:eastAsia="zh-CN" w:bidi="ar"/>
              </w:rPr>
              <w:t>机，</w:t>
            </w:r>
            <w:r>
              <w:rPr>
                <w:rFonts w:hint="default" w:ascii="Times New Roman" w:hAnsi="Times New Roman" w:eastAsia="宋体" w:cs="Times New Roman"/>
                <w:color w:val="000000"/>
                <w:kern w:val="0"/>
                <w:sz w:val="24"/>
                <w:szCs w:val="24"/>
                <w:lang w:val="en-US" w:eastAsia="zh-CN" w:bidi="ar"/>
              </w:rPr>
              <w:t>根据生产需求对成型管材定尺切割即为成品，切割机锯片同时进行公转和自转，形成</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螺旋式切削</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，相比传统单向锯断，可分散切割力，</w:t>
            </w:r>
            <w:r>
              <w:rPr>
                <w:rFonts w:ascii="Segoe UI" w:hAnsi="Segoe UI" w:eastAsia="Segoe UI" w:cs="Segoe UI"/>
                <w:i w:val="0"/>
                <w:iCs w:val="0"/>
                <w:caps w:val="0"/>
                <w:spacing w:val="0"/>
                <w:sz w:val="24"/>
                <w:szCs w:val="24"/>
                <w:shd w:val="clear" w:fill="FFFFFF"/>
              </w:rPr>
              <w:t>将传统切割中的</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撕裂碎屑</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转化为</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剪切</w:t>
            </w:r>
            <w:r>
              <w:rPr>
                <w:rFonts w:hint="eastAsia" w:ascii="Segoe UI" w:hAnsi="Segoe UI" w:eastAsia="宋体" w:cs="Segoe UI"/>
                <w:i w:val="0"/>
                <w:iCs w:val="0"/>
                <w:caps w:val="0"/>
                <w:spacing w:val="0"/>
                <w:sz w:val="24"/>
                <w:szCs w:val="24"/>
                <w:shd w:val="clear" w:fill="FFFFFF"/>
                <w:lang w:eastAsia="zh-CN"/>
              </w:rPr>
              <w:t>”</w:t>
            </w:r>
            <w:r>
              <w:rPr>
                <w:rFonts w:hint="eastAsia" w:ascii="Segoe UI" w:hAnsi="Segoe UI" w:eastAsia="宋体" w:cs="Segoe UI"/>
                <w:i w:val="0"/>
                <w:iCs w:val="0"/>
                <w:caps w:val="0"/>
                <w:spacing w:val="0"/>
                <w:sz w:val="24"/>
                <w:szCs w:val="24"/>
                <w:shd w:val="clear" w:fill="FFFFFF"/>
                <w:lang w:val="en-US" w:eastAsia="zh-CN"/>
              </w:rPr>
              <w:t>效果</w:t>
            </w:r>
            <w:r>
              <w:rPr>
                <w:rFonts w:ascii="Segoe UI" w:hAnsi="Segoe UI" w:eastAsia="Segoe UI" w:cs="Segoe UI"/>
                <w:i w:val="0"/>
                <w:iCs w:val="0"/>
                <w:caps w:val="0"/>
                <w:spacing w:val="0"/>
                <w:sz w:val="24"/>
                <w:szCs w:val="24"/>
                <w:shd w:val="clear" w:fill="FFFFFF"/>
              </w:rPr>
              <w:t>，</w:t>
            </w:r>
            <w:r>
              <w:rPr>
                <w:rFonts w:hint="eastAsia" w:cs="Times New Roman"/>
                <w:color w:val="000000"/>
                <w:kern w:val="0"/>
                <w:sz w:val="24"/>
                <w:szCs w:val="24"/>
                <w:lang w:val="en-US" w:eastAsia="zh-CN" w:bidi="ar"/>
              </w:rPr>
              <w:t>从而使</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切割过程不产生粉尘，</w:t>
            </w:r>
            <w:r>
              <w:rPr>
                <w:rFonts w:hint="default" w:ascii="Times New Roman" w:hAnsi="Times New Roman" w:eastAsia="宋体" w:cs="Times New Roman"/>
                <w:color w:val="000000"/>
                <w:kern w:val="0"/>
                <w:sz w:val="24"/>
                <w:szCs w:val="24"/>
                <w:lang w:val="en-US" w:eastAsia="zh-CN" w:bidi="ar"/>
              </w:rPr>
              <w:t>本工序主要污染源为设备运行噪声及边角料。</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（5）检验</w:t>
            </w:r>
          </w:p>
          <w:p>
            <w:pPr>
              <w:keepNext/>
              <w:keepLines w:val="0"/>
              <w:pageBreakBefore w:val="0"/>
              <w:widowControl/>
              <w:kinsoku/>
              <w:wordWrap/>
              <w:overflowPunct/>
              <w:topLinePunct w:val="0"/>
              <w:autoSpaceDE/>
              <w:autoSpaceDN/>
              <w:bidi w:val="0"/>
              <w:adjustRightInd w:val="0"/>
              <w:snapToGrid w:val="0"/>
              <w:ind w:firstLine="480" w:firstLineChars="200"/>
              <w:rPr>
                <w:rFonts w:hint="default" w:ascii="Times New Roman" w:hAnsi="Times New Roman" w:eastAsia="宋体" w:cs="Times New Roman"/>
                <w:b/>
                <w:bCs/>
                <w:color w:val="000000"/>
                <w:kern w:val="0"/>
              </w:rPr>
            </w:pPr>
            <w:r>
              <w:rPr>
                <w:rFonts w:hint="default" w:ascii="Times New Roman" w:hAnsi="Times New Roman" w:eastAsia="宋体" w:cs="Times New Roman"/>
                <w:color w:val="000000"/>
                <w:kern w:val="0"/>
                <w:sz w:val="24"/>
                <w:szCs w:val="24"/>
                <w:lang w:val="en-US" w:eastAsia="zh-CN" w:bidi="ar"/>
              </w:rPr>
              <w:t>切割后的聚乙烯PE给水管/MPP电力管生产线工艺流程进行检验，检验合格的产品直接暂存在成品堆放区堆放；不合格的产品外售给废品回收站处理。本工序污染源主要为不合格产品。</w:t>
            </w:r>
          </w:p>
          <w:p>
            <w:pPr>
              <w:keepNext/>
              <w:keepLines w:val="0"/>
              <w:pageBreakBefore w:val="0"/>
              <w:widowControl/>
              <w:kinsoku/>
              <w:wordWrap/>
              <w:overflowPunct/>
              <w:topLinePunct w:val="0"/>
              <w:autoSpaceDE/>
              <w:autoSpaceDN/>
              <w:bidi w:val="0"/>
              <w:adjustRightInd w:val="0"/>
              <w:snapToGrid w:val="0"/>
              <w:rPr>
                <w:rFonts w:hint="default" w:ascii="Times New Roman" w:hAnsi="Times New Roman" w:eastAsia="宋体" w:cs="Times New Roman"/>
                <w:color w:val="000000"/>
                <w:kern w:val="0"/>
                <w:lang w:eastAsia="zh-CN"/>
              </w:rPr>
            </w:pPr>
            <w:r>
              <w:rPr>
                <w:rFonts w:hint="default" w:ascii="Times New Roman" w:hAnsi="Times New Roman" w:eastAsia="宋体" w:cs="Times New Roman"/>
                <w:b/>
                <w:bCs/>
                <w:color w:val="000000"/>
                <w:kern w:val="0"/>
              </w:rPr>
              <w:t>钢带波纹管生产线：</w:t>
            </w:r>
          </w:p>
          <w:p>
            <w:pPr>
              <w:keepNext/>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b/>
                <w:bCs/>
                <w:color w:val="000000"/>
                <w:kern w:val="0"/>
                <w:sz w:val="21"/>
                <w:szCs w:val="21"/>
                <w:lang w:eastAsia="zh-CN"/>
              </w:rPr>
            </w:pPr>
            <w:r>
              <w:rPr>
                <w:rFonts w:hint="default" w:ascii="Times New Roman" w:hAnsi="Times New Roman" w:eastAsia="宋体" w:cs="Times New Roman"/>
                <w:b/>
                <w:bCs/>
                <w:color w:val="000000"/>
                <w:kern w:val="0"/>
                <w:sz w:val="21"/>
                <w:szCs w:val="21"/>
                <w:lang w:eastAsia="zh-CN"/>
              </w:rPr>
              <w:drawing>
                <wp:inline distT="0" distB="0" distL="114300" distR="114300">
                  <wp:extent cx="3496310" cy="3371850"/>
                  <wp:effectExtent l="0" t="0" r="0" b="0"/>
                  <wp:docPr id="10" name="ECB019B1-382A-4266-B25C-5B523AA43C14-4" descr="C:/Users/MyPC/AppData/Local/Temp/wps.QXcWoV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CB019B1-382A-4266-B25C-5B523AA43C14-4" descr="C:/Users/MyPC/AppData/Local/Temp/wps.QXcWoVwps"/>
                          <pic:cNvPicPr>
                            <a:picLocks noChangeAspect="1"/>
                          </pic:cNvPicPr>
                        </pic:nvPicPr>
                        <pic:blipFill>
                          <a:blip r:embed="rId14"/>
                          <a:stretch>
                            <a:fillRect/>
                          </a:stretch>
                        </pic:blipFill>
                        <pic:spPr>
                          <a:xfrm>
                            <a:off x="0" y="0"/>
                            <a:ext cx="3496310" cy="3371850"/>
                          </a:xfrm>
                          <a:prstGeom prst="rect">
                            <a:avLst/>
                          </a:prstGeom>
                        </pic:spPr>
                      </pic:pic>
                    </a:graphicData>
                  </a:graphic>
                </wp:inline>
              </w:drawing>
            </w:r>
          </w:p>
          <w:p>
            <w:pPr>
              <w:keepNext/>
              <w:keepLines w:val="0"/>
              <w:pageBreakBefore w:val="0"/>
              <w:widowControl/>
              <w:kinsoku/>
              <w:wordWrap/>
              <w:overflowPunct/>
              <w:topLinePunct w:val="0"/>
              <w:autoSpaceDE/>
              <w:autoSpaceDN/>
              <w:bidi w:val="0"/>
              <w:adjustRightInd w:val="0"/>
              <w:snapToGrid w:val="0"/>
              <w:jc w:val="center"/>
              <w:rPr>
                <w:rFonts w:hint="default" w:ascii="Times New Roman" w:hAnsi="Times New Roman" w:eastAsia="宋体" w:cs="Times New Roman"/>
                <w:color w:val="000000"/>
                <w:kern w:val="0"/>
              </w:rPr>
            </w:pPr>
            <w:r>
              <w:rPr>
                <w:rFonts w:hint="default" w:ascii="Times New Roman" w:hAnsi="Times New Roman" w:eastAsia="宋体" w:cs="Times New Roman"/>
                <w:b/>
                <w:bCs/>
                <w:color w:val="000000"/>
                <w:kern w:val="0"/>
                <w:sz w:val="21"/>
                <w:szCs w:val="21"/>
              </w:rPr>
              <w:t>图</w:t>
            </w:r>
            <w:r>
              <w:rPr>
                <w:rFonts w:hint="default" w:ascii="Times New Roman" w:hAnsi="Times New Roman" w:eastAsia="宋体" w:cs="Times New Roman"/>
                <w:b/>
                <w:bCs/>
                <w:color w:val="000000"/>
                <w:kern w:val="0"/>
                <w:sz w:val="21"/>
                <w:szCs w:val="21"/>
                <w:lang w:val="en-US" w:eastAsia="zh-CN"/>
              </w:rPr>
              <w:t>2-</w:t>
            </w:r>
            <w:r>
              <w:rPr>
                <w:rFonts w:hint="eastAsia" w:cs="Times New Roman"/>
                <w:b/>
                <w:bCs/>
                <w:color w:val="000000"/>
                <w:kern w:val="0"/>
                <w:sz w:val="21"/>
                <w:szCs w:val="21"/>
                <w:lang w:val="en-US" w:eastAsia="zh-CN"/>
              </w:rPr>
              <w:t>4</w:t>
            </w:r>
            <w:r>
              <w:rPr>
                <w:rFonts w:hint="default" w:ascii="Times New Roman" w:hAnsi="Times New Roman" w:eastAsia="宋体" w:cs="Times New Roman"/>
                <w:b/>
                <w:bCs/>
                <w:color w:val="000000"/>
                <w:kern w:val="0"/>
                <w:sz w:val="21"/>
                <w:szCs w:val="21"/>
              </w:rPr>
              <w:t xml:space="preserve">    </w:t>
            </w:r>
            <w:r>
              <w:rPr>
                <w:rFonts w:hint="default" w:ascii="Times New Roman" w:hAnsi="Times New Roman" w:eastAsia="宋体" w:cs="Times New Roman"/>
                <w:b/>
                <w:bCs/>
                <w:color w:val="000000"/>
                <w:kern w:val="0"/>
                <w:sz w:val="21"/>
                <w:szCs w:val="21"/>
                <w:lang w:val="en-US" w:eastAsia="zh-CN"/>
              </w:rPr>
              <w:t>钢带波纹管</w:t>
            </w:r>
            <w:r>
              <w:rPr>
                <w:rFonts w:hint="default" w:ascii="Times New Roman" w:hAnsi="Times New Roman" w:eastAsia="宋体" w:cs="Times New Roman"/>
                <w:b/>
                <w:bCs/>
                <w:color w:val="000000"/>
                <w:kern w:val="0"/>
                <w:sz w:val="21"/>
                <w:szCs w:val="21"/>
              </w:rPr>
              <w:t>生产线工艺流程及产污环节图</w:t>
            </w:r>
          </w:p>
          <w:p>
            <w:pPr>
              <w:keepNext w:val="0"/>
              <w:keepLines w:val="0"/>
              <w:widowControl/>
              <w:numPr>
                <w:ilvl w:val="0"/>
                <w:numId w:val="4"/>
              </w:numPr>
              <w:suppressLineNumbers w:val="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钢带</w:t>
            </w:r>
            <w:r>
              <w:rPr>
                <w:rFonts w:hint="eastAsia" w:ascii="Times New Roman" w:hAnsi="Times New Roman" w:eastAsia="宋体" w:cs="Times New Roman"/>
                <w:color w:val="000000"/>
                <w:kern w:val="0"/>
                <w:sz w:val="24"/>
                <w:szCs w:val="24"/>
                <w:lang w:val="en-US" w:eastAsia="zh-CN" w:bidi="ar"/>
              </w:rPr>
              <w:t>预热</w:t>
            </w:r>
          </w:p>
          <w:p>
            <w:pPr>
              <w:keepNext w:val="0"/>
              <w:keepLines w:val="0"/>
              <w:widowControl/>
              <w:numPr>
                <w:ilvl w:val="0"/>
                <w:numId w:val="0"/>
              </w:numPr>
              <w:suppressLineNumbers w:val="0"/>
              <w:ind w:firstLine="480" w:firstLineChars="200"/>
              <w:jc w:val="left"/>
              <w:rPr>
                <w:rFonts w:hint="eastAsia"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将钢带放入生产线中，</w:t>
            </w:r>
            <w:r>
              <w:rPr>
                <w:rFonts w:hint="eastAsia" w:ascii="Times New Roman" w:hAnsi="Times New Roman" w:eastAsia="宋体" w:cs="Times New Roman"/>
                <w:color w:val="000000"/>
                <w:kern w:val="0"/>
                <w:sz w:val="24"/>
                <w:szCs w:val="24"/>
                <w:lang w:val="en-US" w:eastAsia="zh-CN" w:bidi="ar"/>
              </w:rPr>
              <w:t>通过电加热将外购的冷轧钢带进行预热，</w:t>
            </w:r>
            <w:r>
              <w:rPr>
                <w:rFonts w:ascii="Segoe UI" w:hAnsi="Segoe UI" w:eastAsia="Segoe UI" w:cs="Segoe UI"/>
                <w:i w:val="0"/>
                <w:iCs w:val="0"/>
                <w:caps w:val="0"/>
                <w:spacing w:val="0"/>
                <w:sz w:val="24"/>
                <w:szCs w:val="24"/>
                <w:shd w:val="clear" w:fill="FFFFFF"/>
              </w:rPr>
              <w:t>使内应力得到释放，防止在后续加工或使用中出现变形、开裂等问题</w:t>
            </w:r>
            <w:r>
              <w:rPr>
                <w:rFonts w:hint="eastAsia" w:ascii="Segoe UI" w:hAnsi="Segoe UI" w:eastAsia="宋体" w:cs="Segoe UI"/>
                <w:i w:val="0"/>
                <w:iCs w:val="0"/>
                <w:caps w:val="0"/>
                <w:spacing w:val="0"/>
                <w:sz w:val="24"/>
                <w:szCs w:val="24"/>
                <w:shd w:val="clear" w:fill="FFFFFF"/>
                <w:lang w:eastAsia="zh-CN"/>
              </w:rPr>
              <w:t>。</w:t>
            </w:r>
          </w:p>
          <w:p>
            <w:pPr>
              <w:keepNext w:val="0"/>
              <w:keepLines w:val="0"/>
              <w:widowControl/>
              <w:numPr>
                <w:ilvl w:val="0"/>
                <w:numId w:val="4"/>
              </w:numPr>
              <w:suppressLineNumbers w:val="0"/>
              <w:jc w:val="left"/>
              <w:rPr>
                <w:rFonts w:hint="default" w:ascii="Times New Roman" w:hAnsi="Times New Roman" w:eastAsia="宋体" w:cs="Times New Roman"/>
              </w:rPr>
            </w:pPr>
            <w:r>
              <w:rPr>
                <w:rFonts w:hint="eastAsia" w:ascii="Times New Roman" w:hAnsi="Times New Roman" w:eastAsia="宋体" w:cs="Times New Roman"/>
                <w:color w:val="000000"/>
                <w:kern w:val="0"/>
                <w:sz w:val="24"/>
                <w:szCs w:val="24"/>
                <w:lang w:val="en-US" w:eastAsia="zh-CN" w:bidi="ar"/>
              </w:rPr>
              <w:t>钢带</w:t>
            </w:r>
            <w:r>
              <w:rPr>
                <w:rFonts w:hint="default" w:ascii="Times New Roman" w:hAnsi="Times New Roman" w:eastAsia="宋体" w:cs="Times New Roman"/>
                <w:color w:val="000000"/>
                <w:kern w:val="0"/>
                <w:sz w:val="24"/>
                <w:szCs w:val="24"/>
                <w:lang w:val="en-US" w:eastAsia="zh-CN" w:bidi="ar"/>
              </w:rPr>
              <w:t>覆膜</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原料粘接树脂采用电加热在设备中通过190~230℃高温熔化，将熔化后的粘结树脂喷涂在钢带表面后，经循环水池冷却待用。本工序主要污染源为原料熔化产生的有机废气，设备运行噪声。</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2</w:t>
            </w:r>
            <w:r>
              <w:rPr>
                <w:rFonts w:hint="default" w:ascii="Times New Roman" w:hAnsi="Times New Roman" w:eastAsia="宋体" w:cs="Times New Roman"/>
                <w:color w:val="000000"/>
                <w:kern w:val="0"/>
                <w:sz w:val="24"/>
                <w:szCs w:val="24"/>
                <w:lang w:val="en-US" w:eastAsia="zh-CN" w:bidi="ar"/>
              </w:rPr>
              <w:t>）冷却</w:t>
            </w:r>
          </w:p>
          <w:p>
            <w:pPr>
              <w:keepNext w:val="0"/>
              <w:keepLines w:val="0"/>
              <w:widowControl/>
              <w:suppressLineNumbers w:val="0"/>
              <w:ind w:firstLine="480" w:firstLineChars="200"/>
              <w:jc w:val="left"/>
              <w:rPr>
                <w:rFonts w:hint="eastAsia" w:eastAsia="宋体"/>
                <w:lang w:eastAsia="zh-CN"/>
              </w:rPr>
            </w:pPr>
            <w:r>
              <w:rPr>
                <w:rFonts w:hint="eastAsia" w:ascii="Times New Roman" w:hAnsi="Times New Roman" w:eastAsia="宋体" w:cs="Times New Roman"/>
                <w:i w:val="0"/>
                <w:iCs w:val="0"/>
                <w:caps w:val="0"/>
                <w:spacing w:val="0"/>
                <w:sz w:val="24"/>
                <w:szCs w:val="24"/>
                <w:shd w:val="clear" w:fill="FFFFFF"/>
                <w:lang w:val="en-US" w:eastAsia="zh-CN"/>
              </w:rPr>
              <w:t>钢带</w:t>
            </w:r>
            <w:r>
              <w:rPr>
                <w:rFonts w:hint="default" w:ascii="Times New Roman" w:hAnsi="Times New Roman" w:eastAsia="宋体" w:cs="Times New Roman"/>
                <w:i w:val="0"/>
                <w:iCs w:val="0"/>
                <w:caps w:val="0"/>
                <w:spacing w:val="0"/>
                <w:sz w:val="24"/>
                <w:szCs w:val="24"/>
                <w:shd w:val="clear" w:fill="FFFFFF"/>
              </w:rPr>
              <w:t>进入冷却槽，通过</w:t>
            </w:r>
            <w:r>
              <w:rPr>
                <w:rFonts w:hint="eastAsia" w:cs="Times New Roman"/>
                <w:i w:val="0"/>
                <w:iCs w:val="0"/>
                <w:caps w:val="0"/>
                <w:spacing w:val="0"/>
                <w:sz w:val="24"/>
                <w:szCs w:val="24"/>
                <w:shd w:val="clear" w:fill="FFFFFF"/>
                <w:lang w:val="en-US" w:eastAsia="zh-CN"/>
              </w:rPr>
              <w:t>冷却</w:t>
            </w:r>
            <w:r>
              <w:rPr>
                <w:rFonts w:hint="default" w:ascii="Times New Roman" w:hAnsi="Times New Roman" w:eastAsia="宋体" w:cs="Times New Roman"/>
                <w:i w:val="0"/>
                <w:iCs w:val="0"/>
                <w:caps w:val="0"/>
                <w:spacing w:val="0"/>
                <w:sz w:val="24"/>
                <w:szCs w:val="24"/>
                <w:shd w:val="clear" w:fill="FFFFFF"/>
              </w:rPr>
              <w:t>水对</w:t>
            </w:r>
            <w:r>
              <w:rPr>
                <w:rFonts w:hint="eastAsia" w:ascii="Times New Roman" w:hAnsi="Times New Roman" w:eastAsia="宋体" w:cs="Times New Roman"/>
                <w:i w:val="0"/>
                <w:iCs w:val="0"/>
                <w:caps w:val="0"/>
                <w:spacing w:val="0"/>
                <w:sz w:val="24"/>
                <w:szCs w:val="24"/>
                <w:shd w:val="clear" w:fill="FFFFFF"/>
                <w:lang w:val="en-US" w:eastAsia="zh-CN"/>
              </w:rPr>
              <w:t>钢带</w:t>
            </w:r>
            <w:r>
              <w:rPr>
                <w:rFonts w:hint="default" w:ascii="Times New Roman" w:hAnsi="Times New Roman" w:eastAsia="宋体" w:cs="Times New Roman"/>
                <w:i w:val="0"/>
                <w:iCs w:val="0"/>
                <w:caps w:val="0"/>
                <w:spacing w:val="0"/>
                <w:sz w:val="24"/>
                <w:szCs w:val="24"/>
                <w:shd w:val="clear" w:fill="FFFFFF"/>
              </w:rPr>
              <w:t>进行进一步冷却。</w:t>
            </w:r>
            <w:r>
              <w:rPr>
                <w:rFonts w:hint="default" w:ascii="Times New Roman" w:hAnsi="Times New Roman" w:eastAsia="宋体" w:cs="Times New Roman"/>
                <w:color w:val="000000"/>
                <w:kern w:val="0"/>
                <w:sz w:val="24"/>
                <w:szCs w:val="24"/>
                <w:lang w:val="en-US" w:eastAsia="zh-CN" w:bidi="ar"/>
              </w:rPr>
              <w:t>本工序主要污染源为</w:t>
            </w:r>
            <w:r>
              <w:rPr>
                <w:rFonts w:hint="default" w:ascii="Times New Roman" w:hAnsi="Times New Roman" w:eastAsia="宋体" w:cs="Times New Roman"/>
                <w:color w:val="000000"/>
                <w:kern w:val="0"/>
                <w:lang w:val="en-US" w:eastAsia="zh-CN"/>
              </w:rPr>
              <w:t>冷却</w:t>
            </w:r>
            <w:r>
              <w:rPr>
                <w:rFonts w:hint="default" w:ascii="Times New Roman" w:hAnsi="Times New Roman" w:eastAsia="宋体" w:cs="Times New Roman"/>
                <w:color w:val="000000"/>
                <w:kern w:val="0"/>
              </w:rPr>
              <w:t>水</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kern w:val="0"/>
              </w:rPr>
              <w:t>循环使用</w:t>
            </w:r>
            <w:r>
              <w:rPr>
                <w:rFonts w:hint="eastAsia" w:cs="Times New Roman"/>
                <w:color w:val="000000"/>
                <w:kern w:val="0"/>
                <w:lang w:eastAsia="zh-CN"/>
              </w:rPr>
              <w:t>，</w:t>
            </w:r>
            <w:r>
              <w:rPr>
                <w:rFonts w:hint="eastAsia" w:cs="Times New Roman"/>
                <w:color w:val="000000"/>
                <w:kern w:val="0"/>
                <w:lang w:val="en-US" w:eastAsia="zh-CN"/>
              </w:rPr>
              <w:t>循环水定期排水属于清净下水，通过园区下水管网排至园区污水处理厂进行处理</w:t>
            </w:r>
            <w:r>
              <w:rPr>
                <w:rFonts w:hint="eastAsia"/>
                <w:lang w:eastAsia="zh-CN"/>
              </w:rPr>
              <w:t>。</w:t>
            </w:r>
          </w:p>
          <w:p>
            <w:pPr>
              <w:keepNext w:val="0"/>
              <w:keepLines w:val="0"/>
              <w:widowControl/>
              <w:numPr>
                <w:ilvl w:val="0"/>
                <w:numId w:val="0"/>
              </w:numPr>
              <w:suppressLineNumbers w:val="0"/>
              <w:jc w:val="left"/>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（3）</w:t>
            </w:r>
            <w:r>
              <w:rPr>
                <w:rFonts w:hint="default" w:ascii="Times New Roman" w:hAnsi="Times New Roman" w:eastAsia="宋体" w:cs="Times New Roman"/>
                <w:color w:val="000000"/>
                <w:kern w:val="0"/>
                <w:sz w:val="24"/>
                <w:szCs w:val="24"/>
                <w:lang w:val="en-US" w:eastAsia="zh-CN" w:bidi="ar"/>
              </w:rPr>
              <w:t>压弯</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将预处理后的钢带送入成型机，通过</w:t>
            </w:r>
            <w:r>
              <w:rPr>
                <w:rFonts w:hint="eastAsia" w:cs="Times New Roman"/>
                <w:color w:val="000000"/>
                <w:kern w:val="0"/>
                <w:sz w:val="24"/>
                <w:szCs w:val="24"/>
                <w:lang w:val="en-US" w:eastAsia="zh-CN" w:bidi="ar"/>
              </w:rPr>
              <w:t>压弯机</w:t>
            </w:r>
            <w:r>
              <w:rPr>
                <w:rFonts w:hint="default" w:ascii="Times New Roman" w:hAnsi="Times New Roman" w:eastAsia="宋体" w:cs="Times New Roman"/>
                <w:color w:val="000000"/>
                <w:kern w:val="0"/>
                <w:sz w:val="24"/>
                <w:szCs w:val="24"/>
                <w:lang w:val="en-US" w:eastAsia="zh-CN" w:bidi="ar"/>
              </w:rPr>
              <w:t>，将钢带轧制成规定的</w:t>
            </w:r>
            <w:r>
              <w:rPr>
                <w:rFonts w:hint="eastAsia" w:cs="Times New Roman"/>
                <w:color w:val="000000"/>
                <w:kern w:val="0"/>
                <w:sz w:val="24"/>
                <w:szCs w:val="24"/>
                <w:lang w:val="en-US" w:eastAsia="zh-CN" w:bidi="ar"/>
              </w:rPr>
              <w:t>弧</w:t>
            </w:r>
            <w:r>
              <w:rPr>
                <w:rFonts w:hint="default" w:ascii="Times New Roman" w:hAnsi="Times New Roman" w:eastAsia="宋体" w:cs="Times New Roman"/>
                <w:color w:val="000000"/>
                <w:kern w:val="0"/>
                <w:sz w:val="24"/>
                <w:szCs w:val="24"/>
                <w:lang w:val="en-US" w:eastAsia="zh-CN" w:bidi="ar"/>
              </w:rPr>
              <w:t>形。本工序主要污染源为设备运行噪声。</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）混料</w:t>
            </w:r>
          </w:p>
          <w:p>
            <w:pPr>
              <w:keepNext w:val="0"/>
              <w:keepLines w:val="0"/>
              <w:widowControl/>
              <w:suppressLineNumbers w:val="0"/>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外购的原辅材料聚乙烯颗粒、色母通过混料机混合均匀。本工序主要污染源</w:t>
            </w:r>
            <w:r>
              <w:rPr>
                <w:rFonts w:hint="eastAsia" w:cs="Times New Roman"/>
                <w:color w:val="000000"/>
                <w:kern w:val="0"/>
                <w:sz w:val="24"/>
                <w:szCs w:val="24"/>
                <w:lang w:val="en-US" w:eastAsia="zh-CN" w:bidi="ar"/>
              </w:rPr>
              <w:t>设备运行的噪声及</w:t>
            </w:r>
            <w:r>
              <w:rPr>
                <w:rFonts w:hint="default" w:ascii="Times New Roman" w:hAnsi="Times New Roman" w:eastAsia="宋体" w:cs="Times New Roman"/>
                <w:color w:val="000000"/>
                <w:kern w:val="0"/>
                <w:sz w:val="24"/>
                <w:szCs w:val="24"/>
                <w:lang w:val="en-US" w:eastAsia="zh-CN" w:bidi="ar"/>
              </w:rPr>
              <w:t>投料后产生的废包装材料。</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）原料加热</w:t>
            </w:r>
            <w:r>
              <w:rPr>
                <w:rFonts w:hint="eastAsia" w:cs="Times New Roman"/>
                <w:color w:val="000000"/>
                <w:kern w:val="0"/>
                <w:sz w:val="24"/>
                <w:szCs w:val="24"/>
                <w:lang w:val="en-US" w:eastAsia="zh-CN" w:bidi="ar"/>
              </w:rPr>
              <w:t>挤出</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原料混合后进入钢带波纹管生产线，采用电加热，在设备内通过170~200℃高温加热熔化后</w:t>
            </w:r>
            <w:r>
              <w:rPr>
                <w:rFonts w:hint="eastAsia" w:cs="Times New Roman"/>
                <w:color w:val="000000"/>
                <w:kern w:val="0"/>
                <w:sz w:val="24"/>
                <w:szCs w:val="24"/>
                <w:lang w:val="en-US" w:eastAsia="zh-CN" w:bidi="ar"/>
              </w:rPr>
              <w:t>挤出</w:t>
            </w:r>
            <w:r>
              <w:rPr>
                <w:rFonts w:hint="default" w:ascii="Times New Roman" w:hAnsi="Times New Roman" w:eastAsia="宋体" w:cs="Times New Roman"/>
                <w:color w:val="000000"/>
                <w:kern w:val="0"/>
                <w:sz w:val="24"/>
                <w:szCs w:val="24"/>
                <w:lang w:val="en-US" w:eastAsia="zh-CN" w:bidi="ar"/>
              </w:rPr>
              <w:t>进入</w:t>
            </w:r>
            <w:r>
              <w:rPr>
                <w:rFonts w:hint="eastAsia" w:cs="Times New Roman"/>
                <w:color w:val="000000"/>
                <w:kern w:val="0"/>
                <w:sz w:val="24"/>
                <w:szCs w:val="24"/>
                <w:lang w:val="en-US" w:eastAsia="zh-CN" w:bidi="ar"/>
              </w:rPr>
              <w:t>缠绕机。</w:t>
            </w:r>
            <w:r>
              <w:rPr>
                <w:rFonts w:hint="default" w:ascii="Times New Roman" w:hAnsi="Times New Roman" w:eastAsia="宋体" w:cs="Times New Roman"/>
                <w:color w:val="000000"/>
                <w:kern w:val="0"/>
                <w:sz w:val="24"/>
                <w:szCs w:val="24"/>
                <w:lang w:val="en-US" w:eastAsia="zh-CN" w:bidi="ar"/>
              </w:rPr>
              <w:t>本工序主要污染源为原料熔化产生的有机废气</w:t>
            </w:r>
            <w:r>
              <w:rPr>
                <w:rFonts w:hint="eastAsia"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设备运行噪声</w:t>
            </w:r>
            <w:r>
              <w:rPr>
                <w:rFonts w:hint="eastAsia" w:cs="Times New Roman"/>
                <w:color w:val="000000"/>
                <w:kern w:val="0"/>
                <w:sz w:val="24"/>
                <w:szCs w:val="24"/>
                <w:lang w:val="en-US" w:eastAsia="zh-CN" w:bidi="ar"/>
              </w:rPr>
              <w:t>及废边角料</w:t>
            </w:r>
            <w:r>
              <w:rPr>
                <w:rFonts w:hint="default" w:ascii="Times New Roman" w:hAnsi="Times New Roman" w:eastAsia="宋体" w:cs="Times New Roman"/>
                <w:color w:val="000000"/>
                <w:kern w:val="0"/>
                <w:sz w:val="24"/>
                <w:szCs w:val="24"/>
                <w:lang w:val="en-US" w:eastAsia="zh-CN" w:bidi="ar"/>
              </w:rPr>
              <w:t>。</w:t>
            </w:r>
          </w:p>
          <w:p>
            <w:pPr>
              <w:keepNext w:val="0"/>
              <w:keepLines w:val="0"/>
              <w:widowControl/>
              <w:numPr>
                <w:ilvl w:val="0"/>
                <w:numId w:val="0"/>
              </w:numPr>
              <w:suppressLineNumbers w:val="0"/>
              <w:ind w:leftChars="0"/>
              <w:jc w:val="left"/>
              <w:rPr>
                <w:rFonts w:hint="default" w:ascii="Times New Roman" w:hAnsi="Times New Roman" w:eastAsia="宋体" w:cs="Times New Roman"/>
                <w:color w:val="000000"/>
                <w:kern w:val="0"/>
                <w:sz w:val="24"/>
                <w:szCs w:val="24"/>
                <w:lang w:val="en-US" w:eastAsia="zh-CN" w:bidi="ar"/>
              </w:rPr>
            </w:pPr>
            <w:r>
              <w:rPr>
                <w:rFonts w:hint="eastAsia" w:cs="Times New Roman"/>
                <w:color w:val="000000"/>
                <w:kern w:val="0"/>
                <w:sz w:val="24"/>
                <w:szCs w:val="24"/>
                <w:lang w:val="en-US" w:eastAsia="zh-CN" w:bidi="ar"/>
              </w:rPr>
              <w:t>（6）</w:t>
            </w:r>
            <w:r>
              <w:rPr>
                <w:rFonts w:hint="default" w:ascii="Times New Roman" w:hAnsi="Times New Roman" w:eastAsia="宋体" w:cs="Times New Roman"/>
                <w:color w:val="000000"/>
                <w:kern w:val="0"/>
                <w:sz w:val="24"/>
                <w:szCs w:val="24"/>
                <w:lang w:val="en-US" w:eastAsia="zh-CN" w:bidi="ar"/>
              </w:rPr>
              <w:t>缠绕定型</w:t>
            </w:r>
          </w:p>
          <w:p>
            <w:pPr>
              <w:keepNext w:val="0"/>
              <w:keepLines w:val="0"/>
              <w:widowControl/>
              <w:numPr>
                <w:ilvl w:val="0"/>
                <w:numId w:val="0"/>
              </w:numPr>
              <w:suppressLineNumbers w:val="0"/>
              <w:ind w:leftChars="0"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经覆膜压弯后的钢带与聚乙烯二者结合，在螺杆的作用下缠绕挤压，整形定型，成为成型管材。本工序主要污染源为设备运行噪声。</w:t>
            </w:r>
          </w:p>
          <w:p>
            <w:pPr>
              <w:pStyle w:val="6"/>
              <w:numPr>
                <w:ilvl w:val="0"/>
                <w:numId w:val="5"/>
              </w:numPr>
              <w:ind w:left="0" w:leftChars="0" w:firstLine="0" w:firstLineChars="0"/>
              <w:rPr>
                <w:rFonts w:hint="eastAsia" w:cs="Times New Roman"/>
                <w:color w:val="000000"/>
                <w:kern w:val="0"/>
                <w:sz w:val="24"/>
                <w:szCs w:val="24"/>
                <w:lang w:val="en-US" w:eastAsia="zh-CN" w:bidi="ar"/>
              </w:rPr>
            </w:pPr>
            <w:r>
              <w:rPr>
                <w:rFonts w:hint="eastAsia" w:cs="Times New Roman"/>
                <w:color w:val="000000"/>
                <w:kern w:val="0"/>
                <w:sz w:val="24"/>
                <w:szCs w:val="24"/>
                <w:lang w:val="en-US" w:eastAsia="zh-CN" w:bidi="ar"/>
              </w:rPr>
              <w:t>定型后冷却</w:t>
            </w:r>
          </w:p>
          <w:p>
            <w:pPr>
              <w:keepNext w:val="0"/>
              <w:keepLines w:val="0"/>
              <w:widowControl/>
              <w:suppressLineNumbers w:val="0"/>
              <w:ind w:firstLine="480" w:firstLineChars="200"/>
              <w:jc w:val="left"/>
              <w:rPr>
                <w:rFonts w:hint="default"/>
                <w:lang w:val="en-US"/>
              </w:rPr>
            </w:pPr>
            <w:r>
              <w:rPr>
                <w:rFonts w:ascii="Segoe UI" w:hAnsi="Segoe UI" w:eastAsia="Segoe UI" w:cs="Segoe UI"/>
                <w:i w:val="0"/>
                <w:iCs w:val="0"/>
                <w:caps w:val="0"/>
                <w:spacing w:val="0"/>
                <w:sz w:val="24"/>
                <w:szCs w:val="24"/>
                <w:shd w:val="clear" w:fill="FFFFFF"/>
              </w:rPr>
              <w:t>将冷却水通过喷嘴雾化成细小水滴，均匀喷射到管材表面</w:t>
            </w:r>
            <w:r>
              <w:rPr>
                <w:rFonts w:hint="eastAsia" w:ascii="Segoe UI" w:hAnsi="Segoe UI" w:eastAsia="宋体" w:cs="Segoe UI"/>
                <w:i w:val="0"/>
                <w:iCs w:val="0"/>
                <w:caps w:val="0"/>
                <w:spacing w:val="0"/>
                <w:sz w:val="24"/>
                <w:szCs w:val="24"/>
                <w:shd w:val="clear" w:fill="FFFFFF"/>
                <w:lang w:eastAsia="zh-CN"/>
              </w:rPr>
              <w:t>，</w:t>
            </w:r>
            <w:r>
              <w:rPr>
                <w:rFonts w:ascii="Segoe UI" w:hAnsi="Segoe UI" w:eastAsia="Segoe UI" w:cs="Segoe UI"/>
                <w:i w:val="0"/>
                <w:iCs w:val="0"/>
                <w:caps w:val="0"/>
                <w:spacing w:val="0"/>
                <w:sz w:val="24"/>
                <w:szCs w:val="24"/>
                <w:shd w:val="clear" w:fill="FFFFFF"/>
              </w:rPr>
              <w:t>主要用于将挤出成型后的高温管材快速降温定型，</w:t>
            </w:r>
            <w:r>
              <w:rPr>
                <w:rFonts w:hint="default" w:ascii="Times New Roman" w:hAnsi="Times New Roman" w:eastAsia="宋体" w:cs="Times New Roman"/>
                <w:color w:val="000000"/>
                <w:kern w:val="0"/>
                <w:sz w:val="24"/>
                <w:szCs w:val="24"/>
                <w:lang w:val="en-US" w:eastAsia="zh-CN" w:bidi="ar"/>
              </w:rPr>
              <w:t>本工序主要污染源为</w:t>
            </w:r>
            <w:r>
              <w:rPr>
                <w:rFonts w:hint="default" w:ascii="Times New Roman" w:hAnsi="Times New Roman" w:eastAsia="宋体" w:cs="Times New Roman"/>
                <w:color w:val="000000"/>
                <w:kern w:val="0"/>
                <w:lang w:val="en-US" w:eastAsia="zh-CN"/>
              </w:rPr>
              <w:t>冷却</w:t>
            </w:r>
            <w:r>
              <w:rPr>
                <w:rFonts w:hint="default" w:ascii="Times New Roman" w:hAnsi="Times New Roman" w:eastAsia="宋体" w:cs="Times New Roman"/>
                <w:color w:val="000000"/>
                <w:kern w:val="0"/>
              </w:rPr>
              <w:t>水</w:t>
            </w:r>
            <w:r>
              <w:rPr>
                <w:rFonts w:hint="default" w:ascii="Times New Roman" w:hAnsi="Times New Roman" w:eastAsia="宋体" w:cs="Times New Roman"/>
                <w:color w:val="000000"/>
                <w:kern w:val="0"/>
                <w:lang w:eastAsia="zh-CN"/>
              </w:rPr>
              <w:t>，</w:t>
            </w:r>
            <w:r>
              <w:rPr>
                <w:rFonts w:hint="default" w:ascii="Times New Roman" w:hAnsi="Times New Roman" w:eastAsia="宋体" w:cs="Times New Roman"/>
                <w:color w:val="000000"/>
                <w:kern w:val="0"/>
              </w:rPr>
              <w:t>循环使用</w:t>
            </w:r>
            <w:r>
              <w:rPr>
                <w:rFonts w:hint="eastAsia" w:cs="Times New Roman"/>
                <w:color w:val="000000"/>
                <w:kern w:val="0"/>
                <w:lang w:eastAsia="zh-CN"/>
              </w:rPr>
              <w:t>，</w:t>
            </w:r>
            <w:r>
              <w:rPr>
                <w:rFonts w:hint="eastAsia" w:cs="Times New Roman"/>
                <w:color w:val="000000"/>
                <w:kern w:val="0"/>
                <w:lang w:val="en-US" w:eastAsia="zh-CN"/>
              </w:rPr>
              <w:t>循环水定期排水属于清净下水，通过园区下水管网排至园区污水处理厂进行处理。</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8</w:t>
            </w:r>
            <w:r>
              <w:rPr>
                <w:rFonts w:hint="default" w:ascii="Times New Roman" w:hAnsi="Times New Roman" w:eastAsia="宋体" w:cs="Times New Roman"/>
                <w:color w:val="000000"/>
                <w:kern w:val="0"/>
                <w:sz w:val="24"/>
                <w:szCs w:val="24"/>
                <w:lang w:val="en-US" w:eastAsia="zh-CN" w:bidi="ar"/>
              </w:rPr>
              <w:t>）切割</w:t>
            </w:r>
          </w:p>
          <w:p>
            <w:pPr>
              <w:keepNext w:val="0"/>
              <w:keepLines w:val="0"/>
              <w:widowControl/>
              <w:suppressLineNumbers w:val="0"/>
              <w:ind w:firstLine="480" w:firstLineChars="200"/>
              <w:jc w:val="left"/>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采用行星式无屑切割机，根据生产需求对成型管材定尺切割即为成品，切割机锯片同时进行公转和自转，形成“螺旋式切削”，相比传统单向锯断，可分散切割力，将传统切割中的“撕裂碎屑”转化为“剪切”效果，从而使切割过程不产生粉尘，本工序主要污染源为设备运行噪声及边角料。</w:t>
            </w:r>
          </w:p>
          <w:p>
            <w:pPr>
              <w:keepNext w:val="0"/>
              <w:keepLines w:val="0"/>
              <w:widowControl/>
              <w:suppressLineNumbers w:val="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w:t>
            </w:r>
            <w:r>
              <w:rPr>
                <w:rFonts w:hint="eastAsia"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）检验</w:t>
            </w:r>
          </w:p>
          <w:p>
            <w:pPr>
              <w:keepNext w:val="0"/>
              <w:keepLines w:val="0"/>
              <w:widowControl/>
              <w:suppressLineNumbers w:val="0"/>
              <w:ind w:firstLine="480" w:firstLineChars="200"/>
              <w:jc w:val="left"/>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切割后的钢带波纹管进行检验，检验合格的产品直接暂存在成品堆放区堆放；不合格的产品外售给废品回收站处理。本工序污染源主要为不合格产品。</w:t>
            </w:r>
          </w:p>
          <w:p>
            <w:pPr>
              <w:keepNext/>
              <w:keepLines w:val="0"/>
              <w:pageBreakBefore w:val="0"/>
              <w:widowControl/>
              <w:kinsoku/>
              <w:wordWrap/>
              <w:overflowPunct/>
              <w:topLinePunct w:val="0"/>
              <w:autoSpaceDE/>
              <w:autoSpaceDN/>
              <w:bidi w:val="0"/>
              <w:adjustRightInd w:val="0"/>
              <w:snapToGrid w:val="0"/>
              <w:spacing w:line="240" w:lineRule="auto"/>
              <w:ind w:firstLine="422" w:firstLineChars="200"/>
              <w:rPr>
                <w:b/>
                <w:bCs/>
                <w:color w:val="000000"/>
                <w:sz w:val="21"/>
                <w:szCs w:val="21"/>
                <w:highlight w:val="none"/>
              </w:rPr>
            </w:pPr>
            <w:r>
              <w:rPr>
                <w:rFonts w:hint="eastAsia"/>
                <w:b/>
                <w:bCs/>
                <w:color w:val="000000"/>
                <w:sz w:val="21"/>
                <w:szCs w:val="21"/>
                <w:highlight w:val="none"/>
              </w:rPr>
              <w:t>表</w:t>
            </w:r>
            <w:r>
              <w:rPr>
                <w:rFonts w:hint="eastAsia"/>
                <w:b/>
                <w:bCs/>
                <w:color w:val="000000"/>
                <w:sz w:val="21"/>
                <w:szCs w:val="21"/>
                <w:highlight w:val="none"/>
                <w:lang w:val="en-US" w:eastAsia="zh-CN"/>
              </w:rPr>
              <w:t>2-7</w:t>
            </w:r>
            <w:r>
              <w:rPr>
                <w:rFonts w:hint="eastAsia"/>
                <w:b/>
                <w:bCs/>
                <w:color w:val="000000"/>
                <w:sz w:val="21"/>
                <w:szCs w:val="21"/>
                <w:highlight w:val="none"/>
              </w:rPr>
              <w:t xml:space="preserve">                      物料平衡一览表</w:t>
            </w:r>
          </w:p>
          <w:tbl>
            <w:tblPr>
              <w:tblStyle w:val="26"/>
              <w:tblW w:w="4954"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48"/>
              <w:gridCol w:w="2332"/>
              <w:gridCol w:w="1389"/>
              <w:gridCol w:w="1604"/>
              <w:gridCol w:w="12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序号</w:t>
                  </w:r>
                </w:p>
              </w:tc>
              <w:tc>
                <w:tcPr>
                  <w:tcW w:w="417" w:type="pct"/>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生产设施</w:t>
                  </w:r>
                </w:p>
              </w:tc>
              <w:tc>
                <w:tcPr>
                  <w:tcW w:w="2395" w:type="pct"/>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投入</w:t>
                  </w:r>
                </w:p>
              </w:tc>
              <w:tc>
                <w:tcPr>
                  <w:tcW w:w="1823" w:type="pct"/>
                  <w:gridSpan w:val="2"/>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产出</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501"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894"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c>
                <w:tcPr>
                  <w:tcW w:w="1032"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名称</w:t>
                  </w:r>
                </w:p>
              </w:tc>
              <w:tc>
                <w:tcPr>
                  <w:tcW w:w="791"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数量（t）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olor w:val="000000"/>
                      <w:kern w:val="0"/>
                      <w:sz w:val="21"/>
                      <w:szCs w:val="21"/>
                      <w:lang w:val="en-US" w:eastAsia="zh-CN"/>
                    </w:rPr>
                    <w:t>1#厂房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417" w:type="pct"/>
                  <w:vMerge w:val="restart"/>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钢带波纹管</w:t>
                  </w: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olor w:val="000000"/>
                      <w:kern w:val="0"/>
                      <w:sz w:val="21"/>
                      <w:szCs w:val="21"/>
                    </w:rPr>
                  </w:pPr>
                  <w:r>
                    <w:rPr>
                      <w:rFonts w:hint="eastAsia" w:cs="Times New Roman"/>
                      <w:color w:val="000000"/>
                      <w:kern w:val="0"/>
                      <w:sz w:val="21"/>
                      <w:szCs w:val="21"/>
                      <w:lang w:val="en-US" w:eastAsia="zh-CN" w:bidi="ar"/>
                    </w:rPr>
                    <w:t>冷轧钢带</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461.617</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产品</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color w:val="000000"/>
                      <w:kern w:val="0"/>
                      <w:sz w:val="21"/>
                      <w:szCs w:val="21"/>
                      <w:lang w:val="en-US" w:eastAsia="zh-CN"/>
                    </w:rPr>
                  </w:pPr>
                  <w:r>
                    <w:rPr>
                      <w:rFonts w:hint="eastAsia"/>
                      <w:color w:val="000000"/>
                      <w:kern w:val="0"/>
                      <w:sz w:val="21"/>
                      <w:szCs w:val="21"/>
                      <w:lang w:val="en-US" w:eastAsia="zh-CN"/>
                    </w:rPr>
                    <w:t>1224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s="Times New Roman"/>
                      <w:color w:val="000000"/>
                      <w:kern w:val="0"/>
                      <w:sz w:val="21"/>
                      <w:szCs w:val="21"/>
                      <w:lang w:val="en-US" w:eastAsia="zh-CN"/>
                    </w:rPr>
                    <w:t>消泡剂</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0.5</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有组织非</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甲烷总烃</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排放</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0.332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olor w:val="000000"/>
                      <w:kern w:val="0"/>
                      <w:sz w:val="21"/>
                      <w:szCs w:val="21"/>
                    </w:rPr>
                  </w:pPr>
                  <w:r>
                    <w:rPr>
                      <w:rFonts w:hint="eastAsia" w:cs="Times New Roman"/>
                      <w:color w:val="000000"/>
                      <w:kern w:val="0"/>
                      <w:sz w:val="21"/>
                      <w:szCs w:val="21"/>
                      <w:lang w:val="en-US" w:eastAsia="zh-CN" w:bidi="ar"/>
                    </w:rPr>
                    <w:t>色母</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2</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无组织非甲烷总烃排放量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olor w:val="000000"/>
                      <w:kern w:val="0"/>
                      <w:sz w:val="21"/>
                      <w:szCs w:val="21"/>
                      <w:lang w:val="en-US" w:eastAsia="zh-CN"/>
                    </w:rPr>
                    <w:t>0.458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4</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olor w:val="000000"/>
                      <w:kern w:val="0"/>
                      <w:sz w:val="21"/>
                      <w:szCs w:val="21"/>
                    </w:rPr>
                  </w:pPr>
                  <w:r>
                    <w:rPr>
                      <w:rFonts w:hint="eastAsia" w:cs="Times New Roman"/>
                      <w:color w:val="000000"/>
                      <w:kern w:val="0"/>
                      <w:sz w:val="21"/>
                      <w:szCs w:val="21"/>
                      <w:lang w:val="en-US" w:eastAsia="zh-CN" w:bidi="ar"/>
                    </w:rPr>
                    <w:t>粘接树脂</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96</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活性炭吸附量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olor w:val="000000"/>
                      <w:kern w:val="0"/>
                      <w:sz w:val="21"/>
                      <w:szCs w:val="21"/>
                      <w:lang w:val="en-US" w:eastAsia="zh-CN"/>
                    </w:rPr>
                    <w:t>0.127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5</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olor w:val="000000"/>
                      <w:kern w:val="0"/>
                      <w:sz w:val="21"/>
                      <w:szCs w:val="21"/>
                    </w:rPr>
                  </w:pPr>
                  <w:r>
                    <w:rPr>
                      <w:rFonts w:hint="eastAsia" w:cs="Times New Roman"/>
                      <w:color w:val="000000"/>
                      <w:kern w:val="0"/>
                      <w:sz w:val="21"/>
                      <w:szCs w:val="21"/>
                      <w:lang w:val="en-US" w:eastAsia="zh-CN" w:bidi="ar"/>
                    </w:rPr>
                    <w:t>钢带专用PE</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666</w:t>
                  </w:r>
                </w:p>
              </w:tc>
              <w:tc>
                <w:tcPr>
                  <w:tcW w:w="10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废边角料、不合格产品</w:t>
                  </w:r>
                </w:p>
              </w:tc>
              <w:tc>
                <w:tcPr>
                  <w:tcW w:w="79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color w:val="000000"/>
                      <w:kern w:val="0"/>
                      <w:sz w:val="21"/>
                      <w:szCs w:val="21"/>
                      <w:lang w:val="en-US" w:eastAsia="zh-CN" w:bidi="ar-SA"/>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合计</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color w:val="000000"/>
                      <w:kern w:val="0"/>
                      <w:sz w:val="21"/>
                      <w:szCs w:val="21"/>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1226.117</w:t>
                  </w:r>
                </w:p>
              </w:tc>
              <w:tc>
                <w:tcPr>
                  <w:tcW w:w="103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1226.117</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00" w:type="pct"/>
                  <w:gridSpan w:val="6"/>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olor w:val="000000"/>
                      <w:kern w:val="0"/>
                      <w:sz w:val="21"/>
                      <w:szCs w:val="21"/>
                      <w:lang w:val="en-US" w:eastAsia="zh-CN"/>
                    </w:rPr>
                  </w:pPr>
                  <w:r>
                    <w:rPr>
                      <w:rFonts w:hint="eastAsia"/>
                      <w:color w:val="000000"/>
                      <w:kern w:val="0"/>
                      <w:sz w:val="21"/>
                      <w:szCs w:val="21"/>
                      <w:lang w:val="en-US" w:eastAsia="zh-CN"/>
                    </w:rPr>
                    <w:t>2#厂房</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1</w:t>
                  </w:r>
                </w:p>
              </w:tc>
              <w:tc>
                <w:tcPr>
                  <w:tcW w:w="417" w:type="pct"/>
                  <w:vMerge w:val="restart"/>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MPP电力管</w:t>
                  </w:r>
                  <w:r>
                    <w:rPr>
                      <w:rFonts w:hint="eastAsia"/>
                      <w:lang w:val="en-US" w:eastAsia="zh-CN"/>
                    </w:rPr>
                    <w:t>/</w:t>
                  </w: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olor w:val="000000"/>
                      <w:kern w:val="0"/>
                      <w:sz w:val="21"/>
                      <w:szCs w:val="21"/>
                    </w:rPr>
                    <w:t>聚</w:t>
                  </w:r>
                  <w:r>
                    <w:rPr>
                      <w:rFonts w:hint="eastAsia"/>
                      <w:color w:val="000000"/>
                      <w:kern w:val="0"/>
                      <w:sz w:val="21"/>
                      <w:szCs w:val="21"/>
                      <w:lang w:val="en-US" w:eastAsia="zh-CN"/>
                    </w:rPr>
                    <w:t>丙</w:t>
                  </w:r>
                  <w:r>
                    <w:rPr>
                      <w:rFonts w:hint="eastAsia"/>
                      <w:color w:val="000000"/>
                      <w:kern w:val="0"/>
                      <w:sz w:val="21"/>
                      <w:szCs w:val="21"/>
                    </w:rPr>
                    <w:t>烯</w:t>
                  </w:r>
                  <w:r>
                    <w:rPr>
                      <w:rFonts w:hint="eastAsia"/>
                      <w:color w:val="000000"/>
                      <w:kern w:val="0"/>
                      <w:sz w:val="21"/>
                      <w:szCs w:val="21"/>
                      <w:lang w:val="en-US" w:eastAsia="zh-CN"/>
                    </w:rPr>
                    <w:t>树脂</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548.923</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b w:val="0"/>
                      <w:bCs w:val="0"/>
                      <w:color w:val="000000" w:themeColor="text1"/>
                      <w:kern w:val="2"/>
                      <w:sz w:val="21"/>
                      <w:szCs w:val="21"/>
                      <w:lang w:val="en-US" w:eastAsia="zh-CN"/>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产品</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olor w:val="000000"/>
                      <w:kern w:val="0"/>
                      <w:sz w:val="21"/>
                      <w:szCs w:val="21"/>
                      <w:lang w:val="en-US" w:eastAsia="zh-CN"/>
                    </w:rPr>
                    <w:t>549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2</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color w:val="000000"/>
                      <w:kern w:val="0"/>
                      <w:sz w:val="21"/>
                      <w:szCs w:val="21"/>
                      <w:lang w:val="en-US" w:eastAsia="zh-CN" w:bidi="ar"/>
                    </w:rPr>
                    <w:t>色母</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1.5</w:t>
                  </w: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有组织非</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甲烷总烃</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排放</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w:t>
                  </w:r>
                  <w:r>
                    <w:rPr>
                      <w:rFonts w:hint="eastAsia" w:cs="Times New Roman"/>
                      <w:b w:val="0"/>
                      <w:bCs w:val="0"/>
                      <w:color w:val="000000" w:themeColor="text1"/>
                      <w:sz w:val="21"/>
                      <w:szCs w:val="21"/>
                      <w:lang w:val="en-US" w:eastAsia="zh-CN"/>
                      <w14:textFill>
                        <w14:solidFill>
                          <w14:schemeClr w14:val="tx1"/>
                        </w14:solidFill>
                      </w14:textFill>
                    </w:rPr>
                    <w:t>298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t>3</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kern w:val="2"/>
                      <w:sz w:val="21"/>
                      <w:szCs w:val="21"/>
                      <w:lang w:val="en-US" w:eastAsia="zh-CN" w:bidi="ar-SA"/>
                      <w14:textFill>
                        <w14:solidFill>
                          <w14:schemeClr w14:val="tx1"/>
                        </w14:solidFill>
                      </w14:textFill>
                    </w:rPr>
                    <w:t>-</w:t>
                  </w: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无组织非甲烷总烃排放量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0.411</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4</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s="Times New Roman"/>
                      <w:b w:val="0"/>
                      <w:bCs w:val="0"/>
                      <w:color w:val="000000" w:themeColor="text1"/>
                      <w:kern w:val="2"/>
                      <w:sz w:val="21"/>
                      <w:szCs w:val="21"/>
                      <w:lang w:val="en-US" w:eastAsia="zh-CN" w:bidi="ar-SA"/>
                      <w14:textFill>
                        <w14:solidFill>
                          <w14:schemeClr w14:val="tx1"/>
                        </w14:solidFill>
                      </w14:textFill>
                    </w:rPr>
                  </w:pP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cs="Times New Roman"/>
                      <w:b w:val="0"/>
                      <w:bCs w:val="0"/>
                      <w:color w:val="000000" w:themeColor="text1"/>
                      <w:sz w:val="21"/>
                      <w:szCs w:val="21"/>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活性炭吸附量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0.114</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p>
              </w:tc>
              <w:tc>
                <w:tcPr>
                  <w:tcW w:w="1501" w:type="pct"/>
                  <w:shd w:val="clear" w:color="auto" w:fill="auto"/>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cs="Times New Roman"/>
                      <w:b w:val="0"/>
                      <w:bCs w:val="0"/>
                      <w:color w:val="000000" w:themeColor="text1"/>
                      <w:kern w:val="2"/>
                      <w:sz w:val="21"/>
                      <w:szCs w:val="21"/>
                      <w:lang w:val="en-US" w:eastAsia="zh-CN" w:bidi="ar-SA"/>
                      <w14:textFill>
                        <w14:solidFill>
                          <w14:schemeClr w14:val="tx1"/>
                        </w14:solidFill>
                      </w14:textFill>
                    </w:rPr>
                  </w:pP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cs="Times New Roman"/>
                      <w:b w:val="0"/>
                      <w:bCs w:val="0"/>
                      <w:color w:val="000000" w:themeColor="text1"/>
                      <w:kern w:val="2"/>
                      <w:sz w:val="21"/>
                      <w:szCs w:val="21"/>
                      <w:lang w:val="en-US" w:eastAsia="zh-CN" w:bidi="ar-SA"/>
                      <w14:textFill>
                        <w14:solidFill>
                          <w14:schemeClr w14:val="tx1"/>
                        </w14:solidFill>
                      </w14:textFill>
                    </w:rPr>
                  </w:pPr>
                </w:p>
              </w:tc>
              <w:tc>
                <w:tcPr>
                  <w:tcW w:w="10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废边角料、不合格产品</w:t>
                  </w:r>
                </w:p>
              </w:tc>
              <w:tc>
                <w:tcPr>
                  <w:tcW w:w="79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0.6</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eastAsia" w:cs="Times New Roman"/>
                      <w:b w:val="0"/>
                      <w:bCs w:val="0"/>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合计</w:t>
                  </w:r>
                </w:p>
              </w:tc>
              <w:tc>
                <w:tcPr>
                  <w:tcW w:w="417" w:type="pct"/>
                  <w:vMerge w:val="continue"/>
                  <w:shd w:val="clear" w:color="auto" w:fill="auto"/>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rightChars="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501" w:type="pct"/>
                  <w:shd w:val="clear" w:color="auto" w:fill="auto"/>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pacing w:val="7"/>
                      <w:sz w:val="21"/>
                      <w:szCs w:val="21"/>
                      <w:lang w:val="en-US" w:eastAsia="zh-CN"/>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94"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pacing w:val="-2"/>
                      <w:position w:val="4"/>
                      <w:sz w:val="21"/>
                      <w:szCs w:val="21"/>
                      <w:lang w:val="en-US"/>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5</w:t>
                  </w:r>
                  <w:r>
                    <w:rPr>
                      <w:rFonts w:hint="eastAsia" w:cs="Times New Roman"/>
                      <w:b w:val="0"/>
                      <w:bCs w:val="0"/>
                      <w:color w:val="000000" w:themeColor="text1"/>
                      <w:sz w:val="21"/>
                      <w:szCs w:val="21"/>
                      <w:lang w:val="en-US" w:eastAsia="zh-CN"/>
                      <w14:textFill>
                        <w14:solidFill>
                          <w14:schemeClr w14:val="tx1"/>
                        </w14:solidFill>
                      </w14:textFill>
                    </w:rPr>
                    <w:t>50.423</w:t>
                  </w:r>
                </w:p>
              </w:tc>
              <w:tc>
                <w:tcPr>
                  <w:tcW w:w="103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eastAsia="宋体" w:cs="Times New Roman"/>
                      <w:b w:val="0"/>
                      <w:bCs w:val="0"/>
                      <w:color w:val="000000" w:themeColor="text1"/>
                      <w:sz w:val="21"/>
                      <w:szCs w:val="21"/>
                      <w:lang w:val="en-US" w:eastAsia="zh-CN"/>
                      <w14:textFill>
                        <w14:solidFill>
                          <w14:schemeClr w14:val="tx1"/>
                        </w14:solidFill>
                      </w14:textFill>
                    </w:rPr>
                    <w:t>5</w:t>
                  </w:r>
                  <w:r>
                    <w:rPr>
                      <w:rFonts w:hint="eastAsia" w:cs="Times New Roman"/>
                      <w:b w:val="0"/>
                      <w:bCs w:val="0"/>
                      <w:color w:val="000000" w:themeColor="text1"/>
                      <w:sz w:val="21"/>
                      <w:szCs w:val="21"/>
                      <w:lang w:val="en-US" w:eastAsia="zh-CN"/>
                      <w14:textFill>
                        <w14:solidFill>
                          <w14:schemeClr w14:val="tx1"/>
                        </w14:solidFill>
                      </w14:textFill>
                    </w:rPr>
                    <w:t>50.423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1</w:t>
                  </w:r>
                </w:p>
              </w:tc>
              <w:tc>
                <w:tcPr>
                  <w:tcW w:w="417" w:type="pct"/>
                  <w:vMerge w:val="restar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cs="Times New Roman"/>
                      <w:b w:val="0"/>
                      <w:bCs w:val="0"/>
                      <w:color w:val="000000" w:themeColor="text1"/>
                      <w:sz w:val="21"/>
                      <w:szCs w:val="21"/>
                      <w:lang w:val="en-US" w:eastAsia="zh-CN"/>
                      <w14:textFill>
                        <w14:solidFill>
                          <w14:schemeClr w14:val="tx1"/>
                        </w14:solidFill>
                      </w14:textFill>
                    </w:rPr>
                  </w:pPr>
                  <w:r>
                    <w:rPr>
                      <w:rFonts w:hint="default" w:cs="Times New Roman"/>
                      <w:b w:val="0"/>
                      <w:bCs w:val="0"/>
                      <w:color w:val="000000" w:themeColor="text1"/>
                      <w:sz w:val="21"/>
                      <w:szCs w:val="21"/>
                      <w:lang w:val="en-US" w:eastAsia="zh-CN"/>
                      <w14:textFill>
                        <w14:solidFill>
                          <w14:schemeClr w14:val="tx1"/>
                        </w14:solidFill>
                      </w14:textFill>
                    </w:rPr>
                    <w:t>聚乙烯PE给水管</w:t>
                  </w:r>
                </w:p>
              </w:tc>
              <w:tc>
                <w:tcPr>
                  <w:tcW w:w="15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高密度</w:t>
                  </w:r>
                  <w:r>
                    <w:rPr>
                      <w:rFonts w:hint="default" w:ascii="Times New Roman" w:hAnsi="Times New Roman" w:eastAsia="宋体" w:cs="Times New Roman"/>
                      <w:b w:val="0"/>
                      <w:bCs w:val="0"/>
                      <w:color w:val="000000" w:themeColor="text1"/>
                      <w:sz w:val="21"/>
                      <w:szCs w:val="21"/>
                      <w14:textFill>
                        <w14:solidFill>
                          <w14:schemeClr w14:val="tx1"/>
                        </w14:solidFill>
                      </w14:textFill>
                    </w:rPr>
                    <w:t>聚乙烯</w:t>
                  </w:r>
                  <w: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t>树脂</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134.2</w:t>
                  </w:r>
                </w:p>
              </w:tc>
              <w:tc>
                <w:tcPr>
                  <w:tcW w:w="1032"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产品</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olor w:val="000000"/>
                      <w:kern w:val="0"/>
                      <w:sz w:val="21"/>
                      <w:szCs w:val="21"/>
                      <w:lang w:val="en-US" w:eastAsia="zh-CN"/>
                    </w:rPr>
                    <w:t>135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2</w:t>
                  </w: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cs="Times New Roman"/>
                      <w:b w:val="0"/>
                      <w:bCs w:val="0"/>
                      <w:color w:val="000000" w:themeColor="text1"/>
                      <w:sz w:val="21"/>
                      <w:szCs w:val="21"/>
                      <w:lang w:val="en-US" w:eastAsia="zh-CN"/>
                      <w14:textFill>
                        <w14:solidFill>
                          <w14:schemeClr w14:val="tx1"/>
                        </w14:solidFill>
                      </w14:textFill>
                    </w:rPr>
                  </w:pPr>
                </w:p>
              </w:tc>
              <w:tc>
                <w:tcPr>
                  <w:tcW w:w="15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cs="Times New Roman"/>
                      <w:color w:val="000000"/>
                      <w:kern w:val="0"/>
                      <w:sz w:val="21"/>
                      <w:szCs w:val="21"/>
                      <w:lang w:val="en-US" w:eastAsia="zh-CN" w:bidi="ar"/>
                    </w:rPr>
                    <w:t>色母</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1.203</w:t>
                  </w: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lang w:val="en-US"/>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有组织非</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甲烷总烃</w:t>
                  </w: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排放</w:t>
                  </w:r>
                  <w:r>
                    <w:rPr>
                      <w:rFonts w:hint="eastAsia" w:ascii="宋体" w:hAnsi="宋体" w:eastAsia="宋体" w:cs="宋体"/>
                      <w:b w:val="0"/>
                      <w:bCs w:val="0"/>
                      <w:i w:val="0"/>
                      <w:iCs w:val="0"/>
                      <w:color w:val="000000" w:themeColor="text1"/>
                      <w:kern w:val="0"/>
                      <w:sz w:val="21"/>
                      <w:szCs w:val="21"/>
                      <w:u w:val="none"/>
                      <w:lang w:val="en-US" w:eastAsia="zh-CN" w:bidi="ar"/>
                      <w14:textFill>
                        <w14:solidFill>
                          <w14:schemeClr w14:val="tx1"/>
                        </w14:solidFill>
                      </w14:textFill>
                    </w:rPr>
                    <w:t>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0.073</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3</w:t>
                  </w: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cs="Times New Roman"/>
                      <w:b w:val="0"/>
                      <w:bCs w:val="0"/>
                      <w:color w:val="000000" w:themeColor="text1"/>
                      <w:sz w:val="21"/>
                      <w:szCs w:val="21"/>
                      <w:lang w:val="en-US" w:eastAsia="zh-CN"/>
                      <w14:textFill>
                        <w14:solidFill>
                          <w14:schemeClr w14:val="tx1"/>
                        </w14:solidFill>
                      </w14:textFill>
                    </w:rPr>
                  </w:pPr>
                </w:p>
              </w:tc>
              <w:tc>
                <w:tcPr>
                  <w:tcW w:w="15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无组织非甲烷总烃排放量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0.102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4</w:t>
                  </w: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cs="Times New Roman"/>
                      <w:b w:val="0"/>
                      <w:bCs w:val="0"/>
                      <w:color w:val="000000" w:themeColor="text1"/>
                      <w:sz w:val="21"/>
                      <w:szCs w:val="21"/>
                      <w:lang w:val="en-US" w:eastAsia="zh-CN"/>
                      <w14:textFill>
                        <w14:solidFill>
                          <w14:schemeClr w14:val="tx1"/>
                        </w14:solidFill>
                      </w14:textFill>
                    </w:rPr>
                  </w:pPr>
                </w:p>
              </w:tc>
              <w:tc>
                <w:tcPr>
                  <w:tcW w:w="15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604" w:type="dxa"/>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cs="Times New Roman"/>
                      <w:b w:val="0"/>
                      <w:bCs w:val="0"/>
                      <w:color w:val="000000" w:themeColor="text1"/>
                      <w:sz w:val="21"/>
                      <w:szCs w:val="21"/>
                      <w:lang w:val="en-US" w:eastAsia="zh-CN"/>
                      <w14:textFill>
                        <w14:solidFill>
                          <w14:schemeClr w14:val="tx1"/>
                        </w14:solidFill>
                      </w14:textFill>
                    </w:rPr>
                  </w:pPr>
                  <w:r>
                    <w:rPr>
                      <w:rFonts w:hint="eastAsia" w:ascii="宋体" w:hAnsi="宋体" w:cs="宋体"/>
                      <w:b w:val="0"/>
                      <w:bCs w:val="0"/>
                      <w:i w:val="0"/>
                      <w:iCs w:val="0"/>
                      <w:color w:val="000000" w:themeColor="text1"/>
                      <w:kern w:val="0"/>
                      <w:sz w:val="21"/>
                      <w:szCs w:val="21"/>
                      <w:u w:val="none"/>
                      <w:lang w:val="en-US" w:eastAsia="zh-CN" w:bidi="ar"/>
                      <w14:textFill>
                        <w14:solidFill>
                          <w14:schemeClr w14:val="tx1"/>
                        </w14:solidFill>
                      </w14:textFill>
                    </w:rPr>
                    <w:t>活性炭吸附量</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0.028</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5</w:t>
                  </w: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eastAsia" w:cs="Times New Roman"/>
                      <w:b w:val="0"/>
                      <w:bCs w:val="0"/>
                      <w:color w:val="000000" w:themeColor="text1"/>
                      <w:sz w:val="21"/>
                      <w:szCs w:val="21"/>
                      <w:lang w:val="en-US" w:eastAsia="zh-CN"/>
                      <w14:textFill>
                        <w14:solidFill>
                          <w14:schemeClr w14:val="tx1"/>
                        </w14:solidFill>
                      </w14:textFill>
                    </w:rPr>
                  </w:pPr>
                </w:p>
              </w:tc>
              <w:tc>
                <w:tcPr>
                  <w:tcW w:w="1501" w:type="pct"/>
                  <w:noWrap w:val="0"/>
                  <w:vAlign w:val="center"/>
                </w:tcPr>
                <w:p>
                  <w:pPr>
                    <w:keepNext/>
                    <w:keepLines w:val="0"/>
                    <w:pageBreakBefore w:val="0"/>
                    <w:widowControl/>
                    <w:kinsoku/>
                    <w:wordWrap/>
                    <w:overflowPunct/>
                    <w:topLinePunct w:val="0"/>
                    <w:autoSpaceDE/>
                    <w:autoSpaceDN/>
                    <w:bidi w:val="0"/>
                    <w:adjustRightInd w:val="0"/>
                    <w:snapToGrid w:val="0"/>
                    <w:spacing w:line="240" w:lineRule="auto"/>
                    <w:jc w:val="center"/>
                    <w:textAlignment w:val="top"/>
                    <w:rPr>
                      <w:rFonts w:hint="default"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w:t>
                  </w:r>
                </w:p>
              </w:tc>
              <w:tc>
                <w:tcPr>
                  <w:tcW w:w="1032"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b w:val="0"/>
                      <w:bCs w:val="0"/>
                      <w:color w:val="000000" w:themeColor="text1"/>
                      <w:kern w:val="2"/>
                      <w:sz w:val="21"/>
                      <w:szCs w:val="21"/>
                      <w:lang w:val="en-US" w:eastAsia="zh-CN" w:bidi="ar-SA"/>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废边角料、不合格产品</w:t>
                  </w:r>
                </w:p>
              </w:tc>
              <w:tc>
                <w:tcPr>
                  <w:tcW w:w="791" w:type="pct"/>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eastAsia" w:ascii="Times New Roman" w:hAnsi="Times New Roman" w:eastAsia="宋体" w:cs="Times New Roman"/>
                      <w:b w:val="0"/>
                      <w:bCs w:val="0"/>
                      <w:i w:val="0"/>
                      <w:iCs w:val="0"/>
                      <w:color w:val="000000" w:themeColor="text1"/>
                      <w:kern w:val="0"/>
                      <w:sz w:val="21"/>
                      <w:szCs w:val="21"/>
                      <w:u w:val="none"/>
                      <w:lang w:val="en-US" w:eastAsia="zh-CN" w:bidi="ar"/>
                      <w14:textFill>
                        <w14:solidFill>
                          <w14:schemeClr w14:val="tx1"/>
                        </w14:solidFill>
                      </w14:textFill>
                    </w:rPr>
                  </w:pPr>
                  <w:r>
                    <w:rPr>
                      <w:rFonts w:hint="eastAsia" w:cs="Times New Roman"/>
                      <w:b w:val="0"/>
                      <w:bCs w:val="0"/>
                      <w:i w:val="0"/>
                      <w:iCs w:val="0"/>
                      <w:color w:val="000000" w:themeColor="text1"/>
                      <w:kern w:val="0"/>
                      <w:sz w:val="21"/>
                      <w:szCs w:val="21"/>
                      <w:u w:val="none"/>
                      <w:lang w:val="en-US" w:eastAsia="zh-CN" w:bidi="ar"/>
                      <w14:textFill>
                        <w14:solidFill>
                          <w14:schemeClr w14:val="tx1"/>
                        </w14:solidFill>
                      </w14:textFill>
                    </w:rPr>
                    <w:t>0.2</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363" w:type="pct"/>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default" w:ascii="Times New Roman" w:hAnsi="Times New Roman" w:eastAsia="宋体" w:cs="Times New Roman"/>
                      <w:b w:val="0"/>
                      <w:bCs w:val="0"/>
                      <w:color w:val="000000" w:themeColor="text1"/>
                      <w:sz w:val="21"/>
                      <w:szCs w:val="21"/>
                      <w14:textFill>
                        <w14:solidFill>
                          <w14:schemeClr w14:val="tx1"/>
                        </w14:solidFill>
                      </w14:textFill>
                    </w:rPr>
                    <w:t>合计</w:t>
                  </w:r>
                </w:p>
              </w:tc>
              <w:tc>
                <w:tcPr>
                  <w:tcW w:w="417" w:type="pct"/>
                  <w:vMerge w:val="continue"/>
                  <w:noWrap w:val="0"/>
                  <w:vAlign w:val="center"/>
                </w:tcPr>
                <w:p>
                  <w:pPr>
                    <w:pStyle w:val="10"/>
                    <w:keepNext w:val="0"/>
                    <w:keepLines w:val="0"/>
                    <w:pageBreakBefore w:val="0"/>
                    <w:widowControl w:val="0"/>
                    <w:kinsoku/>
                    <w:wordWrap/>
                    <w:overflowPunct/>
                    <w:topLinePunct w:val="0"/>
                    <w:autoSpaceDE/>
                    <w:autoSpaceDN/>
                    <w:bidi w:val="0"/>
                    <w:adjustRightInd w:val="0"/>
                    <w:snapToGrid w:val="0"/>
                    <w:spacing w:before="0" w:after="0" w:line="240" w:lineRule="auto"/>
                    <w:ind w:right="0"/>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p>
              </w:tc>
              <w:tc>
                <w:tcPr>
                  <w:tcW w:w="1501"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w:hAnsi="Times New Roman" w:eastAsia="宋体" w:cs="Times New Roman"/>
                      <w:b w:val="0"/>
                      <w:bCs w:val="0"/>
                      <w:color w:val="000000" w:themeColor="text1"/>
                      <w:sz w:val="21"/>
                      <w:szCs w:val="21"/>
                      <w14:textFill>
                        <w14:solidFill>
                          <w14:schemeClr w14:val="tx1"/>
                        </w14:solidFill>
                      </w14:textFill>
                    </w:rPr>
                  </w:pPr>
                  <w:r>
                    <w:rPr>
                      <w:rFonts w:hint="eastAsia" w:cs="Times New Roman"/>
                      <w:b w:val="0"/>
                      <w:bCs w:val="0"/>
                      <w:color w:val="000000" w:themeColor="text1"/>
                      <w:spacing w:val="7"/>
                      <w:sz w:val="21"/>
                      <w:szCs w:val="21"/>
                      <w:lang w:val="en-US" w:eastAsia="zh-CN"/>
                      <w14:textFill>
                        <w14:solidFill>
                          <w14:schemeClr w14:val="tx1"/>
                        </w14:solidFill>
                      </w14:textFill>
                    </w:rPr>
                    <w:t>-</w:t>
                  </w:r>
                </w:p>
              </w:tc>
              <w:tc>
                <w:tcPr>
                  <w:tcW w:w="894"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pPr>
                  <w:r>
                    <w:rPr>
                      <w:rFonts w:hint="eastAsia" w:eastAsia="宋体" w:cs="Times New Roman"/>
                      <w:b w:val="0"/>
                      <w:bCs w:val="0"/>
                      <w:i w:val="0"/>
                      <w:iCs w:val="0"/>
                      <w:color w:val="000000" w:themeColor="text1"/>
                      <w:kern w:val="2"/>
                      <w:sz w:val="21"/>
                      <w:szCs w:val="21"/>
                      <w:u w:val="none"/>
                      <w:lang w:val="en-US" w:eastAsia="zh-CN" w:bidi="ar-SA"/>
                      <w14:textFill>
                        <w14:solidFill>
                          <w14:schemeClr w14:val="tx1"/>
                        </w14:solidFill>
                      </w14:textFill>
                    </w:rPr>
                    <w:t>135.403</w:t>
                  </w:r>
                </w:p>
              </w:tc>
              <w:tc>
                <w:tcPr>
                  <w:tcW w:w="1032" w:type="pct"/>
                  <w:noWrap w:val="0"/>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eastAsia" w:ascii="Times New Roman" w:hAnsi="Times New Roman" w:eastAsia="宋体" w:cs="Times New Roman"/>
                      <w:b w:val="0"/>
                      <w:bCs w:val="0"/>
                      <w:color w:val="000000" w:themeColor="text1"/>
                      <w:sz w:val="21"/>
                      <w:szCs w:val="21"/>
                      <w:lang w:val="en-US" w:eastAsia="zh-CN"/>
                      <w14:textFill>
                        <w14:solidFill>
                          <w14:schemeClr w14:val="tx1"/>
                        </w14:solidFill>
                      </w14:textFill>
                    </w:rPr>
                  </w:pPr>
                  <w:r>
                    <w:rPr>
                      <w:rFonts w:hint="eastAsia" w:cs="Times New Roman"/>
                      <w:b w:val="0"/>
                      <w:bCs w:val="0"/>
                      <w:color w:val="000000" w:themeColor="text1"/>
                      <w:sz w:val="21"/>
                      <w:szCs w:val="21"/>
                      <w:lang w:val="en-US" w:eastAsia="zh-CN"/>
                      <w14:textFill>
                        <w14:solidFill>
                          <w14:schemeClr w14:val="tx1"/>
                        </w14:solidFill>
                      </w14:textFill>
                    </w:rPr>
                    <w:t>-</w:t>
                  </w:r>
                </w:p>
              </w:tc>
              <w:tc>
                <w:tcPr>
                  <w:tcW w:w="791" w:type="pct"/>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b w:val="0"/>
                      <w:bCs w:val="0"/>
                      <w:i w:val="0"/>
                      <w:iCs w:val="0"/>
                      <w:color w:val="000000" w:themeColor="text1"/>
                      <w:kern w:val="2"/>
                      <w:sz w:val="21"/>
                      <w:szCs w:val="21"/>
                      <w:u w:val="none"/>
                      <w:lang w:val="en-US" w:eastAsia="zh-CN" w:bidi="ar-SA"/>
                      <w14:textFill>
                        <w14:solidFill>
                          <w14:schemeClr w14:val="tx1"/>
                        </w14:solidFill>
                      </w14:textFill>
                    </w:rPr>
                  </w:pPr>
                  <w:r>
                    <w:rPr>
                      <w:rFonts w:hint="eastAsia" w:eastAsia="宋体" w:cs="Times New Roman"/>
                      <w:b w:val="0"/>
                      <w:bCs w:val="0"/>
                      <w:i w:val="0"/>
                      <w:iCs w:val="0"/>
                      <w:color w:val="000000" w:themeColor="text1"/>
                      <w:kern w:val="2"/>
                      <w:sz w:val="21"/>
                      <w:szCs w:val="21"/>
                      <w:u w:val="none"/>
                      <w:lang w:val="en-US" w:eastAsia="zh-CN" w:bidi="ar-SA"/>
                      <w14:textFill>
                        <w14:solidFill>
                          <w14:schemeClr w14:val="tx1"/>
                        </w14:solidFill>
                      </w14:textFill>
                    </w:rPr>
                    <w:t>135.403</w:t>
                  </w:r>
                </w:p>
              </w:tc>
            </w:tr>
          </w:tbl>
          <w:p>
            <w:pPr>
              <w:pStyle w:val="12"/>
              <w:keepNext/>
              <w:keepLines w:val="0"/>
              <w:pageBreakBefore w:val="0"/>
              <w:widowControl/>
              <w:numPr>
                <w:ilvl w:val="0"/>
                <w:numId w:val="0"/>
              </w:numPr>
              <w:kinsoku/>
              <w:wordWrap/>
              <w:overflowPunct/>
              <w:topLinePunct w:val="0"/>
              <w:autoSpaceDE/>
              <w:autoSpaceDN/>
              <w:bidi w:val="0"/>
              <w:adjustRightInd w:val="0"/>
              <w:snapToGrid w:val="0"/>
              <w:rPr>
                <w:b/>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2" w:type="dxa"/>
            <w:tcBorders>
              <w:tl2br w:val="nil"/>
              <w:tr2bl w:val="nil"/>
            </w:tcBorders>
            <w:noWrap w:val="0"/>
            <w:vAlign w:val="center"/>
          </w:tcPr>
          <w:p>
            <w:pPr>
              <w:keepNext/>
              <w:keepLines w:val="0"/>
              <w:pageBreakBefore w:val="0"/>
              <w:widowControl/>
              <w:kinsoku/>
              <w:wordWrap/>
              <w:overflowPunct/>
              <w:topLinePunct w:val="0"/>
              <w:autoSpaceDE/>
              <w:autoSpaceDN/>
              <w:bidi w:val="0"/>
              <w:adjustRightInd w:val="0"/>
              <w:snapToGrid w:val="0"/>
              <w:spacing w:line="240" w:lineRule="auto"/>
              <w:rPr>
                <w:color w:val="000000"/>
                <w:kern w:val="0"/>
              </w:rPr>
            </w:pPr>
            <w:r>
              <w:rPr>
                <w:color w:val="000000"/>
                <w:kern w:val="0"/>
              </w:rPr>
              <w:t>与项目有关的原有环境污染问题</w:t>
            </w:r>
          </w:p>
        </w:tc>
        <w:tc>
          <w:tcPr>
            <w:tcW w:w="8054" w:type="dxa"/>
            <w:tcBorders>
              <w:tl2br w:val="nil"/>
              <w:tr2bl w:val="nil"/>
            </w:tcBorders>
            <w:noWrap w:val="0"/>
            <w:vAlign w:val="top"/>
          </w:tcPr>
          <w:p>
            <w:pPr>
              <w:keepNext/>
              <w:keepLines w:val="0"/>
              <w:pageBreakBefore w:val="0"/>
              <w:widowControl/>
              <w:kinsoku/>
              <w:wordWrap/>
              <w:overflowPunct/>
              <w:topLinePunct w:val="0"/>
              <w:autoSpaceDE/>
              <w:autoSpaceDN/>
              <w:bidi w:val="0"/>
              <w:ind w:firstLine="480" w:firstLineChars="200"/>
              <w:rPr>
                <w:rFonts w:hint="default"/>
                <w:color w:val="000000"/>
                <w:kern w:val="0"/>
                <w:highlight w:val="yellow"/>
                <w:lang w:val="en-US" w:eastAsia="zh-CN"/>
              </w:rPr>
            </w:pPr>
            <w:r>
              <w:rPr>
                <w:rFonts w:hint="eastAsia"/>
                <w:color w:val="000000"/>
                <w:kern w:val="0"/>
                <w:lang w:val="en-US" w:eastAsia="zh-CN"/>
              </w:rPr>
              <w:t>本项目租赁新疆共进新型建材有限公司厂房进行生产，新疆共进新型建材有限公司2021年12月委托编制了《新疆共进新型建材有限公司焉耆县复合保温外模板生产建设项目环境影响报告表》</w:t>
            </w:r>
            <w:r>
              <w:rPr>
                <w:rFonts w:hint="eastAsia"/>
                <w:color w:val="000000"/>
                <w:kern w:val="0"/>
                <w:highlight w:val="none"/>
                <w:lang w:val="en-US" w:eastAsia="zh-CN"/>
              </w:rPr>
              <w:t>于2022年5月11日在原巴州环境保护局取得批复，批复文号：巴环评价函〔2022〕87号。</w:t>
            </w:r>
          </w:p>
          <w:p>
            <w:pPr>
              <w:keepNext/>
              <w:keepLines w:val="0"/>
              <w:pageBreakBefore w:val="0"/>
              <w:widowControl/>
              <w:kinsoku/>
              <w:wordWrap/>
              <w:overflowPunct/>
              <w:topLinePunct w:val="0"/>
              <w:autoSpaceDE/>
              <w:autoSpaceDN/>
              <w:bidi w:val="0"/>
              <w:ind w:firstLine="480" w:firstLineChars="200"/>
              <w:rPr>
                <w:rFonts w:hint="eastAsia"/>
                <w:color w:val="000000"/>
                <w:kern w:val="0"/>
              </w:rPr>
            </w:pPr>
            <w:r>
              <w:rPr>
                <w:rFonts w:hint="eastAsia"/>
                <w:color w:val="000000"/>
                <w:kern w:val="0"/>
                <w:lang w:val="en-US" w:eastAsia="zh-CN"/>
              </w:rPr>
              <w:t>共进新型建材有限公司1#厂房主要生产保温板，2#厂房不进行生产，目前该公司</w:t>
            </w:r>
            <w:r>
              <w:rPr>
                <w:rFonts w:hint="eastAsia"/>
                <w:lang w:val="en-US" w:eastAsia="zh-CN"/>
              </w:rPr>
              <w:t>正在</w:t>
            </w:r>
            <w:r>
              <w:rPr>
                <w:rFonts w:hint="eastAsia"/>
                <w:color w:val="000000"/>
                <w:kern w:val="0"/>
                <w:lang w:val="en-US" w:eastAsia="zh-CN"/>
              </w:rPr>
              <w:t>委托第三方进行验收</w:t>
            </w:r>
            <w:r>
              <w:rPr>
                <w:rFonts w:hint="eastAsia"/>
                <w:color w:val="000000"/>
                <w:kern w:val="0"/>
              </w:rPr>
              <w:t>。</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lang w:val="en-US" w:eastAsia="zh-CN"/>
              </w:rPr>
            </w:pPr>
            <w:r>
              <w:rPr>
                <w:rFonts w:hint="eastAsia" w:ascii="Times New Roman" w:hAnsi="Times New Roman" w:eastAsia="宋体" w:cs="Times New Roman"/>
                <w:color w:val="000000"/>
                <w:kern w:val="0"/>
                <w:sz w:val="24"/>
                <w:lang w:val="en-US" w:eastAsia="zh-CN"/>
              </w:rPr>
              <w:t>本项目已建成，根据</w:t>
            </w:r>
            <w:r>
              <w:rPr>
                <w:rFonts w:hint="eastAsia" w:cs="Times New Roman"/>
                <w:color w:val="000000"/>
                <w:kern w:val="0"/>
                <w:sz w:val="24"/>
                <w:lang w:val="en-US" w:eastAsia="zh-CN"/>
              </w:rPr>
              <w:t>现场勘查</w:t>
            </w:r>
            <w:r>
              <w:rPr>
                <w:rFonts w:hint="eastAsia" w:ascii="Times New Roman" w:hAnsi="Times New Roman" w:eastAsia="宋体" w:cs="Times New Roman"/>
                <w:color w:val="000000"/>
                <w:kern w:val="0"/>
                <w:sz w:val="24"/>
                <w:lang w:val="en-US" w:eastAsia="zh-CN"/>
              </w:rPr>
              <w:t>发现存在以下问题：</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①本项目现场未安装VOCs治理设备。</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②本项目</w:t>
            </w:r>
            <w:r>
              <w:rPr>
                <w:rFonts w:hint="eastAsia" w:cs="Times New Roman"/>
                <w:color w:val="000000"/>
                <w:kern w:val="0"/>
                <w:sz w:val="24"/>
                <w:highlight w:val="none"/>
                <w:lang w:val="en-US" w:eastAsia="zh-CN"/>
              </w:rPr>
              <w:t>未建设危险废物贮存库</w:t>
            </w:r>
            <w:r>
              <w:rPr>
                <w:rFonts w:hint="eastAsia" w:ascii="Times New Roman" w:hAnsi="Times New Roman" w:eastAsia="宋体" w:cs="Times New Roman"/>
                <w:color w:val="000000"/>
                <w:kern w:val="0"/>
                <w:sz w:val="24"/>
                <w:highlight w:val="none"/>
                <w:lang w:val="en-US" w:eastAsia="zh-CN"/>
              </w:rPr>
              <w:t>。</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根据</w:t>
            </w:r>
            <w:r>
              <w:rPr>
                <w:rFonts w:hint="eastAsia" w:cs="Times New Roman"/>
                <w:color w:val="000000"/>
                <w:kern w:val="0"/>
                <w:sz w:val="24"/>
                <w:highlight w:val="none"/>
                <w:lang w:val="en-US" w:eastAsia="zh-CN"/>
              </w:rPr>
              <w:t>现场勘查</w:t>
            </w:r>
            <w:r>
              <w:rPr>
                <w:rFonts w:hint="eastAsia" w:ascii="Times New Roman" w:hAnsi="Times New Roman" w:eastAsia="宋体" w:cs="Times New Roman"/>
                <w:color w:val="000000"/>
                <w:kern w:val="0"/>
                <w:sz w:val="24"/>
                <w:highlight w:val="none"/>
                <w:lang w:val="en-US" w:eastAsia="zh-CN"/>
              </w:rPr>
              <w:t>发现的问题提出的相关整改措施：</w:t>
            </w:r>
          </w:p>
          <w:p>
            <w:pPr>
              <w:keepNext/>
              <w:keepLines w:val="0"/>
              <w:pageBreakBefore w:val="0"/>
              <w:widowControl/>
              <w:kinsoku/>
              <w:wordWrap/>
              <w:overflowPunct/>
              <w:topLinePunct w:val="0"/>
              <w:autoSpaceDE/>
              <w:autoSpaceDN/>
              <w:bidi w:val="0"/>
              <w:spacing w:line="360" w:lineRule="auto"/>
              <w:ind w:firstLine="480" w:firstLineChars="200"/>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①建议</w:t>
            </w:r>
            <w:r>
              <w:rPr>
                <w:rFonts w:hint="eastAsia" w:cs="Times New Roman"/>
                <w:color w:val="000000"/>
                <w:kern w:val="0"/>
                <w:sz w:val="24"/>
                <w:highlight w:val="none"/>
                <w:lang w:val="en-US" w:eastAsia="zh-CN"/>
              </w:rPr>
              <w:t>项目生产</w:t>
            </w:r>
            <w:r>
              <w:rPr>
                <w:rFonts w:hint="eastAsia" w:ascii="Times New Roman" w:hAnsi="Times New Roman" w:eastAsia="宋体" w:cs="Times New Roman"/>
                <w:color w:val="000000"/>
                <w:kern w:val="0"/>
                <w:sz w:val="24"/>
                <w:highlight w:val="none"/>
                <w:lang w:val="en-US" w:eastAsia="zh-CN"/>
              </w:rPr>
              <w:t>废气</w:t>
            </w:r>
            <w:r>
              <w:rPr>
                <w:rFonts w:hint="eastAsia" w:cs="Times New Roman"/>
                <w:color w:val="000000"/>
                <w:kern w:val="0"/>
                <w:sz w:val="24"/>
                <w:highlight w:val="none"/>
                <w:lang w:val="en-US" w:eastAsia="zh-CN"/>
              </w:rPr>
              <w:t>分别</w:t>
            </w:r>
            <w:r>
              <w:rPr>
                <w:rFonts w:hint="eastAsia" w:ascii="Times New Roman" w:hAnsi="Times New Roman" w:eastAsia="宋体" w:cs="Times New Roman"/>
                <w:color w:val="000000"/>
                <w:kern w:val="0"/>
                <w:sz w:val="24"/>
                <w:highlight w:val="none"/>
                <w:lang w:val="en-US" w:eastAsia="zh-CN"/>
              </w:rPr>
              <w:t>进入</w:t>
            </w:r>
            <w:r>
              <w:rPr>
                <w:rFonts w:hint="eastAsia" w:cs="Times New Roman"/>
                <w:color w:val="000000"/>
                <w:kern w:val="0"/>
                <w:sz w:val="24"/>
                <w:highlight w:val="none"/>
                <w:lang w:val="en-US" w:eastAsia="zh-CN"/>
              </w:rPr>
              <w:t>两套</w:t>
            </w:r>
            <w:r>
              <w:rPr>
                <w:rFonts w:hint="eastAsia" w:ascii="Times New Roman" w:hAnsi="Times New Roman" w:eastAsia="宋体" w:cs="Times New Roman"/>
                <w:color w:val="000000"/>
                <w:kern w:val="0"/>
                <w:sz w:val="24"/>
                <w:highlight w:val="none"/>
                <w:lang w:val="en-US" w:eastAsia="zh-CN"/>
              </w:rPr>
              <w:t>二级活性炭装置</w:t>
            </w:r>
            <w:r>
              <w:rPr>
                <w:rFonts w:hint="eastAsia" w:cs="Times New Roman"/>
                <w:color w:val="000000"/>
                <w:kern w:val="0"/>
                <w:sz w:val="24"/>
                <w:highlight w:val="none"/>
                <w:lang w:val="en-US" w:eastAsia="zh-CN"/>
              </w:rPr>
              <w:t>进行</w:t>
            </w:r>
            <w:r>
              <w:rPr>
                <w:rFonts w:hint="eastAsia" w:ascii="Times New Roman" w:hAnsi="Times New Roman" w:eastAsia="宋体" w:cs="Times New Roman"/>
                <w:color w:val="000000"/>
                <w:kern w:val="0"/>
                <w:sz w:val="24"/>
                <w:highlight w:val="none"/>
                <w:lang w:val="en-US" w:eastAsia="zh-CN"/>
              </w:rPr>
              <w:t>处理，处理后的废气经15m排气筒排放。</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480" w:firstLineChars="200"/>
              <w:jc w:val="left"/>
              <w:textAlignment w:val="auto"/>
              <w:rPr>
                <w:rFonts w:hint="eastAsia" w:ascii="Times New Roman" w:hAnsi="Times New Roman" w:eastAsia="宋体" w:cs="Times New Roman"/>
                <w:color w:val="000000"/>
                <w:kern w:val="0"/>
                <w:sz w:val="24"/>
                <w:highlight w:val="none"/>
                <w:lang w:val="en-US" w:eastAsia="zh-CN"/>
              </w:rPr>
            </w:pPr>
            <w:r>
              <w:rPr>
                <w:rFonts w:hint="eastAsia" w:ascii="Times New Roman" w:hAnsi="Times New Roman" w:eastAsia="宋体" w:cs="Times New Roman"/>
                <w:color w:val="000000"/>
                <w:kern w:val="0"/>
                <w:sz w:val="24"/>
                <w:highlight w:val="none"/>
                <w:lang w:val="en-US" w:eastAsia="zh-CN"/>
              </w:rPr>
              <w:t>②建议在厂区内建设危险废物贮存库1间，按照</w:t>
            </w:r>
            <w:r>
              <w:rPr>
                <w:rFonts w:ascii="Times New Roman" w:hAnsi="Times New Roman" w:eastAsia="宋体" w:cs="Times New Roman"/>
                <w:color w:val="000000"/>
                <w:sz w:val="24"/>
                <w:szCs w:val="21"/>
                <w:highlight w:val="none"/>
              </w:rPr>
              <w:t>《</w:t>
            </w:r>
            <w:r>
              <w:rPr>
                <w:color w:val="000000"/>
                <w:szCs w:val="21"/>
              </w:rPr>
              <w:t>危险废物贮存污染控制标准</w:t>
            </w:r>
            <w:r>
              <w:rPr>
                <w:rFonts w:ascii="Times New Roman" w:hAnsi="Times New Roman" w:eastAsia="宋体" w:cs="Times New Roman"/>
                <w:color w:val="000000"/>
                <w:sz w:val="24"/>
                <w:szCs w:val="21"/>
                <w:highlight w:val="none"/>
              </w:rPr>
              <w:t>》（GB18597-20</w:t>
            </w:r>
            <w:r>
              <w:rPr>
                <w:rFonts w:hint="eastAsia" w:ascii="Times New Roman" w:hAnsi="Times New Roman" w:eastAsia="宋体" w:cs="Times New Roman"/>
                <w:color w:val="000000"/>
                <w:sz w:val="24"/>
                <w:szCs w:val="21"/>
                <w:highlight w:val="none"/>
              </w:rPr>
              <w:t>23</w:t>
            </w:r>
            <w:r>
              <w:rPr>
                <w:rFonts w:ascii="Times New Roman" w:hAnsi="Times New Roman" w:eastAsia="宋体" w:cs="Times New Roman"/>
                <w:color w:val="000000"/>
                <w:sz w:val="24"/>
                <w:szCs w:val="21"/>
                <w:highlight w:val="none"/>
              </w:rPr>
              <w:t>）</w:t>
            </w:r>
            <w:r>
              <w:rPr>
                <w:rFonts w:hint="eastAsia" w:ascii="Times New Roman" w:hAnsi="Times New Roman" w:eastAsia="宋体" w:cs="Times New Roman"/>
                <w:color w:val="000000"/>
                <w:kern w:val="0"/>
                <w:sz w:val="24"/>
                <w:highlight w:val="none"/>
                <w:lang w:val="en-US" w:eastAsia="zh-CN"/>
              </w:rPr>
              <w:t>对厂区内产生的危险废物进行收集、贮存、处置。</w:t>
            </w: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ind w:firstLine="480" w:firstLineChars="200"/>
              <w:rPr>
                <w:rFonts w:hint="eastAsia"/>
                <w:color w:val="000000"/>
                <w:kern w:val="0"/>
                <w:lang w:val="en-US" w:eastAsia="zh-CN"/>
              </w:rPr>
            </w:pPr>
          </w:p>
          <w:p>
            <w:pPr>
              <w:keepNext/>
              <w:keepLines w:val="0"/>
              <w:pageBreakBefore w:val="0"/>
              <w:widowControl/>
              <w:kinsoku/>
              <w:wordWrap/>
              <w:overflowPunct/>
              <w:topLinePunct w:val="0"/>
              <w:autoSpaceDE/>
              <w:autoSpaceDN/>
              <w:bidi w:val="0"/>
              <w:rPr>
                <w:rFonts w:hint="default"/>
                <w:color w:val="000000"/>
                <w:kern w:val="0"/>
                <w:lang w:val="en-US" w:eastAsia="zh-CN"/>
              </w:rPr>
            </w:pPr>
          </w:p>
        </w:tc>
      </w:tr>
    </w:tbl>
    <w:p>
      <w:pPr>
        <w:pStyle w:val="21"/>
        <w:jc w:val="center"/>
        <w:rPr>
          <w:rFonts w:ascii="Times New Roman" w:hAnsi="Times New Roman" w:eastAsia="黑体"/>
          <w:snapToGrid w:val="0"/>
          <w:sz w:val="36"/>
          <w:szCs w:val="36"/>
        </w:rPr>
        <w:sectPr>
          <w:headerReference r:id="rId7" w:type="default"/>
          <w:footerReference r:id="rId8" w:type="default"/>
          <w:pgSz w:w="11906" w:h="16838"/>
          <w:pgMar w:top="1440" w:right="1803" w:bottom="1440" w:left="1803"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rPr>
      </w:pPr>
      <w:bookmarkStart w:id="4" w:name="_Toc30740"/>
      <w:r>
        <w:rPr>
          <w:color w:val="auto"/>
        </w:rPr>
        <w:t>三、区域环境质量现状、环境保护目标及评价标准</w:t>
      </w:r>
      <w:bookmarkEnd w:id="4"/>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460"/>
        <w:gridCol w:w="860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pStyle w:val="63"/>
              <w:bidi w:val="0"/>
            </w:pPr>
            <w:r>
              <w:t>区域</w:t>
            </w:r>
          </w:p>
          <w:p>
            <w:pPr>
              <w:pStyle w:val="63"/>
              <w:bidi w:val="0"/>
            </w:pPr>
            <w:r>
              <w:t>环境</w:t>
            </w:r>
          </w:p>
          <w:p>
            <w:pPr>
              <w:pStyle w:val="63"/>
              <w:bidi w:val="0"/>
            </w:pPr>
            <w:r>
              <w:t>质量</w:t>
            </w:r>
          </w:p>
          <w:p>
            <w:pPr>
              <w:pStyle w:val="63"/>
              <w:bidi w:val="0"/>
            </w:pPr>
            <w:r>
              <w:t>现状</w:t>
            </w:r>
          </w:p>
        </w:tc>
        <w:tc>
          <w:tcPr>
            <w:tcW w:w="8601" w:type="dxa"/>
            <w:tcBorders>
              <w:tl2br w:val="nil"/>
              <w:tr2bl w:val="nil"/>
            </w:tcBorders>
            <w:noWrap w:val="0"/>
            <w:vAlign w:val="center"/>
          </w:tcPr>
          <w:p>
            <w:pPr>
              <w:pStyle w:val="63"/>
              <w:bidi w:val="0"/>
              <w:ind w:left="0" w:leftChars="0" w:firstLine="0" w:firstLineChars="0"/>
              <w:rPr>
                <w:b/>
                <w:bCs/>
              </w:rPr>
            </w:pPr>
            <w:r>
              <w:rPr>
                <w:b/>
                <w:bCs/>
              </w:rPr>
              <w:t>1环境空气</w:t>
            </w:r>
          </w:p>
          <w:p>
            <w:pPr>
              <w:pStyle w:val="63"/>
              <w:bidi w:val="0"/>
              <w:rPr>
                <w:rFonts w:hint="eastAsia"/>
                <w:b/>
                <w:bCs/>
              </w:rPr>
            </w:pPr>
            <w:r>
              <w:rPr>
                <w:rFonts w:hint="eastAsia"/>
                <w:b/>
                <w:bCs/>
              </w:rPr>
              <w:t>1.1达标区判定</w:t>
            </w:r>
          </w:p>
          <w:p>
            <w:pPr>
              <w:pStyle w:val="63"/>
              <w:bidi w:val="0"/>
              <w:rPr>
                <w:rFonts w:hint="default"/>
                <w:lang w:val="en-US" w:eastAsia="zh-CN"/>
              </w:rPr>
            </w:pPr>
            <w:r>
              <w:rPr>
                <w:rFonts w:hint="default"/>
                <w:lang w:val="en-US" w:eastAsia="zh-CN"/>
              </w:rPr>
              <w:t>本次环境空气质量现状采用2023年巴音郭楞蒙古自治州焉耆回族自治县环境空气质量监测站中公布的</w:t>
            </w:r>
            <w:r>
              <w:rPr>
                <w:rFonts w:hint="default"/>
                <w:color w:val="000000"/>
                <w:kern w:val="0"/>
                <w:lang w:eastAsia="zh-CN"/>
              </w:rPr>
              <w:t>焉耆回族自治县</w:t>
            </w:r>
            <w:r>
              <w:rPr>
                <w:rFonts w:hint="default"/>
                <w:lang w:val="en-US" w:eastAsia="zh-CN"/>
              </w:rPr>
              <w:t>2023年SO</w:t>
            </w:r>
            <w:r>
              <w:rPr>
                <w:rFonts w:hint="default"/>
                <w:vertAlign w:val="subscript"/>
                <w:lang w:val="en-US" w:eastAsia="zh-CN"/>
              </w:rPr>
              <w:t>2</w:t>
            </w:r>
            <w:r>
              <w:rPr>
                <w:rFonts w:hint="default"/>
                <w:lang w:val="en-US" w:eastAsia="zh-CN"/>
              </w:rPr>
              <w:t>、NO</w:t>
            </w:r>
            <w:r>
              <w:rPr>
                <w:rFonts w:hint="default"/>
                <w:vertAlign w:val="subscript"/>
                <w:lang w:val="en-US" w:eastAsia="zh-CN"/>
              </w:rPr>
              <w:t>2</w:t>
            </w:r>
            <w:r>
              <w:rPr>
                <w:rFonts w:hint="default"/>
                <w:lang w:val="en-US" w:eastAsia="zh-CN"/>
              </w:rPr>
              <w:t>、CO、O</w:t>
            </w:r>
            <w:r>
              <w:rPr>
                <w:rFonts w:hint="default"/>
                <w:vertAlign w:val="subscript"/>
                <w:lang w:val="en-US" w:eastAsia="zh-CN"/>
              </w:rPr>
              <w:t>3</w:t>
            </w:r>
            <w:r>
              <w:rPr>
                <w:rFonts w:hint="default"/>
                <w:lang w:val="en-US" w:eastAsia="zh-CN"/>
              </w:rPr>
              <w:t>、PM</w:t>
            </w:r>
            <w:r>
              <w:rPr>
                <w:rFonts w:hint="default"/>
                <w:vertAlign w:val="subscript"/>
                <w:lang w:val="en-US" w:eastAsia="zh-CN"/>
              </w:rPr>
              <w:t>10</w:t>
            </w:r>
            <w:r>
              <w:rPr>
                <w:rFonts w:hint="default"/>
                <w:lang w:val="en-US" w:eastAsia="zh-CN"/>
              </w:rPr>
              <w:t>、PM</w:t>
            </w:r>
            <w:r>
              <w:rPr>
                <w:rFonts w:hint="default"/>
                <w:vertAlign w:val="subscript"/>
                <w:lang w:val="en-US" w:eastAsia="zh-CN"/>
              </w:rPr>
              <w:t>2.5</w:t>
            </w:r>
            <w:r>
              <w:rPr>
                <w:rFonts w:hint="default"/>
                <w:lang w:val="en-US" w:eastAsia="zh-CN"/>
              </w:rPr>
              <w:t>等六项基本污染物环境空气质量现状数据。</w:t>
            </w:r>
          </w:p>
          <w:p>
            <w:pPr>
              <w:pStyle w:val="63"/>
              <w:bidi w:val="0"/>
              <w:spacing w:line="240" w:lineRule="auto"/>
              <w:rPr>
                <w:rFonts w:hint="default"/>
                <w:b/>
                <w:bCs/>
                <w:sz w:val="21"/>
                <w:szCs w:val="21"/>
                <w:highlight w:val="none"/>
                <w:lang w:val="en-US" w:eastAsia="zh-CN"/>
              </w:rPr>
            </w:pPr>
            <w:r>
              <w:rPr>
                <w:rFonts w:hint="default"/>
                <w:b/>
                <w:bCs/>
                <w:sz w:val="21"/>
                <w:szCs w:val="21"/>
                <w:highlight w:val="none"/>
                <w:lang w:val="en-US" w:eastAsia="zh-CN"/>
              </w:rPr>
              <w:t>表</w:t>
            </w:r>
            <w:r>
              <w:rPr>
                <w:rFonts w:hint="eastAsia"/>
                <w:b/>
                <w:bCs/>
                <w:sz w:val="21"/>
                <w:szCs w:val="21"/>
                <w:highlight w:val="none"/>
                <w:lang w:val="en-US" w:eastAsia="zh-CN"/>
              </w:rPr>
              <w:t>3-1</w:t>
            </w:r>
            <w:r>
              <w:rPr>
                <w:rFonts w:hint="default"/>
                <w:b/>
                <w:bCs/>
                <w:sz w:val="21"/>
                <w:szCs w:val="21"/>
                <w:highlight w:val="none"/>
                <w:lang w:val="en-US" w:eastAsia="zh-CN"/>
              </w:rPr>
              <w:t xml:space="preserve">  </w:t>
            </w:r>
            <w:r>
              <w:rPr>
                <w:rFonts w:hint="eastAsia"/>
                <w:b/>
                <w:bCs/>
                <w:sz w:val="21"/>
                <w:szCs w:val="21"/>
                <w:highlight w:val="none"/>
                <w:lang w:val="en-US" w:eastAsia="zh-CN"/>
              </w:rPr>
              <w:t xml:space="preserve">       </w:t>
            </w:r>
            <w:r>
              <w:rPr>
                <w:rFonts w:hint="default"/>
                <w:b/>
                <w:bCs/>
                <w:sz w:val="21"/>
                <w:szCs w:val="21"/>
                <w:highlight w:val="none"/>
                <w:lang w:val="en-US" w:eastAsia="zh-CN"/>
              </w:rPr>
              <w:t xml:space="preserve">  焉耆回族自治县</w:t>
            </w:r>
            <w:r>
              <w:rPr>
                <w:rFonts w:hint="eastAsia"/>
                <w:b/>
                <w:bCs/>
                <w:sz w:val="21"/>
                <w:szCs w:val="21"/>
                <w:highlight w:val="none"/>
                <w:lang w:val="en-US" w:eastAsia="zh-CN"/>
              </w:rPr>
              <w:t>2023</w:t>
            </w:r>
            <w:r>
              <w:rPr>
                <w:rFonts w:hint="default"/>
                <w:b/>
                <w:bCs/>
                <w:sz w:val="21"/>
                <w:szCs w:val="21"/>
                <w:highlight w:val="none"/>
                <w:lang w:val="en-US" w:eastAsia="zh-CN"/>
              </w:rPr>
              <w:t>年环境空气质量数据</w:t>
            </w:r>
          </w:p>
          <w:tbl>
            <w:tblPr>
              <w:tblStyle w:val="27"/>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1529"/>
              <w:gridCol w:w="1388"/>
              <w:gridCol w:w="1388"/>
              <w:gridCol w:w="1345"/>
              <w:gridCol w:w="1347"/>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污染物</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评价项目</w:t>
                  </w:r>
                </w:p>
              </w:tc>
              <w:tc>
                <w:tcPr>
                  <w:tcW w:w="828"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浓度（μ</w:t>
                  </w:r>
                  <w:r>
                    <w:rPr>
                      <w:rFonts w:hint="default" w:ascii="Times New Roman" w:hAnsi="Times New Roman" w:eastAsia="宋体" w:cs="Times New Roman"/>
                      <w:b w:val="0"/>
                      <w:bCs w:val="0"/>
                      <w:color w:val="000000"/>
                      <w:sz w:val="21"/>
                      <w:szCs w:val="21"/>
                      <w:highlight w:val="none"/>
                      <w:lang w:val="en-US" w:eastAsia="zh-CN"/>
                    </w:rPr>
                    <w:t>g</w:t>
                  </w:r>
                  <w:r>
                    <w:rPr>
                      <w:rFonts w:hint="default" w:ascii="Times New Roman" w:hAnsi="Times New Roman" w:eastAsia="宋体" w:cs="Times New Roman"/>
                      <w:b w:val="0"/>
                      <w:bCs w:val="0"/>
                      <w:color w:val="000000"/>
                      <w:sz w:val="21"/>
                      <w:szCs w:val="21"/>
                      <w:highlight w:val="none"/>
                    </w:rPr>
                    <w:t>/m</w:t>
                  </w:r>
                  <w:r>
                    <w:rPr>
                      <w:rFonts w:hint="default" w:ascii="Times New Roman" w:hAnsi="Times New Roman" w:eastAsia="宋体" w:cs="Times New Roman"/>
                      <w:b w:val="0"/>
                      <w:bCs w:val="0"/>
                      <w:color w:val="000000"/>
                      <w:sz w:val="21"/>
                      <w:szCs w:val="21"/>
                      <w:highlight w:val="none"/>
                      <w:vertAlign w:val="superscript"/>
                    </w:rPr>
                    <w:t>3</w:t>
                  </w:r>
                  <w:r>
                    <w:rPr>
                      <w:rFonts w:hint="default" w:ascii="Times New Roman" w:hAnsi="Times New Roman" w:eastAsia="宋体" w:cs="Times New Roman"/>
                      <w:b w:val="0"/>
                      <w:bCs w:val="0"/>
                      <w:color w:val="000000"/>
                      <w:sz w:val="21"/>
                      <w:szCs w:val="21"/>
                      <w:highlight w:val="none"/>
                    </w:rPr>
                    <w:t>）</w:t>
                  </w:r>
                </w:p>
              </w:tc>
              <w:tc>
                <w:tcPr>
                  <w:tcW w:w="828"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标准（二级）（μ</w:t>
                  </w:r>
                  <w:r>
                    <w:rPr>
                      <w:rFonts w:hint="default" w:ascii="Times New Roman" w:hAnsi="Times New Roman" w:eastAsia="宋体" w:cs="Times New Roman"/>
                      <w:b w:val="0"/>
                      <w:bCs w:val="0"/>
                      <w:color w:val="000000"/>
                      <w:sz w:val="21"/>
                      <w:szCs w:val="21"/>
                      <w:highlight w:val="none"/>
                      <w:lang w:val="en-US" w:eastAsia="zh-CN"/>
                    </w:rPr>
                    <w:t>g</w:t>
                  </w:r>
                  <w:r>
                    <w:rPr>
                      <w:rFonts w:hint="default" w:ascii="Times New Roman" w:hAnsi="Times New Roman" w:eastAsia="宋体" w:cs="Times New Roman"/>
                      <w:b w:val="0"/>
                      <w:bCs w:val="0"/>
                      <w:color w:val="000000"/>
                      <w:sz w:val="21"/>
                      <w:szCs w:val="21"/>
                      <w:highlight w:val="none"/>
                    </w:rPr>
                    <w:t>/m</w:t>
                  </w:r>
                  <w:r>
                    <w:rPr>
                      <w:rFonts w:hint="default" w:ascii="Times New Roman" w:hAnsi="Times New Roman" w:eastAsia="宋体" w:cs="Times New Roman"/>
                      <w:b w:val="0"/>
                      <w:bCs w:val="0"/>
                      <w:color w:val="000000"/>
                      <w:sz w:val="21"/>
                      <w:szCs w:val="21"/>
                      <w:highlight w:val="none"/>
                      <w:vertAlign w:val="superscript"/>
                    </w:rPr>
                    <w:t>3</w:t>
                  </w:r>
                  <w:r>
                    <w:rPr>
                      <w:rFonts w:hint="default" w:ascii="Times New Roman" w:hAnsi="Times New Roman" w:eastAsia="宋体" w:cs="Times New Roman"/>
                      <w:b w:val="0"/>
                      <w:bCs w:val="0"/>
                      <w:color w:val="000000"/>
                      <w:sz w:val="21"/>
                      <w:szCs w:val="21"/>
                      <w:highlight w:val="none"/>
                    </w:rPr>
                    <w:t>）</w:t>
                  </w:r>
                </w:p>
              </w:tc>
              <w:tc>
                <w:tcPr>
                  <w:tcW w:w="80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eastAsia="zh-CN"/>
                    </w:rPr>
                    <w:t>占标率</w:t>
                  </w:r>
                  <w:r>
                    <w:rPr>
                      <w:rFonts w:hint="default" w:ascii="Times New Roman" w:hAnsi="Times New Roman" w:eastAsia="宋体" w:cs="Times New Roman"/>
                      <w:b w:val="0"/>
                      <w:bCs w:val="0"/>
                      <w:color w:val="000000"/>
                      <w:sz w:val="21"/>
                      <w:szCs w:val="21"/>
                      <w:highlight w:val="none"/>
                      <w:lang w:val="en-US" w:eastAsia="zh-CN"/>
                    </w:rPr>
                    <w:t>%</w:t>
                  </w:r>
                </w:p>
              </w:tc>
              <w:tc>
                <w:tcPr>
                  <w:tcW w:w="803"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eastAsia="宋体" w:cs="Times New Roman"/>
                      <w:b w:val="0"/>
                      <w:bCs w:val="0"/>
                      <w:color w:val="000000"/>
                      <w:sz w:val="21"/>
                      <w:szCs w:val="21"/>
                      <w:highlight w:val="none"/>
                      <w:lang w:eastAsia="zh-CN"/>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SO</w:t>
                  </w:r>
                  <w:r>
                    <w:rPr>
                      <w:rFonts w:hint="default" w:ascii="Times New Roman" w:hAnsi="Times New Roman" w:eastAsia="宋体" w:cs="Times New Roman"/>
                      <w:b w:val="0"/>
                      <w:bCs w:val="0"/>
                      <w:color w:val="000000"/>
                      <w:sz w:val="21"/>
                      <w:szCs w:val="21"/>
                      <w:highlight w:val="none"/>
                      <w:vertAlign w:val="subscript"/>
                    </w:rPr>
                    <w:t>2</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年平均</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6</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60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10</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eastAsia="zh-CN"/>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24h平均第98百分位数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11</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150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7.3</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restar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NO</w:t>
                  </w:r>
                  <w:r>
                    <w:rPr>
                      <w:rFonts w:hint="default" w:ascii="Times New Roman" w:hAnsi="Times New Roman" w:eastAsia="宋体" w:cs="Times New Roman"/>
                      <w:b w:val="0"/>
                      <w:bCs w:val="0"/>
                      <w:color w:val="000000"/>
                      <w:sz w:val="21"/>
                      <w:szCs w:val="21"/>
                      <w:highlight w:val="none"/>
                      <w:vertAlign w:val="subscript"/>
                    </w:rPr>
                    <w:t>2</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年平均</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26</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40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65</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24h平均第98百分位数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64</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80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80</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CO（mg/m</w:t>
                  </w:r>
                  <w:r>
                    <w:rPr>
                      <w:rFonts w:hint="default" w:ascii="Times New Roman" w:hAnsi="Times New Roman" w:eastAsia="宋体" w:cs="Times New Roman"/>
                      <w:b w:val="0"/>
                      <w:bCs w:val="0"/>
                      <w:color w:val="000000"/>
                      <w:sz w:val="21"/>
                      <w:szCs w:val="21"/>
                      <w:highlight w:val="none"/>
                      <w:vertAlign w:val="superscript"/>
                    </w:rPr>
                    <w:t>3</w:t>
                  </w:r>
                  <w:r>
                    <w:rPr>
                      <w:rFonts w:hint="default" w:ascii="Times New Roman" w:hAnsi="Times New Roman" w:eastAsia="宋体" w:cs="Times New Roman"/>
                      <w:b w:val="0"/>
                      <w:bCs w:val="0"/>
                      <w:color w:val="000000"/>
                      <w:sz w:val="21"/>
                      <w:szCs w:val="21"/>
                      <w:highlight w:val="none"/>
                    </w:rPr>
                    <w:t>）</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24h平均第95百分位数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1.1</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4</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27.5</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O</w:t>
                  </w:r>
                  <w:r>
                    <w:rPr>
                      <w:rFonts w:hint="default" w:ascii="Times New Roman" w:hAnsi="Times New Roman" w:eastAsia="宋体" w:cs="Times New Roman"/>
                      <w:b w:val="0"/>
                      <w:bCs w:val="0"/>
                      <w:color w:val="000000"/>
                      <w:sz w:val="21"/>
                      <w:szCs w:val="21"/>
                      <w:highlight w:val="none"/>
                      <w:vertAlign w:val="subscript"/>
                    </w:rPr>
                    <w:t>3</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最大8小时滑动平均值的第90百分位数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128</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160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80</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825" w:type="pct"/>
                  <w:vMerge w:val="restar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PM</w:t>
                  </w:r>
                  <w:r>
                    <w:rPr>
                      <w:rFonts w:hint="default" w:ascii="Times New Roman" w:hAnsi="Times New Roman" w:eastAsia="宋体" w:cs="Times New Roman"/>
                      <w:b w:val="0"/>
                      <w:bCs w:val="0"/>
                      <w:color w:val="000000"/>
                      <w:sz w:val="21"/>
                      <w:szCs w:val="21"/>
                      <w:highlight w:val="none"/>
                      <w:vertAlign w:val="subscript"/>
                    </w:rPr>
                    <w:t>10</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年平均</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84</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70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120</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24h平均第95百分位数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359</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150</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239</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不达标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5" w:type="pct"/>
                  <w:vMerge w:val="restar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color w:val="000000"/>
                      <w:sz w:val="21"/>
                      <w:szCs w:val="21"/>
                      <w:highlight w:val="none"/>
                    </w:rPr>
                    <w:t>PM</w:t>
                  </w:r>
                  <w:r>
                    <w:rPr>
                      <w:rFonts w:hint="default" w:ascii="Times New Roman" w:hAnsi="Times New Roman" w:eastAsia="宋体" w:cs="Times New Roman"/>
                      <w:b w:val="0"/>
                      <w:bCs w:val="0"/>
                      <w:color w:val="000000"/>
                      <w:sz w:val="21"/>
                      <w:szCs w:val="21"/>
                      <w:highlight w:val="none"/>
                      <w:vertAlign w:val="subscript"/>
                    </w:rPr>
                    <w:t>2.5</w:t>
                  </w: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年平均</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34</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35</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97.1</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jc w:val="center"/>
              </w:trPr>
              <w:tc>
                <w:tcPr>
                  <w:tcW w:w="825" w:type="pct"/>
                  <w:vMerge w:val="continue"/>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000000"/>
                      <w:sz w:val="21"/>
                      <w:szCs w:val="21"/>
                      <w:highlight w:val="none"/>
                    </w:rPr>
                  </w:pPr>
                </w:p>
              </w:tc>
              <w:tc>
                <w:tcPr>
                  <w:tcW w:w="912" w:type="pct"/>
                  <w:tcBorders>
                    <w:tl2br w:val="nil"/>
                    <w:tr2bl w:val="nil"/>
                  </w:tcBorders>
                  <w:noWrap w:val="0"/>
                  <w:vAlign w:val="center"/>
                </w:tcPr>
                <w:p>
                  <w:pPr>
                    <w:pStyle w:val="5"/>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right="0"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color w:val="000000"/>
                      <w:sz w:val="21"/>
                      <w:szCs w:val="21"/>
                      <w:highlight w:val="none"/>
                      <w:lang w:val="en-US" w:eastAsia="zh-CN"/>
                    </w:rPr>
                    <w:t>24h平均第95百分位数</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95</w:t>
                  </w:r>
                </w:p>
              </w:tc>
              <w:tc>
                <w:tcPr>
                  <w:tcW w:w="1388"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rPr>
                    <w:t>75</w:t>
                  </w:r>
                </w:p>
              </w:tc>
              <w:tc>
                <w:tcPr>
                  <w:tcW w:w="1345"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lang w:val="en-US" w:eastAsia="zh-CN"/>
                    </w:rPr>
                  </w:pPr>
                  <w:r>
                    <w:rPr>
                      <w:rFonts w:hint="default" w:ascii="Times New Roman" w:hAnsi="Times New Roman" w:eastAsia="宋体" w:cs="Times New Roman"/>
                      <w:b w:val="0"/>
                      <w:bCs w:val="0"/>
                      <w:lang w:val="en-US" w:eastAsia="zh-CN"/>
                    </w:rPr>
                    <w:t>126.7</w:t>
                  </w:r>
                </w:p>
              </w:tc>
              <w:tc>
                <w:tcPr>
                  <w:tcW w:w="1347" w:type="dxa"/>
                  <w:tcBorders>
                    <w:tl2br w:val="nil"/>
                    <w:tr2bl w:val="nil"/>
                  </w:tcBorders>
                  <w:noWrap w:val="0"/>
                  <w:vAlign w:val="center"/>
                </w:tcPr>
                <w:p>
                  <w:pPr>
                    <w:pStyle w:val="5"/>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imes New Roman" w:hAnsi="Times New Roman" w:eastAsia="宋体" w:cs="Times New Roman"/>
                      <w:b w:val="0"/>
                      <w:bCs w:val="0"/>
                      <w:color w:val="000000"/>
                      <w:sz w:val="21"/>
                      <w:szCs w:val="21"/>
                      <w:highlight w:val="none"/>
                    </w:rPr>
                  </w:pPr>
                  <w:r>
                    <w:rPr>
                      <w:rFonts w:hint="default" w:ascii="Times New Roman" w:hAnsi="Times New Roman" w:eastAsia="宋体" w:cs="Times New Roman"/>
                      <w:b w:val="0"/>
                      <w:bCs w:val="0"/>
                      <w:lang w:eastAsia="zh-CN"/>
                    </w:rPr>
                    <w:t>不达标</w:t>
                  </w:r>
                </w:p>
              </w:tc>
            </w:tr>
          </w:tbl>
          <w:p>
            <w:pPr>
              <w:pStyle w:val="63"/>
              <w:keepNext w:val="0"/>
              <w:keepLines w:val="0"/>
              <w:pageBreakBefore w:val="0"/>
              <w:widowControl w:val="0"/>
              <w:kinsoku/>
              <w:wordWrap/>
              <w:overflowPunct/>
              <w:topLinePunct w:val="0"/>
              <w:autoSpaceDE w:val="0"/>
              <w:autoSpaceDN w:val="0"/>
              <w:bidi w:val="0"/>
              <w:adjustRightInd w:val="0"/>
              <w:snapToGrid/>
              <w:spacing w:line="360" w:lineRule="auto"/>
              <w:textAlignment w:val="auto"/>
            </w:pPr>
            <w:r>
              <w:rPr>
                <w:rFonts w:hint="default"/>
                <w:lang w:val="en-US" w:eastAsia="zh-CN"/>
              </w:rPr>
              <w:t>2023年，焉耆回族自治县空气质量监测总天数为365天，原因受沙尘天气影响，</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spacing w:val="0"/>
                <w:kern w:val="0"/>
                <w:position w:val="0"/>
                <w:sz w:val="24"/>
                <w:szCs w:val="24"/>
                <w:highlight w:val="none"/>
                <w:vertAlign w:val="subscript"/>
                <w:lang w:val="en-US" w:eastAsia="zh-CN" w:bidi="ar-SA"/>
                <w14:textFill>
                  <w14:solidFill>
                    <w14:schemeClr w14:val="tx1"/>
                  </w14:solidFill>
                </w14:textFill>
              </w:rPr>
              <w:t>10</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年平均</w:t>
            </w:r>
            <w:r>
              <w:rPr>
                <w:rFonts w:hint="eastAsia" w:cs="Times New Roman"/>
                <w:color w:val="000000" w:themeColor="text1"/>
                <w:spacing w:val="0"/>
                <w:kern w:val="0"/>
                <w:position w:val="0"/>
                <w:sz w:val="24"/>
                <w:szCs w:val="24"/>
                <w:lang w:val="en-US" w:eastAsia="zh-CN" w:bidi="ar-SA"/>
                <w14:textFill>
                  <w14:solidFill>
                    <w14:schemeClr w14:val="tx1"/>
                  </w14:solidFill>
                </w14:textFill>
              </w:rPr>
              <w:t>、</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24h平均第95百分位数浓度</w:t>
            </w:r>
            <w:r>
              <w:rPr>
                <w:rFonts w:hint="eastAsia" w:cs="Times New Roman"/>
                <w:color w:val="000000" w:themeColor="text1"/>
                <w:spacing w:val="0"/>
                <w:kern w:val="0"/>
                <w:position w:val="0"/>
                <w:sz w:val="24"/>
                <w:szCs w:val="24"/>
                <w:lang w:val="en-US" w:eastAsia="zh-CN" w:bidi="ar-SA"/>
                <w14:textFill>
                  <w14:solidFill>
                    <w14:schemeClr w14:val="tx1"/>
                  </w14:solidFill>
                </w14:textFill>
              </w:rPr>
              <w:t>及</w:t>
            </w:r>
            <w:r>
              <w:rPr>
                <w:rFonts w:hint="default" w:ascii="Times New Roman" w:hAnsi="Times New Roman" w:eastAsia="宋体" w:cs="Times New Roman"/>
                <w:color w:val="000000" w:themeColor="text1"/>
                <w:spacing w:val="0"/>
                <w:kern w:val="0"/>
                <w:position w:val="0"/>
                <w:sz w:val="24"/>
                <w:szCs w:val="24"/>
                <w:highlight w:val="none"/>
                <w:lang w:val="en-US" w:eastAsia="zh-CN" w:bidi="ar-SA"/>
                <w14:textFill>
                  <w14:solidFill>
                    <w14:schemeClr w14:val="tx1"/>
                  </w14:solidFill>
                </w14:textFill>
              </w:rPr>
              <w:t>PM</w:t>
            </w:r>
            <w:r>
              <w:rPr>
                <w:rFonts w:hint="default" w:ascii="Times New Roman" w:hAnsi="Times New Roman" w:eastAsia="宋体" w:cs="Times New Roman"/>
                <w:color w:val="000000" w:themeColor="text1"/>
                <w:spacing w:val="0"/>
                <w:kern w:val="0"/>
                <w:position w:val="0"/>
                <w:sz w:val="24"/>
                <w:szCs w:val="24"/>
                <w:highlight w:val="none"/>
                <w:vertAlign w:val="subscript"/>
                <w:lang w:val="en-US" w:eastAsia="zh-CN" w:bidi="ar-SA"/>
                <w14:textFill>
                  <w14:solidFill>
                    <w14:schemeClr w14:val="tx1"/>
                  </w14:solidFill>
                </w14:textFill>
              </w:rPr>
              <w:t>2.5</w:t>
            </w:r>
            <w:r>
              <w:rPr>
                <w:rFonts w:hint="eastAsia"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的</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24h平均第95百分位数浓度超过《环境空气质量标准》（GB3095-2012）</w:t>
            </w:r>
            <w:r>
              <w:rPr>
                <w:rFonts w:hint="eastAsia" w:cs="Times New Roman"/>
                <w:color w:val="000000" w:themeColor="text1"/>
                <w:spacing w:val="0"/>
                <w:kern w:val="0"/>
                <w:position w:val="0"/>
                <w:sz w:val="24"/>
                <w:szCs w:val="24"/>
                <w:lang w:val="en-US" w:eastAsia="zh-CN" w:bidi="ar-SA"/>
                <w14:textFill>
                  <w14:solidFill>
                    <w14:schemeClr w14:val="tx1"/>
                  </w14:solidFill>
                </w14:textFill>
              </w:rPr>
              <w:t>及修改单中</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二级标准</w:t>
            </w:r>
            <w:r>
              <w:rPr>
                <w:rFonts w:hint="default"/>
                <w:lang w:val="en-US" w:eastAsia="zh-CN"/>
              </w:rPr>
              <w:t>，</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SO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、NO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2</w:t>
            </w:r>
            <w:r>
              <w:rPr>
                <w:rFonts w:hint="default" w:ascii="Times New Roman" w:hAnsi="Times New Roman" w:eastAsia="宋体" w:cs="Times New Roman"/>
                <w:color w:val="000000" w:themeColor="text1"/>
                <w:spacing w:val="0"/>
                <w:kern w:val="0"/>
                <w:position w:val="0"/>
                <w:sz w:val="24"/>
                <w:szCs w:val="24"/>
                <w:lang w:val="en-US" w:eastAsia="zh-CN" w:bidi="ar-SA"/>
                <w14:textFill>
                  <w14:solidFill>
                    <w14:schemeClr w14:val="tx1"/>
                  </w14:solidFill>
                </w14:textFill>
              </w:rPr>
              <w:t>、CO、O</w:t>
            </w:r>
            <w:r>
              <w:rPr>
                <w:rFonts w:hint="default" w:ascii="Times New Roman" w:hAnsi="Times New Roman" w:eastAsia="宋体" w:cs="Times New Roman"/>
                <w:color w:val="000000" w:themeColor="text1"/>
                <w:spacing w:val="0"/>
                <w:kern w:val="0"/>
                <w:position w:val="0"/>
                <w:sz w:val="24"/>
                <w:szCs w:val="24"/>
                <w:vertAlign w:val="subscript"/>
                <w:lang w:val="en-US" w:eastAsia="zh-CN" w:bidi="ar-SA"/>
                <w14:textFill>
                  <w14:solidFill>
                    <w14:schemeClr w14:val="tx1"/>
                  </w14:solidFill>
                </w14:textFill>
              </w:rPr>
              <w:t>3</w:t>
            </w:r>
            <w:r>
              <w:rPr>
                <w:rFonts w:hint="default"/>
                <w:lang w:val="en-US" w:eastAsia="zh-CN"/>
              </w:rPr>
              <w:t>等其他监测指标均满足二级标准，因此判断本项目所在区域为不达标区</w:t>
            </w:r>
            <w:r>
              <w:t>。</w:t>
            </w:r>
          </w:p>
          <w:p>
            <w:pPr>
              <w:keepLines/>
              <w:adjustRightInd w:val="0"/>
              <w:snapToGrid w:val="0"/>
              <w:textAlignment w:val="baseline"/>
              <w:rPr>
                <w:b/>
                <w:color w:val="000000"/>
                <w:kern w:val="0"/>
                <w:highlight w:val="none"/>
              </w:rPr>
            </w:pPr>
            <w:r>
              <w:rPr>
                <w:rFonts w:hint="eastAsia"/>
                <w:b/>
                <w:color w:val="000000"/>
                <w:kern w:val="0"/>
                <w:highlight w:val="none"/>
              </w:rPr>
              <w:t>2、地表水环境质量</w:t>
            </w:r>
          </w:p>
          <w:p>
            <w:pPr>
              <w:adjustRightInd w:val="0"/>
              <w:snapToGrid w:val="0"/>
              <w:ind w:firstLine="480" w:firstLineChars="200"/>
              <w:rPr>
                <w:rFonts w:hint="default"/>
                <w:color w:val="000000"/>
                <w:kern w:val="0"/>
                <w:lang w:val="en-US" w:eastAsia="zh-CN"/>
              </w:rPr>
            </w:pPr>
            <w:bookmarkStart w:id="5" w:name="_Toc27865"/>
            <w:r>
              <w:rPr>
                <w:rFonts w:hint="default"/>
                <w:color w:val="000000"/>
                <w:kern w:val="0"/>
                <w:lang w:val="en-US" w:eastAsia="zh-CN"/>
              </w:rPr>
              <w:t>根据《202</w:t>
            </w:r>
            <w:r>
              <w:rPr>
                <w:rFonts w:hint="eastAsia"/>
                <w:color w:val="000000"/>
                <w:kern w:val="0"/>
                <w:lang w:val="en-US" w:eastAsia="zh-CN"/>
              </w:rPr>
              <w:t>3</w:t>
            </w:r>
            <w:r>
              <w:rPr>
                <w:rFonts w:hint="default"/>
                <w:color w:val="000000"/>
                <w:kern w:val="0"/>
                <w:lang w:val="en-US" w:eastAsia="zh-CN"/>
              </w:rPr>
              <w:t>年巴音郭楞蒙古自治州生态环境状况公报》可知：全州地表水监测的31个考核断面（点位）中，Ⅰ~Ⅲ类优良水质断面（点位）占77.42%，Ⅳ类水质断面（点位）占22.58%。6条主要河流19个监测断面中Ⅰ~Ⅲ类优良水质断面占100%，3个重要湖泊（水库）12个监测点位中Ⅰ~Ⅲ类优良水质点位占42%，无劣Ⅴ类水体，湖泊主要水质影响因子为高锰酸盐指数和化学需氧量；水库主要水质影响因子为氟化物</w:t>
            </w:r>
            <w:r>
              <w:rPr>
                <w:rFonts w:hint="eastAsia"/>
                <w:color w:val="000000"/>
                <w:kern w:val="0"/>
                <w:lang w:val="en-US" w:eastAsia="zh-CN"/>
              </w:rPr>
              <w:t>。</w:t>
            </w:r>
          </w:p>
          <w:p>
            <w:pPr>
              <w:adjustRightInd w:val="0"/>
              <w:snapToGrid w:val="0"/>
              <w:ind w:firstLine="480" w:firstLineChars="200"/>
              <w:rPr>
                <w:color w:val="000000"/>
                <w:kern w:val="0"/>
              </w:rPr>
            </w:pPr>
            <w:r>
              <w:rPr>
                <w:rFonts w:hint="default"/>
                <w:color w:val="000000"/>
                <w:kern w:val="0"/>
                <w:lang w:val="en-US" w:eastAsia="zh-CN"/>
              </w:rPr>
              <w:t>距离项目区最近的地表水体</w:t>
            </w:r>
            <w:r>
              <w:rPr>
                <w:rFonts w:hint="eastAsia"/>
                <w:sz w:val="24"/>
                <w:highlight w:val="none"/>
                <w:lang w:val="en-US" w:eastAsia="zh-CN"/>
              </w:rPr>
              <w:t>南干渠</w:t>
            </w:r>
            <w:r>
              <w:rPr>
                <w:rFonts w:hint="default"/>
                <w:color w:val="000000"/>
                <w:kern w:val="0"/>
                <w:highlight w:val="none"/>
                <w:lang w:val="en-US" w:eastAsia="zh-CN"/>
              </w:rPr>
              <w:t>，</w:t>
            </w:r>
            <w:r>
              <w:rPr>
                <w:rFonts w:hint="eastAsia"/>
                <w:color w:val="000000"/>
                <w:kern w:val="0"/>
                <w:highlight w:val="none"/>
                <w:lang w:val="en-US" w:eastAsia="zh-CN"/>
              </w:rPr>
              <w:t>为孔雀河的支流，</w:t>
            </w:r>
            <w:r>
              <w:rPr>
                <w:rFonts w:hint="eastAsia"/>
                <w:color w:val="000000"/>
                <w:kern w:val="0"/>
                <w:lang w:val="en-US" w:eastAsia="zh-CN"/>
              </w:rPr>
              <w:t>位于本项目</w:t>
            </w:r>
            <w:r>
              <w:rPr>
                <w:rFonts w:hint="eastAsia"/>
                <w:color w:val="000000"/>
                <w:kern w:val="0"/>
                <w:highlight w:val="none"/>
                <w:lang w:val="en-US" w:eastAsia="zh-CN"/>
              </w:rPr>
              <w:t>东侧4.46km</w:t>
            </w:r>
            <w:r>
              <w:rPr>
                <w:rFonts w:hint="eastAsia"/>
                <w:color w:val="000000"/>
                <w:kern w:val="0"/>
                <w:lang w:val="en-US" w:eastAsia="zh-CN"/>
              </w:rPr>
              <w:t>处，</w:t>
            </w:r>
            <w:r>
              <w:rPr>
                <w:rFonts w:hint="eastAsia"/>
                <w:color w:val="000000"/>
                <w:kern w:val="0"/>
                <w:highlight w:val="none"/>
                <w:lang w:val="en-US" w:eastAsia="zh-CN"/>
              </w:rPr>
              <w:t>孔雀河</w:t>
            </w:r>
            <w:r>
              <w:rPr>
                <w:rFonts w:hint="eastAsia"/>
                <w:color w:val="000000"/>
                <w:kern w:val="0"/>
              </w:rPr>
              <w:t>水质可满足《地表水环境质量标准》（GB3838-2002）中</w:t>
            </w:r>
            <w:r>
              <w:rPr>
                <w:rFonts w:hint="default" w:ascii="Times New Roman" w:hAnsi="Times New Roman" w:eastAsia="宋体" w:cs="Times New Roman"/>
                <w:sz w:val="24"/>
                <w:szCs w:val="24"/>
                <w:lang w:val="en-US" w:eastAsia="zh-CN"/>
              </w:rPr>
              <w:t>Ⅲ</w:t>
            </w:r>
            <w:r>
              <w:rPr>
                <w:rFonts w:hint="eastAsia"/>
                <w:color w:val="000000"/>
                <w:kern w:val="0"/>
                <w:highlight w:val="none"/>
              </w:rPr>
              <w:t>类</w:t>
            </w:r>
            <w:r>
              <w:rPr>
                <w:rFonts w:hint="eastAsia"/>
                <w:color w:val="000000"/>
                <w:kern w:val="0"/>
              </w:rPr>
              <w:t>水质标准。</w:t>
            </w:r>
          </w:p>
          <w:p>
            <w:pPr>
              <w:keepLines/>
              <w:adjustRightInd w:val="0"/>
              <w:snapToGrid w:val="0"/>
              <w:textAlignment w:val="baseline"/>
              <w:rPr>
                <w:b/>
                <w:color w:val="000000"/>
                <w:kern w:val="0"/>
              </w:rPr>
            </w:pPr>
            <w:r>
              <w:rPr>
                <w:rFonts w:hint="eastAsia"/>
                <w:b/>
                <w:color w:val="000000"/>
                <w:kern w:val="0"/>
              </w:rPr>
              <w:t>3、声环境质量现状</w:t>
            </w:r>
            <w:bookmarkEnd w:id="5"/>
          </w:p>
          <w:p>
            <w:pPr>
              <w:adjustRightInd w:val="0"/>
              <w:snapToGrid w:val="0"/>
              <w:ind w:firstLine="480" w:firstLineChars="200"/>
              <w:jc w:val="left"/>
              <w:rPr>
                <w:color w:val="000000"/>
              </w:rPr>
            </w:pPr>
            <w:r>
              <w:rPr>
                <w:rFonts w:hint="eastAsia"/>
                <w:color w:val="000000"/>
              </w:rPr>
              <w:t>本项目运行区域及周边环境50m范围内无声环境敏感保护目标，故不进行声环境质量现状监测</w:t>
            </w:r>
            <w:r>
              <w:rPr>
                <w:color w:val="000000"/>
              </w:rPr>
              <w:t>。</w:t>
            </w:r>
          </w:p>
          <w:p>
            <w:pPr>
              <w:rPr>
                <w:b/>
                <w:bCs/>
                <w:color w:val="000000"/>
              </w:rPr>
            </w:pPr>
            <w:r>
              <w:rPr>
                <w:rFonts w:hint="eastAsia"/>
                <w:b/>
                <w:bCs/>
                <w:color w:val="000000"/>
              </w:rPr>
              <w:t>4</w:t>
            </w:r>
            <w:r>
              <w:rPr>
                <w:b/>
                <w:bCs/>
                <w:color w:val="000000"/>
              </w:rPr>
              <w:t>生态环境</w:t>
            </w:r>
          </w:p>
          <w:p>
            <w:pPr>
              <w:ind w:firstLine="480" w:firstLineChars="200"/>
              <w:rPr>
                <w:color w:val="000000"/>
              </w:rPr>
            </w:pPr>
            <w:r>
              <w:rPr>
                <w:color w:val="000000"/>
              </w:rPr>
              <w:t>根据《建设项目环境影响报告表编制技术指南（污染影响类）（试行）》要求，</w:t>
            </w:r>
            <w:r>
              <w:rPr>
                <w:rFonts w:hint="eastAsia"/>
                <w:color w:val="000000"/>
                <w:lang w:val="en-US" w:eastAsia="zh-CN"/>
              </w:rPr>
              <w:t>园区内项目可不开展生态现状调查</w:t>
            </w:r>
            <w:r>
              <w:rPr>
                <w:rFonts w:hint="eastAsia"/>
                <w:color w:val="000000"/>
              </w:rPr>
              <w:t>，</w:t>
            </w:r>
            <w:r>
              <w:rPr>
                <w:rFonts w:hint="eastAsia"/>
                <w:color w:val="000000"/>
                <w:lang w:val="en-US" w:eastAsia="zh-CN"/>
              </w:rPr>
              <w:t>本项目位于新疆维吾尔自治区巴音郭楞蒙古自治州焉耆回族自治县河北巴州生态产业园内，</w:t>
            </w:r>
            <w:r>
              <w:rPr>
                <w:rFonts w:hint="eastAsia"/>
                <w:color w:val="000000"/>
              </w:rPr>
              <w:t>因此不开展生态环境现状调查</w:t>
            </w:r>
            <w:r>
              <w:rPr>
                <w:color w:val="000000"/>
              </w:rPr>
              <w:t>。</w:t>
            </w:r>
          </w:p>
          <w:p>
            <w:pPr>
              <w:rPr>
                <w:rFonts w:hint="eastAsia" w:ascii="Times New Roman" w:hAnsi="Times New Roman" w:eastAsia="宋体" w:cs="Times New Roman"/>
                <w:b/>
                <w:bCs/>
                <w:color w:val="000000"/>
                <w:lang w:val="en-US" w:eastAsia="zh-CN"/>
              </w:rPr>
            </w:pPr>
            <w:r>
              <w:rPr>
                <w:b/>
                <w:bCs/>
                <w:color w:val="000000"/>
              </w:rPr>
              <w:t>5</w:t>
            </w:r>
            <w:r>
              <w:rPr>
                <w:rFonts w:ascii="Times New Roman" w:hAnsi="Times New Roman" w:eastAsia="宋体" w:cs="Times New Roman"/>
                <w:b/>
                <w:bCs/>
                <w:color w:val="000000"/>
              </w:rPr>
              <w:t>地下水</w:t>
            </w:r>
            <w:r>
              <w:rPr>
                <w:rFonts w:hint="eastAsia" w:ascii="Times New Roman" w:hAnsi="Times New Roman" w:eastAsia="宋体" w:cs="Times New Roman"/>
                <w:b/>
                <w:bCs/>
                <w:color w:val="000000"/>
                <w:lang w:eastAsia="zh-CN"/>
              </w:rPr>
              <w:t>、</w:t>
            </w:r>
            <w:r>
              <w:rPr>
                <w:rFonts w:hint="eastAsia" w:ascii="Times New Roman" w:hAnsi="Times New Roman" w:eastAsia="宋体" w:cs="Times New Roman"/>
                <w:b/>
                <w:bCs/>
                <w:color w:val="000000"/>
                <w:lang w:val="en-US" w:eastAsia="zh-CN"/>
              </w:rPr>
              <w:t>土壤</w:t>
            </w:r>
            <w:r>
              <w:rPr>
                <w:rFonts w:ascii="Times New Roman" w:hAnsi="Times New Roman" w:eastAsia="宋体" w:cs="Times New Roman"/>
                <w:b/>
                <w:bCs/>
                <w:color w:val="000000"/>
              </w:rPr>
              <w:t>环境</w:t>
            </w:r>
            <w:r>
              <w:rPr>
                <w:rFonts w:hint="eastAsia" w:ascii="Times New Roman" w:hAnsi="Times New Roman" w:eastAsia="宋体" w:cs="Times New Roman"/>
                <w:b/>
                <w:bCs/>
                <w:color w:val="000000"/>
                <w:lang w:val="en-US" w:eastAsia="zh-CN"/>
              </w:rPr>
              <w:t>现状</w:t>
            </w:r>
          </w:p>
          <w:p>
            <w:pPr>
              <w:ind w:firstLine="480" w:firstLineChars="200"/>
              <w:rPr>
                <w:color w:val="000000"/>
              </w:rPr>
            </w:pPr>
            <w:r>
              <w:rPr>
                <w:rFonts w:hint="eastAsia" w:ascii="Times New Roman" w:hAnsi="Times New Roman" w:eastAsia="宋体" w:cs="Times New Roman"/>
                <w:color w:val="000000"/>
                <w:lang w:val="en-US" w:eastAsia="zh-CN"/>
              </w:rPr>
              <w:t>本项目不存在土壤、地下水污染途径，且评价范围内无地下水、土壤环境保护目标，根据《建设项目环境影响报告表编制技术指南（污染影响类）（试行）》，本项目不需要进行地下水、土壤环境现状调查。</w:t>
            </w:r>
          </w:p>
          <w:p>
            <w:pPr>
              <w:rPr>
                <w:rFonts w:hint="eastAsia" w:ascii="Times New Roman" w:hAnsi="Times New Roman" w:eastAsia="宋体" w:cs="Times New Roman"/>
                <w:b/>
                <w:bCs/>
                <w:color w:val="000000"/>
                <w:highlight w:val="none"/>
                <w:lang w:val="en-US" w:eastAsia="zh-CN"/>
              </w:rPr>
            </w:pPr>
            <w:r>
              <w:rPr>
                <w:b/>
                <w:bCs/>
                <w:color w:val="000000"/>
                <w:highlight w:val="none"/>
              </w:rPr>
              <w:t>6</w:t>
            </w:r>
            <w:r>
              <w:rPr>
                <w:rFonts w:hint="eastAsia" w:ascii="Times New Roman" w:hAnsi="Times New Roman" w:eastAsia="宋体" w:cs="Times New Roman"/>
                <w:b/>
                <w:bCs/>
                <w:color w:val="000000"/>
                <w:highlight w:val="none"/>
                <w:lang w:val="en-US" w:eastAsia="zh-CN"/>
              </w:rPr>
              <w:t>土地沙化现状</w:t>
            </w:r>
          </w:p>
          <w:p>
            <w:pPr>
              <w:pStyle w:val="63"/>
              <w:bidi w:val="0"/>
            </w:pPr>
            <w:r>
              <w:rPr>
                <w:rFonts w:hint="default"/>
                <w:color w:val="000000"/>
                <w:lang w:val="en-US" w:eastAsia="zh-CN"/>
              </w:rPr>
              <w:t>根据《新疆第六次沙化监测报告》本项目位于新疆维吾尔自治区巴音郭楞蒙古自治州焉耆回族自治县河北巴州生态产业园内</w:t>
            </w:r>
            <w:r>
              <w:rPr>
                <w:rFonts w:hint="eastAsia"/>
                <w:color w:val="000000"/>
                <w:lang w:val="en-US" w:eastAsia="zh-CN"/>
              </w:rPr>
              <w:t>，</w:t>
            </w:r>
            <w:r>
              <w:rPr>
                <w:rFonts w:hint="default"/>
                <w:color w:val="000000"/>
                <w:lang w:val="en-US" w:eastAsia="zh-CN"/>
              </w:rPr>
              <w:t>不属于沙化土地</w:t>
            </w:r>
            <w:r>
              <w:rPr>
                <w:rFonts w:hint="eastAsia"/>
                <w:color w:val="000000"/>
                <w:lang w:val="en-US" w:eastAsia="zh-CN"/>
              </w:rPr>
              <w:t>，详见附图7。</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adjustRightInd w:val="0"/>
              <w:snapToGrid w:val="0"/>
              <w:jc w:val="center"/>
              <w:rPr>
                <w:color w:val="000000"/>
                <w:kern w:val="0"/>
                <w:szCs w:val="21"/>
              </w:rPr>
            </w:pPr>
            <w:r>
              <w:rPr>
                <w:color w:val="000000"/>
                <w:kern w:val="0"/>
                <w:szCs w:val="21"/>
              </w:rPr>
              <w:t>环境</w:t>
            </w:r>
          </w:p>
          <w:p>
            <w:pPr>
              <w:adjustRightInd w:val="0"/>
              <w:snapToGrid w:val="0"/>
              <w:jc w:val="center"/>
              <w:rPr>
                <w:color w:val="000000"/>
                <w:kern w:val="0"/>
                <w:szCs w:val="21"/>
              </w:rPr>
            </w:pPr>
            <w:r>
              <w:rPr>
                <w:color w:val="000000"/>
                <w:kern w:val="0"/>
                <w:szCs w:val="21"/>
              </w:rPr>
              <w:t>保护</w:t>
            </w:r>
          </w:p>
          <w:p>
            <w:pPr>
              <w:adjustRightInd w:val="0"/>
              <w:snapToGrid w:val="0"/>
              <w:jc w:val="center"/>
              <w:rPr>
                <w:color w:val="000000"/>
                <w:kern w:val="0"/>
                <w:szCs w:val="21"/>
              </w:rPr>
            </w:pPr>
            <w:r>
              <w:rPr>
                <w:color w:val="000000"/>
                <w:kern w:val="0"/>
                <w:szCs w:val="21"/>
              </w:rPr>
              <w:t>目标</w:t>
            </w:r>
          </w:p>
        </w:tc>
        <w:tc>
          <w:tcPr>
            <w:tcW w:w="8601" w:type="dxa"/>
            <w:tcBorders>
              <w:tl2br w:val="nil"/>
              <w:tr2bl w:val="nil"/>
            </w:tcBorders>
            <w:noWrap w:val="0"/>
            <w:vAlign w:val="center"/>
          </w:tcPr>
          <w:p>
            <w:pPr>
              <w:ind w:firstLine="480" w:firstLineChars="200"/>
              <w:rPr>
                <w:color w:val="000000"/>
              </w:rPr>
            </w:pPr>
            <w:r>
              <w:rPr>
                <w:color w:val="000000"/>
              </w:rPr>
              <w:t>本项目位于</w:t>
            </w:r>
            <w:r>
              <w:rPr>
                <w:rFonts w:hint="eastAsia"/>
                <w:color w:val="000000"/>
                <w:lang w:val="en-US" w:eastAsia="zh-CN"/>
              </w:rPr>
              <w:t>新疆维吾尔自治区巴音郭楞蒙古自治州焉耆回族自治县河北巴州生态产业园内</w:t>
            </w:r>
            <w:r>
              <w:rPr>
                <w:color w:val="000000"/>
              </w:rPr>
              <w:t>，厂界外500m范围内无大气环境保护目标，厂界外50m范围内无声环境保护目标，厂界外500m范围内无地下水集中式饮用水水源和特殊地下水资源。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tcMar>
              <w:left w:w="28" w:type="dxa"/>
              <w:right w:w="28" w:type="dxa"/>
            </w:tcMar>
            <w:vAlign w:val="center"/>
          </w:tcPr>
          <w:p>
            <w:pPr>
              <w:adjustRightInd w:val="0"/>
              <w:snapToGrid w:val="0"/>
              <w:jc w:val="center"/>
              <w:rPr>
                <w:color w:val="000000"/>
                <w:kern w:val="0"/>
                <w:szCs w:val="21"/>
              </w:rPr>
            </w:pPr>
            <w:r>
              <w:rPr>
                <w:color w:val="000000"/>
                <w:kern w:val="0"/>
                <w:szCs w:val="21"/>
              </w:rPr>
              <w:t>污染</w:t>
            </w:r>
          </w:p>
          <w:p>
            <w:pPr>
              <w:adjustRightInd w:val="0"/>
              <w:snapToGrid w:val="0"/>
              <w:jc w:val="center"/>
              <w:rPr>
                <w:color w:val="000000"/>
                <w:kern w:val="0"/>
                <w:szCs w:val="21"/>
              </w:rPr>
            </w:pPr>
            <w:r>
              <w:rPr>
                <w:color w:val="000000"/>
                <w:kern w:val="0"/>
                <w:szCs w:val="21"/>
              </w:rPr>
              <w:t>物排</w:t>
            </w:r>
          </w:p>
          <w:p>
            <w:pPr>
              <w:adjustRightInd w:val="0"/>
              <w:snapToGrid w:val="0"/>
              <w:jc w:val="center"/>
              <w:rPr>
                <w:color w:val="000000"/>
                <w:kern w:val="0"/>
                <w:szCs w:val="21"/>
              </w:rPr>
            </w:pPr>
            <w:r>
              <w:rPr>
                <w:color w:val="000000"/>
                <w:kern w:val="0"/>
                <w:szCs w:val="21"/>
              </w:rPr>
              <w:t>放控</w:t>
            </w:r>
          </w:p>
          <w:p>
            <w:pPr>
              <w:adjustRightInd w:val="0"/>
              <w:snapToGrid w:val="0"/>
              <w:jc w:val="center"/>
              <w:rPr>
                <w:color w:val="000000"/>
                <w:kern w:val="0"/>
                <w:szCs w:val="21"/>
              </w:rPr>
            </w:pPr>
            <w:r>
              <w:rPr>
                <w:color w:val="000000"/>
                <w:kern w:val="0"/>
                <w:szCs w:val="21"/>
              </w:rPr>
              <w:t>制标</w:t>
            </w:r>
          </w:p>
          <w:p>
            <w:pPr>
              <w:adjustRightInd w:val="0"/>
              <w:snapToGrid w:val="0"/>
              <w:jc w:val="center"/>
              <w:rPr>
                <w:color w:val="000000"/>
                <w:kern w:val="0"/>
                <w:szCs w:val="21"/>
              </w:rPr>
            </w:pPr>
            <w:r>
              <w:rPr>
                <w:color w:val="000000"/>
                <w:kern w:val="0"/>
                <w:szCs w:val="21"/>
              </w:rPr>
              <w:t>准</w:t>
            </w:r>
          </w:p>
        </w:tc>
        <w:tc>
          <w:tcPr>
            <w:tcW w:w="8601" w:type="dxa"/>
            <w:tcBorders>
              <w:tl2br w:val="nil"/>
              <w:tr2bl w:val="nil"/>
            </w:tcBorders>
            <w:noWrap w:val="0"/>
            <w:vAlign w:val="center"/>
          </w:tcPr>
          <w:p>
            <w:pPr>
              <w:pStyle w:val="17"/>
              <w:numPr>
                <w:ilvl w:val="0"/>
                <w:numId w:val="0"/>
              </w:numPr>
              <w:adjustRightInd w:val="0"/>
              <w:snapToGrid w:val="0"/>
              <w:rPr>
                <w:rFonts w:hint="eastAsia"/>
                <w:color w:val="000000"/>
              </w:rPr>
            </w:pPr>
            <w:r>
              <w:rPr>
                <w:rFonts w:hint="eastAsia"/>
                <w:color w:val="000000"/>
                <w:lang w:val="en-US" w:eastAsia="zh-CN"/>
              </w:rPr>
              <w:t>1、</w:t>
            </w:r>
            <w:r>
              <w:rPr>
                <w:rFonts w:hint="eastAsia"/>
                <w:color w:val="000000"/>
              </w:rPr>
              <w:t>运营期</w:t>
            </w:r>
          </w:p>
          <w:p>
            <w:pPr>
              <w:pStyle w:val="17"/>
              <w:adjustRightInd w:val="0"/>
              <w:snapToGrid w:val="0"/>
              <w:ind w:firstLine="482" w:firstLineChars="200"/>
              <w:rPr>
                <w:color w:val="000000"/>
              </w:rPr>
            </w:pPr>
            <w:r>
              <w:rPr>
                <w:rFonts w:hint="eastAsia"/>
                <w:color w:val="000000"/>
                <w:lang w:val="en-US" w:eastAsia="zh-CN"/>
              </w:rPr>
              <w:t>1</w:t>
            </w:r>
            <w:r>
              <w:rPr>
                <w:rFonts w:hint="eastAsia"/>
                <w:color w:val="000000"/>
              </w:rPr>
              <w:t>.</w:t>
            </w:r>
            <w:r>
              <w:rPr>
                <w:color w:val="000000"/>
              </w:rPr>
              <w:t>1废气</w:t>
            </w:r>
          </w:p>
          <w:p>
            <w:pPr>
              <w:adjustRightInd w:val="0"/>
              <w:snapToGrid w:val="0"/>
              <w:ind w:firstLine="480" w:firstLineChars="200"/>
              <w:rPr>
                <w:rFonts w:hint="default" w:eastAsia="宋体"/>
                <w:color w:val="000000"/>
                <w:lang w:val="en-US" w:eastAsia="zh-CN"/>
              </w:rPr>
            </w:pPr>
            <w:r>
              <w:rPr>
                <w:rFonts w:hint="eastAsia"/>
                <w:color w:val="000000"/>
                <w:lang w:val="en-US" w:eastAsia="zh-CN"/>
              </w:rPr>
              <w:t>本项目有组织</w:t>
            </w:r>
            <w:r>
              <w:rPr>
                <w:rFonts w:hint="eastAsia"/>
                <w:color w:val="000000"/>
              </w:rPr>
              <w:t>非甲烷总烃排放执行</w:t>
            </w:r>
            <w:r>
              <w:rPr>
                <w:rFonts w:hint="eastAsia"/>
                <w:color w:val="000000"/>
                <w:lang w:val="en-US" w:eastAsia="zh-CN"/>
              </w:rPr>
              <w:fldChar w:fldCharType="begin"/>
            </w:r>
            <w:r>
              <w:rPr>
                <w:rFonts w:hint="eastAsia"/>
                <w:color w:val="000000"/>
                <w:lang w:val="en-US" w:eastAsia="zh-CN"/>
              </w:rPr>
              <w:instrText xml:space="preserve"> HYPERLINK "https://www.mee.gov.cn/ywgz/fgbz/bz/bzwb/dqhjbh/dqgdwrywrwpfbz/201505/W020240612354056402310.pdf" </w:instrText>
            </w:r>
            <w:r>
              <w:rPr>
                <w:rFonts w:hint="eastAsia"/>
                <w:color w:val="000000"/>
                <w:lang w:val="en-US" w:eastAsia="zh-CN"/>
              </w:rPr>
              <w:fldChar w:fldCharType="separate"/>
            </w:r>
            <w:r>
              <w:rPr>
                <w:rFonts w:hint="eastAsia"/>
                <w:color w:val="000000"/>
                <w:lang w:val="en-US" w:eastAsia="zh-CN"/>
              </w:rPr>
              <w:t>《合成树脂工业污染物排放标准》（GB 31572-2015，含2024年修改单）</w:t>
            </w:r>
            <w:r>
              <w:rPr>
                <w:rFonts w:hint="eastAsia"/>
                <w:color w:val="000000"/>
                <w:lang w:val="en-US" w:eastAsia="zh-CN"/>
              </w:rPr>
              <w:fldChar w:fldCharType="end"/>
            </w:r>
            <w:r>
              <w:rPr>
                <w:rFonts w:hint="eastAsia"/>
                <w:color w:val="000000"/>
                <w:lang w:val="en-US" w:eastAsia="zh-CN"/>
              </w:rPr>
              <w:t>表5中大气污染物特别排放限值、臭气浓度执行《恶臭污染物排放标准》（GB14554-93）表2恶臭污染物限值要求；无组织颗粒物、非甲烷总烃执行《合成树脂工业污染物排放标准》（GB-31572-2015）表9中浓度限值、臭气浓度执行《恶臭污染物排放标准》（GB14554-93）表1恶臭污染物厂界标准二级限值要求</w:t>
            </w:r>
            <w:r>
              <w:rPr>
                <w:rFonts w:hint="eastAsia"/>
                <w:color w:val="000000"/>
                <w:lang w:eastAsia="zh-CN"/>
              </w:rPr>
              <w:t>。</w:t>
            </w:r>
            <w:r>
              <w:rPr>
                <w:rFonts w:hint="eastAsia"/>
                <w:color w:val="000000"/>
              </w:rPr>
              <w:t>厂区内挥发性有机物排放控制执行《挥发性有机物无组织排放控制标准》（GB 37822-2019）附录A中NMHC</w:t>
            </w:r>
            <w:r>
              <w:rPr>
                <w:rFonts w:hint="eastAsia"/>
                <w:color w:val="000000"/>
                <w:lang w:val="en-US" w:eastAsia="zh-CN"/>
              </w:rPr>
              <w:t>特别</w:t>
            </w:r>
            <w:r>
              <w:rPr>
                <w:rFonts w:hint="eastAsia"/>
                <w:color w:val="000000"/>
              </w:rPr>
              <w:t>排放限值</w:t>
            </w:r>
            <w:r>
              <w:rPr>
                <w:rFonts w:hint="eastAsia"/>
                <w:color w:val="000000"/>
                <w:lang w:eastAsia="zh-CN"/>
              </w:rPr>
              <w:t>，</w:t>
            </w:r>
            <w:r>
              <w:rPr>
                <w:rFonts w:hint="eastAsia"/>
                <w:color w:val="000000"/>
                <w:lang w:val="en-US" w:eastAsia="zh-CN"/>
              </w:rPr>
              <w:t>详见下表。</w:t>
            </w:r>
          </w:p>
          <w:p>
            <w:pPr>
              <w:pStyle w:val="4"/>
              <w:keepNext/>
              <w:keepLines/>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422" w:firstLineChars="200"/>
              <w:textAlignment w:val="auto"/>
              <w:rPr>
                <w:rFonts w:hint="eastAsia"/>
                <w:color w:val="auto"/>
                <w:sz w:val="21"/>
                <w:szCs w:val="21"/>
                <w:lang w:val="en-US" w:eastAsia="zh-CN"/>
              </w:rPr>
            </w:pPr>
            <w:r>
              <w:rPr>
                <w:rFonts w:hint="default"/>
                <w:color w:val="auto"/>
                <w:sz w:val="21"/>
                <w:szCs w:val="21"/>
                <w:lang w:val="en-US" w:eastAsia="zh-CN"/>
              </w:rPr>
              <w:t>表</w:t>
            </w:r>
            <w:r>
              <w:rPr>
                <w:rFonts w:hint="eastAsia"/>
                <w:color w:val="auto"/>
                <w:sz w:val="21"/>
                <w:szCs w:val="21"/>
                <w:lang w:val="en-US" w:eastAsia="zh-CN"/>
              </w:rPr>
              <w:t xml:space="preserve">3-2                 </w:t>
            </w:r>
            <w:r>
              <w:rPr>
                <w:rFonts w:hint="default"/>
                <w:color w:val="auto"/>
                <w:sz w:val="21"/>
                <w:szCs w:val="21"/>
                <w:lang w:val="en-US" w:eastAsia="zh-CN"/>
              </w:rPr>
              <w:t>大气污染排放</w:t>
            </w:r>
            <w:r>
              <w:rPr>
                <w:rFonts w:hint="eastAsia"/>
                <w:color w:val="auto"/>
                <w:sz w:val="21"/>
                <w:szCs w:val="21"/>
                <w:lang w:val="en-US" w:eastAsia="zh-CN"/>
              </w:rPr>
              <w:t>限值</w:t>
            </w:r>
            <w:r>
              <w:rPr>
                <w:rFonts w:hint="default"/>
                <w:color w:val="auto"/>
                <w:sz w:val="21"/>
                <w:szCs w:val="21"/>
                <w:lang w:val="en-US" w:eastAsia="zh-CN"/>
              </w:rPr>
              <w:t xml:space="preserve">     </w:t>
            </w:r>
            <w:r>
              <w:rPr>
                <w:rFonts w:hint="eastAsia"/>
                <w:color w:val="auto"/>
                <w:sz w:val="21"/>
                <w:szCs w:val="21"/>
                <w:lang w:val="en-US" w:eastAsia="zh-CN"/>
              </w:rPr>
              <w:t xml:space="preserve">          单位：mg/m</w:t>
            </w:r>
            <w:r>
              <w:rPr>
                <w:rFonts w:hint="eastAsia"/>
                <w:color w:val="auto"/>
                <w:sz w:val="21"/>
                <w:szCs w:val="21"/>
                <w:vertAlign w:val="superscript"/>
                <w:lang w:val="en-US" w:eastAsia="zh-CN"/>
              </w:rPr>
              <w:t xml:space="preserve">3  </w:t>
            </w:r>
            <w:r>
              <w:rPr>
                <w:rFonts w:hint="eastAsia"/>
                <w:color w:val="auto"/>
                <w:sz w:val="21"/>
                <w:szCs w:val="21"/>
                <w:lang w:val="en-US" w:eastAsia="zh-CN"/>
              </w:rPr>
              <w:t xml:space="preserve"> </w:t>
            </w:r>
          </w:p>
          <w:tbl>
            <w:tblPr>
              <w:tblStyle w:val="26"/>
              <w:tblW w:w="8462" w:type="dxa"/>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752"/>
              <w:gridCol w:w="991"/>
              <w:gridCol w:w="1812"/>
              <w:gridCol w:w="4907"/>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1029" w:type="pct"/>
                  <w:gridSpan w:val="2"/>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b w:val="0"/>
                      <w:bCs w:val="0"/>
                      <w:color w:val="000000" w:themeColor="text1"/>
                      <w:spacing w:val="0"/>
                      <w:kern w:val="0"/>
                      <w:position w:val="0"/>
                      <w:sz w:val="21"/>
                      <w:szCs w:val="21"/>
                      <w14:textFill>
                        <w14:solidFill>
                          <w14:schemeClr w14:val="tx1"/>
                        </w14:solidFill>
                      </w14:textFill>
                    </w:rPr>
                  </w:pPr>
                  <w:r>
                    <w:rPr>
                      <w:rFonts w:hint="default" w:ascii="Times New Roman" w:hAnsi="Times New Roman" w:eastAsia="宋体" w:cs="Times New Roman"/>
                      <w:sz w:val="21"/>
                      <w:szCs w:val="21"/>
                    </w:rPr>
                    <w:t>污染物</w:t>
                  </w:r>
                  <w:r>
                    <w:rPr>
                      <w:rFonts w:hint="default" w:ascii="Times New Roman" w:hAnsi="Times New Roman" w:eastAsia="宋体" w:cs="Times New Roman"/>
                      <w:sz w:val="21"/>
                      <w:szCs w:val="21"/>
                      <w:lang w:eastAsia="zh-CN"/>
                    </w:rPr>
                    <w:t>项目</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b w:val="0"/>
                      <w:bCs w:val="0"/>
                      <w:color w:val="000000" w:themeColor="text1"/>
                      <w:spacing w:val="0"/>
                      <w:kern w:val="0"/>
                      <w:position w:val="0"/>
                      <w:sz w:val="21"/>
                      <w:szCs w:val="21"/>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1"/>
                      <w:szCs w:val="21"/>
                      <w14:textFill>
                        <w14:solidFill>
                          <w14:schemeClr w14:val="tx1"/>
                        </w14:solidFill>
                      </w14:textFill>
                    </w:rPr>
                    <w:t>标准值</w:t>
                  </w:r>
                </w:p>
              </w:tc>
              <w:tc>
                <w:tcPr>
                  <w:tcW w:w="2899"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b w:val="0"/>
                      <w:bCs w:val="0"/>
                      <w:color w:val="000000" w:themeColor="text1"/>
                      <w:spacing w:val="0"/>
                      <w:kern w:val="0"/>
                      <w:position w:val="0"/>
                      <w:sz w:val="21"/>
                      <w:szCs w:val="21"/>
                      <w14:textFill>
                        <w14:solidFill>
                          <w14:schemeClr w14:val="tx1"/>
                        </w14:solidFill>
                      </w14:textFill>
                    </w:rPr>
                  </w:pPr>
                  <w:r>
                    <w:rPr>
                      <w:rFonts w:hint="default" w:ascii="Times New Roman" w:hAnsi="Times New Roman" w:cs="Times New Roman"/>
                      <w:b w:val="0"/>
                      <w:bCs w:val="0"/>
                      <w:color w:val="000000" w:themeColor="text1"/>
                      <w:spacing w:val="0"/>
                      <w:kern w:val="0"/>
                      <w:position w:val="0"/>
                      <w:sz w:val="21"/>
                      <w:szCs w:val="21"/>
                      <w14:textFill>
                        <w14:solidFill>
                          <w14:schemeClr w14:val="tx1"/>
                        </w14:solidFill>
                      </w14:textFill>
                    </w:rPr>
                    <w:t>标准来源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eastAsia"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有组织</w:t>
                  </w:r>
                  <w:r>
                    <w:rPr>
                      <w:rFonts w:hint="eastAsia" w:cs="Times New Roman"/>
                      <w:color w:val="000000" w:themeColor="text1"/>
                      <w:spacing w:val="0"/>
                      <w:kern w:val="0"/>
                      <w:position w:val="0"/>
                      <w:sz w:val="21"/>
                      <w:szCs w:val="21"/>
                      <w:lang w:val="en-US" w:eastAsia="zh-CN"/>
                      <w14:textFill>
                        <w14:solidFill>
                          <w14:schemeClr w14:val="tx1"/>
                        </w14:solidFill>
                      </w14:textFill>
                    </w:rPr>
                    <w:t>排放</w:t>
                  </w:r>
                </w:p>
              </w:tc>
              <w:tc>
                <w:tcPr>
                  <w:tcW w:w="585"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非甲烷总烃</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pPr>
                  <w:r>
                    <w:rPr>
                      <w:rFonts w:hint="default" w:ascii="Times New Roman" w:hAnsi="Times New Roman" w:cs="Times New Roman"/>
                      <w:color w:val="000000" w:themeColor="text1"/>
                      <w:spacing w:val="0"/>
                      <w:kern w:val="0"/>
                      <w:position w:val="0"/>
                      <w:sz w:val="21"/>
                      <w:szCs w:val="21"/>
                      <w:highlight w:val="none"/>
                      <w:lang w:val="en-US" w:eastAsia="zh-CN"/>
                      <w14:textFill>
                        <w14:solidFill>
                          <w14:schemeClr w14:val="tx1"/>
                        </w14:solidFill>
                      </w14:textFill>
                    </w:rPr>
                    <w:t>60</w:t>
                  </w:r>
                  <w:r>
                    <w:rPr>
                      <w:rFonts w:hint="default" w:ascii="Times New Roman" w:hAnsi="Times New Roman" w:cs="Times New Roman"/>
                      <w:color w:val="000000" w:themeColor="text1"/>
                      <w:spacing w:val="0"/>
                      <w:kern w:val="0"/>
                      <w:position w:val="0"/>
                      <w:sz w:val="21"/>
                      <w:szCs w:val="21"/>
                      <w:highlight w:val="none"/>
                      <w14:textFill>
                        <w14:solidFill>
                          <w14:schemeClr w14:val="tx1"/>
                        </w14:solidFill>
                      </w14:textFill>
                    </w:rPr>
                    <w:t>mg/m</w:t>
                  </w:r>
                  <w:r>
                    <w:rPr>
                      <w:rFonts w:hint="default" w:ascii="Times New Roman" w:hAnsi="Times New Roman" w:cs="Times New Roman"/>
                      <w:color w:val="000000" w:themeColor="text1"/>
                      <w:spacing w:val="0"/>
                      <w:kern w:val="0"/>
                      <w:position w:val="0"/>
                      <w:sz w:val="21"/>
                      <w:szCs w:val="21"/>
                      <w:highlight w:val="none"/>
                      <w:vertAlign w:val="superscript"/>
                      <w:lang w:val="en-US"/>
                      <w14:textFill>
                        <w14:solidFill>
                          <w14:schemeClr w14:val="tx1"/>
                        </w14:solidFill>
                      </w14:textFill>
                    </w:rPr>
                    <w:t>3</w:t>
                  </w:r>
                </w:p>
              </w:tc>
              <w:tc>
                <w:tcPr>
                  <w:tcW w:w="2899"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《合成树脂工业污染物排放标准》（GB-31572-2015）表</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5</w:t>
                  </w:r>
                  <w:r>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t>大气污染物</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特别</w:t>
                  </w:r>
                  <w:r>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t>排放限值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c>
                <w:tcPr>
                  <w:tcW w:w="585"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臭气浓度</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highlight w:val="none"/>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highlight w:val="none"/>
                      <w:lang w:val="en-US" w:eastAsia="zh-CN"/>
                      <w14:textFill>
                        <w14:solidFill>
                          <w14:schemeClr w14:val="tx1"/>
                        </w14:solidFill>
                      </w14:textFill>
                    </w:rPr>
                    <w:t>2000（无量纲）</w:t>
                  </w:r>
                </w:p>
              </w:tc>
              <w:tc>
                <w:tcPr>
                  <w:tcW w:w="2899"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《恶臭污染物排放标准》（GB14554-93）表2恶臭污染物限值要求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eastAsia"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厂界</w:t>
                  </w:r>
                </w:p>
              </w:tc>
              <w:tc>
                <w:tcPr>
                  <w:tcW w:w="585"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非甲烷总烃</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t>4.0</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mg/m</w:t>
                  </w:r>
                  <w:r>
                    <w:rPr>
                      <w:rFonts w:hint="default" w:ascii="Times New Roman" w:hAnsi="Times New Roman" w:cs="Times New Roman"/>
                      <w:color w:val="000000" w:themeColor="text1"/>
                      <w:spacing w:val="0"/>
                      <w:kern w:val="0"/>
                      <w:position w:val="0"/>
                      <w:sz w:val="21"/>
                      <w:szCs w:val="21"/>
                      <w:vertAlign w:val="superscript"/>
                      <w14:textFill>
                        <w14:solidFill>
                          <w14:schemeClr w14:val="tx1"/>
                        </w14:solidFill>
                      </w14:textFill>
                    </w:rPr>
                    <w:t>3</w:t>
                  </w:r>
                </w:p>
              </w:tc>
              <w:tc>
                <w:tcPr>
                  <w:tcW w:w="2899"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《合成树脂工业污染物排放标准》（GB-31572-2015）表9中浓度限值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pPr>
                </w:p>
              </w:tc>
              <w:tc>
                <w:tcPr>
                  <w:tcW w:w="585"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t>颗粒物</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1.0</w:t>
                  </w:r>
                  <w:r>
                    <w:rPr>
                      <w:rFonts w:hint="default" w:ascii="Times New Roman" w:hAnsi="Times New Roman" w:cs="Times New Roman"/>
                      <w:color w:val="000000" w:themeColor="text1"/>
                      <w:spacing w:val="0"/>
                      <w:kern w:val="0"/>
                      <w:position w:val="0"/>
                      <w:sz w:val="21"/>
                      <w:szCs w:val="21"/>
                      <w14:textFill>
                        <w14:solidFill>
                          <w14:schemeClr w14:val="tx1"/>
                        </w14:solidFill>
                      </w14:textFill>
                    </w:rPr>
                    <w:t>mg/m</w:t>
                  </w:r>
                  <w:r>
                    <w:rPr>
                      <w:rFonts w:hint="default" w:ascii="Times New Roman" w:hAnsi="Times New Roman" w:cs="Times New Roman"/>
                      <w:color w:val="000000" w:themeColor="text1"/>
                      <w:spacing w:val="0"/>
                      <w:kern w:val="0"/>
                      <w:position w:val="0"/>
                      <w:sz w:val="21"/>
                      <w:szCs w:val="21"/>
                      <w:vertAlign w:val="superscript"/>
                      <w14:textFill>
                        <w14:solidFill>
                          <w14:schemeClr w14:val="tx1"/>
                        </w14:solidFill>
                      </w14:textFill>
                    </w:rPr>
                    <w:t>3</w:t>
                  </w:r>
                </w:p>
              </w:tc>
              <w:tc>
                <w:tcPr>
                  <w:tcW w:w="2899"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14:textFill>
                        <w14:solidFill>
                          <w14:schemeClr w14:val="tx1"/>
                        </w14:solidFill>
                      </w14:textFill>
                    </w:rPr>
                  </w:pPr>
                </w:p>
              </w:tc>
              <w:tc>
                <w:tcPr>
                  <w:tcW w:w="585"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臭气浓度</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20（无量纲）</w:t>
                  </w:r>
                </w:p>
              </w:tc>
              <w:tc>
                <w:tcPr>
                  <w:tcW w:w="2899"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《恶臭污染物排放标准》（GB14554-93）表1恶臭污染物厂界标准二级限值要求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厂界内</w:t>
                  </w:r>
                </w:p>
              </w:tc>
              <w:tc>
                <w:tcPr>
                  <w:tcW w:w="585"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14:textFill>
                        <w14:solidFill>
                          <w14:schemeClr w14:val="tx1"/>
                        </w14:solidFill>
                      </w14:textFill>
                    </w:rPr>
                    <w:t>非甲烷总烃</w:t>
                  </w: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firstLine="0" w:firstLineChars="0"/>
                    <w:jc w:val="center"/>
                    <w:textAlignment w:val="auto"/>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pP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6mg/m</w:t>
                  </w:r>
                  <w:r>
                    <w:rPr>
                      <w:rFonts w:hint="default" w:ascii="Times New Roman" w:hAnsi="Times New Roman" w:cs="Times New Roman"/>
                      <w:color w:val="000000" w:themeColor="text1"/>
                      <w:spacing w:val="0"/>
                      <w:kern w:val="0"/>
                      <w:position w:val="0"/>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监控点处1h平均浓度值</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w:t>
                  </w:r>
                </w:p>
              </w:tc>
              <w:tc>
                <w:tcPr>
                  <w:tcW w:w="2899" w:type="pct"/>
                  <w:vMerge w:val="restar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lang w:val="zh-CN" w:eastAsia="zh-CN" w:bidi="zh-CN"/>
                      <w14:textFill>
                        <w14:solidFill>
                          <w14:schemeClr w14:val="tx1"/>
                        </w14:solidFill>
                      </w14:textFill>
                    </w:rPr>
                  </w:pPr>
                  <w:r>
                    <w:rPr>
                      <w:rFonts w:hint="default" w:ascii="Times New Roman" w:hAnsi="Times New Roman" w:eastAsia="宋体" w:cs="Times New Roman"/>
                      <w:color w:val="000000" w:themeColor="text1"/>
                      <w:spacing w:val="0"/>
                      <w:kern w:val="0"/>
                      <w:position w:val="0"/>
                      <w:sz w:val="21"/>
                      <w:szCs w:val="21"/>
                      <w:lang w:val="zh-CN" w:eastAsia="zh-CN" w:bidi="zh-CN"/>
                      <w14:textFill>
                        <w14:solidFill>
                          <w14:schemeClr w14:val="tx1"/>
                        </w14:solidFill>
                      </w14:textFill>
                    </w:rPr>
                    <w:t>《挥发性有机物无组织排放控制标准》（GB 37822-2019）附录A中NMHC特别排放限值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jc w:val="center"/>
              </w:trPr>
              <w:tc>
                <w:tcPr>
                  <w:tcW w:w="444"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pacing w:val="0"/>
                      <w:kern w:val="0"/>
                      <w:position w:val="0"/>
                      <w:sz w:val="21"/>
                      <w:szCs w:val="21"/>
                      <w:lang w:val="en-US" w:eastAsia="zh-CN" w:bidi="zh-CN"/>
                      <w14:textFill>
                        <w14:solidFill>
                          <w14:schemeClr w14:val="tx1"/>
                        </w14:solidFill>
                      </w14:textFill>
                    </w:rPr>
                  </w:pPr>
                </w:p>
              </w:tc>
              <w:tc>
                <w:tcPr>
                  <w:tcW w:w="585"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pacing w:val="0"/>
                      <w:kern w:val="0"/>
                      <w:position w:val="0"/>
                      <w:sz w:val="21"/>
                      <w:szCs w:val="21"/>
                      <w:lang w:val="en-US" w:eastAsia="zh-CN" w:bidi="zh-CN"/>
                      <w14:textFill>
                        <w14:solidFill>
                          <w14:schemeClr w14:val="tx1"/>
                        </w14:solidFill>
                      </w14:textFill>
                    </w:rPr>
                  </w:pPr>
                </w:p>
              </w:tc>
              <w:tc>
                <w:tcPr>
                  <w:tcW w:w="1070" w:type="pct"/>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eastAsia" w:ascii="Times New Roman" w:hAnsi="Times New Roman" w:eastAsia="宋体" w:cs="Times New Roman"/>
                      <w:color w:val="000000" w:themeColor="text1"/>
                      <w:spacing w:val="0"/>
                      <w:kern w:val="0"/>
                      <w:position w:val="0"/>
                      <w:sz w:val="21"/>
                      <w:szCs w:val="21"/>
                      <w:highlight w:val="none"/>
                      <w:lang w:val="en-US" w:eastAsia="zh-CN" w:bidi="zh-CN"/>
                      <w14:textFill>
                        <w14:solidFill>
                          <w14:schemeClr w14:val="tx1"/>
                        </w14:solidFill>
                      </w14:textFill>
                    </w:rPr>
                  </w:pP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20</w:t>
                  </w:r>
                  <w:r>
                    <w:rPr>
                      <w:rFonts w:hint="default" w:ascii="Times New Roman" w:hAnsi="Times New Roman" w:cs="Times New Roman"/>
                      <w:color w:val="000000" w:themeColor="text1"/>
                      <w:spacing w:val="0"/>
                      <w:kern w:val="0"/>
                      <w:position w:val="0"/>
                      <w:sz w:val="21"/>
                      <w:szCs w:val="21"/>
                      <w:lang w:val="en-US" w:eastAsia="zh-CN"/>
                      <w14:textFill>
                        <w14:solidFill>
                          <w14:schemeClr w14:val="tx1"/>
                        </w14:solidFill>
                      </w14:textFill>
                    </w:rPr>
                    <w:t>mg/m</w:t>
                  </w:r>
                  <w:r>
                    <w:rPr>
                      <w:rFonts w:hint="default" w:ascii="Times New Roman" w:hAnsi="Times New Roman" w:cs="Times New Roman"/>
                      <w:color w:val="000000" w:themeColor="text1"/>
                      <w:spacing w:val="0"/>
                      <w:kern w:val="0"/>
                      <w:position w:val="0"/>
                      <w:sz w:val="21"/>
                      <w:szCs w:val="21"/>
                      <w:vertAlign w:val="superscript"/>
                      <w:lang w:val="en-US" w:eastAsia="zh-CN"/>
                      <w14:textFill>
                        <w14:solidFill>
                          <w14:schemeClr w14:val="tx1"/>
                        </w14:solidFill>
                      </w14:textFill>
                    </w:rPr>
                    <w:t>3</w:t>
                  </w:r>
                  <w:r>
                    <w:rPr>
                      <w:rFonts w:hint="eastAsia" w:ascii="Times New Roman" w:hAnsi="Times New Roman" w:cs="Times New Roman"/>
                      <w:color w:val="000000" w:themeColor="text1"/>
                      <w:spacing w:val="0"/>
                      <w:kern w:val="0"/>
                      <w:position w:val="0"/>
                      <w:sz w:val="21"/>
                      <w:szCs w:val="21"/>
                      <w:lang w:val="en-US" w:eastAsia="zh-CN"/>
                      <w14:textFill>
                        <w14:solidFill>
                          <w14:schemeClr w14:val="tx1"/>
                        </w14:solidFill>
                      </w14:textFill>
                    </w:rPr>
                    <w:t>（监控点处任意一次浓度值）</w:t>
                  </w:r>
                </w:p>
              </w:tc>
              <w:tc>
                <w:tcPr>
                  <w:tcW w:w="2899" w:type="pct"/>
                  <w:vMerge w:val="continue"/>
                  <w:tcBorders>
                    <w:tl2br w:val="nil"/>
                    <w:tr2bl w:val="nil"/>
                  </w:tcBorders>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themeColor="text1"/>
                      <w:spacing w:val="0"/>
                      <w:kern w:val="0"/>
                      <w:position w:val="0"/>
                      <w:sz w:val="21"/>
                      <w:szCs w:val="21"/>
                      <w:lang w:val="zh-CN" w:eastAsia="zh-CN" w:bidi="zh-CN"/>
                      <w14:textFill>
                        <w14:solidFill>
                          <w14:schemeClr w14:val="tx1"/>
                        </w14:solidFill>
                      </w14:textFill>
                    </w:rPr>
                  </w:pPr>
                </w:p>
              </w:tc>
            </w:tr>
          </w:tbl>
          <w:p>
            <w:pPr>
              <w:pStyle w:val="17"/>
              <w:adjustRightInd w:val="0"/>
              <w:snapToGrid w:val="0"/>
              <w:ind w:firstLine="482" w:firstLineChars="200"/>
              <w:rPr>
                <w:color w:val="000000"/>
              </w:rPr>
            </w:pPr>
            <w:r>
              <w:rPr>
                <w:rFonts w:hint="eastAsia"/>
                <w:color w:val="000000"/>
                <w:lang w:val="en-US" w:eastAsia="zh-CN"/>
              </w:rPr>
              <w:t>1</w:t>
            </w:r>
            <w:r>
              <w:rPr>
                <w:rFonts w:hint="eastAsia"/>
                <w:color w:val="000000"/>
              </w:rPr>
              <w:t>.</w:t>
            </w:r>
            <w:r>
              <w:rPr>
                <w:rFonts w:hint="eastAsia"/>
                <w:color w:val="000000"/>
                <w:lang w:val="en-US" w:eastAsia="zh-CN"/>
              </w:rPr>
              <w:t>2</w:t>
            </w:r>
            <w:r>
              <w:rPr>
                <w:color w:val="000000"/>
              </w:rPr>
              <w:t>噪声</w:t>
            </w:r>
          </w:p>
          <w:p>
            <w:pPr>
              <w:adjustRightInd w:val="0"/>
              <w:snapToGrid w:val="0"/>
              <w:ind w:firstLine="480" w:firstLineChars="200"/>
              <w:rPr>
                <w:color w:val="000000"/>
              </w:rPr>
            </w:pPr>
            <w:r>
              <w:rPr>
                <w:color w:val="000000"/>
              </w:rPr>
              <w:t>营运期噪声控制标准执行《工业企业厂界环境噪声排放标准》（GB</w:t>
            </w:r>
            <w:r>
              <w:rPr>
                <w:rFonts w:hint="eastAsia"/>
                <w:color w:val="000000"/>
              </w:rPr>
              <w:t xml:space="preserve"> </w:t>
            </w:r>
            <w:r>
              <w:rPr>
                <w:color w:val="000000"/>
              </w:rPr>
              <w:t>12348-2008）</w:t>
            </w:r>
            <w:r>
              <w:rPr>
                <w:rFonts w:hint="eastAsia"/>
                <w:color w:val="000000"/>
                <w:lang w:val="en-US" w:eastAsia="zh-CN"/>
              </w:rPr>
              <w:t>3</w:t>
            </w:r>
            <w:r>
              <w:rPr>
                <w:color w:val="000000"/>
              </w:rPr>
              <w:t>类标准，昼间</w:t>
            </w:r>
            <w:r>
              <w:rPr>
                <w:rFonts w:hint="eastAsia"/>
                <w:color w:val="000000"/>
                <w:lang w:val="en-US" w:eastAsia="zh-CN"/>
              </w:rPr>
              <w:t>65</w:t>
            </w:r>
            <w:r>
              <w:rPr>
                <w:color w:val="000000"/>
              </w:rPr>
              <w:t>dB(A)，夜间</w:t>
            </w:r>
            <w:r>
              <w:rPr>
                <w:rFonts w:hint="eastAsia"/>
                <w:color w:val="000000"/>
                <w:lang w:val="en-US" w:eastAsia="zh-CN"/>
              </w:rPr>
              <w:t>55</w:t>
            </w:r>
            <w:r>
              <w:rPr>
                <w:color w:val="000000"/>
              </w:rPr>
              <w:t>dB(A)。</w:t>
            </w:r>
          </w:p>
          <w:p>
            <w:pPr>
              <w:pStyle w:val="17"/>
              <w:adjustRightInd w:val="0"/>
              <w:snapToGrid w:val="0"/>
              <w:ind w:firstLine="482" w:firstLineChars="200"/>
              <w:rPr>
                <w:color w:val="000000"/>
              </w:rPr>
            </w:pPr>
            <w:r>
              <w:rPr>
                <w:rFonts w:hint="eastAsia"/>
                <w:color w:val="000000"/>
                <w:lang w:val="en-US" w:eastAsia="zh-CN"/>
              </w:rPr>
              <w:t>1</w:t>
            </w:r>
            <w:r>
              <w:rPr>
                <w:rFonts w:hint="eastAsia"/>
                <w:color w:val="000000"/>
              </w:rPr>
              <w:t>.</w:t>
            </w:r>
            <w:r>
              <w:rPr>
                <w:rFonts w:hint="eastAsia"/>
                <w:color w:val="000000"/>
                <w:lang w:val="en-US" w:eastAsia="zh-CN"/>
              </w:rPr>
              <w:t>3</w:t>
            </w:r>
            <w:r>
              <w:rPr>
                <w:color w:val="000000"/>
              </w:rPr>
              <w:t>固废</w:t>
            </w:r>
          </w:p>
          <w:p>
            <w:pPr>
              <w:adjustRightInd w:val="0"/>
              <w:snapToGrid w:val="0"/>
              <w:ind w:firstLine="480" w:firstLineChars="200"/>
              <w:jc w:val="left"/>
              <w:rPr>
                <w:color w:val="000000"/>
                <w:szCs w:val="21"/>
              </w:rPr>
            </w:pPr>
            <w:r>
              <w:rPr>
                <w:rFonts w:hint="default"/>
                <w:color w:val="000000"/>
                <w:szCs w:val="21"/>
                <w:lang w:val="en-US" w:eastAsia="zh-CN"/>
              </w:rPr>
              <w:t>本项目一般固废</w:t>
            </w:r>
            <w:r>
              <w:rPr>
                <w:rFonts w:hint="default"/>
                <w:color w:val="000000"/>
                <w:szCs w:val="21"/>
                <w:lang w:eastAsia="zh-CN"/>
              </w:rPr>
              <w:t>执行</w:t>
            </w:r>
            <w:r>
              <w:rPr>
                <w:rFonts w:hint="default"/>
                <w:color w:val="000000"/>
                <w:szCs w:val="21"/>
              </w:rPr>
              <w:t>《</w:t>
            </w:r>
            <w:r>
              <w:rPr>
                <w:rFonts w:hint="default"/>
                <w:color w:val="000000"/>
                <w:szCs w:val="21"/>
                <w:lang w:val="en-US" w:eastAsia="zh-CN"/>
              </w:rPr>
              <w:t>中华人民共和国固体废物污染环境防治法</w:t>
            </w:r>
            <w:r>
              <w:rPr>
                <w:rFonts w:hint="default"/>
                <w:color w:val="000000"/>
                <w:szCs w:val="21"/>
              </w:rPr>
              <w:t>》</w:t>
            </w:r>
            <w:r>
              <w:rPr>
                <w:rFonts w:hint="default"/>
                <w:color w:val="000000"/>
                <w:szCs w:val="21"/>
                <w:lang w:val="en-US" w:eastAsia="zh-CN"/>
              </w:rPr>
              <w:t>中的要求</w:t>
            </w:r>
            <w:r>
              <w:rPr>
                <w:rFonts w:hint="default"/>
                <w:color w:val="000000"/>
                <w:szCs w:val="21"/>
                <w:lang w:eastAsia="zh-CN"/>
              </w:rPr>
              <w:t>；</w:t>
            </w:r>
          </w:p>
          <w:p>
            <w:pPr>
              <w:adjustRightInd w:val="0"/>
              <w:snapToGrid w:val="0"/>
              <w:rPr>
                <w:color w:val="000000"/>
              </w:rPr>
            </w:pPr>
            <w:r>
              <w:rPr>
                <w:color w:val="000000"/>
                <w:szCs w:val="21"/>
              </w:rPr>
              <w:t>本项目产生的危险废物控制标准执行《危险废物贮存污染控制标准》（GB18597-20</w:t>
            </w:r>
            <w:r>
              <w:rPr>
                <w:rFonts w:hint="eastAsia"/>
                <w:color w:val="000000"/>
                <w:szCs w:val="21"/>
              </w:rPr>
              <w:t>23</w:t>
            </w:r>
            <w:r>
              <w:rPr>
                <w:color w:val="000000"/>
                <w:szCs w:val="21"/>
              </w:rPr>
              <w:t>）的要求</w:t>
            </w:r>
            <w:r>
              <w:rPr>
                <w:color w:val="000000"/>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460" w:type="dxa"/>
            <w:tcBorders>
              <w:tl2br w:val="nil"/>
              <w:tr2bl w:val="nil"/>
            </w:tcBorders>
            <w:noWrap w:val="0"/>
            <w:vAlign w:val="center"/>
          </w:tcPr>
          <w:p>
            <w:pPr>
              <w:adjustRightInd w:val="0"/>
              <w:snapToGrid w:val="0"/>
              <w:jc w:val="center"/>
              <w:rPr>
                <w:color w:val="000000"/>
                <w:kern w:val="0"/>
                <w:szCs w:val="21"/>
              </w:rPr>
            </w:pPr>
            <w:r>
              <w:rPr>
                <w:color w:val="000000"/>
                <w:kern w:val="0"/>
                <w:szCs w:val="21"/>
              </w:rPr>
              <w:t>总量</w:t>
            </w:r>
          </w:p>
          <w:p>
            <w:pPr>
              <w:adjustRightInd w:val="0"/>
              <w:snapToGrid w:val="0"/>
              <w:jc w:val="center"/>
              <w:rPr>
                <w:color w:val="000000"/>
                <w:kern w:val="0"/>
                <w:szCs w:val="21"/>
              </w:rPr>
            </w:pPr>
            <w:r>
              <w:rPr>
                <w:color w:val="000000"/>
                <w:kern w:val="0"/>
                <w:szCs w:val="21"/>
              </w:rPr>
              <w:t>控制</w:t>
            </w:r>
          </w:p>
          <w:p>
            <w:pPr>
              <w:adjustRightInd w:val="0"/>
              <w:snapToGrid w:val="0"/>
              <w:jc w:val="center"/>
              <w:rPr>
                <w:color w:val="000000"/>
                <w:kern w:val="0"/>
                <w:szCs w:val="21"/>
              </w:rPr>
            </w:pPr>
            <w:r>
              <w:rPr>
                <w:color w:val="000000"/>
                <w:kern w:val="0"/>
                <w:szCs w:val="21"/>
              </w:rPr>
              <w:t>指标</w:t>
            </w:r>
          </w:p>
        </w:tc>
        <w:tc>
          <w:tcPr>
            <w:tcW w:w="8601" w:type="dxa"/>
            <w:tcBorders>
              <w:tl2br w:val="nil"/>
              <w:tr2bl w:val="nil"/>
            </w:tcBorders>
            <w:noWrap w:val="0"/>
            <w:vAlign w:val="center"/>
          </w:tcPr>
          <w:p>
            <w:pPr>
              <w:adjustRightInd w:val="0"/>
              <w:snapToGrid w:val="0"/>
              <w:ind w:firstLine="480" w:firstLineChars="200"/>
              <w:rPr>
                <w:color w:val="000000"/>
                <w:szCs w:val="21"/>
              </w:rPr>
            </w:pPr>
            <w:r>
              <w:rPr>
                <w:color w:val="000000"/>
                <w:kern w:val="0"/>
                <w:szCs w:val="21"/>
              </w:rPr>
              <w:t>根据国家</w:t>
            </w:r>
            <w:r>
              <w:rPr>
                <w:rFonts w:hint="eastAsia"/>
                <w:color w:val="000000"/>
                <w:kern w:val="0"/>
                <w:szCs w:val="21"/>
                <w:lang w:val="en-US" w:eastAsia="zh-CN"/>
              </w:rPr>
              <w:t>生态环境部</w:t>
            </w:r>
            <w:r>
              <w:rPr>
                <w:color w:val="000000"/>
                <w:kern w:val="0"/>
                <w:szCs w:val="21"/>
              </w:rPr>
              <w:t>已颁布的总量控制计划，结合本项目所在区域的环境特征及本项目排污情况，确定拟建项目排放总量控制因子及控制指标。</w:t>
            </w:r>
          </w:p>
          <w:p>
            <w:pPr>
              <w:ind w:firstLine="480" w:firstLineChars="200"/>
              <w:rPr>
                <w:rFonts w:hint="default"/>
                <w:color w:val="000000"/>
                <w:lang w:val="en-US"/>
              </w:rPr>
            </w:pPr>
            <w:r>
              <w:rPr>
                <w:color w:val="000000"/>
              </w:rPr>
              <w:t>根据工程分析，本项目所在区域的环境特征及本项目排污情况，确定本项目总量控制指</w:t>
            </w:r>
            <w:r>
              <w:rPr>
                <w:color w:val="000000" w:themeColor="text1"/>
                <w14:textFill>
                  <w14:solidFill>
                    <w14:schemeClr w14:val="tx1"/>
                  </w14:solidFill>
                </w14:textFill>
              </w:rPr>
              <w:t>标</w:t>
            </w:r>
            <w:r>
              <w:rPr>
                <w:color w:val="000000" w:themeColor="text1"/>
                <w:highlight w:val="none"/>
                <w14:textFill>
                  <w14:solidFill>
                    <w14:schemeClr w14:val="tx1"/>
                  </w14:solidFill>
                </w14:textFill>
              </w:rPr>
              <w:t>为VOCs</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有组织总量控制指标为1.123t/a，无组织总量控制指标为0.388t/a。</w:t>
            </w:r>
          </w:p>
          <w:p>
            <w:pPr>
              <w:ind w:firstLine="480" w:firstLineChars="200"/>
              <w:rPr>
                <w:color w:val="000000"/>
              </w:rPr>
            </w:pPr>
          </w:p>
          <w:p>
            <w:pPr>
              <w:ind w:firstLine="480" w:firstLineChars="200"/>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Pr>
              <w:rPr>
                <w:color w:val="000000"/>
              </w:rPr>
            </w:pPr>
          </w:p>
          <w:p>
            <w:pPr>
              <w:pStyle w:val="33"/>
              <w:rPr>
                <w:color w:val="000000"/>
              </w:rPr>
            </w:pPr>
          </w:p>
          <w:p/>
          <w:p>
            <w:pPr>
              <w:pStyle w:val="6"/>
            </w:pPr>
          </w:p>
          <w:p>
            <w:pPr>
              <w:pStyle w:val="7"/>
            </w:pPr>
          </w:p>
          <w:p>
            <w:pPr>
              <w:pStyle w:val="8"/>
            </w:pPr>
          </w:p>
          <w:p/>
          <w:p>
            <w:pPr>
              <w:pStyle w:val="6"/>
            </w:pPr>
          </w:p>
          <w:p>
            <w:pPr>
              <w:rPr>
                <w:color w:val="000000"/>
                <w:kern w:val="0"/>
                <w:szCs w:val="21"/>
              </w:rPr>
            </w:pPr>
          </w:p>
        </w:tc>
      </w:tr>
    </w:tbl>
    <w:p>
      <w:pPr>
        <w:pStyle w:val="2"/>
        <w:rPr>
          <w:snapToGrid w:val="0"/>
          <w:color w:val="auto"/>
          <w:vertAlign w:val="baseline"/>
        </w:rPr>
      </w:pPr>
      <w:r>
        <w:rPr>
          <w:snapToGrid w:val="0"/>
          <w:color w:val="auto"/>
          <w:sz w:val="36"/>
          <w:szCs w:val="36"/>
        </w:rPr>
        <w:br w:type="page"/>
      </w:r>
      <w:bookmarkStart w:id="6" w:name="_Toc29362"/>
      <w:r>
        <w:rPr>
          <w:snapToGrid w:val="0"/>
          <w:color w:val="auto"/>
        </w:rPr>
        <w:t>四、主要环境影响和保护措施</w:t>
      </w:r>
      <w:bookmarkEnd w:id="6"/>
    </w:p>
    <w:tbl>
      <w:tblPr>
        <w:tblStyle w:val="27"/>
        <w:tblW w:w="5000" w:type="pct"/>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autofit"/>
        <w:tblCellMar>
          <w:top w:w="0" w:type="dxa"/>
          <w:left w:w="108" w:type="dxa"/>
          <w:bottom w:w="0" w:type="dxa"/>
          <w:right w:w="108" w:type="dxa"/>
        </w:tblCellMar>
      </w:tblPr>
      <w:tblGrid>
        <w:gridCol w:w="535"/>
        <w:gridCol w:w="8526"/>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rPr>
          <w:trHeight w:val="12297" w:hRule="atLeast"/>
        </w:trPr>
        <w:tc>
          <w:tcPr>
            <w:tcW w:w="295" w:type="pct"/>
            <w:tcBorders>
              <w:tl2br w:val="nil"/>
              <w:tr2bl w:val="nil"/>
            </w:tcBorders>
            <w:shd w:val="clear" w:color="auto" w:fill="auto"/>
            <w:vAlign w:val="center"/>
          </w:tcPr>
          <w:p>
            <w:pPr>
              <w:pStyle w:val="21"/>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施工</w:t>
            </w:r>
          </w:p>
          <w:p>
            <w:pPr>
              <w:pStyle w:val="21"/>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期环</w:t>
            </w:r>
          </w:p>
          <w:p>
            <w:pPr>
              <w:pStyle w:val="21"/>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境保</w:t>
            </w:r>
          </w:p>
          <w:p>
            <w:pPr>
              <w:pStyle w:val="21"/>
              <w:adjustRightInd w:val="0"/>
              <w:snapToGrid w:val="0"/>
              <w:spacing w:before="0" w:beforeAutospacing="0" w:after="0" w:afterAutospacing="0"/>
              <w:jc w:val="center"/>
              <w:rPr>
                <w:rFonts w:hint="default" w:ascii="Times New Roman" w:hAnsi="Times New Roman" w:eastAsia="宋体" w:cs="Times New Roman"/>
                <w:color w:val="000000"/>
                <w:kern w:val="2"/>
                <w:sz w:val="24"/>
                <w:szCs w:val="24"/>
              </w:rPr>
            </w:pPr>
            <w:r>
              <w:rPr>
                <w:rFonts w:hint="default" w:ascii="Times New Roman" w:hAnsi="Times New Roman" w:eastAsia="宋体" w:cs="Times New Roman"/>
                <w:color w:val="000000"/>
                <w:kern w:val="2"/>
                <w:sz w:val="24"/>
                <w:szCs w:val="24"/>
              </w:rPr>
              <w:t>护措</w:t>
            </w:r>
          </w:p>
          <w:p>
            <w:pPr>
              <w:pStyle w:val="21"/>
              <w:adjustRightInd w:val="0"/>
              <w:snapToGrid w:val="0"/>
              <w:spacing w:before="0" w:beforeAutospacing="0" w:after="0" w:afterAutospacing="0"/>
              <w:jc w:val="center"/>
              <w:rPr>
                <w:rFonts w:hint="default" w:ascii="Times New Roman" w:hAnsi="Times New Roman" w:eastAsia="宋体" w:cs="Times New Roman"/>
                <w:bCs/>
                <w:color w:val="000000"/>
                <w:kern w:val="2"/>
                <w:sz w:val="24"/>
                <w:szCs w:val="24"/>
                <w:lang w:val="en-US" w:eastAsia="zh-CN" w:bidi="ar-SA"/>
              </w:rPr>
            </w:pPr>
            <w:r>
              <w:rPr>
                <w:rFonts w:hint="default" w:ascii="Times New Roman" w:hAnsi="Times New Roman" w:eastAsia="宋体" w:cs="Times New Roman"/>
                <w:color w:val="000000"/>
                <w:kern w:val="2"/>
                <w:sz w:val="24"/>
                <w:szCs w:val="24"/>
              </w:rPr>
              <w:t>施</w:t>
            </w:r>
          </w:p>
        </w:tc>
        <w:tc>
          <w:tcPr>
            <w:tcW w:w="470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本</w:t>
            </w:r>
            <w:r>
              <w:rPr>
                <w:rFonts w:hint="eastAsia"/>
                <w:lang w:val="en-US" w:eastAsia="zh-CN"/>
              </w:rPr>
              <w:t>项目租赁厂房，只进行设备安装，目前</w:t>
            </w:r>
            <w:r>
              <w:rPr>
                <w:rFonts w:hint="default" w:ascii="Times New Roman" w:hAnsi="Times New Roman" w:eastAsia="宋体" w:cs="Times New Roman"/>
                <w:color w:val="000000"/>
                <w:kern w:val="0"/>
                <w:sz w:val="24"/>
                <w:szCs w:val="24"/>
                <w:highlight w:val="none"/>
                <w:lang w:val="en-US" w:eastAsia="zh-CN" w:bidi="ar-SA"/>
              </w:rPr>
              <w:t>施工期已结束。根据建设单位提供资料施工期开展的防治措施有：</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（1）</w:t>
            </w:r>
            <w:r>
              <w:rPr>
                <w:rFonts w:hint="eastAsia" w:cs="Times New Roman"/>
                <w:color w:val="000000"/>
                <w:kern w:val="0"/>
                <w:sz w:val="24"/>
                <w:szCs w:val="24"/>
                <w:highlight w:val="none"/>
                <w:lang w:val="en-US" w:eastAsia="zh-CN" w:bidi="ar-SA"/>
              </w:rPr>
              <w:t>施工过程中对厂区进行洒水抑尘。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（2）施工生产产生的废水量较少，施工区设置沉淀池，废水经沉淀池澄清后循环使用或用于场地洒水抑尘。</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80" w:firstLineChars="200"/>
              <w:jc w:val="both"/>
              <w:textAlignment w:val="auto"/>
              <w:rPr>
                <w:rFonts w:hint="default" w:ascii="Times New Roman" w:hAnsi="Times New Roman" w:eastAsia="宋体" w:cs="Times New Roman"/>
                <w:color w:val="000000"/>
                <w:kern w:val="0"/>
                <w:sz w:val="24"/>
                <w:szCs w:val="24"/>
                <w:highlight w:val="none"/>
                <w:lang w:val="en-US" w:eastAsia="zh-CN" w:bidi="ar-SA"/>
              </w:rPr>
            </w:pPr>
            <w:r>
              <w:rPr>
                <w:rFonts w:hint="default" w:ascii="Times New Roman" w:hAnsi="Times New Roman" w:eastAsia="宋体" w:cs="Times New Roman"/>
                <w:color w:val="000000"/>
                <w:kern w:val="0"/>
                <w:sz w:val="24"/>
                <w:szCs w:val="24"/>
                <w:highlight w:val="none"/>
                <w:lang w:val="en-US" w:eastAsia="zh-CN" w:bidi="ar-SA"/>
              </w:rPr>
              <w:t>（3）本项目施工期未使用噪声源强较强的设备，夜间不进行施工作业。</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eastAsia="宋体"/>
                <w:lang w:val="en-US" w:eastAsia="zh-CN"/>
              </w:rPr>
            </w:pPr>
            <w:r>
              <w:rPr>
                <w:rFonts w:hint="eastAsia" w:cs="Times New Roman"/>
                <w:color w:val="000000"/>
                <w:kern w:val="0"/>
                <w:sz w:val="24"/>
                <w:szCs w:val="24"/>
                <w:highlight w:val="none"/>
                <w:lang w:val="en-US" w:eastAsia="zh-CN" w:bidi="ar-SA"/>
              </w:rPr>
              <w:t>（4）</w:t>
            </w:r>
            <w:r>
              <w:rPr>
                <w:rFonts w:hint="default" w:ascii="Times New Roman" w:hAnsi="Times New Roman" w:eastAsia="宋体" w:cs="Times New Roman"/>
                <w:color w:val="000000"/>
                <w:kern w:val="0"/>
                <w:sz w:val="24"/>
                <w:szCs w:val="24"/>
                <w:highlight w:val="none"/>
                <w:lang w:val="en-US" w:eastAsia="zh-CN" w:bidi="ar-SA"/>
              </w:rPr>
              <w:t>施工过程建筑垃圾采取有计划地堆放，按要求分类处置、综合回收利用；施工人员的生活垃圾应定点收集，送环卫部门指定地点处理。</w:t>
            </w:r>
          </w:p>
        </w:tc>
      </w:tr>
    </w:tbl>
    <w:p>
      <w:pPr>
        <w:pStyle w:val="2"/>
        <w:rPr>
          <w:snapToGrid w:val="0"/>
          <w:color w:val="auto"/>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keepNext/>
        <w:keepLines w:val="0"/>
        <w:pageBreakBefore w:val="0"/>
        <w:widowControl/>
        <w:kinsoku/>
        <w:wordWrap/>
        <w:overflowPunct/>
        <w:topLinePunct/>
        <w:autoSpaceDE/>
        <w:autoSpaceDN/>
        <w:bidi w:val="0"/>
        <w:adjustRightInd w:val="0"/>
        <w:snapToGrid w:val="0"/>
        <w:spacing w:line="240" w:lineRule="auto"/>
        <w:ind w:left="0" w:right="0" w:firstLine="422" w:firstLineChars="200"/>
        <w:jc w:val="both"/>
        <w:textAlignment w:val="auto"/>
        <w:rPr>
          <w:rFonts w:hint="eastAsia" w:ascii="Times New Roman" w:hAnsi="Times New Roman" w:eastAsia="宋体" w:cs="Times New Roman"/>
          <w:b/>
          <w:snapToGrid/>
          <w:spacing w:val="0"/>
          <w:kern w:val="0"/>
          <w:position w:val="0"/>
          <w:sz w:val="21"/>
          <w:szCs w:val="21"/>
          <w:lang w:val="en-US" w:eastAsia="zh-CN" w:bidi="ar-SA"/>
        </w:rPr>
      </w:pPr>
      <w:r>
        <w:rPr>
          <w:rFonts w:hint="eastAsia" w:ascii="Times New Roman" w:hAnsi="Times New Roman" w:eastAsia="宋体" w:cs="Times New Roman"/>
          <w:b/>
          <w:snapToGrid/>
          <w:spacing w:val="0"/>
          <w:kern w:val="0"/>
          <w:position w:val="0"/>
          <w:sz w:val="21"/>
          <w:szCs w:val="21"/>
          <w:lang w:val="en-US" w:eastAsia="zh-CN" w:bidi="ar-SA"/>
        </w:rPr>
        <w:t>表4-</w:t>
      </w:r>
      <w:r>
        <w:rPr>
          <w:rFonts w:hint="eastAsia" w:cs="Times New Roman"/>
          <w:b/>
          <w:snapToGrid/>
          <w:spacing w:val="0"/>
          <w:kern w:val="0"/>
          <w:position w:val="0"/>
          <w:sz w:val="21"/>
          <w:szCs w:val="21"/>
          <w:lang w:val="en-US" w:eastAsia="zh-CN" w:bidi="ar-SA"/>
        </w:rPr>
        <w:t>1</w:t>
      </w:r>
      <w:r>
        <w:rPr>
          <w:rFonts w:hint="eastAsia" w:ascii="Times New Roman" w:hAnsi="Times New Roman" w:eastAsia="宋体" w:cs="Times New Roman"/>
          <w:b/>
          <w:snapToGrid/>
          <w:spacing w:val="0"/>
          <w:kern w:val="0"/>
          <w:position w:val="0"/>
          <w:sz w:val="21"/>
          <w:szCs w:val="21"/>
          <w:lang w:val="en-US" w:eastAsia="zh-CN" w:bidi="ar-SA"/>
        </w:rPr>
        <w:t xml:space="preserve">                     本项目废气产排情况一览表</w:t>
      </w:r>
    </w:p>
    <w:tbl>
      <w:tblPr>
        <w:tblStyle w:val="27"/>
        <w:tblW w:w="513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58"/>
        <w:gridCol w:w="496"/>
        <w:gridCol w:w="772"/>
        <w:gridCol w:w="768"/>
        <w:gridCol w:w="768"/>
        <w:gridCol w:w="686"/>
        <w:gridCol w:w="358"/>
        <w:gridCol w:w="358"/>
        <w:gridCol w:w="479"/>
        <w:gridCol w:w="479"/>
        <w:gridCol w:w="358"/>
        <w:gridCol w:w="768"/>
        <w:gridCol w:w="768"/>
        <w:gridCol w:w="615"/>
        <w:gridCol w:w="720"/>
        <w:gridCol w:w="780"/>
        <w:gridCol w:w="495"/>
        <w:gridCol w:w="653"/>
        <w:gridCol w:w="358"/>
        <w:gridCol w:w="360"/>
        <w:gridCol w:w="403"/>
        <w:gridCol w:w="10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厂房</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环节</w:t>
            </w:r>
          </w:p>
        </w:tc>
        <w:tc>
          <w:tcPr>
            <w:tcW w:w="1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污染物</w:t>
            </w:r>
          </w:p>
        </w:tc>
        <w:tc>
          <w:tcPr>
            <w:tcW w:w="28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风机风量（m</w:t>
            </w:r>
            <w:r>
              <w:rPr>
                <w:rFonts w:hint="default" w:ascii="Times New Roman" w:hAnsi="Times New Roman" w:eastAsia="宋体" w:cs="Times New Roman"/>
                <w:sz w:val="21"/>
                <w:szCs w:val="21"/>
                <w:vertAlign w:val="superscript"/>
                <w:lang w:val="en-US" w:eastAsia="zh-CN"/>
              </w:rPr>
              <w:t>3</w:t>
            </w:r>
            <w:r>
              <w:rPr>
                <w:rFonts w:hint="default" w:ascii="Times New Roman" w:hAnsi="Times New Roman" w:eastAsia="宋体" w:cs="Times New Roman"/>
                <w:sz w:val="21"/>
                <w:szCs w:val="21"/>
                <w:lang w:val="en-US" w:eastAsia="zh-CN"/>
              </w:rPr>
              <w:t>/h）</w:t>
            </w:r>
          </w:p>
        </w:tc>
        <w:tc>
          <w:tcPr>
            <w:tcW w:w="817"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产生情况</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排放形式</w:t>
            </w:r>
          </w:p>
        </w:tc>
        <w:tc>
          <w:tcPr>
            <w:tcW w:w="484" w:type="pct"/>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治理情况</w:t>
            </w:r>
          </w:p>
        </w:tc>
        <w:tc>
          <w:tcPr>
            <w:tcW w:w="923" w:type="pct"/>
            <w:gridSpan w:val="4"/>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排放情况</w:t>
            </w:r>
          </w:p>
        </w:tc>
        <w:tc>
          <w:tcPr>
            <w:tcW w:w="1387" w:type="pct"/>
            <w:gridSpan w:val="7"/>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排气筒参数</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rPr>
              <w:t>产生量</w:t>
            </w:r>
            <w:r>
              <w:rPr>
                <w:rFonts w:hint="default" w:ascii="Times New Roman" w:hAnsi="Times New Roman" w:eastAsia="宋体" w:cs="Times New Roman"/>
                <w:sz w:val="21"/>
                <w:szCs w:val="21"/>
                <w:lang w:val="en-US" w:eastAsia="zh-CN"/>
              </w:rPr>
              <w:t>t/a</w:t>
            </w:r>
          </w:p>
        </w:tc>
        <w:tc>
          <w:tcPr>
            <w:tcW w:w="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产生</w:t>
            </w:r>
            <w:r>
              <w:rPr>
                <w:rFonts w:hint="default" w:ascii="Times New Roman" w:hAnsi="Times New Roman" w:eastAsia="宋体" w:cs="Times New Roman"/>
                <w:sz w:val="21"/>
                <w:szCs w:val="21"/>
                <w:lang w:eastAsia="zh-CN"/>
              </w:rPr>
              <w:t>速率</w:t>
            </w:r>
            <w:r>
              <w:rPr>
                <w:rFonts w:hint="default" w:ascii="Times New Roman" w:hAnsi="Times New Roman" w:eastAsia="宋体" w:cs="Times New Roman"/>
                <w:sz w:val="21"/>
                <w:szCs w:val="21"/>
                <w:lang w:val="en-US" w:eastAsia="zh-CN"/>
              </w:rPr>
              <w:t>kg/h</w:t>
            </w:r>
          </w:p>
        </w:tc>
        <w:tc>
          <w:tcPr>
            <w:tcW w:w="25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产生浓度mg/m</w:t>
            </w:r>
            <w:r>
              <w:rPr>
                <w:rFonts w:hint="default" w:ascii="Times New Roman" w:hAnsi="Times New Roman" w:eastAsia="宋体" w:cs="Times New Roman"/>
                <w:sz w:val="21"/>
                <w:szCs w:val="21"/>
                <w:vertAlign w:val="superscript"/>
              </w:rPr>
              <w:t>3</w:t>
            </w: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治理措施</w:t>
            </w:r>
          </w:p>
        </w:tc>
        <w:tc>
          <w:tcPr>
            <w:tcW w:w="17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收集效率</w:t>
            </w:r>
            <w:r>
              <w:rPr>
                <w:rFonts w:hint="default" w:ascii="Times New Roman" w:hAnsi="Times New Roman" w:eastAsia="宋体" w:cs="Times New Roman"/>
                <w:sz w:val="21"/>
                <w:szCs w:val="21"/>
              </w:rPr>
              <w:t>%</w:t>
            </w:r>
          </w:p>
        </w:tc>
        <w:tc>
          <w:tcPr>
            <w:tcW w:w="17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rPr>
              <w:t>去除率%</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是否可行</w:t>
            </w:r>
          </w:p>
        </w:tc>
        <w:tc>
          <w:tcPr>
            <w:tcW w:w="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排放量t/a</w:t>
            </w:r>
          </w:p>
        </w:tc>
        <w:tc>
          <w:tcPr>
            <w:tcW w:w="2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eastAsia="zh-CN"/>
              </w:rPr>
              <w:t>排放速率</w:t>
            </w:r>
            <w:r>
              <w:rPr>
                <w:rFonts w:hint="default" w:ascii="Times New Roman" w:hAnsi="Times New Roman" w:eastAsia="宋体" w:cs="Times New Roman"/>
                <w:sz w:val="21"/>
                <w:szCs w:val="21"/>
                <w:lang w:val="en-US" w:eastAsia="zh-CN"/>
              </w:rPr>
              <w:t>kg/h</w:t>
            </w:r>
          </w:p>
        </w:tc>
        <w:tc>
          <w:tcPr>
            <w:tcW w:w="2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排放浓度mg/m</w:t>
            </w:r>
            <w:r>
              <w:rPr>
                <w:rFonts w:hint="default" w:ascii="Times New Roman" w:hAnsi="Times New Roman" w:eastAsia="宋体" w:cs="Times New Roman"/>
                <w:sz w:val="21"/>
                <w:szCs w:val="21"/>
                <w:vertAlign w:val="superscript"/>
              </w:rPr>
              <w:t>3</w:t>
            </w:r>
          </w:p>
        </w:tc>
        <w:tc>
          <w:tcPr>
            <w:tcW w:w="552"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地理</w:t>
            </w:r>
            <w:r>
              <w:rPr>
                <w:rFonts w:hint="default" w:ascii="Times New Roman" w:hAnsi="Times New Roman" w:eastAsia="宋体" w:cs="Times New Roman"/>
                <w:sz w:val="21"/>
                <w:szCs w:val="21"/>
              </w:rPr>
              <w:t>坐标</w:t>
            </w:r>
          </w:p>
        </w:tc>
        <w:tc>
          <w:tcPr>
            <w:tcW w:w="18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编号</w:t>
            </w:r>
          </w:p>
        </w:tc>
        <w:tc>
          <w:tcPr>
            <w:tcW w:w="24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名称</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类型</w:t>
            </w:r>
          </w:p>
        </w:tc>
        <w:tc>
          <w:tcPr>
            <w:tcW w:w="132"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高度m</w:t>
            </w:r>
          </w:p>
        </w:tc>
        <w:tc>
          <w:tcPr>
            <w:tcW w:w="14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内径</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m</w:t>
            </w:r>
          </w:p>
        </w:tc>
        <w:tc>
          <w:tcPr>
            <w:tcW w:w="39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浓度</w:t>
            </w:r>
            <w:r>
              <w:rPr>
                <w:rFonts w:hint="default" w:ascii="Times New Roman" w:hAnsi="Times New Roman" w:eastAsia="宋体" w:cs="Times New Roman"/>
                <w:sz w:val="21"/>
                <w:szCs w:val="21"/>
              </w:rPr>
              <w:t>mg/m</w:t>
            </w:r>
            <w:r>
              <w:rPr>
                <w:rFonts w:hint="default" w:ascii="Times New Roman" w:hAnsi="Times New Roman" w:eastAsia="宋体" w:cs="Times New Roman"/>
                <w:sz w:val="21"/>
                <w:szCs w:val="21"/>
                <w:vertAlign w:val="superscript"/>
              </w:rPr>
              <w:t>3</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5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7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2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经度</w:t>
            </w:r>
          </w:p>
        </w:tc>
        <w:tc>
          <w:tcPr>
            <w:tcW w:w="2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val="en-US" w:eastAsia="zh-CN"/>
              </w:rPr>
              <w:t>纬度</w:t>
            </w:r>
          </w:p>
        </w:tc>
        <w:tc>
          <w:tcPr>
            <w:tcW w:w="18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24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32"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148"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c>
          <w:tcPr>
            <w:tcW w:w="39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1#厂房</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覆膜、</w:t>
            </w:r>
            <w:r>
              <w:rPr>
                <w:rFonts w:hint="eastAsia" w:cs="Times New Roman"/>
                <w:sz w:val="21"/>
                <w:szCs w:val="21"/>
                <w:lang w:val="en-US" w:eastAsia="zh-CN"/>
              </w:rPr>
              <w:t>缠绕成型</w:t>
            </w:r>
          </w:p>
        </w:tc>
        <w:tc>
          <w:tcPr>
            <w:tcW w:w="1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eastAsia="zh-CN"/>
              </w:rPr>
            </w:pPr>
            <w:r>
              <w:rPr>
                <w:rFonts w:hint="eastAsia" w:cs="Times New Roman"/>
                <w:sz w:val="21"/>
                <w:szCs w:val="21"/>
                <w:lang w:val="en-US" w:eastAsia="zh-CN"/>
              </w:rPr>
              <w:t>非甲烷总烃</w:t>
            </w:r>
          </w:p>
        </w:tc>
        <w:tc>
          <w:tcPr>
            <w:tcW w:w="2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5</w:t>
            </w:r>
            <w:r>
              <w:rPr>
                <w:rFonts w:hint="eastAsia" w:ascii="Times New Roman" w:hAnsi="Times New Roman" w:eastAsia="宋体" w:cs="Times New Roman"/>
                <w:sz w:val="21"/>
                <w:szCs w:val="21"/>
                <w:highlight w:val="none"/>
                <w:lang w:val="en-US" w:eastAsia="zh-CN"/>
              </w:rPr>
              <w:t>000</w:t>
            </w:r>
          </w:p>
        </w:tc>
        <w:tc>
          <w:tcPr>
            <w:tcW w:w="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0.734</w:t>
            </w:r>
          </w:p>
        </w:tc>
        <w:tc>
          <w:tcPr>
            <w:tcW w:w="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0.170</w:t>
            </w:r>
          </w:p>
        </w:tc>
        <w:tc>
          <w:tcPr>
            <w:tcW w:w="25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34</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有组织</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密闭式集气罩+二级活性炭</w:t>
            </w:r>
          </w:p>
        </w:tc>
        <w:tc>
          <w:tcPr>
            <w:tcW w:w="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80</w:t>
            </w:r>
          </w:p>
        </w:tc>
        <w:tc>
          <w:tcPr>
            <w:tcW w:w="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27.75</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是</w:t>
            </w:r>
          </w:p>
        </w:tc>
        <w:tc>
          <w:tcPr>
            <w:tcW w:w="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0.530</w:t>
            </w:r>
          </w:p>
        </w:tc>
        <w:tc>
          <w:tcPr>
            <w:tcW w:w="2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0.123</w:t>
            </w:r>
          </w:p>
        </w:tc>
        <w:tc>
          <w:tcPr>
            <w:tcW w:w="2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cs="Times New Roman"/>
                <w:sz w:val="21"/>
                <w:szCs w:val="21"/>
                <w:highlight w:val="none"/>
                <w:lang w:val="en-US" w:eastAsia="zh-CN"/>
              </w:rPr>
              <w:t>24.6</w:t>
            </w:r>
          </w:p>
        </w:tc>
        <w:tc>
          <w:tcPr>
            <w:tcW w:w="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86°20′4.657″</w:t>
            </w:r>
          </w:p>
        </w:tc>
        <w:tc>
          <w:tcPr>
            <w:tcW w:w="2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41°52′38.144″</w:t>
            </w:r>
          </w:p>
        </w:tc>
        <w:tc>
          <w:tcPr>
            <w:tcW w:w="1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DA001</w:t>
            </w:r>
          </w:p>
        </w:tc>
        <w:tc>
          <w:tcPr>
            <w:tcW w:w="2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1#厂房废气</w:t>
            </w:r>
            <w:r>
              <w:rPr>
                <w:rFonts w:hint="eastAsia" w:ascii="Times New Roman" w:hAnsi="Times New Roman" w:eastAsia="宋体" w:cs="Times New Roman"/>
                <w:sz w:val="21"/>
                <w:szCs w:val="21"/>
                <w:lang w:val="en-US" w:eastAsia="zh-CN"/>
              </w:rPr>
              <w:t>排放口</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一般排放口</w:t>
            </w:r>
          </w:p>
        </w:tc>
        <w:tc>
          <w:tcPr>
            <w:tcW w:w="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w:t>
            </w:r>
          </w:p>
        </w:tc>
        <w:tc>
          <w:tcPr>
            <w:tcW w:w="1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0.4</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非甲烷总烃</w:t>
            </w:r>
          </w:p>
        </w:tc>
        <w:tc>
          <w:tcPr>
            <w:tcW w:w="28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2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0.183</w:t>
            </w:r>
          </w:p>
        </w:tc>
        <w:tc>
          <w:tcPr>
            <w:tcW w:w="2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yellow"/>
                <w:lang w:val="en-US" w:eastAsia="zh-CN" w:bidi="ar-SA"/>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0424</w:t>
            </w:r>
          </w:p>
        </w:tc>
        <w:tc>
          <w:tcPr>
            <w:tcW w:w="25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yellow"/>
                <w:lang w:val="en-US" w:eastAsia="zh-CN" w:bidi="ar-SA"/>
              </w:rPr>
            </w:pPr>
            <w:r>
              <w:rPr>
                <w:rFonts w:hint="eastAsia" w:ascii="Times New Roman" w:hAnsi="Times New Roman" w:eastAsia="宋体" w:cs="Times New Roman"/>
                <w:sz w:val="21"/>
                <w:szCs w:val="21"/>
                <w:highlight w:val="none"/>
                <w:lang w:val="en-US" w:eastAsia="zh-CN"/>
              </w:rPr>
              <w:t>/</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无组织</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密闭厂房</w:t>
            </w:r>
          </w:p>
        </w:tc>
        <w:tc>
          <w:tcPr>
            <w:tcW w:w="17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7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0.183</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yellow"/>
                <w:lang w:val="en-US" w:eastAsia="zh-CN" w:bidi="ar-SA"/>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0424</w:t>
            </w:r>
          </w:p>
        </w:tc>
        <w:tc>
          <w:tcPr>
            <w:tcW w:w="22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w:t>
            </w:r>
          </w:p>
        </w:tc>
        <w:tc>
          <w:tcPr>
            <w:tcW w:w="26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28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lang w:val="en-US" w:eastAsia="zh-CN"/>
              </w:rPr>
              <w:t>/</w:t>
            </w:r>
          </w:p>
        </w:tc>
        <w:tc>
          <w:tcPr>
            <w:tcW w:w="1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2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3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1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w:t>
            </w:r>
          </w:p>
        </w:tc>
        <w:tc>
          <w:tcPr>
            <w:tcW w:w="3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highlight w:val="none"/>
                <w:lang w:val="en-US" w:eastAsia="zh-CN"/>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lang w:val="en-US" w:eastAsia="zh-CN"/>
              </w:rPr>
              <w:t>2#厂房</w:t>
            </w:r>
          </w:p>
        </w:tc>
        <w:tc>
          <w:tcPr>
            <w:tcW w:w="131"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挤出成型</w:t>
            </w:r>
          </w:p>
        </w:tc>
        <w:tc>
          <w:tcPr>
            <w:tcW w:w="1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非甲烷总烃</w:t>
            </w:r>
          </w:p>
        </w:tc>
        <w:tc>
          <w:tcPr>
            <w:tcW w:w="28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5000</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0.821</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yellow"/>
                <w:lang w:val="en-US" w:eastAsia="zh-CN" w:bidi="ar-SA"/>
              </w:rPr>
            </w:pPr>
            <w:r>
              <w:rPr>
                <w:rFonts w:hint="eastAsia" w:cs="Times New Roman"/>
                <w:sz w:val="21"/>
                <w:szCs w:val="21"/>
                <w:highlight w:val="none"/>
                <w:lang w:val="en-US" w:eastAsia="zh-CN"/>
              </w:rPr>
              <w:t>0.190</w:t>
            </w:r>
          </w:p>
        </w:tc>
        <w:tc>
          <w:tcPr>
            <w:tcW w:w="686"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yellow"/>
                <w:lang w:val="en-US" w:eastAsia="zh-CN" w:bidi="ar-SA"/>
              </w:rPr>
            </w:pPr>
            <w:r>
              <w:rPr>
                <w:rFonts w:hint="eastAsia" w:cs="Times New Roman"/>
                <w:sz w:val="21"/>
                <w:szCs w:val="21"/>
                <w:highlight w:val="none"/>
                <w:lang w:val="en-US" w:eastAsia="zh-CN"/>
              </w:rPr>
              <w:t>38</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有组织</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cs="Times New Roman"/>
                <w:sz w:val="21"/>
                <w:szCs w:val="21"/>
                <w:lang w:val="en-US" w:eastAsia="zh-CN"/>
              </w:rPr>
              <w:t>密闭式集气罩+二级活性炭</w:t>
            </w:r>
          </w:p>
        </w:tc>
        <w:tc>
          <w:tcPr>
            <w:tcW w:w="17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lang w:val="en-US" w:eastAsia="zh-CN"/>
              </w:rPr>
              <w:t>80</w:t>
            </w:r>
          </w:p>
        </w:tc>
        <w:tc>
          <w:tcPr>
            <w:tcW w:w="17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27.75</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highlight w:val="none"/>
                <w:lang w:val="en-US" w:eastAsia="zh-CN" w:bidi="ar-SA"/>
              </w:rPr>
            </w:pPr>
            <w:r>
              <w:rPr>
                <w:rFonts w:hint="eastAsia" w:ascii="Times New Roman" w:hAnsi="Times New Roman" w:eastAsia="宋体" w:cs="Times New Roman"/>
                <w:sz w:val="21"/>
                <w:szCs w:val="21"/>
                <w:highlight w:val="none"/>
                <w:lang w:val="en-US" w:eastAsia="zh-CN"/>
              </w:rPr>
              <w:t>是</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0.593</w:t>
            </w:r>
          </w:p>
        </w:tc>
        <w:tc>
          <w:tcPr>
            <w:tcW w:w="768"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0.137</w:t>
            </w:r>
          </w:p>
        </w:tc>
        <w:tc>
          <w:tcPr>
            <w:tcW w:w="615" w:type="dxa"/>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sz w:val="21"/>
                <w:szCs w:val="21"/>
                <w:highlight w:val="none"/>
                <w:lang w:val="en-US" w:eastAsia="zh-CN"/>
              </w:rPr>
              <w:t>27.4</w:t>
            </w:r>
          </w:p>
        </w:tc>
        <w:tc>
          <w:tcPr>
            <w:tcW w:w="26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86°20′5.999″</w:t>
            </w:r>
          </w:p>
        </w:tc>
        <w:tc>
          <w:tcPr>
            <w:tcW w:w="287"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kern w:val="2"/>
                <w:sz w:val="21"/>
                <w:szCs w:val="21"/>
                <w:lang w:val="en-US" w:eastAsia="zh-CN" w:bidi="ar-SA"/>
              </w:rPr>
              <w:t>41°52′37.903″</w:t>
            </w:r>
          </w:p>
        </w:tc>
        <w:tc>
          <w:tcPr>
            <w:tcW w:w="18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DA002</w:t>
            </w:r>
          </w:p>
        </w:tc>
        <w:tc>
          <w:tcPr>
            <w:tcW w:w="24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2#厂房</w:t>
            </w:r>
            <w:r>
              <w:rPr>
                <w:rFonts w:hint="eastAsia" w:cs="Times New Roman"/>
                <w:sz w:val="21"/>
                <w:szCs w:val="21"/>
                <w:lang w:val="en-US" w:eastAsia="zh-CN"/>
              </w:rPr>
              <w:t>废气</w:t>
            </w:r>
            <w:r>
              <w:rPr>
                <w:rFonts w:hint="eastAsia" w:ascii="Times New Roman" w:hAnsi="Times New Roman" w:eastAsia="宋体" w:cs="Times New Roman"/>
                <w:sz w:val="21"/>
                <w:szCs w:val="21"/>
                <w:lang w:val="en-US" w:eastAsia="zh-CN"/>
              </w:rPr>
              <w:t>排放口</w:t>
            </w:r>
          </w:p>
        </w:tc>
        <w:tc>
          <w:tcPr>
            <w:tcW w:w="13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一般排放口</w:t>
            </w:r>
          </w:p>
        </w:tc>
        <w:tc>
          <w:tcPr>
            <w:tcW w:w="132"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15</w:t>
            </w:r>
          </w:p>
        </w:tc>
        <w:tc>
          <w:tcPr>
            <w:tcW w:w="14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sz w:val="21"/>
                <w:szCs w:val="21"/>
                <w:lang w:val="en-US" w:eastAsia="zh-CN"/>
              </w:rPr>
              <w:t>0.4</w:t>
            </w:r>
          </w:p>
        </w:tc>
        <w:tc>
          <w:tcPr>
            <w:tcW w:w="39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kern w:val="2"/>
                <w:sz w:val="21"/>
                <w:szCs w:val="21"/>
                <w:lang w:val="en-US" w:eastAsia="zh-CN" w:bidi="ar-SA"/>
              </w:rPr>
            </w:pPr>
            <w:r>
              <w:rPr>
                <w:rFonts w:hint="eastAsia" w:cs="Times New Roman"/>
                <w:sz w:val="21"/>
                <w:szCs w:val="21"/>
                <w:highlight w:val="none"/>
                <w:lang w:val="en-US" w:eastAsia="zh-CN"/>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63"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p>
        </w:tc>
        <w:tc>
          <w:tcPr>
            <w:tcW w:w="131"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p>
        </w:tc>
        <w:tc>
          <w:tcPr>
            <w:tcW w:w="1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cs="Times New Roman"/>
                <w:sz w:val="21"/>
                <w:szCs w:val="21"/>
                <w:lang w:val="en-US" w:eastAsia="zh-CN"/>
              </w:rPr>
              <w:t>非甲烷总烃</w:t>
            </w:r>
          </w:p>
        </w:tc>
        <w:tc>
          <w:tcPr>
            <w:tcW w:w="28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205</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0471</w:t>
            </w:r>
          </w:p>
        </w:tc>
        <w:tc>
          <w:tcPr>
            <w:tcW w:w="68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无组织</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密闭厂房</w:t>
            </w:r>
          </w:p>
        </w:tc>
        <w:tc>
          <w:tcPr>
            <w:tcW w:w="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7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205</w:t>
            </w:r>
          </w:p>
        </w:tc>
        <w:tc>
          <w:tcPr>
            <w:tcW w:w="76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highlight w:val="yellow"/>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0471</w:t>
            </w:r>
          </w:p>
        </w:tc>
        <w:tc>
          <w:tcPr>
            <w:tcW w:w="6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6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8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24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3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32"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14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w:t>
            </w:r>
          </w:p>
        </w:tc>
        <w:tc>
          <w:tcPr>
            <w:tcW w:w="39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sz w:val="21"/>
                <w:szCs w:val="21"/>
                <w:lang w:val="en-US" w:eastAsia="zh-CN"/>
              </w:rPr>
            </w:pPr>
            <w:r>
              <w:rPr>
                <w:rFonts w:hint="eastAsia" w:cs="Times New Roman"/>
                <w:sz w:val="21"/>
                <w:szCs w:val="21"/>
                <w:highlight w:val="none"/>
                <w:lang w:val="en-US" w:eastAsia="zh-CN"/>
              </w:rPr>
              <w:t>4.0</w:t>
            </w:r>
          </w:p>
        </w:tc>
      </w:tr>
    </w:tbl>
    <w:p>
      <w:pPr>
        <w:keepNext/>
        <w:keepLines w:val="0"/>
        <w:pageBreakBefore w:val="0"/>
        <w:widowControl/>
        <w:kinsoku/>
        <w:wordWrap/>
        <w:overflowPunct/>
        <w:topLinePunct/>
        <w:autoSpaceDE/>
        <w:autoSpaceDN/>
        <w:bidi w:val="0"/>
        <w:adjustRightInd w:val="0"/>
        <w:snapToGrid w:val="0"/>
        <w:spacing w:line="240" w:lineRule="auto"/>
        <w:ind w:left="0" w:right="0" w:firstLine="482" w:firstLineChars="200"/>
        <w:jc w:val="both"/>
        <w:textAlignment w:val="auto"/>
        <w:rPr>
          <w:rFonts w:hint="eastAsia" w:ascii="Times New Roman" w:hAnsi="Times New Roman" w:eastAsia="宋体" w:cs="Times New Roman"/>
          <w:b/>
          <w:snapToGrid/>
          <w:spacing w:val="0"/>
          <w:kern w:val="0"/>
          <w:position w:val="0"/>
          <w:sz w:val="24"/>
          <w:szCs w:val="24"/>
          <w:lang w:val="en-US" w:eastAsia="zh-CN" w:bidi="ar-SA"/>
        </w:rPr>
      </w:pPr>
    </w:p>
    <w:p>
      <w:pPr>
        <w:keepNext/>
        <w:keepLines w:val="0"/>
        <w:pageBreakBefore w:val="0"/>
        <w:widowControl/>
        <w:kinsoku/>
        <w:wordWrap/>
        <w:overflowPunct/>
        <w:topLinePunct/>
        <w:autoSpaceDE/>
        <w:autoSpaceDN/>
        <w:bidi w:val="0"/>
        <w:adjustRightInd w:val="0"/>
        <w:snapToGrid w:val="0"/>
        <w:spacing w:line="240" w:lineRule="auto"/>
        <w:ind w:left="0" w:right="0" w:firstLine="482" w:firstLineChars="200"/>
        <w:jc w:val="both"/>
        <w:textAlignment w:val="auto"/>
        <w:rPr>
          <w:rFonts w:hint="default" w:ascii="Times New Roman" w:hAnsi="Times New Roman" w:eastAsia="宋体" w:cs="Times New Roman"/>
          <w:b/>
          <w:snapToGrid/>
          <w:spacing w:val="0"/>
          <w:kern w:val="0"/>
          <w:position w:val="0"/>
          <w:sz w:val="24"/>
          <w:szCs w:val="24"/>
          <w:lang w:val="en-US" w:eastAsia="zh-CN" w:bidi="ar-SA"/>
        </w:rPr>
      </w:pPr>
    </w:p>
    <w:p>
      <w:p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108" w:type="dxa"/>
          <w:bottom w:w="0" w:type="dxa"/>
          <w:right w:w="108" w:type="dxa"/>
        </w:tblCellMar>
      </w:tblPr>
      <w:tblGrid>
        <w:gridCol w:w="478"/>
        <w:gridCol w:w="858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CellMar>
            <w:top w:w="0" w:type="dxa"/>
            <w:left w:w="108" w:type="dxa"/>
            <w:bottom w:w="0" w:type="dxa"/>
            <w:right w:w="108" w:type="dxa"/>
          </w:tblCellMar>
        </w:tblPrEx>
        <w:tc>
          <w:tcPr>
            <w:tcW w:w="478" w:type="dxa"/>
            <w:tcBorders>
              <w:tl2br w:val="nil"/>
              <w:tr2bl w:val="nil"/>
            </w:tcBorders>
            <w:vAlign w:val="top"/>
          </w:tcPr>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b/>
                <w:bCs/>
                <w:vertAlign w:val="baseline"/>
              </w:rPr>
            </w:pPr>
            <w:r>
              <w:rPr>
                <w:b/>
                <w:bCs/>
                <w:vertAlign w:val="baseline"/>
              </w:rPr>
              <w:t>运营</w:t>
            </w:r>
          </w:p>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b/>
                <w:bCs/>
                <w:vertAlign w:val="baseline"/>
              </w:rPr>
            </w:pPr>
            <w:r>
              <w:rPr>
                <w:b/>
                <w:bCs/>
                <w:vertAlign w:val="baseline"/>
              </w:rPr>
              <w:t>期环</w:t>
            </w:r>
          </w:p>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b/>
                <w:bCs/>
                <w:vertAlign w:val="baseline"/>
              </w:rPr>
            </w:pPr>
            <w:r>
              <w:rPr>
                <w:b/>
                <w:bCs/>
                <w:vertAlign w:val="baseline"/>
              </w:rPr>
              <w:t>境影</w:t>
            </w:r>
          </w:p>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b/>
                <w:bCs/>
                <w:vertAlign w:val="baseline"/>
              </w:rPr>
            </w:pPr>
            <w:r>
              <w:rPr>
                <w:b/>
                <w:bCs/>
                <w:vertAlign w:val="baseline"/>
              </w:rPr>
              <w:t>响和</w:t>
            </w:r>
          </w:p>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b/>
                <w:bCs/>
                <w:vertAlign w:val="baseline"/>
              </w:rPr>
            </w:pPr>
            <w:r>
              <w:rPr>
                <w:b/>
                <w:bCs/>
                <w:vertAlign w:val="baseline"/>
              </w:rPr>
              <w:t>保护</w:t>
            </w:r>
          </w:p>
          <w:p>
            <w:pPr>
              <w:pStyle w:val="35"/>
              <w:keepNext w:val="0"/>
              <w:keepLines w:val="0"/>
              <w:pageBreakBefore w:val="0"/>
              <w:widowControl w:val="0"/>
              <w:kinsoku/>
              <w:wordWrap/>
              <w:overflowPunct/>
              <w:topLinePunct w:val="0"/>
              <w:autoSpaceDE/>
              <w:autoSpaceDN/>
              <w:bidi w:val="0"/>
              <w:adjustRightInd/>
              <w:snapToGrid/>
              <w:ind w:firstLine="0" w:firstLineChars="0"/>
              <w:textAlignment w:val="auto"/>
              <w:rPr>
                <w:vertAlign w:val="baseline"/>
              </w:rPr>
            </w:pPr>
            <w:r>
              <w:rPr>
                <w:b/>
                <w:bCs/>
                <w:vertAlign w:val="baseline"/>
              </w:rPr>
              <w:t>措施</w:t>
            </w:r>
          </w:p>
        </w:tc>
        <w:tc>
          <w:tcPr>
            <w:tcW w:w="8583" w:type="dxa"/>
            <w:tcBorders>
              <w:tl2br w:val="nil"/>
              <w:tr2bl w:val="nil"/>
            </w:tcBorders>
            <w:vAlign w:val="top"/>
          </w:tcPr>
          <w:p>
            <w:pPr>
              <w:adjustRightInd w:val="0"/>
              <w:snapToGrid w:val="0"/>
              <w:rPr>
                <w:rFonts w:ascii="Times New Roman" w:hAnsi="Times New Roman" w:eastAsia="宋体" w:cs="Times New Roman"/>
                <w:color w:val="000000"/>
              </w:rPr>
            </w:pPr>
            <w:r>
              <w:rPr>
                <w:rFonts w:ascii="Times New Roman" w:hAnsi="Times New Roman" w:eastAsia="宋体" w:cs="Times New Roman"/>
                <w:b/>
                <w:bCs/>
                <w:color w:val="000000"/>
              </w:rPr>
              <w:t>1废气</w:t>
            </w:r>
          </w:p>
          <w:p>
            <w:pPr>
              <w:adjustRightInd w:val="0"/>
              <w:snapToGrid w:val="0"/>
              <w:rPr>
                <w:rFonts w:ascii="Times New Roman" w:hAnsi="Times New Roman" w:eastAsia="宋体" w:cs="Times New Roman"/>
                <w:b/>
                <w:bCs/>
                <w:color w:val="000000"/>
              </w:rPr>
            </w:pPr>
            <w:r>
              <w:rPr>
                <w:rFonts w:ascii="Times New Roman" w:hAnsi="Times New Roman" w:eastAsia="宋体" w:cs="Times New Roman"/>
                <w:b/>
                <w:bCs/>
                <w:color w:val="000000"/>
              </w:rPr>
              <w:t>1.1废气源强核算</w:t>
            </w:r>
          </w:p>
          <w:p>
            <w:pPr>
              <w:adjustRightInd w:val="0"/>
              <w:snapToGrid w:val="0"/>
              <w:ind w:firstLine="480" w:firstLineChars="200"/>
              <w:rPr>
                <w:rFonts w:hint="eastAsia" w:ascii="Times New Roman" w:hAnsi="Times New Roman" w:eastAsia="宋体" w:cs="Times New Roman"/>
                <w:color w:val="000000"/>
                <w:lang w:val="en-US" w:eastAsia="zh-CN"/>
              </w:rPr>
            </w:pPr>
            <w:r>
              <w:rPr>
                <w:rFonts w:hint="eastAsia" w:ascii="Times New Roman" w:hAnsi="Times New Roman" w:eastAsia="宋体" w:cs="Times New Roman"/>
                <w:color w:val="000000"/>
              </w:rPr>
              <w:t>（1）</w:t>
            </w:r>
            <w:r>
              <w:rPr>
                <w:rFonts w:hint="eastAsia" w:cs="Times New Roman"/>
                <w:color w:val="000000"/>
                <w:lang w:val="en-US" w:eastAsia="zh-CN"/>
              </w:rPr>
              <w:t>1#</w:t>
            </w:r>
            <w:r>
              <w:rPr>
                <w:rFonts w:hint="eastAsia" w:ascii="Times New Roman" w:hAnsi="Times New Roman" w:eastAsia="宋体" w:cs="Times New Roman"/>
                <w:color w:val="000000"/>
                <w:lang w:val="en-US" w:eastAsia="zh-CN"/>
              </w:rPr>
              <w:t>厂房</w:t>
            </w:r>
            <w:r>
              <w:rPr>
                <w:rFonts w:hint="eastAsia" w:cs="Times New Roman"/>
                <w:color w:val="000000"/>
                <w:lang w:val="en-US" w:eastAsia="zh-CN"/>
              </w:rPr>
              <w:t>覆膜、挤出缠绕</w:t>
            </w:r>
            <w:r>
              <w:rPr>
                <w:rFonts w:hint="eastAsia" w:ascii="Times New Roman" w:hAnsi="Times New Roman" w:eastAsia="宋体" w:cs="Times New Roman"/>
                <w:color w:val="000000"/>
                <w:lang w:val="en-US" w:eastAsia="zh-CN"/>
              </w:rPr>
              <w:t>废气</w:t>
            </w:r>
          </w:p>
          <w:p>
            <w:pPr>
              <w:keepNext w:val="0"/>
              <w:keepLines w:val="0"/>
              <w:widowControl/>
              <w:suppressLineNumbers w:val="0"/>
              <w:ind w:firstLine="480" w:firstLineChars="200"/>
              <w:jc w:val="both"/>
              <w:rPr>
                <w:rFonts w:hint="default" w:ascii="Times New Roman" w:hAnsi="Times New Roman" w:eastAsia="宋体" w:cs="Times New Roman"/>
                <w:bCs/>
                <w:color w:val="000000"/>
                <w:lang w:eastAsia="zh-CN"/>
              </w:rPr>
            </w:pPr>
            <w:r>
              <w:rPr>
                <w:rFonts w:hint="default" w:ascii="Times New Roman" w:hAnsi="Times New Roman" w:eastAsia="宋体" w:cs="Times New Roman"/>
                <w:color w:val="000000"/>
                <w:kern w:val="0"/>
                <w:sz w:val="24"/>
                <w:szCs w:val="24"/>
                <w:lang w:val="en-US" w:eastAsia="zh-CN" w:bidi="ar"/>
              </w:rPr>
              <w:t>本项目钢带波纹管生产过程</w:t>
            </w:r>
            <w:r>
              <w:rPr>
                <w:rFonts w:hint="default" w:ascii="Times New Roman" w:hAnsi="Times New Roman" w:eastAsia="宋体" w:cs="Times New Roman"/>
                <w:bCs/>
                <w:color w:val="000000"/>
                <w:lang w:val="en-US" w:eastAsia="zh-CN"/>
              </w:rPr>
              <w:t>覆膜</w:t>
            </w:r>
            <w:r>
              <w:rPr>
                <w:rFonts w:hint="default" w:ascii="Times New Roman" w:hAnsi="Times New Roman" w:eastAsia="宋体" w:cs="Times New Roman"/>
                <w:bCs/>
                <w:color w:val="000000"/>
              </w:rPr>
              <w:t>工序</w:t>
            </w:r>
            <w:r>
              <w:rPr>
                <w:rFonts w:hint="default" w:ascii="Times New Roman" w:hAnsi="Times New Roman" w:eastAsia="宋体" w:cs="Times New Roman"/>
                <w:bCs/>
                <w:color w:val="000000"/>
                <w:lang w:val="en-US" w:eastAsia="zh-CN"/>
              </w:rPr>
              <w:t>是将粘接树脂融化后通过</w:t>
            </w:r>
            <w:r>
              <w:rPr>
                <w:rFonts w:hint="default" w:ascii="Times New Roman" w:hAnsi="Times New Roman" w:eastAsia="宋体" w:cs="Times New Roman"/>
                <w:bCs/>
                <w:color w:val="000000"/>
              </w:rPr>
              <w:t>喷涂设备均匀的喷至钢</w:t>
            </w:r>
            <w:r>
              <w:rPr>
                <w:rFonts w:hint="default" w:ascii="Times New Roman" w:hAnsi="Times New Roman" w:eastAsia="宋体" w:cs="Times New Roman"/>
                <w:bCs/>
                <w:color w:val="000000"/>
                <w:lang w:val="en-US" w:eastAsia="zh-CN"/>
              </w:rPr>
              <w:t>片</w:t>
            </w:r>
            <w:r>
              <w:rPr>
                <w:rFonts w:hint="default" w:ascii="Times New Roman" w:hAnsi="Times New Roman" w:eastAsia="宋体" w:cs="Times New Roman"/>
                <w:bCs/>
                <w:color w:val="000000"/>
              </w:rPr>
              <w:t>表面，喷</w:t>
            </w:r>
            <w:r>
              <w:rPr>
                <w:rFonts w:hint="default" w:ascii="Times New Roman" w:hAnsi="Times New Roman" w:eastAsia="宋体" w:cs="Times New Roman"/>
                <w:bCs/>
                <w:color w:val="000000"/>
                <w:lang w:val="en-US" w:eastAsia="zh-CN"/>
              </w:rPr>
              <w:t>涂</w:t>
            </w:r>
            <w:r>
              <w:rPr>
                <w:rFonts w:hint="default" w:ascii="Times New Roman" w:hAnsi="Times New Roman" w:eastAsia="宋体" w:cs="Times New Roman"/>
                <w:bCs/>
                <w:color w:val="000000"/>
              </w:rPr>
              <w:t>废气参考《排放源统计调查产排污核算方法和系数手册》中“机械行业系数手册”提及的喷塑后烘干过程的产污系数非甲烷总烃1.20千克/吨-原料，本项目使用的</w:t>
            </w:r>
            <w:r>
              <w:rPr>
                <w:rFonts w:hint="default" w:ascii="Times New Roman" w:hAnsi="Times New Roman" w:eastAsia="宋体" w:cs="Times New Roman"/>
                <w:bCs/>
                <w:color w:val="000000"/>
                <w:lang w:val="en-US" w:eastAsia="zh-CN"/>
              </w:rPr>
              <w:t>粘接树脂</w:t>
            </w:r>
            <w:r>
              <w:rPr>
                <w:rFonts w:hint="default" w:ascii="Times New Roman" w:hAnsi="Times New Roman" w:eastAsia="宋体" w:cs="Times New Roman"/>
                <w:bCs/>
                <w:color w:val="000000"/>
              </w:rPr>
              <w:t>重量约为</w:t>
            </w:r>
            <w:r>
              <w:rPr>
                <w:rFonts w:hint="default" w:ascii="Times New Roman" w:hAnsi="Times New Roman" w:eastAsia="宋体" w:cs="Times New Roman"/>
                <w:bCs/>
                <w:color w:val="000000"/>
                <w:lang w:val="en-US" w:eastAsia="zh-CN"/>
              </w:rPr>
              <w:t>96</w:t>
            </w:r>
            <w:r>
              <w:rPr>
                <w:rFonts w:hint="default" w:ascii="Times New Roman" w:hAnsi="Times New Roman" w:eastAsia="宋体" w:cs="Times New Roman"/>
                <w:bCs/>
                <w:color w:val="000000"/>
              </w:rPr>
              <w:t>t/a，则本项目</w:t>
            </w:r>
            <w:r>
              <w:rPr>
                <w:rFonts w:hint="default" w:ascii="Times New Roman" w:hAnsi="Times New Roman" w:eastAsia="宋体" w:cs="Times New Roman"/>
                <w:bCs/>
                <w:color w:val="000000"/>
                <w:lang w:val="en-US" w:eastAsia="zh-CN"/>
              </w:rPr>
              <w:t>粘接树脂</w:t>
            </w:r>
            <w:r>
              <w:rPr>
                <w:rFonts w:hint="default" w:ascii="Times New Roman" w:hAnsi="Times New Roman" w:eastAsia="宋体" w:cs="Times New Roman"/>
                <w:bCs/>
                <w:color w:val="000000"/>
              </w:rPr>
              <w:t>喷涂过程产生的非甲烷总烃为</w:t>
            </w:r>
            <w:r>
              <w:rPr>
                <w:rFonts w:hint="default" w:ascii="Times New Roman" w:hAnsi="Times New Roman" w:eastAsia="宋体" w:cs="Times New Roman"/>
                <w:bCs/>
                <w:color w:val="000000"/>
                <w:lang w:val="en-US" w:eastAsia="zh-CN"/>
              </w:rPr>
              <w:t>0.115</w:t>
            </w:r>
            <w:r>
              <w:rPr>
                <w:rFonts w:hint="default" w:ascii="Times New Roman" w:hAnsi="Times New Roman" w:eastAsia="宋体" w:cs="Times New Roman"/>
                <w:bCs/>
                <w:color w:val="000000"/>
              </w:rPr>
              <w:t>t/a</w:t>
            </w:r>
            <w:r>
              <w:rPr>
                <w:rFonts w:hint="default" w:ascii="Times New Roman" w:hAnsi="Times New Roman" w:eastAsia="宋体" w:cs="Times New Roman"/>
                <w:bCs/>
                <w:color w:val="000000"/>
                <w:lang w:eastAsia="zh-CN"/>
              </w:rPr>
              <w:t>。</w:t>
            </w:r>
          </w:p>
          <w:p>
            <w:pPr>
              <w:keepNext w:val="0"/>
              <w:keepLines w:val="0"/>
              <w:widowControl/>
              <w:suppressLineNumbers w:val="0"/>
              <w:ind w:firstLine="480" w:firstLineChars="200"/>
              <w:jc w:val="both"/>
              <w:rPr>
                <w:rFonts w:hint="default" w:ascii="Times New Roman" w:hAnsi="Times New Roman" w:eastAsia="宋体" w:cs="Times New Roman"/>
                <w:bCs/>
                <w:color w:val="000000"/>
              </w:rPr>
            </w:pPr>
            <w:r>
              <w:rPr>
                <w:rFonts w:hint="default" w:ascii="Times New Roman" w:hAnsi="Times New Roman" w:eastAsia="宋体" w:cs="Times New Roman"/>
                <w:bCs/>
                <w:color w:val="000000"/>
              </w:rPr>
              <w:t>本项目生产的</w:t>
            </w:r>
            <w:r>
              <w:rPr>
                <w:rFonts w:hint="default" w:ascii="Times New Roman" w:hAnsi="Times New Roman" w:eastAsia="宋体" w:cs="Times New Roman"/>
                <w:bCs/>
                <w:color w:val="000000"/>
                <w:lang w:val="en-US" w:eastAsia="zh-CN"/>
              </w:rPr>
              <w:t>钢带波纹</w:t>
            </w:r>
            <w:r>
              <w:rPr>
                <w:rFonts w:hint="default" w:ascii="Times New Roman" w:hAnsi="Times New Roman" w:eastAsia="宋体" w:cs="Times New Roman"/>
                <w:bCs/>
                <w:color w:val="000000"/>
              </w:rPr>
              <w:t>管部分采用</w:t>
            </w:r>
            <w:r>
              <w:rPr>
                <w:rFonts w:hint="default" w:ascii="Times New Roman" w:hAnsi="Times New Roman" w:eastAsia="宋体" w:cs="Times New Roman"/>
                <w:bCs/>
                <w:color w:val="000000"/>
                <w:lang w:val="en-US" w:eastAsia="zh-CN"/>
              </w:rPr>
              <w:t>PE</w:t>
            </w:r>
            <w:r>
              <w:rPr>
                <w:rFonts w:hint="default" w:ascii="Times New Roman" w:hAnsi="Times New Roman" w:eastAsia="宋体" w:cs="Times New Roman"/>
                <w:bCs/>
                <w:color w:val="000000"/>
              </w:rPr>
              <w:t>缠绕的方式进行生产，生产过程中</w:t>
            </w:r>
            <w:r>
              <w:rPr>
                <w:rFonts w:hint="default" w:ascii="Times New Roman" w:hAnsi="Times New Roman" w:eastAsia="宋体" w:cs="Times New Roman"/>
                <w:bCs/>
                <w:color w:val="000000"/>
                <w:lang w:val="en-US" w:eastAsia="zh-CN"/>
              </w:rPr>
              <w:t>将</w:t>
            </w:r>
            <w:r>
              <w:rPr>
                <w:rFonts w:hint="default" w:ascii="Times New Roman" w:hAnsi="Times New Roman" w:eastAsia="宋体" w:cs="Times New Roman"/>
                <w:bCs/>
                <w:color w:val="000000"/>
              </w:rPr>
              <w:t>PE</w:t>
            </w:r>
            <w:r>
              <w:rPr>
                <w:rFonts w:hint="default" w:ascii="Times New Roman" w:hAnsi="Times New Roman" w:eastAsia="宋体" w:cs="Times New Roman"/>
                <w:bCs/>
                <w:color w:val="000000"/>
                <w:lang w:val="en-US" w:eastAsia="zh-CN"/>
              </w:rPr>
              <w:t>树脂</w:t>
            </w:r>
            <w:r>
              <w:rPr>
                <w:rFonts w:hint="default" w:ascii="Times New Roman" w:hAnsi="Times New Roman" w:eastAsia="宋体" w:cs="Times New Roman"/>
                <w:bCs/>
                <w:color w:val="000000"/>
              </w:rPr>
              <w:t>使用电加</w:t>
            </w:r>
            <w:r>
              <w:rPr>
                <w:rFonts w:hint="default" w:ascii="Times New Roman" w:hAnsi="Times New Roman" w:eastAsia="宋体" w:cs="Times New Roman"/>
                <w:bCs/>
                <w:color w:val="000000"/>
                <w:lang w:val="en-US" w:eastAsia="zh-CN"/>
              </w:rPr>
              <w:t>热</w:t>
            </w:r>
            <w:r>
              <w:rPr>
                <w:rFonts w:hint="default" w:ascii="Times New Roman" w:hAnsi="Times New Roman" w:eastAsia="宋体" w:cs="Times New Roman"/>
                <w:bCs/>
                <w:color w:val="000000"/>
              </w:rPr>
              <w:t>挤出缠绕至钢</w:t>
            </w:r>
            <w:r>
              <w:rPr>
                <w:rFonts w:hint="default" w:ascii="Times New Roman" w:hAnsi="Times New Roman" w:eastAsia="宋体" w:cs="Times New Roman"/>
                <w:bCs/>
                <w:color w:val="000000"/>
                <w:lang w:val="en-US" w:eastAsia="zh-CN"/>
              </w:rPr>
              <w:t>带</w:t>
            </w:r>
            <w:r>
              <w:rPr>
                <w:rFonts w:hint="default" w:ascii="Times New Roman" w:hAnsi="Times New Roman" w:eastAsia="宋体" w:cs="Times New Roman"/>
                <w:bCs/>
                <w:color w:val="000000"/>
              </w:rPr>
              <w:t>表面。产生的废气参考《排放源统计调查产排污核算方法和系数手册》—</w:t>
            </w:r>
            <w:r>
              <w:rPr>
                <w:rFonts w:hint="default" w:ascii="Times New Roman" w:hAnsi="Times New Roman" w:eastAsia="宋体" w:cs="Times New Roman"/>
                <w:bCs/>
                <w:color w:val="000000"/>
                <w:lang w:eastAsia="zh-CN"/>
              </w:rPr>
              <w:t>“</w:t>
            </w:r>
            <w:r>
              <w:rPr>
                <w:rFonts w:hint="default" w:ascii="Times New Roman" w:hAnsi="Times New Roman" w:eastAsia="宋体" w:cs="Times New Roman"/>
                <w:bCs/>
                <w:color w:val="000000"/>
              </w:rPr>
              <w:t>3金属制品业系数手册</w:t>
            </w:r>
            <w:r>
              <w:rPr>
                <w:rFonts w:hint="default" w:ascii="Times New Roman" w:hAnsi="Times New Roman" w:eastAsia="宋体" w:cs="Times New Roman"/>
                <w:bCs/>
                <w:color w:val="000000"/>
                <w:lang w:eastAsia="zh-CN"/>
              </w:rPr>
              <w:t>”</w:t>
            </w:r>
            <w:r>
              <w:rPr>
                <w:rFonts w:hint="default" w:ascii="Times New Roman" w:hAnsi="Times New Roman" w:eastAsia="宋体" w:cs="Times New Roman"/>
                <w:bCs/>
                <w:color w:val="000000"/>
              </w:rPr>
              <w:t>3中</w:t>
            </w:r>
            <w:r>
              <w:rPr>
                <w:rFonts w:hint="default" w:ascii="Times New Roman" w:hAnsi="Times New Roman" w:eastAsia="宋体" w:cs="Times New Roman"/>
                <w:bCs/>
                <w:color w:val="000000"/>
                <w:lang w:val="en-US" w:eastAsia="zh-CN"/>
              </w:rPr>
              <w:t>注塑件、吹塑件、搪塑件、纤维材料</w:t>
            </w:r>
            <w:r>
              <w:rPr>
                <w:rFonts w:hint="default" w:ascii="Times New Roman" w:hAnsi="Times New Roman" w:eastAsia="宋体" w:cs="Times New Roman"/>
                <w:bCs/>
                <w:color w:val="000000"/>
              </w:rPr>
              <w:t>系数1.</w:t>
            </w:r>
            <w:r>
              <w:rPr>
                <w:rFonts w:hint="default" w:ascii="Times New Roman" w:hAnsi="Times New Roman" w:eastAsia="宋体" w:cs="Times New Roman"/>
                <w:bCs/>
                <w:color w:val="000000"/>
                <w:lang w:val="en-US" w:eastAsia="zh-CN"/>
              </w:rPr>
              <w:t>2</w:t>
            </w:r>
            <w:r>
              <w:rPr>
                <w:rFonts w:hint="default" w:ascii="Times New Roman" w:hAnsi="Times New Roman" w:eastAsia="宋体" w:cs="Times New Roman"/>
                <w:bCs/>
                <w:color w:val="000000"/>
              </w:rPr>
              <w:t>千克/吨-</w:t>
            </w:r>
            <w:r>
              <w:rPr>
                <w:rFonts w:hint="default" w:ascii="Times New Roman" w:hAnsi="Times New Roman" w:eastAsia="宋体" w:cs="Times New Roman"/>
                <w:bCs/>
                <w:color w:val="000000"/>
                <w:lang w:val="en-US" w:eastAsia="zh-CN"/>
              </w:rPr>
              <w:t>原料。</w:t>
            </w:r>
            <w:r>
              <w:rPr>
                <w:rFonts w:hint="default" w:ascii="Times New Roman" w:hAnsi="Times New Roman" w:eastAsia="宋体" w:cs="Times New Roman"/>
                <w:bCs/>
                <w:color w:val="000000"/>
              </w:rPr>
              <w:t>根据建设单位提供资料</w:t>
            </w:r>
            <w:r>
              <w:rPr>
                <w:rFonts w:hint="default" w:ascii="Times New Roman" w:hAnsi="Times New Roman" w:eastAsia="宋体" w:cs="Times New Roman"/>
                <w:bCs/>
                <w:color w:val="000000"/>
                <w:lang w:val="en-US" w:eastAsia="zh-CN"/>
              </w:rPr>
              <w:t>本项目共使用钢带专用PE为666t/a，消泡剂为0.5t/a，色母为2t/a，则非甲烷总烃产生量为0.802t/a</w:t>
            </w:r>
            <w:r>
              <w:rPr>
                <w:rFonts w:hint="default" w:ascii="Times New Roman" w:hAnsi="Times New Roman" w:eastAsia="宋体" w:cs="Times New Roman"/>
                <w:bCs/>
                <w:color w:val="000000"/>
              </w:rPr>
              <w:t>。</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highlight w:val="none"/>
                <w:lang w:val="en-US" w:eastAsia="zh-CN" w:bidi="ar"/>
              </w:rPr>
              <w:t>综上，1#厂房非甲烷总烃产生量为0.917t/a。本项目在</w:t>
            </w:r>
            <w:r>
              <w:rPr>
                <w:rFonts w:hint="default" w:ascii="Times New Roman" w:hAnsi="Times New Roman" w:eastAsia="宋体" w:cs="Times New Roman"/>
                <w:color w:val="000000"/>
                <w:kern w:val="0"/>
                <w:sz w:val="24"/>
                <w:szCs w:val="24"/>
                <w:lang w:val="en-US" w:eastAsia="zh-CN" w:bidi="ar"/>
              </w:rPr>
              <w:t>钢带波纹管覆膜区、挤出区</w:t>
            </w:r>
            <w:r>
              <w:rPr>
                <w:rFonts w:hint="default" w:ascii="Times New Roman" w:hAnsi="Times New Roman" w:eastAsia="宋体" w:cs="Times New Roman"/>
                <w:color w:val="000000"/>
                <w:kern w:val="0"/>
                <w:sz w:val="24"/>
                <w:szCs w:val="24"/>
                <w:highlight w:val="none"/>
                <w:lang w:val="en-US" w:eastAsia="zh-CN" w:bidi="ar"/>
              </w:rPr>
              <w:t>上部各设置1套密闭式集气罩。</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highlight w:val="yellow"/>
                <w:lang w:val="en-US" w:eastAsia="zh-CN" w:bidi="ar"/>
              </w:rPr>
            </w:pPr>
            <w:r>
              <w:rPr>
                <w:rFonts w:hint="default" w:ascii="Times New Roman" w:hAnsi="Times New Roman" w:eastAsia="宋体" w:cs="Times New Roman"/>
                <w:color w:val="000000"/>
                <w:kern w:val="0"/>
                <w:sz w:val="24"/>
                <w:szCs w:val="24"/>
                <w:lang w:val="en-US" w:eastAsia="zh-CN" w:bidi="ar"/>
              </w:rPr>
              <w:t>本项目钢带波纹管生产过程均在密闭厂房中进行，产生的废气通过密闭式集气罩收集后经二级活性炭装置处理后通过15m高排气筒（DA001）排放。密闭式集气罩正压</w:t>
            </w:r>
            <w:r>
              <w:rPr>
                <w:rFonts w:hint="default" w:ascii="Times New Roman" w:hAnsi="Times New Roman" w:eastAsia="宋体" w:cs="Times New Roman"/>
                <w:color w:val="000000"/>
                <w:kern w:val="0"/>
                <w:highlight w:val="none"/>
              </w:rPr>
              <w:t>收集效率为</w:t>
            </w:r>
            <w:r>
              <w:rPr>
                <w:rFonts w:hint="default" w:ascii="Times New Roman" w:hAnsi="Times New Roman" w:eastAsia="宋体" w:cs="Times New Roman"/>
                <w:color w:val="000000"/>
                <w:kern w:val="0"/>
                <w:highlight w:val="none"/>
                <w:lang w:val="en-US" w:eastAsia="zh-CN"/>
              </w:rPr>
              <w:t>80</w:t>
            </w:r>
            <w:r>
              <w:rPr>
                <w:rFonts w:hint="default" w:ascii="Times New Roman" w:hAnsi="Times New Roman" w:eastAsia="宋体" w:cs="Times New Roman"/>
                <w:color w:val="000000"/>
                <w:kern w:val="0"/>
                <w:highlight w:val="none"/>
              </w:rPr>
              <w:t>%（参考《主要污染物总量减排核算技术指南》2022年修订）</w:t>
            </w:r>
            <w:r>
              <w:rPr>
                <w:rFonts w:hint="default" w:ascii="Times New Roman" w:hAnsi="Times New Roman" w:eastAsia="宋体" w:cs="Times New Roman"/>
                <w:color w:val="000000"/>
                <w:kern w:val="0"/>
              </w:rPr>
              <w:t>，</w:t>
            </w:r>
            <w:r>
              <w:rPr>
                <w:rFonts w:hint="default" w:ascii="Times New Roman" w:hAnsi="Times New Roman" w:eastAsia="宋体" w:cs="Times New Roman"/>
                <w:color w:val="000000"/>
                <w:kern w:val="0"/>
                <w:lang w:val="en-US" w:eastAsia="zh-CN"/>
              </w:rPr>
              <w:t>一级活性炭吸附效率为15%，二级活性炭复合效率为27.75%，故本项目</w:t>
            </w:r>
            <w:r>
              <w:rPr>
                <w:rFonts w:hint="default" w:ascii="Times New Roman" w:hAnsi="Times New Roman" w:eastAsia="宋体" w:cs="Times New Roman"/>
                <w:color w:val="000000"/>
                <w:kern w:val="0"/>
                <w:highlight w:val="none"/>
              </w:rPr>
              <w:t>非甲烷总烃的去除效率为</w:t>
            </w:r>
            <w:r>
              <w:rPr>
                <w:rFonts w:hint="default" w:ascii="Times New Roman" w:hAnsi="Times New Roman" w:eastAsia="宋体" w:cs="Times New Roman"/>
                <w:color w:val="000000"/>
                <w:kern w:val="0"/>
                <w:highlight w:val="none"/>
                <w:lang w:val="en-US" w:eastAsia="zh-CN"/>
              </w:rPr>
              <w:t>27.75</w:t>
            </w:r>
            <w:r>
              <w:rPr>
                <w:rFonts w:hint="default" w:ascii="Times New Roman" w:hAnsi="Times New Roman" w:eastAsia="宋体" w:cs="Times New Roman"/>
                <w:color w:val="000000"/>
                <w:kern w:val="0"/>
                <w:highlight w:val="none"/>
              </w:rPr>
              <w:t>%</w:t>
            </w:r>
            <w:r>
              <w:rPr>
                <w:rFonts w:hint="default" w:ascii="Times New Roman" w:hAnsi="Times New Roman" w:eastAsia="宋体" w:cs="Times New Roman"/>
                <w:color w:val="000000"/>
                <w:kern w:val="0"/>
              </w:rPr>
              <w:t>（参考《主要污染物总量减排核算技术指南》2022年修订）</w:t>
            </w:r>
            <w:r>
              <w:rPr>
                <w:rFonts w:hint="default" w:ascii="Times New Roman" w:hAnsi="Times New Roman" w:eastAsia="宋体" w:cs="Times New Roman"/>
                <w:color w:val="000000"/>
                <w:kern w:val="0"/>
                <w:sz w:val="24"/>
                <w:szCs w:val="24"/>
                <w:lang w:val="en-US" w:eastAsia="zh-CN" w:bidi="ar"/>
              </w:rPr>
              <w:t>。每天挤出工作24h，年工作180天，则年运行时间为4320h，</w:t>
            </w:r>
            <w:r>
              <w:rPr>
                <w:rFonts w:hint="default" w:ascii="Times New Roman" w:hAnsi="Times New Roman" w:eastAsia="宋体" w:cs="Times New Roman"/>
                <w:color w:val="000000"/>
                <w:lang w:val="en-US" w:eastAsia="zh-CN"/>
              </w:rPr>
              <w:t>风机风量为5000m</w:t>
            </w:r>
            <w:r>
              <w:rPr>
                <w:rFonts w:hint="default" w:ascii="Times New Roman" w:hAnsi="Times New Roman" w:eastAsia="宋体" w:cs="Times New Roman"/>
                <w:color w:val="000000"/>
                <w:vertAlign w:val="superscript"/>
                <w:lang w:val="en-US" w:eastAsia="zh-CN"/>
              </w:rPr>
              <w:t>3</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kern w:val="0"/>
                <w:sz w:val="24"/>
                <w:szCs w:val="24"/>
                <w:highlight w:val="none"/>
                <w:lang w:val="en-US" w:eastAsia="zh-CN" w:bidi="ar"/>
              </w:rPr>
              <w:t>则有组织非甲烷总烃产生量为0.734t/a，有组织非甲烷总烃产生速率为0.170kg/h。有组织非甲烷总烃排放量为0.530t/a，排放速率为0.123kg/h。无组织非甲烷总烃产生量为0.183t/a，无组织产生速率为0.0424kg/h。</w:t>
            </w:r>
          </w:p>
          <w:p>
            <w:pPr>
              <w:adjustRightInd w:val="0"/>
              <w:snapToGrid w:val="0"/>
              <w:ind w:firstLine="480" w:firstLineChars="200"/>
              <w:rPr>
                <w:rFonts w:hint="default" w:ascii="Times New Roman" w:hAnsi="Times New Roman" w:eastAsia="宋体" w:cs="Times New Roman"/>
                <w:color w:val="000000"/>
                <w:lang w:val="en-US" w:eastAsia="zh-CN"/>
              </w:rPr>
            </w:pPr>
            <w:r>
              <w:rPr>
                <w:rFonts w:hint="default" w:ascii="Times New Roman" w:hAnsi="Times New Roman" w:eastAsia="宋体" w:cs="Times New Roman"/>
                <w:color w:val="000000"/>
                <w:kern w:val="0"/>
              </w:rPr>
              <w:t>（2）</w:t>
            </w:r>
            <w:r>
              <w:rPr>
                <w:rFonts w:hint="default" w:ascii="Times New Roman" w:hAnsi="Times New Roman" w:eastAsia="宋体" w:cs="Times New Roman"/>
                <w:color w:val="000000"/>
                <w:lang w:val="en-US" w:eastAsia="zh-CN"/>
              </w:rPr>
              <w:t>2#厂房</w:t>
            </w:r>
            <w:r>
              <w:rPr>
                <w:rFonts w:hint="default" w:ascii="Times New Roman" w:hAnsi="Times New Roman" w:eastAsia="宋体" w:cs="Times New Roman"/>
                <w:lang w:val="en-US" w:eastAsia="zh-CN"/>
              </w:rPr>
              <w:t>挤出</w:t>
            </w:r>
            <w:r>
              <w:rPr>
                <w:rFonts w:hint="default" w:ascii="Times New Roman" w:hAnsi="Times New Roman" w:eastAsia="宋体" w:cs="Times New Roman"/>
                <w:color w:val="000000"/>
                <w:lang w:val="en-US" w:eastAsia="zh-CN"/>
              </w:rPr>
              <w:t>废气</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lang w:val="en-US" w:eastAsia="zh-CN" w:bidi="ar"/>
              </w:rPr>
              <w:t>本项目MPP电力管生产过程PP树脂挤出成型会产生有机废气。参考《排放源统计调查产排污核算方法和系数手册》中“2922塑料板、管、型材制造行业系数表”内的“配料-混合-挤出工序”挥发性有机物产污系数，本项目生产MPP电力管时，挤出成型非甲烷总烃产生系数为1.50kg/t-产品。项目MPP电力管总产能为</w:t>
            </w:r>
            <w:r>
              <w:rPr>
                <w:rFonts w:hint="default" w:ascii="Times New Roman" w:hAnsi="Times New Roman" w:eastAsia="宋体" w:cs="Times New Roman"/>
                <w:color w:val="000000"/>
                <w:kern w:val="0"/>
                <w:sz w:val="24"/>
                <w:szCs w:val="24"/>
                <w:highlight w:val="none"/>
                <w:lang w:val="en-US" w:eastAsia="zh-CN" w:bidi="ar"/>
              </w:rPr>
              <w:t>549t/a</w:t>
            </w:r>
            <w:r>
              <w:rPr>
                <w:rFonts w:hint="default" w:ascii="Times New Roman" w:hAnsi="Times New Roman" w:eastAsia="宋体" w:cs="Times New Roman"/>
                <w:color w:val="000000"/>
                <w:kern w:val="0"/>
                <w:sz w:val="24"/>
                <w:szCs w:val="24"/>
                <w:lang w:val="en-US" w:eastAsia="zh-CN" w:bidi="ar"/>
              </w:rPr>
              <w:t>，则MPP电力管生产过程中非甲烷总烃产生量为0.823</w:t>
            </w:r>
            <w:r>
              <w:rPr>
                <w:rFonts w:hint="default" w:ascii="Times New Roman" w:hAnsi="Times New Roman" w:eastAsia="宋体" w:cs="Times New Roman"/>
                <w:color w:val="000000"/>
                <w:kern w:val="0"/>
                <w:sz w:val="24"/>
                <w:szCs w:val="24"/>
                <w:highlight w:val="none"/>
                <w:lang w:val="en-US" w:eastAsia="zh-CN" w:bidi="ar"/>
              </w:rPr>
              <w:t>t/a。</w:t>
            </w:r>
          </w:p>
          <w:p>
            <w:pPr>
              <w:keepNext w:val="0"/>
              <w:keepLines w:val="0"/>
              <w:widowControl/>
              <w:suppressLineNumbers w:val="0"/>
              <w:ind w:firstLine="480" w:firstLineChars="200"/>
              <w:jc w:val="both"/>
              <w:rPr>
                <w:rFonts w:hint="default" w:ascii="Times New Roman" w:hAnsi="Times New Roman" w:eastAsia="宋体" w:cs="Times New Roman"/>
                <w:color w:val="000000"/>
                <w:kern w:val="0"/>
                <w:sz w:val="24"/>
                <w:szCs w:val="24"/>
                <w:highlight w:val="none"/>
                <w:lang w:val="en-US" w:eastAsia="zh-CN" w:bidi="ar"/>
              </w:rPr>
            </w:pPr>
            <w:r>
              <w:rPr>
                <w:rFonts w:hint="default" w:ascii="Times New Roman" w:hAnsi="Times New Roman" w:eastAsia="宋体" w:cs="Times New Roman"/>
                <w:color w:val="000000"/>
                <w:kern w:val="0"/>
                <w:sz w:val="24"/>
                <w:szCs w:val="24"/>
                <w:lang w:val="en-US" w:eastAsia="zh-CN" w:bidi="ar"/>
              </w:rPr>
              <w:t>本项目聚乙烯PE给水管生产过程PE树脂挤出成型会产生有机废气。参考《排放源统计调查产排污核算方法和系数手册》中“2922塑料板、管、型材制造行业系数表”内的“配料-混合-挤出工序”挥发性有机物产污系数，本项目生产聚乙烯PE给水管时，挤出成型非甲烷总烃产生系数为1.50kg/t-产品。项目聚乙烯PE给水管总产能为</w:t>
            </w:r>
            <w:r>
              <w:rPr>
                <w:rFonts w:hint="default" w:ascii="Times New Roman" w:hAnsi="Times New Roman" w:eastAsia="宋体" w:cs="Times New Roman"/>
                <w:color w:val="000000"/>
                <w:kern w:val="0"/>
                <w:sz w:val="24"/>
                <w:szCs w:val="24"/>
                <w:highlight w:val="none"/>
                <w:lang w:val="en-US" w:eastAsia="zh-CN" w:bidi="ar"/>
              </w:rPr>
              <w:t>135t/a</w:t>
            </w:r>
            <w:r>
              <w:rPr>
                <w:rFonts w:hint="default" w:ascii="Times New Roman" w:hAnsi="Times New Roman" w:eastAsia="宋体" w:cs="Times New Roman"/>
                <w:color w:val="000000"/>
                <w:kern w:val="0"/>
                <w:sz w:val="24"/>
                <w:szCs w:val="24"/>
                <w:lang w:val="en-US" w:eastAsia="zh-CN" w:bidi="ar"/>
              </w:rPr>
              <w:t>，则聚乙烯PE给水管生产过程中非甲烷总烃产生量为0.203</w:t>
            </w:r>
            <w:r>
              <w:rPr>
                <w:rFonts w:hint="default" w:ascii="Times New Roman" w:hAnsi="Times New Roman" w:eastAsia="宋体" w:cs="Times New Roman"/>
                <w:color w:val="000000"/>
                <w:kern w:val="0"/>
                <w:sz w:val="24"/>
                <w:szCs w:val="24"/>
                <w:highlight w:val="none"/>
                <w:lang w:val="en-US" w:eastAsia="zh-CN" w:bidi="ar"/>
              </w:rPr>
              <w:t>t/a。</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ascii="Times New Roman" w:hAnsi="Times New Roman" w:eastAsia="宋体" w:cs="Times New Roman"/>
                <w:lang w:val="en-US"/>
              </w:rPr>
            </w:pPr>
            <w:r>
              <w:rPr>
                <w:rFonts w:hint="default" w:ascii="Times New Roman" w:hAnsi="Times New Roman" w:eastAsia="宋体" w:cs="Times New Roman"/>
                <w:b w:val="0"/>
                <w:bCs w:val="0"/>
                <w:color w:val="000000"/>
                <w:spacing w:val="0"/>
                <w:kern w:val="0"/>
                <w:lang w:val="en-US" w:eastAsia="zh-CN"/>
              </w:rPr>
              <w:t>本项目2#厂房主要安装</w:t>
            </w:r>
            <w:r>
              <w:rPr>
                <w:rFonts w:hint="default" w:ascii="Times New Roman" w:hAnsi="Times New Roman" w:eastAsia="宋体" w:cs="Times New Roman"/>
                <w:color w:val="000000"/>
                <w:kern w:val="0"/>
                <w:sz w:val="24"/>
                <w:szCs w:val="24"/>
                <w:lang w:val="en-US" w:eastAsia="zh-CN" w:bidi="ar"/>
              </w:rPr>
              <w:t>MPP电力管/聚乙烯PE给水管生产</w:t>
            </w:r>
            <w:r>
              <w:rPr>
                <w:rFonts w:hint="default" w:ascii="Times New Roman" w:hAnsi="Times New Roman" w:eastAsia="宋体" w:cs="Times New Roman"/>
                <w:b w:val="0"/>
                <w:bCs w:val="0"/>
                <w:color w:val="000000"/>
                <w:spacing w:val="0"/>
                <w:kern w:val="0"/>
                <w:lang w:val="en-US" w:eastAsia="zh-CN"/>
              </w:rPr>
              <w:t>线1条（MPP</w:t>
            </w:r>
            <w:r>
              <w:rPr>
                <w:rFonts w:hint="default" w:ascii="Times New Roman" w:hAnsi="Times New Roman" w:eastAsia="宋体" w:cs="Times New Roman"/>
                <w:color w:val="000000"/>
                <w:kern w:val="0"/>
                <w:sz w:val="24"/>
                <w:szCs w:val="24"/>
                <w:lang w:val="en-US" w:eastAsia="zh-CN" w:bidi="ar"/>
              </w:rPr>
              <w:t>电力</w:t>
            </w:r>
            <w:r>
              <w:rPr>
                <w:rFonts w:hint="default" w:ascii="Times New Roman" w:hAnsi="Times New Roman" w:eastAsia="宋体" w:cs="Times New Roman"/>
                <w:b w:val="0"/>
                <w:bCs w:val="0"/>
                <w:color w:val="000000"/>
                <w:spacing w:val="0"/>
                <w:kern w:val="0"/>
                <w:lang w:val="en-US" w:eastAsia="zh-CN"/>
              </w:rPr>
              <w:t>管与聚乙烯PE给水管共用一条生产线（各生产90天）），</w:t>
            </w:r>
            <w:r>
              <w:rPr>
                <w:rFonts w:hint="default" w:ascii="Times New Roman" w:hAnsi="Times New Roman" w:eastAsia="宋体" w:cs="Times New Roman"/>
                <w:color w:val="000000"/>
                <w:kern w:val="0"/>
                <w:sz w:val="24"/>
                <w:szCs w:val="24"/>
                <w:highlight w:val="none"/>
                <w:lang w:val="en-US" w:eastAsia="zh-CN" w:bidi="ar"/>
              </w:rPr>
              <w:t>本项目在MPP电力管/聚乙烯PE给水管</w:t>
            </w:r>
            <w:r>
              <w:rPr>
                <w:rFonts w:hint="default" w:ascii="Times New Roman" w:hAnsi="Times New Roman" w:eastAsia="宋体" w:cs="Times New Roman"/>
                <w:color w:val="000000"/>
                <w:kern w:val="0"/>
                <w:sz w:val="24"/>
                <w:szCs w:val="24"/>
                <w:lang w:val="en-US" w:eastAsia="zh-CN" w:bidi="ar"/>
              </w:rPr>
              <w:t>挤出区</w:t>
            </w:r>
            <w:r>
              <w:rPr>
                <w:rFonts w:hint="default" w:ascii="Times New Roman" w:hAnsi="Times New Roman" w:eastAsia="宋体" w:cs="Times New Roman"/>
                <w:color w:val="000000"/>
                <w:kern w:val="0"/>
                <w:sz w:val="24"/>
                <w:szCs w:val="24"/>
                <w:highlight w:val="none"/>
                <w:lang w:val="en-US" w:eastAsia="zh-CN" w:bidi="ar"/>
              </w:rPr>
              <w:t>上部设置密闭式集气罩，</w:t>
            </w:r>
            <w:r>
              <w:rPr>
                <w:rFonts w:hint="default" w:ascii="Times New Roman" w:hAnsi="Times New Roman" w:eastAsia="宋体" w:cs="Times New Roman"/>
                <w:b w:val="0"/>
                <w:bCs w:val="0"/>
                <w:color w:val="000000"/>
                <w:spacing w:val="0"/>
                <w:kern w:val="0"/>
                <w:lang w:val="en-US" w:eastAsia="zh-CN"/>
              </w:rPr>
              <w:t>产生的废气进入同一套二级活性炭装置进行处理，</w:t>
            </w:r>
            <w:r>
              <w:rPr>
                <w:rFonts w:hint="default" w:ascii="Times New Roman" w:hAnsi="Times New Roman" w:eastAsia="宋体" w:cs="Times New Roman"/>
                <w:color w:val="000000"/>
                <w:kern w:val="0"/>
                <w:sz w:val="24"/>
                <w:szCs w:val="24"/>
                <w:highlight w:val="none"/>
                <w:lang w:val="en-US" w:eastAsia="zh-CN" w:bidi="ar"/>
              </w:rPr>
              <w:t>综上2#厂房</w:t>
            </w:r>
            <w:r>
              <w:rPr>
                <w:rFonts w:hint="default" w:ascii="Times New Roman" w:hAnsi="Times New Roman" w:eastAsia="宋体" w:cs="Times New Roman"/>
                <w:color w:val="000000"/>
                <w:kern w:val="0"/>
                <w:sz w:val="24"/>
                <w:szCs w:val="24"/>
                <w:lang w:val="en-US" w:eastAsia="zh-CN" w:bidi="ar"/>
              </w:rPr>
              <w:t>非甲烷总烃产生量为1.026</w:t>
            </w:r>
            <w:r>
              <w:rPr>
                <w:rFonts w:hint="default" w:ascii="Times New Roman" w:hAnsi="Times New Roman" w:eastAsia="宋体" w:cs="Times New Roman"/>
                <w:color w:val="000000"/>
                <w:kern w:val="0"/>
                <w:sz w:val="24"/>
                <w:szCs w:val="24"/>
                <w:highlight w:val="none"/>
                <w:lang w:val="en-US" w:eastAsia="zh-CN" w:bidi="ar"/>
              </w:rPr>
              <w:t>t/a。</w:t>
            </w:r>
          </w:p>
          <w:p>
            <w:pPr>
              <w:keepNext w:val="0"/>
              <w:keepLines w:val="0"/>
              <w:widowControl/>
              <w:suppressLineNumbers w:val="0"/>
              <w:ind w:firstLine="480" w:firstLineChars="200"/>
              <w:jc w:val="both"/>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本项目MPP电力管及聚乙烯PE给水管生产过程均在密闭厂房中进行，产生的废气通过密闭式集气罩收集后经二级活性炭装置处理后通过15m高排气筒（DA002）排放。密闭式集气罩正压收集效率为80%（参考《主要污染物总量减排核算技术指南》2022年修订）</w:t>
            </w:r>
            <w:r>
              <w:rPr>
                <w:rFonts w:hint="default" w:ascii="Times New Roman" w:hAnsi="Times New Roman" w:eastAsia="宋体" w:cs="Times New Roman"/>
                <w:color w:val="000000"/>
                <w:kern w:val="0"/>
              </w:rPr>
              <w:t>，</w:t>
            </w:r>
            <w:r>
              <w:rPr>
                <w:rFonts w:hint="default" w:ascii="Times New Roman" w:hAnsi="Times New Roman" w:eastAsia="宋体" w:cs="Times New Roman"/>
                <w:lang w:val="en-US" w:eastAsia="zh-CN"/>
              </w:rPr>
              <w:t>一级活性炭吸附效率为15%，二级活性炭复合效率为27.75%，故本项目</w:t>
            </w:r>
            <w:r>
              <w:rPr>
                <w:rFonts w:hint="default" w:ascii="Times New Roman" w:hAnsi="Times New Roman" w:eastAsia="宋体" w:cs="Times New Roman"/>
              </w:rPr>
              <w:t>非甲烷总烃的去除效率为</w:t>
            </w:r>
            <w:r>
              <w:rPr>
                <w:rFonts w:hint="default" w:ascii="Times New Roman" w:hAnsi="Times New Roman" w:eastAsia="宋体" w:cs="Times New Roman"/>
                <w:lang w:val="en-US" w:eastAsia="zh-CN"/>
              </w:rPr>
              <w:t>27.75</w:t>
            </w:r>
            <w:r>
              <w:rPr>
                <w:rFonts w:hint="default" w:ascii="Times New Roman" w:hAnsi="Times New Roman" w:eastAsia="宋体" w:cs="Times New Roman"/>
              </w:rPr>
              <w:t>%（参考《主要污染物总量减排核算技术指南》2022年修订）</w:t>
            </w:r>
            <w:r>
              <w:rPr>
                <w:rFonts w:hint="default" w:ascii="Times New Roman" w:hAnsi="Times New Roman" w:eastAsia="宋体" w:cs="Times New Roman"/>
                <w:color w:val="000000"/>
                <w:kern w:val="0"/>
                <w:sz w:val="24"/>
                <w:szCs w:val="24"/>
                <w:lang w:val="en-US" w:eastAsia="zh-CN" w:bidi="ar"/>
              </w:rPr>
              <w:t>。每天挤出工作24h，年工作180天，则年运行时间为4320h，</w:t>
            </w:r>
            <w:r>
              <w:rPr>
                <w:rFonts w:hint="default" w:ascii="Times New Roman" w:hAnsi="Times New Roman" w:eastAsia="宋体" w:cs="Times New Roman"/>
                <w:color w:val="000000"/>
                <w:lang w:val="en-US" w:eastAsia="zh-CN"/>
              </w:rPr>
              <w:t>风机风量为5000m</w:t>
            </w:r>
            <w:r>
              <w:rPr>
                <w:rFonts w:hint="default" w:ascii="Times New Roman" w:hAnsi="Times New Roman" w:eastAsia="宋体" w:cs="Times New Roman"/>
                <w:color w:val="000000"/>
                <w:vertAlign w:val="superscript"/>
                <w:lang w:val="en-US" w:eastAsia="zh-CN"/>
              </w:rPr>
              <w:t>3</w:t>
            </w:r>
            <w:r>
              <w:rPr>
                <w:rFonts w:hint="default" w:ascii="Times New Roman" w:hAnsi="Times New Roman" w:eastAsia="宋体" w:cs="Times New Roman"/>
                <w:color w:val="000000"/>
                <w:lang w:val="en-US" w:eastAsia="zh-CN"/>
              </w:rPr>
              <w:t>/h，</w:t>
            </w:r>
            <w:r>
              <w:rPr>
                <w:rFonts w:hint="default" w:ascii="Times New Roman" w:hAnsi="Times New Roman" w:eastAsia="宋体" w:cs="Times New Roman"/>
                <w:color w:val="000000"/>
                <w:kern w:val="0"/>
                <w:sz w:val="24"/>
                <w:szCs w:val="24"/>
                <w:highlight w:val="none"/>
                <w:lang w:val="en-US" w:eastAsia="zh-CN" w:bidi="ar"/>
              </w:rPr>
              <w:t>则有组织非甲烷总烃产生量为0.821t/a，有组织非甲烷总烃产生速率为0.19kg/h。有组织非甲烷总烃排放量为0.593t/a，排放速率为0.137kg/h。无组织非甲烷总烃产生量为0.205t/a，无组织产生速率为0.047kg/h。</w:t>
            </w:r>
          </w:p>
          <w:p>
            <w:pPr>
              <w:pStyle w:val="6"/>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（3）上料废气</w:t>
            </w:r>
          </w:p>
          <w:p>
            <w:pPr>
              <w:pStyle w:val="7"/>
              <w:rPr>
                <w:rFonts w:hint="default" w:ascii="Times New Roman" w:hAnsi="Times New Roman" w:eastAsia="宋体" w:cs="Times New Roman"/>
              </w:rPr>
            </w:pPr>
            <w:r>
              <w:rPr>
                <w:rFonts w:hint="default" w:ascii="Times New Roman" w:hAnsi="Times New Roman" w:eastAsia="宋体" w:cs="Times New Roman"/>
                <w:lang w:val="en-US" w:eastAsia="zh-CN"/>
              </w:rPr>
              <w:t>项目所用原料主要为钢带专用PE颗粒、粘接树脂、色母粒、高密度聚乙烯树脂、聚丙烯树脂等，由于上述原料粒径均为4-5mm颗粒物，粒径较大，下料过程粉尘产生量较小、生产车间为密闭厂房并定期进行洒水抑尘，经厂房沉降后排放量较小，可忽略不计。</w:t>
            </w:r>
          </w:p>
          <w:p>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（4）恶臭气体</w:t>
            </w:r>
          </w:p>
          <w:p>
            <w:pPr>
              <w:ind w:firstLine="480" w:firstLineChars="20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本项目除产生有机废气外，同时还会伴有轻微异味产生，以臭气浓度进行表征。这种异味刺激人的嗅觉器官并引起身体的不适。由于臭气浓度暂无相关的成熟的核算系数，且生产过程中产生的臭气与有机废气难以分离，故不做定量分析，臭浓度伴随着有机废气一同收集处理后经15米高排气筒排放，少量未被收集的臭气通过车间通排风稀释扩散后无组织排放。</w:t>
            </w:r>
          </w:p>
          <w:p>
            <w:pPr>
              <w:rPr>
                <w:rFonts w:ascii="Times New Roman" w:hAnsi="Times New Roman" w:eastAsia="宋体" w:cs="Times New Roman"/>
                <w:color w:val="000000"/>
              </w:rPr>
            </w:pPr>
            <w:r>
              <w:rPr>
                <w:rFonts w:hint="eastAsia" w:ascii="Times New Roman" w:hAnsi="Times New Roman" w:eastAsia="宋体" w:cs="Times New Roman"/>
                <w:b/>
                <w:bCs/>
                <w:color w:val="000000"/>
              </w:rPr>
              <w:t>1.2废气治理措施及影响分析</w:t>
            </w:r>
          </w:p>
          <w:p>
            <w:pPr>
              <w:tabs>
                <w:tab w:val="left" w:pos="0"/>
              </w:tabs>
              <w:adjustRightInd w:val="0"/>
              <w:snapToGrid w:val="0"/>
              <w:ind w:firstLine="480" w:firstLineChars="200"/>
              <w:rPr>
                <w:rFonts w:hint="default" w:ascii="Times New Roman" w:hAnsi="Times New Roman" w:eastAsia="宋体" w:cs="Times New Roman"/>
                <w:color w:val="000000"/>
                <w:lang w:val="en-US" w:eastAsia="zh-CN"/>
              </w:rPr>
            </w:pPr>
            <w:r>
              <w:rPr>
                <w:rFonts w:hint="eastAsia" w:ascii="Times New Roman" w:hAnsi="Times New Roman" w:eastAsia="宋体" w:cs="Times New Roman"/>
                <w:color w:val="000000"/>
                <w:lang w:val="en-US" w:eastAsia="zh-CN"/>
              </w:rPr>
              <w:t>本项目</w:t>
            </w:r>
            <w:r>
              <w:rPr>
                <w:rFonts w:hint="eastAsia" w:cs="Times New Roman"/>
                <w:color w:val="000000"/>
                <w:highlight w:val="none"/>
                <w:lang w:val="en-US" w:eastAsia="zh-CN"/>
              </w:rPr>
              <w:t>1#厂房和2#厂房</w:t>
            </w:r>
            <w:r>
              <w:rPr>
                <w:rFonts w:hint="eastAsia" w:cs="Times New Roman"/>
                <w:color w:val="000000"/>
                <w:kern w:val="0"/>
                <w:sz w:val="24"/>
                <w:szCs w:val="24"/>
                <w:lang w:val="en-US" w:eastAsia="zh-CN" w:bidi="ar"/>
              </w:rPr>
              <w:t>覆膜、</w:t>
            </w:r>
            <w:r>
              <w:rPr>
                <w:rFonts w:hint="default" w:ascii="Times New Roman" w:hAnsi="Times New Roman" w:eastAsia="宋体" w:cs="Times New Roman"/>
                <w:color w:val="000000"/>
                <w:kern w:val="0"/>
                <w:sz w:val="24"/>
                <w:szCs w:val="24"/>
                <w:lang w:val="en-US" w:eastAsia="zh-CN" w:bidi="ar"/>
              </w:rPr>
              <w:t>挤出成型</w:t>
            </w:r>
            <w:r>
              <w:rPr>
                <w:rFonts w:hint="eastAsia" w:ascii="Times New Roman" w:hAnsi="Times New Roman" w:eastAsia="宋体" w:cs="Times New Roman"/>
                <w:color w:val="000000"/>
                <w:kern w:val="0"/>
                <w:sz w:val="24"/>
                <w:szCs w:val="24"/>
                <w:lang w:val="en-US" w:eastAsia="zh-CN" w:bidi="ar"/>
              </w:rPr>
              <w:t>过程中</w:t>
            </w:r>
            <w:r>
              <w:rPr>
                <w:rFonts w:hint="eastAsia" w:ascii="Times New Roman" w:hAnsi="Times New Roman" w:eastAsia="宋体" w:cs="Times New Roman"/>
                <w:color w:val="000000"/>
                <w:lang w:val="en-US" w:eastAsia="zh-CN"/>
              </w:rPr>
              <w:t>产生的废气经</w:t>
            </w:r>
            <w:r>
              <w:rPr>
                <w:rFonts w:hint="eastAsia" w:cs="Times New Roman"/>
                <w:color w:val="000000"/>
                <w:lang w:val="en-US" w:eastAsia="zh-CN"/>
              </w:rPr>
              <w:t>密闭式</w:t>
            </w:r>
            <w:r>
              <w:rPr>
                <w:rFonts w:hint="eastAsia" w:ascii="Times New Roman" w:hAnsi="Times New Roman" w:eastAsia="宋体" w:cs="Times New Roman"/>
                <w:color w:val="000000"/>
                <w:lang w:val="en-US" w:eastAsia="zh-CN"/>
              </w:rPr>
              <w:t>集气罩收集后进入二级活性炭装置进行处置，处理后的废气通过15m排气筒排放，排放浓度可满足</w:t>
            </w:r>
            <w:r>
              <w:rPr>
                <w:rFonts w:hint="eastAsia" w:ascii="Times New Roman" w:hAnsi="Times New Roman" w:eastAsia="宋体" w:cs="Times New Roman"/>
                <w:color w:val="000000"/>
                <w:lang w:val="en-US" w:eastAsia="zh-CN"/>
              </w:rPr>
              <w:fldChar w:fldCharType="begin"/>
            </w:r>
            <w:r>
              <w:rPr>
                <w:rFonts w:hint="eastAsia" w:ascii="Times New Roman" w:hAnsi="Times New Roman" w:eastAsia="宋体" w:cs="Times New Roman"/>
                <w:color w:val="000000"/>
                <w:lang w:val="en-US" w:eastAsia="zh-CN"/>
              </w:rPr>
              <w:instrText xml:space="preserve"> HYPERLINK "https://www.mee.gov.cn/ywgz/fgbz/bz/bzwb/dqhjbh/dqgdwrywrwpfbz/201505/W020240612354056402310.pdf" </w:instrText>
            </w:r>
            <w:r>
              <w:rPr>
                <w:rFonts w:hint="eastAsia" w:ascii="Times New Roman" w:hAnsi="Times New Roman" w:eastAsia="宋体" w:cs="Times New Roman"/>
                <w:color w:val="000000"/>
                <w:lang w:val="en-US" w:eastAsia="zh-CN"/>
              </w:rPr>
              <w:fldChar w:fldCharType="separate"/>
            </w:r>
            <w:r>
              <w:rPr>
                <w:rFonts w:hint="eastAsia" w:ascii="Times New Roman" w:hAnsi="Times New Roman" w:eastAsia="宋体" w:cs="Times New Roman"/>
                <w:color w:val="000000"/>
                <w:lang w:val="en-US" w:eastAsia="zh-CN"/>
              </w:rPr>
              <w:t>《合成树脂工业污染物排放标准》（GB 31572-2015，含2024年修改单）</w:t>
            </w:r>
            <w:r>
              <w:rPr>
                <w:rFonts w:hint="eastAsia" w:ascii="Times New Roman" w:hAnsi="Times New Roman" w:eastAsia="宋体" w:cs="Times New Roman"/>
                <w:color w:val="000000"/>
                <w:lang w:val="en-US" w:eastAsia="zh-CN"/>
              </w:rPr>
              <w:fldChar w:fldCharType="end"/>
            </w:r>
            <w:r>
              <w:rPr>
                <w:rFonts w:hint="eastAsia" w:ascii="Times New Roman" w:hAnsi="Times New Roman" w:eastAsia="宋体" w:cs="Times New Roman"/>
                <w:color w:val="000000"/>
                <w:lang w:val="en-US" w:eastAsia="zh-CN"/>
              </w:rPr>
              <w:t>表5中大气污染物特别排放限值要求。</w:t>
            </w:r>
          </w:p>
          <w:p>
            <w:pPr>
              <w:widowControl w:val="0"/>
              <w:adjustRightInd w:val="0"/>
              <w:snapToGrid w:val="0"/>
              <w:spacing w:line="360" w:lineRule="auto"/>
              <w:ind w:firstLine="480" w:firstLineChars="200"/>
              <w:jc w:val="both"/>
              <w:rPr>
                <w:rFonts w:hint="eastAsia" w:ascii="Times New Roman" w:hAnsi="Times New Roman" w:eastAsia="宋体" w:cs="Times New Roman"/>
                <w:b w:val="0"/>
                <w:bCs w:val="0"/>
                <w:color w:val="000000"/>
                <w:kern w:val="2"/>
                <w:sz w:val="24"/>
                <w:szCs w:val="20"/>
                <w:lang w:val="en-US" w:eastAsia="zh-CN" w:bidi="ar-SA"/>
              </w:rPr>
            </w:pPr>
            <w:r>
              <w:rPr>
                <w:rFonts w:ascii="Times New Roman" w:hAnsi="Times New Roman" w:eastAsia="宋体" w:cs="Times New Roman"/>
                <w:b w:val="0"/>
                <w:bCs w:val="0"/>
                <w:color w:val="000000"/>
                <w:kern w:val="2"/>
                <w:sz w:val="24"/>
                <w:szCs w:val="20"/>
                <w:lang w:val="en-US" w:eastAsia="zh-CN" w:bidi="ar-SA"/>
              </w:rPr>
              <w:t>根据《排污许可证申请与核发技术规范 橡胶和塑料制品工业》( HJ1122-2020）</w:t>
            </w:r>
            <w:r>
              <w:rPr>
                <w:rFonts w:hint="eastAsia" w:ascii="Times New Roman" w:hAnsi="Times New Roman" w:eastAsia="宋体" w:cs="Times New Roman"/>
                <w:b w:val="0"/>
                <w:bCs w:val="0"/>
                <w:color w:val="000000"/>
                <w:kern w:val="2"/>
                <w:sz w:val="24"/>
                <w:szCs w:val="20"/>
                <w:lang w:val="en-US" w:eastAsia="zh-CN" w:bidi="ar-SA"/>
              </w:rPr>
              <w:t>中表A2塑料制品工业排污单位废气污染防治可行技术参考表，本项目</w:t>
            </w:r>
            <w:r>
              <w:rPr>
                <w:rFonts w:hint="eastAsia" w:cs="Times New Roman"/>
                <w:color w:val="000000"/>
                <w:kern w:val="0"/>
                <w:sz w:val="24"/>
                <w:szCs w:val="24"/>
                <w:lang w:val="en-US" w:eastAsia="zh-CN" w:bidi="ar"/>
              </w:rPr>
              <w:t>覆膜、</w:t>
            </w:r>
            <w:r>
              <w:rPr>
                <w:rFonts w:hint="default" w:ascii="Times New Roman" w:hAnsi="Times New Roman" w:eastAsia="宋体" w:cs="Times New Roman"/>
                <w:color w:val="000000"/>
                <w:kern w:val="0"/>
                <w:sz w:val="24"/>
                <w:szCs w:val="24"/>
                <w:lang w:val="en-US" w:eastAsia="zh-CN" w:bidi="ar"/>
              </w:rPr>
              <w:t>挤出成型</w:t>
            </w:r>
            <w:r>
              <w:rPr>
                <w:rFonts w:hint="eastAsia" w:cs="Times New Roman"/>
                <w:color w:val="000000"/>
                <w:kern w:val="0"/>
                <w:sz w:val="24"/>
                <w:szCs w:val="24"/>
                <w:lang w:val="en-US" w:eastAsia="zh-CN" w:bidi="ar"/>
              </w:rPr>
              <w:t>过程中</w:t>
            </w:r>
            <w:r>
              <w:rPr>
                <w:rFonts w:hint="eastAsia" w:ascii="Times New Roman" w:hAnsi="Times New Roman" w:eastAsia="宋体" w:cs="Times New Roman"/>
                <w:b w:val="0"/>
                <w:bCs w:val="0"/>
                <w:color w:val="000000"/>
                <w:kern w:val="2"/>
                <w:sz w:val="24"/>
                <w:szCs w:val="20"/>
                <w:lang w:val="en-US" w:eastAsia="zh-CN" w:bidi="ar-SA"/>
              </w:rPr>
              <w:t>产生的废气</w:t>
            </w:r>
            <w:r>
              <w:rPr>
                <w:rFonts w:hint="eastAsia" w:ascii="Times New Roman" w:hAnsi="Times New Roman" w:eastAsia="宋体" w:cs="Times New Roman"/>
                <w:b w:val="0"/>
                <w:bCs w:val="0"/>
                <w:color w:val="000000"/>
                <w:kern w:val="2"/>
                <w:sz w:val="24"/>
                <w:szCs w:val="20"/>
                <w:highlight w:val="none"/>
                <w:lang w:val="en-US" w:eastAsia="zh-CN" w:bidi="ar-SA"/>
              </w:rPr>
              <w:t>经</w:t>
            </w:r>
            <w:r>
              <w:rPr>
                <w:rFonts w:hint="eastAsia" w:cs="Times New Roman"/>
                <w:b w:val="0"/>
                <w:bCs w:val="0"/>
                <w:color w:val="000000"/>
                <w:kern w:val="2"/>
                <w:sz w:val="24"/>
                <w:szCs w:val="20"/>
                <w:highlight w:val="none"/>
                <w:lang w:val="en-US" w:eastAsia="zh-CN" w:bidi="ar-SA"/>
              </w:rPr>
              <w:t>密闭式</w:t>
            </w:r>
            <w:r>
              <w:rPr>
                <w:rFonts w:hint="eastAsia" w:ascii="Times New Roman" w:hAnsi="Times New Roman" w:eastAsia="宋体" w:cs="Times New Roman"/>
                <w:b w:val="0"/>
                <w:bCs w:val="0"/>
                <w:color w:val="000000"/>
                <w:kern w:val="2"/>
                <w:sz w:val="24"/>
                <w:szCs w:val="20"/>
                <w:highlight w:val="none"/>
                <w:lang w:val="en-US" w:eastAsia="zh-CN" w:bidi="ar-SA"/>
              </w:rPr>
              <w:t>集气罩</w:t>
            </w:r>
            <w:r>
              <w:rPr>
                <w:rFonts w:hint="eastAsia" w:ascii="Times New Roman" w:hAnsi="Times New Roman" w:eastAsia="宋体" w:cs="Times New Roman"/>
                <w:b w:val="0"/>
                <w:bCs w:val="0"/>
                <w:color w:val="000000"/>
                <w:kern w:val="2"/>
                <w:sz w:val="24"/>
                <w:szCs w:val="20"/>
                <w:lang w:val="en-US" w:eastAsia="zh-CN" w:bidi="ar-SA"/>
              </w:rPr>
              <w:t>收集后进入二级活性炭装置进行处置属于可行技术。</w:t>
            </w:r>
          </w:p>
          <w:p>
            <w:pPr>
              <w:adjustRightInd w:val="0"/>
              <w:snapToGrid w:val="0"/>
              <w:ind w:firstLine="480" w:firstLineChars="200"/>
              <w:rPr>
                <w:rFonts w:hint="eastAsia" w:ascii="Times New Roman" w:hAnsi="Times New Roman" w:eastAsia="宋体" w:cs="Times New Roman"/>
                <w:color w:val="000000"/>
              </w:rPr>
            </w:pPr>
            <w:r>
              <w:rPr>
                <w:rFonts w:hint="eastAsia" w:ascii="Times New Roman" w:hAnsi="Times New Roman" w:eastAsia="宋体" w:cs="Times New Roman"/>
                <w:color w:val="000000"/>
              </w:rPr>
              <w:t>本项目在各产生有机废气的</w:t>
            </w:r>
            <w:r>
              <w:rPr>
                <w:rFonts w:hint="eastAsia" w:cs="Times New Roman"/>
                <w:color w:val="000000"/>
                <w:lang w:val="en-US" w:eastAsia="zh-CN"/>
              </w:rPr>
              <w:t>产污</w:t>
            </w:r>
            <w:r>
              <w:rPr>
                <w:rFonts w:hint="eastAsia" w:ascii="Times New Roman" w:hAnsi="Times New Roman" w:eastAsia="宋体" w:cs="Times New Roman"/>
                <w:color w:val="000000"/>
              </w:rPr>
              <w:t>节点上方设置</w:t>
            </w:r>
            <w:r>
              <w:rPr>
                <w:rFonts w:hint="eastAsia" w:cs="Times New Roman"/>
                <w:color w:val="000000"/>
                <w:lang w:val="en-US" w:eastAsia="zh-CN"/>
              </w:rPr>
              <w:t>密闭式</w:t>
            </w:r>
            <w:r>
              <w:rPr>
                <w:rFonts w:hint="eastAsia" w:ascii="Times New Roman" w:hAnsi="Times New Roman" w:eastAsia="宋体" w:cs="Times New Roman"/>
                <w:color w:val="000000"/>
              </w:rPr>
              <w:t>集气罩使用大风量风机收集废气，确保</w:t>
            </w:r>
            <w:r>
              <w:rPr>
                <w:rFonts w:hint="eastAsia" w:ascii="Times New Roman" w:hAnsi="Times New Roman" w:eastAsia="宋体" w:cs="Times New Roman"/>
                <w:color w:val="000000"/>
                <w:kern w:val="0"/>
              </w:rPr>
              <w:t>最远控制点控制风速不小于0.3m/s，符合《挥发性有机物无组织排放控制标准》（GB 37822-2019）中要求。</w:t>
            </w:r>
          </w:p>
          <w:p>
            <w:pPr>
              <w:widowControl w:val="0"/>
              <w:spacing w:line="360" w:lineRule="auto"/>
              <w:ind w:firstLine="482" w:firstLineChars="200"/>
              <w:jc w:val="both"/>
              <w:rPr>
                <w:rFonts w:ascii="Times New Roman" w:hAnsi="Times New Roman" w:eastAsia="宋体" w:cs="Times New Roman"/>
                <w:b/>
                <w:color w:val="000000"/>
                <w:kern w:val="2"/>
                <w:sz w:val="24"/>
                <w:szCs w:val="24"/>
                <w:lang w:val="en-US" w:eastAsia="zh-CN" w:bidi="ar-SA"/>
              </w:rPr>
            </w:pPr>
            <w:r>
              <w:rPr>
                <w:rFonts w:hint="eastAsia" w:ascii="Times New Roman" w:hAnsi="Times New Roman" w:eastAsia="宋体" w:cs="Times New Roman"/>
                <w:b/>
                <w:color w:val="000000"/>
                <w:kern w:val="2"/>
                <w:sz w:val="24"/>
                <w:szCs w:val="24"/>
                <w:lang w:val="en-US" w:eastAsia="zh-CN" w:bidi="ar-SA"/>
              </w:rPr>
              <w:t>1.3</w:t>
            </w:r>
            <w:r>
              <w:rPr>
                <w:rFonts w:ascii="Times New Roman" w:hAnsi="Times New Roman" w:eastAsia="宋体" w:cs="Times New Roman"/>
                <w:b/>
                <w:color w:val="000000"/>
                <w:kern w:val="2"/>
                <w:sz w:val="24"/>
                <w:szCs w:val="24"/>
                <w:lang w:val="en-US" w:eastAsia="zh-CN" w:bidi="ar-SA"/>
              </w:rPr>
              <w:t>非正常工况</w:t>
            </w:r>
          </w:p>
          <w:p>
            <w:pPr>
              <w:widowControl w:val="0"/>
              <w:adjustRightInd w:val="0"/>
              <w:snapToGrid w:val="0"/>
              <w:spacing w:line="360" w:lineRule="auto"/>
              <w:ind w:firstLine="480" w:firstLineChars="200"/>
              <w:jc w:val="both"/>
              <w:rPr>
                <w:rFonts w:hint="default" w:ascii="Times New Roman" w:hAnsi="Times New Roman" w:eastAsia="宋体" w:cs="Times New Roman"/>
                <w:bCs/>
                <w:color w:val="000000"/>
                <w:spacing w:val="0"/>
                <w:kern w:val="0"/>
                <w:sz w:val="24"/>
                <w:szCs w:val="24"/>
                <w:lang w:val="en-US" w:eastAsia="zh-CN" w:bidi="ar-SA"/>
              </w:rPr>
            </w:pPr>
            <w:r>
              <w:rPr>
                <w:rFonts w:hint="eastAsia"/>
                <w:lang w:val="en-US" w:eastAsia="zh-CN"/>
              </w:rPr>
              <w:t>非正常工况排放主要为活性炭无吸附能力</w:t>
            </w:r>
            <w:r>
              <w:rPr>
                <w:rFonts w:hint="default" w:ascii="Times New Roman" w:hAnsi="Times New Roman" w:eastAsia="宋体" w:cs="Times New Roman"/>
                <w:kern w:val="0"/>
              </w:rPr>
              <w:t>导致的事故排放，</w:t>
            </w:r>
            <w:r>
              <w:rPr>
                <w:rFonts w:hint="eastAsia"/>
                <w:lang w:val="en-US" w:eastAsia="zh-CN"/>
              </w:rPr>
              <w:t>但废气收集系统可以正常运行，事故时间为60min</w:t>
            </w:r>
            <w:r>
              <w:rPr>
                <w:rFonts w:hint="default" w:ascii="Times New Roman" w:hAnsi="Times New Roman" w:eastAsia="宋体" w:cs="Times New Roman"/>
                <w:kern w:val="0"/>
                <w:lang w:eastAsia="zh-CN"/>
              </w:rPr>
              <w:t>，</w:t>
            </w:r>
            <w:r>
              <w:rPr>
                <w:rFonts w:hint="eastAsia"/>
                <w:lang w:val="en-US" w:eastAsia="zh-CN"/>
              </w:rPr>
              <w:t>事故发生次数为1次。废气非正常工况源强情况见下表</w:t>
            </w:r>
            <w:r>
              <w:rPr>
                <w:rFonts w:ascii="Times New Roman" w:hAnsi="Times New Roman" w:eastAsia="宋体" w:cs="Times New Roman"/>
                <w:bCs/>
                <w:color w:val="000000"/>
                <w:spacing w:val="0"/>
                <w:kern w:val="0"/>
                <w:sz w:val="24"/>
                <w:szCs w:val="24"/>
                <w:lang w:val="en-US" w:eastAsia="zh-CN" w:bidi="ar-SA"/>
              </w:rPr>
              <w:t>。</w:t>
            </w:r>
          </w:p>
          <w:p>
            <w:pPr>
              <w:tabs>
                <w:tab w:val="left" w:pos="6480"/>
              </w:tabs>
              <w:adjustRightInd w:val="0"/>
              <w:snapToGrid w:val="0"/>
              <w:spacing w:line="240" w:lineRule="auto"/>
              <w:ind w:firstLine="422" w:firstLineChars="200"/>
              <w:rPr>
                <w:rFonts w:ascii="Times New Roman" w:hAnsi="Times New Roman" w:eastAsia="宋体" w:cs="Times New Roman"/>
                <w:b/>
                <w:bCs/>
                <w:color w:val="000000"/>
                <w:spacing w:val="0"/>
                <w:kern w:val="0"/>
                <w:sz w:val="21"/>
                <w:szCs w:val="21"/>
                <w:lang w:bidi="ar"/>
              </w:rPr>
            </w:pPr>
            <w:r>
              <w:rPr>
                <w:rFonts w:ascii="Times New Roman" w:hAnsi="Times New Roman" w:eastAsia="宋体" w:cs="Times New Roman"/>
                <w:b/>
                <w:bCs/>
                <w:color w:val="000000"/>
                <w:spacing w:val="0"/>
                <w:kern w:val="0"/>
                <w:sz w:val="21"/>
                <w:szCs w:val="21"/>
                <w:lang w:bidi="ar"/>
              </w:rPr>
              <w:t>表</w:t>
            </w:r>
            <w:r>
              <w:rPr>
                <w:rFonts w:hint="eastAsia" w:ascii="Times New Roman" w:hAnsi="Times New Roman" w:eastAsia="宋体" w:cs="Times New Roman"/>
                <w:b/>
                <w:bCs/>
                <w:color w:val="000000"/>
                <w:spacing w:val="0"/>
                <w:kern w:val="0"/>
                <w:sz w:val="21"/>
                <w:szCs w:val="21"/>
                <w:lang w:val="en-US" w:eastAsia="zh-CN" w:bidi="ar"/>
              </w:rPr>
              <w:t>4-2</w:t>
            </w:r>
            <w:r>
              <w:rPr>
                <w:rFonts w:ascii="Times New Roman" w:hAnsi="Times New Roman" w:eastAsia="宋体" w:cs="Times New Roman"/>
                <w:b/>
                <w:bCs/>
                <w:color w:val="000000"/>
                <w:spacing w:val="0"/>
                <w:kern w:val="0"/>
                <w:sz w:val="21"/>
                <w:szCs w:val="21"/>
                <w:lang w:bidi="ar"/>
              </w:rPr>
              <w:t xml:space="preserve">                   非正常工况一览表</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658"/>
              <w:gridCol w:w="432"/>
              <w:gridCol w:w="714"/>
              <w:gridCol w:w="1069"/>
              <w:gridCol w:w="856"/>
              <w:gridCol w:w="1039"/>
              <w:gridCol w:w="875"/>
              <w:gridCol w:w="1099"/>
              <w:gridCol w:w="824"/>
              <w:gridCol w:w="801"/>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781" w:hRule="atLeast"/>
                <w:jc w:val="center"/>
              </w:trPr>
              <w:tc>
                <w:tcPr>
                  <w:tcW w:w="3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排放源</w:t>
                  </w:r>
                </w:p>
              </w:tc>
              <w:tc>
                <w:tcPr>
                  <w:tcW w:w="2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污染物名称</w:t>
                  </w:r>
                </w:p>
              </w:tc>
              <w:tc>
                <w:tcPr>
                  <w:tcW w:w="4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治理措施</w:t>
                  </w:r>
                </w:p>
              </w:tc>
              <w:tc>
                <w:tcPr>
                  <w:tcW w:w="63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处理风量（m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/h）</w:t>
                  </w:r>
                </w:p>
              </w:tc>
              <w:tc>
                <w:tcPr>
                  <w:tcW w:w="511"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排放速率</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（kg/h）</w:t>
                  </w:r>
                </w:p>
              </w:tc>
              <w:tc>
                <w:tcPr>
                  <w:tcW w:w="620"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排放浓度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（mg/m</w:t>
                  </w:r>
                  <w:r>
                    <w:rPr>
                      <w:rFonts w:hint="default" w:ascii="Times New Roman" w:hAnsi="Times New Roman" w:eastAsia="宋体" w:cs="Times New Roman"/>
                      <w:b w:val="0"/>
                      <w:bCs w:val="0"/>
                      <w:color w:val="auto"/>
                      <w:kern w:val="2"/>
                      <w:sz w:val="21"/>
                      <w:szCs w:val="21"/>
                      <w:vertAlign w:val="superscript"/>
                      <w:lang w:val="en-US" w:eastAsia="zh-CN" w:bidi="ar-SA"/>
                    </w:rPr>
                    <w:t>3</w:t>
                  </w:r>
                  <w:r>
                    <w:rPr>
                      <w:rFonts w:hint="default" w:ascii="Times New Roman" w:hAnsi="Times New Roman" w:eastAsia="宋体" w:cs="Times New Roman"/>
                      <w:b w:val="0"/>
                      <w:bCs w:val="0"/>
                      <w:color w:val="auto"/>
                      <w:kern w:val="2"/>
                      <w:sz w:val="21"/>
                      <w:szCs w:val="21"/>
                      <w:lang w:val="en-US" w:eastAsia="zh-CN" w:bidi="ar-SA"/>
                    </w:rPr>
                    <w:t>）</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发生频次（次）</w:t>
                  </w:r>
                </w:p>
              </w:tc>
              <w:tc>
                <w:tcPr>
                  <w:tcW w:w="65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单次持续时间（min）</w:t>
                  </w:r>
                </w:p>
              </w:tc>
              <w:tc>
                <w:tcPr>
                  <w:tcW w:w="49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排放量（kg）</w:t>
                  </w:r>
                </w:p>
              </w:tc>
              <w:tc>
                <w:tcPr>
                  <w:tcW w:w="47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处理措施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DA001</w:t>
                  </w:r>
                </w:p>
              </w:tc>
              <w:tc>
                <w:tcPr>
                  <w:tcW w:w="2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非甲烷总烃</w:t>
                  </w:r>
                </w:p>
              </w:tc>
              <w:tc>
                <w:tcPr>
                  <w:tcW w:w="4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b w:val="0"/>
                      <w:bCs w:val="0"/>
                      <w:color w:val="auto"/>
                      <w:sz w:val="21"/>
                      <w:szCs w:val="21"/>
                      <w:lang w:val="en-US" w:eastAsia="zh-CN"/>
                    </w:rPr>
                  </w:pPr>
                  <w:r>
                    <w:rPr>
                      <w:rFonts w:hint="default" w:ascii="Times New Roman" w:hAnsi="Times New Roman" w:eastAsia="宋体" w:cs="Times New Roman"/>
                      <w:sz w:val="21"/>
                      <w:szCs w:val="21"/>
                      <w:lang w:val="en-US" w:eastAsia="zh-CN"/>
                    </w:rPr>
                    <w:t>密闭式集气罩+二级活性炭</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2"/>
                      <w:sz w:val="21"/>
                      <w:szCs w:val="21"/>
                      <w:highlight w:val="none"/>
                      <w:u w:val="none"/>
                      <w:lang w:val="en-US" w:eastAsia="zh-CN" w:bidi="ar-SA"/>
                    </w:rPr>
                  </w:pPr>
                  <w:r>
                    <w:rPr>
                      <w:rFonts w:hint="default" w:ascii="Times New Roman" w:hAnsi="Times New Roman" w:eastAsia="宋体" w:cs="Times New Roman"/>
                      <w:i w:val="0"/>
                      <w:iCs w:val="0"/>
                      <w:color w:val="000000"/>
                      <w:kern w:val="0"/>
                      <w:sz w:val="21"/>
                      <w:szCs w:val="21"/>
                      <w:highlight w:val="none"/>
                      <w:u w:val="none"/>
                      <w:lang w:val="en-US" w:eastAsia="zh-CN" w:bidi="ar"/>
                    </w:rPr>
                    <w:t>5000</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0.170</w:t>
                  </w:r>
                </w:p>
              </w:tc>
              <w:tc>
                <w:tcPr>
                  <w:tcW w:w="10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34</w:t>
                  </w:r>
                </w:p>
              </w:tc>
              <w:tc>
                <w:tcPr>
                  <w:tcW w:w="522"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1次/年</w:t>
                  </w:r>
                </w:p>
              </w:tc>
              <w:tc>
                <w:tcPr>
                  <w:tcW w:w="65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3"/>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60</w:t>
                  </w:r>
                </w:p>
              </w:tc>
              <w:tc>
                <w:tcPr>
                  <w:tcW w:w="8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yellow"/>
                      <w:lang w:val="en-US" w:eastAsia="zh-CN" w:bidi="ar-SA"/>
                    </w:rPr>
                  </w:pPr>
                  <w:r>
                    <w:rPr>
                      <w:rFonts w:hint="default" w:ascii="Times New Roman" w:hAnsi="Times New Roman" w:eastAsia="宋体" w:cs="Times New Roman"/>
                      <w:sz w:val="21"/>
                      <w:szCs w:val="21"/>
                      <w:highlight w:val="none"/>
                      <w:lang w:val="en-US" w:eastAsia="zh-CN"/>
                    </w:rPr>
                    <w:t>0.170</w:t>
                  </w:r>
                </w:p>
              </w:tc>
              <w:tc>
                <w:tcPr>
                  <w:tcW w:w="478" w:type="pct"/>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停止工作，紧急抢修</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446" w:hRule="atLeast"/>
                <w:jc w:val="center"/>
              </w:trPr>
              <w:tc>
                <w:tcPr>
                  <w:tcW w:w="393"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DA002</w:t>
                  </w:r>
                </w:p>
              </w:tc>
              <w:tc>
                <w:tcPr>
                  <w:tcW w:w="258"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r>
                    <w:rPr>
                      <w:rFonts w:hint="default" w:ascii="Times New Roman" w:hAnsi="Times New Roman" w:eastAsia="宋体" w:cs="Times New Roman"/>
                      <w:b w:val="0"/>
                      <w:bCs w:val="0"/>
                      <w:color w:val="auto"/>
                      <w:kern w:val="2"/>
                      <w:sz w:val="21"/>
                      <w:szCs w:val="21"/>
                      <w:lang w:val="en-US" w:eastAsia="zh-CN" w:bidi="ar-SA"/>
                    </w:rPr>
                    <w:t>非甲烷总烃</w:t>
                  </w:r>
                </w:p>
              </w:tc>
              <w:tc>
                <w:tcPr>
                  <w:tcW w:w="426"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密闭式集气罩+二级活性炭</w:t>
                  </w:r>
                </w:p>
              </w:tc>
              <w:tc>
                <w:tcPr>
                  <w:tcW w:w="63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bottom"/>
                    <w:rPr>
                      <w:rFonts w:hint="default" w:ascii="Times New Roman" w:hAnsi="Times New Roman" w:eastAsia="宋体" w:cs="Times New Roman"/>
                      <w:i w:val="0"/>
                      <w:iCs w:val="0"/>
                      <w:color w:val="000000"/>
                      <w:kern w:val="0"/>
                      <w:sz w:val="21"/>
                      <w:szCs w:val="21"/>
                      <w:highlight w:val="none"/>
                      <w:u w:val="none"/>
                      <w:lang w:val="en-US" w:eastAsia="zh-CN" w:bidi="ar"/>
                    </w:rPr>
                  </w:pPr>
                  <w:r>
                    <w:rPr>
                      <w:rFonts w:hint="default" w:ascii="Times New Roman" w:hAnsi="Times New Roman" w:eastAsia="宋体" w:cs="Times New Roman"/>
                      <w:i w:val="0"/>
                      <w:iCs w:val="0"/>
                      <w:color w:val="000000"/>
                      <w:kern w:val="0"/>
                      <w:sz w:val="21"/>
                      <w:szCs w:val="21"/>
                      <w:highlight w:val="none"/>
                      <w:u w:val="none"/>
                      <w:lang w:val="en-US" w:eastAsia="zh-CN" w:bidi="ar"/>
                    </w:rPr>
                    <w:t>5000</w:t>
                  </w:r>
                </w:p>
              </w:tc>
              <w:tc>
                <w:tcPr>
                  <w:tcW w:w="85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0.190</w:t>
                  </w:r>
                </w:p>
              </w:tc>
              <w:tc>
                <w:tcPr>
                  <w:tcW w:w="1039"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38</w:t>
                  </w:r>
                </w:p>
              </w:tc>
              <w:tc>
                <w:tcPr>
                  <w:tcW w:w="522"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3"/>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1次/年</w:t>
                  </w:r>
                </w:p>
              </w:tc>
              <w:tc>
                <w:tcPr>
                  <w:tcW w:w="656"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outlineLvl w:val="3"/>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kern w:val="2"/>
                      <w:sz w:val="21"/>
                      <w:szCs w:val="21"/>
                      <w:highlight w:val="none"/>
                      <w:lang w:val="en-US" w:eastAsia="zh-CN" w:bidi="ar-SA"/>
                    </w:rPr>
                    <w:t>60</w:t>
                  </w:r>
                </w:p>
              </w:tc>
              <w:tc>
                <w:tcPr>
                  <w:tcW w:w="82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宋体" w:cs="Times New Roman"/>
                      <w:b w:val="0"/>
                      <w:bCs w:val="0"/>
                      <w:color w:val="auto"/>
                      <w:kern w:val="2"/>
                      <w:sz w:val="21"/>
                      <w:szCs w:val="21"/>
                      <w:highlight w:val="yellow"/>
                      <w:lang w:val="en-US" w:eastAsia="zh-CN" w:bidi="ar-SA"/>
                    </w:rPr>
                  </w:pPr>
                  <w:r>
                    <w:rPr>
                      <w:rFonts w:hint="default" w:ascii="Times New Roman" w:hAnsi="Times New Roman" w:eastAsia="宋体" w:cs="Times New Roman"/>
                      <w:sz w:val="21"/>
                      <w:szCs w:val="21"/>
                      <w:highlight w:val="none"/>
                      <w:lang w:val="en-US" w:eastAsia="zh-CN"/>
                    </w:rPr>
                    <w:t>0.19</w:t>
                  </w:r>
                </w:p>
              </w:tc>
              <w:tc>
                <w:tcPr>
                  <w:tcW w:w="478" w:type="pct"/>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firstLine="0" w:firstLineChars="0"/>
                    <w:jc w:val="center"/>
                    <w:textAlignment w:val="auto"/>
                    <w:outlineLvl w:val="3"/>
                    <w:rPr>
                      <w:rFonts w:hint="default" w:ascii="Times New Roman" w:hAnsi="Times New Roman" w:eastAsia="宋体" w:cs="Times New Roman"/>
                      <w:b w:val="0"/>
                      <w:bCs w:val="0"/>
                      <w:color w:val="auto"/>
                      <w:kern w:val="2"/>
                      <w:sz w:val="21"/>
                      <w:szCs w:val="21"/>
                      <w:lang w:val="en-US" w:eastAsia="zh-CN" w:bidi="ar-SA"/>
                    </w:rPr>
                  </w:pPr>
                </w:p>
              </w:tc>
            </w:tr>
          </w:tbl>
          <w:p>
            <w:pPr>
              <w:widowControl w:val="0"/>
              <w:adjustRightInd w:val="0"/>
              <w:snapToGrid w:val="0"/>
              <w:spacing w:line="360" w:lineRule="auto"/>
              <w:ind w:firstLine="482" w:firstLineChars="200"/>
              <w:jc w:val="both"/>
              <w:rPr>
                <w:rFonts w:ascii="Times New Roman" w:hAnsi="Times New Roman" w:eastAsia="宋体" w:cs="Times New Roman"/>
                <w:b/>
                <w:bCs w:val="0"/>
                <w:color w:val="000000"/>
                <w:kern w:val="24"/>
                <w:sz w:val="24"/>
                <w:szCs w:val="24"/>
                <w:lang w:val="en-US" w:eastAsia="zh-CN" w:bidi="ar-SA"/>
              </w:rPr>
            </w:pPr>
            <w:r>
              <w:rPr>
                <w:rFonts w:ascii="Times New Roman" w:hAnsi="Times New Roman" w:eastAsia="宋体" w:cs="Times New Roman"/>
                <w:b/>
                <w:bCs w:val="0"/>
                <w:color w:val="000000"/>
                <w:kern w:val="24"/>
                <w:sz w:val="24"/>
                <w:szCs w:val="24"/>
                <w:lang w:val="en-US" w:eastAsia="zh-CN" w:bidi="ar-SA"/>
              </w:rPr>
              <w:t>1.4自行监测</w:t>
            </w:r>
          </w:p>
          <w:p>
            <w:pPr>
              <w:autoSpaceDE w:val="0"/>
              <w:autoSpaceDN w:val="0"/>
              <w:adjustRightInd w:val="0"/>
              <w:snapToGrid w:val="0"/>
              <w:ind w:firstLine="480" w:firstLineChars="200"/>
              <w:rPr>
                <w:rFonts w:ascii="Times New Roman" w:hAnsi="Times New Roman" w:eastAsia="宋体" w:cs="Times New Roman"/>
                <w:color w:val="000000"/>
              </w:rPr>
            </w:pPr>
            <w:r>
              <w:rPr>
                <w:rFonts w:hint="eastAsia" w:ascii="Times New Roman" w:hAnsi="Times New Roman" w:eastAsia="宋体" w:cs="Times New Roman"/>
                <w:color w:val="000000"/>
              </w:rPr>
              <w:t>本项目根据</w:t>
            </w:r>
            <w:r>
              <w:rPr>
                <w:rFonts w:ascii="Times New Roman" w:hAnsi="Times New Roman" w:eastAsia="宋体" w:cs="Times New Roman"/>
                <w:color w:val="000000"/>
              </w:rPr>
              <w:t>《排污许可证申请与核发技术规范 橡胶和塑料制品工业》(HJ1122-2020）</w:t>
            </w:r>
            <w:r>
              <w:rPr>
                <w:rFonts w:hint="eastAsia" w:cs="Times New Roman"/>
                <w:color w:val="000000"/>
                <w:lang w:eastAsia="zh-CN"/>
              </w:rPr>
              <w:t>、</w:t>
            </w:r>
            <w:r>
              <w:rPr>
                <w:rFonts w:hint="eastAsia" w:cs="Times New Roman"/>
                <w:color w:val="000000"/>
                <w:lang w:val="en-US" w:eastAsia="zh-CN"/>
              </w:rPr>
              <w:t>《排污单位自行监测技术指南 橡胶和塑料制品》（HJ1207-2021）</w:t>
            </w:r>
            <w:r>
              <w:rPr>
                <w:rFonts w:hint="eastAsia" w:ascii="Times New Roman" w:hAnsi="Times New Roman" w:eastAsia="宋体" w:cs="Times New Roman"/>
                <w:color w:val="000000"/>
              </w:rPr>
              <w:t>和《排污单位自行监测技术指南 总则》（</w:t>
            </w:r>
            <w:r>
              <w:rPr>
                <w:rFonts w:ascii="Times New Roman" w:hAnsi="Times New Roman" w:eastAsia="宋体" w:cs="Times New Roman"/>
                <w:color w:val="000000"/>
              </w:rPr>
              <w:t>HJ 819-2017</w:t>
            </w:r>
            <w:r>
              <w:rPr>
                <w:rFonts w:hint="eastAsia" w:ascii="Times New Roman" w:hAnsi="Times New Roman" w:eastAsia="宋体" w:cs="Times New Roman"/>
                <w:color w:val="000000"/>
              </w:rPr>
              <w:t>）要求制定自行监测计划，监测计划见表</w:t>
            </w:r>
            <w:r>
              <w:rPr>
                <w:rFonts w:hint="eastAsia" w:ascii="Times New Roman" w:hAnsi="Times New Roman" w:eastAsia="宋体" w:cs="Times New Roman"/>
                <w:color w:val="000000"/>
                <w:lang w:val="en-US" w:eastAsia="zh-CN"/>
              </w:rPr>
              <w:t>4-3</w:t>
            </w:r>
            <w:r>
              <w:rPr>
                <w:rFonts w:hint="eastAsia" w:ascii="Times New Roman" w:hAnsi="Times New Roman" w:eastAsia="宋体" w:cs="Times New Roman"/>
                <w:color w:val="000000"/>
              </w:rPr>
              <w:t>。</w:t>
            </w:r>
          </w:p>
          <w:p>
            <w:pPr>
              <w:tabs>
                <w:tab w:val="left" w:pos="6480"/>
              </w:tabs>
              <w:adjustRightInd w:val="0"/>
              <w:snapToGrid w:val="0"/>
              <w:spacing w:line="240" w:lineRule="auto"/>
              <w:ind w:firstLine="422" w:firstLineChars="200"/>
              <w:rPr>
                <w:rFonts w:ascii="Times New Roman" w:hAnsi="Times New Roman" w:eastAsia="宋体" w:cs="Times New Roman"/>
                <w:b/>
                <w:bCs/>
                <w:color w:val="000000"/>
                <w:kern w:val="0"/>
                <w:sz w:val="21"/>
                <w:szCs w:val="21"/>
                <w:lang w:bidi="ar"/>
              </w:rPr>
            </w:pPr>
            <w:r>
              <w:rPr>
                <w:rFonts w:hint="eastAsia" w:ascii="Times New Roman" w:hAnsi="Times New Roman" w:eastAsia="宋体" w:cs="Times New Roman"/>
                <w:b/>
                <w:bCs/>
                <w:color w:val="000000"/>
                <w:kern w:val="0"/>
                <w:sz w:val="21"/>
                <w:szCs w:val="21"/>
                <w:lang w:bidi="ar"/>
              </w:rPr>
              <w:t>表</w:t>
            </w:r>
            <w:r>
              <w:rPr>
                <w:rFonts w:hint="eastAsia" w:ascii="Times New Roman" w:hAnsi="Times New Roman" w:eastAsia="宋体" w:cs="Times New Roman"/>
                <w:b/>
                <w:bCs/>
                <w:color w:val="000000"/>
                <w:kern w:val="0"/>
                <w:sz w:val="21"/>
                <w:szCs w:val="21"/>
                <w:lang w:val="en-US" w:eastAsia="zh-CN" w:bidi="ar"/>
              </w:rPr>
              <w:t>4-3</w:t>
            </w:r>
            <w:r>
              <w:rPr>
                <w:rFonts w:ascii="Times New Roman" w:hAnsi="Times New Roman" w:eastAsia="宋体" w:cs="Times New Roman"/>
                <w:b/>
                <w:bCs/>
                <w:color w:val="000000"/>
                <w:kern w:val="0"/>
                <w:sz w:val="21"/>
                <w:szCs w:val="21"/>
                <w:lang w:bidi="ar"/>
              </w:rPr>
              <w:t xml:space="preserve">                          </w:t>
            </w:r>
            <w:r>
              <w:rPr>
                <w:rFonts w:hint="eastAsia" w:ascii="Times New Roman" w:hAnsi="Times New Roman" w:eastAsia="宋体" w:cs="Times New Roman"/>
                <w:b/>
                <w:bCs/>
                <w:color w:val="000000"/>
                <w:kern w:val="0"/>
                <w:sz w:val="21"/>
                <w:szCs w:val="21"/>
                <w:lang w:bidi="ar"/>
              </w:rPr>
              <w:t>废气监测计划</w:t>
            </w:r>
          </w:p>
          <w:tbl>
            <w:tblPr>
              <w:tblStyle w:val="26"/>
              <w:tblW w:w="5000"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11"/>
              <w:gridCol w:w="765"/>
              <w:gridCol w:w="1138"/>
              <w:gridCol w:w="521"/>
              <w:gridCol w:w="5632"/>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类别</w:t>
                  </w:r>
                </w:p>
              </w:tc>
              <w:tc>
                <w:tcPr>
                  <w:tcW w:w="457"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监测位置</w:t>
                  </w:r>
                </w:p>
              </w:tc>
              <w:tc>
                <w:tcPr>
                  <w:tcW w:w="680"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监测项目</w:t>
                  </w:r>
                </w:p>
              </w:tc>
              <w:tc>
                <w:tcPr>
                  <w:tcW w:w="31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监测频次</w:t>
                  </w:r>
                </w:p>
              </w:tc>
              <w:tc>
                <w:tcPr>
                  <w:tcW w:w="336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执行标准</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restar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废气</w:t>
                  </w:r>
                </w:p>
              </w:tc>
              <w:tc>
                <w:tcPr>
                  <w:tcW w:w="457" w:type="pct"/>
                  <w:vMerge w:val="restart"/>
                  <w:noWrap w:val="0"/>
                  <w:vAlign w:val="center"/>
                </w:tcPr>
                <w:p>
                  <w:pPr>
                    <w:widowControl w:val="0"/>
                    <w:adjustRightInd w:val="0"/>
                    <w:snapToGrid w:val="0"/>
                    <w:spacing w:line="240" w:lineRule="auto"/>
                    <w:ind w:left="0" w:leftChars="0"/>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DA001</w:t>
                  </w:r>
                </w:p>
              </w:tc>
              <w:tc>
                <w:tcPr>
                  <w:tcW w:w="680" w:type="pct"/>
                  <w:noWrap w:val="0"/>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非甲烷总烃</w:t>
                  </w:r>
                </w:p>
              </w:tc>
              <w:tc>
                <w:tcPr>
                  <w:tcW w:w="31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1次/</w:t>
                  </w:r>
                  <w:r>
                    <w:rPr>
                      <w:rFonts w:hint="eastAsia" w:cs="Times New Roman"/>
                      <w:color w:val="000000"/>
                      <w:kern w:val="2"/>
                      <w:sz w:val="21"/>
                      <w:szCs w:val="21"/>
                      <w:lang w:val="en-US" w:eastAsia="zh-CN" w:bidi="ar-SA"/>
                    </w:rPr>
                    <w:t>半</w:t>
                  </w:r>
                  <w:r>
                    <w:rPr>
                      <w:rFonts w:ascii="Times New Roman" w:hAnsi="Times New Roman" w:eastAsia="宋体" w:cs="Times New Roman"/>
                      <w:color w:val="000000"/>
                      <w:kern w:val="2"/>
                      <w:sz w:val="21"/>
                      <w:szCs w:val="21"/>
                      <w:lang w:val="en-US" w:eastAsia="zh-CN" w:bidi="ar-SA"/>
                    </w:rPr>
                    <w:t>年</w:t>
                  </w:r>
                </w:p>
              </w:tc>
              <w:tc>
                <w:tcPr>
                  <w:tcW w:w="3365" w:type="pct"/>
                  <w:noWrap w:val="0"/>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lang w:val="en-US" w:eastAsia="zh-CN"/>
                    </w:rPr>
                    <w:fldChar w:fldCharType="begin"/>
                  </w:r>
                  <w:r>
                    <w:rPr>
                      <w:rFonts w:hint="eastAsia" w:ascii="Times New Roman" w:hAnsi="Times New Roman" w:eastAsia="宋体" w:cs="Times New Roman"/>
                      <w:color w:val="000000"/>
                      <w:sz w:val="21"/>
                      <w:szCs w:val="21"/>
                      <w:lang w:val="en-US" w:eastAsia="zh-CN"/>
                    </w:rPr>
                    <w:instrText xml:space="preserve"> HYPERLINK "https://www.mee.gov.cn/ywgz/fgbz/bz/bzwb/dqhjbh/dqgdwrywrwpfbz/201505/W020240612354056402310.pdf" </w:instrText>
                  </w:r>
                  <w:r>
                    <w:rPr>
                      <w:rFonts w:hint="eastAsia" w:ascii="Times New Roman" w:hAnsi="Times New Roman" w:eastAsia="宋体" w:cs="Times New Roman"/>
                      <w:color w:val="000000"/>
                      <w:sz w:val="21"/>
                      <w:szCs w:val="21"/>
                      <w:lang w:val="en-US" w:eastAsia="zh-CN"/>
                    </w:rPr>
                    <w:fldChar w:fldCharType="separate"/>
                  </w:r>
                  <w:r>
                    <w:rPr>
                      <w:rFonts w:hint="eastAsia" w:ascii="Times New Roman" w:hAnsi="Times New Roman" w:eastAsia="宋体" w:cs="Times New Roman"/>
                      <w:color w:val="000000"/>
                      <w:sz w:val="21"/>
                      <w:szCs w:val="21"/>
                      <w:lang w:val="en-US" w:eastAsia="zh-CN"/>
                    </w:rPr>
                    <w:t>《合成树脂工业污染物排放标准》（GB 31572-2015，含2024年修改单）</w:t>
                  </w:r>
                  <w:r>
                    <w:rPr>
                      <w:rFonts w:hint="eastAsia" w:ascii="Times New Roman" w:hAnsi="Times New Roman" w:eastAsia="宋体" w:cs="Times New Roman"/>
                      <w:color w:val="000000"/>
                      <w:sz w:val="21"/>
                      <w:szCs w:val="21"/>
                      <w:lang w:val="en-US" w:eastAsia="zh-CN"/>
                    </w:rPr>
                    <w:fldChar w:fldCharType="end"/>
                  </w:r>
                  <w:r>
                    <w:rPr>
                      <w:rFonts w:hint="eastAsia" w:ascii="Times New Roman" w:hAnsi="Times New Roman" w:eastAsia="宋体" w:cs="Times New Roman"/>
                      <w:color w:val="000000"/>
                      <w:sz w:val="21"/>
                      <w:szCs w:val="21"/>
                      <w:lang w:val="en-US" w:eastAsia="zh-CN"/>
                    </w:rPr>
                    <w:t>表5中大气污染物特别排放限值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continue"/>
                  <w:noWrap w:val="0"/>
                  <w:vAlign w:val="center"/>
                </w:tcPr>
                <w:p>
                  <w:pPr>
                    <w:widowControl w:val="0"/>
                    <w:adjustRightInd w:val="0"/>
                    <w:snapToGrid w:val="0"/>
                    <w:spacing w:line="240" w:lineRule="auto"/>
                    <w:ind w:left="0" w:leftChars="0"/>
                    <w:jc w:val="center"/>
                    <w:rPr>
                      <w:rFonts w:ascii="Times New Roman" w:hAnsi="Times New Roman" w:eastAsia="宋体" w:cs="Times New Roman"/>
                      <w:color w:val="000000"/>
                      <w:kern w:val="0"/>
                      <w:sz w:val="21"/>
                      <w:szCs w:val="21"/>
                      <w:lang w:val="en-US" w:eastAsia="zh-CN" w:bidi="ar-SA"/>
                    </w:rPr>
                  </w:pPr>
                </w:p>
              </w:tc>
              <w:tc>
                <w:tcPr>
                  <w:tcW w:w="680" w:type="pct"/>
                  <w:noWrap w:val="0"/>
                  <w:vAlign w:val="center"/>
                </w:tcPr>
                <w:p>
                  <w:pPr>
                    <w:adjustRightInd w:val="0"/>
                    <w:snapToGrid w:val="0"/>
                    <w:spacing w:line="240" w:lineRule="auto"/>
                    <w:jc w:val="center"/>
                    <w:rPr>
                      <w:rFonts w:hint="eastAsia" w:ascii="Times New Roman" w:hAnsi="Times New Roman" w:eastAsia="宋体" w:cs="Times New Roman"/>
                      <w:color w:val="000000"/>
                      <w:sz w:val="21"/>
                      <w:szCs w:val="21"/>
                    </w:rPr>
                  </w:pPr>
                  <w:r>
                    <w:rPr>
                      <w:rFonts w:hint="eastAsia" w:cs="Times New Roman"/>
                      <w:color w:val="000000"/>
                      <w:kern w:val="2"/>
                      <w:sz w:val="21"/>
                      <w:szCs w:val="21"/>
                      <w:lang w:val="en-US" w:eastAsia="zh-CN" w:bidi="ar-SA"/>
                    </w:rPr>
                    <w:t>臭气浓度</w:t>
                  </w:r>
                </w:p>
              </w:tc>
              <w:tc>
                <w:tcPr>
                  <w:tcW w:w="31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1次/年</w:t>
                  </w:r>
                </w:p>
              </w:tc>
              <w:tc>
                <w:tcPr>
                  <w:tcW w:w="3365" w:type="pct"/>
                  <w:noWrap w:val="0"/>
                  <w:vAlign w:val="center"/>
                </w:tcPr>
                <w:p>
                  <w:pPr>
                    <w:adjustRightInd w:val="0"/>
                    <w:snapToGrid w:val="0"/>
                    <w:spacing w:line="240" w:lineRule="auto"/>
                    <w:jc w:val="center"/>
                    <w:rPr>
                      <w:rFonts w:hint="eastAsia" w:ascii="Times New Roman" w:hAnsi="Times New Roman" w:eastAsia="宋体" w:cs="Times New Roman"/>
                      <w:color w:val="000000"/>
                      <w:sz w:val="21"/>
                      <w:szCs w:val="21"/>
                      <w:lang w:val="en-US" w:eastAsia="zh-CN"/>
                    </w:rPr>
                  </w:pPr>
                  <w:r>
                    <w:rPr>
                      <w:rFonts w:hint="eastAsia" w:ascii="Times New Roman" w:hAnsi="Times New Roman" w:eastAsia="宋体" w:cs="Times New Roman"/>
                      <w:color w:val="000000"/>
                      <w:sz w:val="21"/>
                      <w:szCs w:val="21"/>
                      <w:lang w:val="en-US" w:eastAsia="zh-CN"/>
                    </w:rPr>
                    <w:t>《恶臭污染物排放标准》（GB14554-93）表2恶臭污染物限值要求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restart"/>
                  <w:noWrap w:val="0"/>
                  <w:vAlign w:val="center"/>
                </w:tcPr>
                <w:p>
                  <w:pPr>
                    <w:widowControl w:val="0"/>
                    <w:adjustRightInd w:val="0"/>
                    <w:snapToGrid w:val="0"/>
                    <w:spacing w:line="240" w:lineRule="auto"/>
                    <w:ind w:left="0" w:leftChars="0"/>
                    <w:jc w:val="center"/>
                    <w:rPr>
                      <w:rFonts w:ascii="Times New Roman" w:hAnsi="Times New Roman" w:eastAsia="宋体" w:cs="Times New Roman"/>
                      <w:color w:val="000000"/>
                      <w:kern w:val="0"/>
                      <w:sz w:val="21"/>
                      <w:szCs w:val="21"/>
                      <w:lang w:val="en-US" w:eastAsia="zh-CN" w:bidi="ar-SA"/>
                    </w:rPr>
                  </w:pPr>
                  <w:r>
                    <w:rPr>
                      <w:rFonts w:ascii="Times New Roman" w:hAnsi="Times New Roman" w:eastAsia="宋体" w:cs="Times New Roman"/>
                      <w:color w:val="000000"/>
                      <w:kern w:val="0"/>
                      <w:sz w:val="21"/>
                      <w:szCs w:val="21"/>
                      <w:lang w:val="en-US" w:eastAsia="zh-CN" w:bidi="ar-SA"/>
                    </w:rPr>
                    <w:t>DA002</w:t>
                  </w:r>
                </w:p>
              </w:tc>
              <w:tc>
                <w:tcPr>
                  <w:tcW w:w="680" w:type="pct"/>
                  <w:noWrap w:val="0"/>
                  <w:vAlign w:val="center"/>
                </w:tcPr>
                <w:p>
                  <w:pPr>
                    <w:adjustRightInd w:val="0"/>
                    <w:snapToGrid w:val="0"/>
                    <w:spacing w:line="240" w:lineRule="auto"/>
                    <w:jc w:val="center"/>
                    <w:rPr>
                      <w:rFonts w:ascii="Times New Roman" w:hAnsi="Times New Roman" w:eastAsia="宋体" w:cs="Times New Roman"/>
                      <w:color w:val="000000"/>
                      <w:sz w:val="21"/>
                      <w:szCs w:val="21"/>
                    </w:rPr>
                  </w:pPr>
                  <w:r>
                    <w:rPr>
                      <w:rFonts w:hint="eastAsia" w:ascii="Times New Roman" w:hAnsi="Times New Roman" w:eastAsia="宋体" w:cs="Times New Roman"/>
                      <w:color w:val="000000"/>
                      <w:sz w:val="21"/>
                      <w:szCs w:val="21"/>
                    </w:rPr>
                    <w:t>非甲烷总烃</w:t>
                  </w:r>
                </w:p>
              </w:tc>
              <w:tc>
                <w:tcPr>
                  <w:tcW w:w="521" w:type="dxa"/>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kern w:val="2"/>
                      <w:sz w:val="21"/>
                      <w:szCs w:val="21"/>
                      <w:lang w:val="en-US" w:eastAsia="zh-CN" w:bidi="ar-SA"/>
                    </w:rPr>
                    <w:t>1次/</w:t>
                  </w:r>
                  <w:r>
                    <w:rPr>
                      <w:rFonts w:hint="eastAsia" w:cs="Times New Roman"/>
                      <w:color w:val="000000"/>
                      <w:kern w:val="2"/>
                      <w:sz w:val="21"/>
                      <w:szCs w:val="21"/>
                      <w:lang w:val="en-US" w:eastAsia="zh-CN" w:bidi="ar-SA"/>
                    </w:rPr>
                    <w:t>半</w:t>
                  </w:r>
                  <w:r>
                    <w:rPr>
                      <w:rFonts w:ascii="Times New Roman" w:hAnsi="Times New Roman" w:eastAsia="宋体" w:cs="Times New Roman"/>
                      <w:color w:val="000000"/>
                      <w:kern w:val="2"/>
                      <w:sz w:val="21"/>
                      <w:szCs w:val="21"/>
                      <w:lang w:val="en-US" w:eastAsia="zh-CN" w:bidi="ar-SA"/>
                    </w:rPr>
                    <w:t>年</w:t>
                  </w:r>
                </w:p>
              </w:tc>
              <w:tc>
                <w:tcPr>
                  <w:tcW w:w="3365" w:type="pct"/>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themeColor="text1"/>
                      <w:spacing w:val="0"/>
                      <w:kern w:val="0"/>
                      <w:position w:val="0"/>
                      <w:sz w:val="21"/>
                      <w:szCs w:val="21"/>
                      <w14:textFill>
                        <w14:solidFill>
                          <w14:schemeClr w14:val="tx1"/>
                        </w14:solidFill>
                      </w14:textFill>
                    </w:rPr>
                    <w:t>《合成树脂工业污染物排放标准》（GB-31572-2015）表</w:t>
                  </w:r>
                  <w: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t>5</w:t>
                  </w:r>
                  <w:r>
                    <w:rPr>
                      <w:rFonts w:hint="default" w:ascii="Times New Roman" w:hAnsi="Times New Roman" w:eastAsia="宋体" w:cs="Times New Roman"/>
                      <w:color w:val="000000" w:themeColor="text1"/>
                      <w:spacing w:val="0"/>
                      <w:kern w:val="0"/>
                      <w:position w:val="0"/>
                      <w:sz w:val="21"/>
                      <w:szCs w:val="21"/>
                      <w:lang w:val="en-US"/>
                      <w14:textFill>
                        <w14:solidFill>
                          <w14:schemeClr w14:val="tx1"/>
                        </w14:solidFill>
                      </w14:textFill>
                    </w:rPr>
                    <w:t>大气污染物</w:t>
                  </w:r>
                  <w: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t>特别</w:t>
                  </w:r>
                  <w:r>
                    <w:rPr>
                      <w:rFonts w:hint="default" w:ascii="Times New Roman" w:hAnsi="Times New Roman" w:eastAsia="宋体" w:cs="Times New Roman"/>
                      <w:color w:val="000000" w:themeColor="text1"/>
                      <w:spacing w:val="0"/>
                      <w:kern w:val="0"/>
                      <w:position w:val="0"/>
                      <w:sz w:val="21"/>
                      <w:szCs w:val="21"/>
                      <w:lang w:val="en-US"/>
                      <w14:textFill>
                        <w14:solidFill>
                          <w14:schemeClr w14:val="tx1"/>
                        </w14:solidFill>
                      </w14:textFill>
                    </w:rPr>
                    <w:t>排放限值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continue"/>
                  <w:noWrap w:val="0"/>
                  <w:vAlign w:val="center"/>
                </w:tcPr>
                <w:p>
                  <w:pPr>
                    <w:widowControl w:val="0"/>
                    <w:adjustRightInd w:val="0"/>
                    <w:snapToGrid w:val="0"/>
                    <w:spacing w:line="240" w:lineRule="auto"/>
                    <w:ind w:left="0" w:leftChars="0"/>
                    <w:jc w:val="center"/>
                    <w:rPr>
                      <w:rFonts w:ascii="Times New Roman" w:hAnsi="Times New Roman" w:eastAsia="宋体" w:cs="Times New Roman"/>
                      <w:color w:val="000000"/>
                      <w:kern w:val="0"/>
                      <w:sz w:val="21"/>
                      <w:szCs w:val="21"/>
                      <w:lang w:val="en-US" w:eastAsia="zh-CN" w:bidi="ar-SA"/>
                    </w:rPr>
                  </w:pPr>
                </w:p>
              </w:tc>
              <w:tc>
                <w:tcPr>
                  <w:tcW w:w="680" w:type="pct"/>
                  <w:noWrap w:val="0"/>
                  <w:vAlign w:val="center"/>
                </w:tcPr>
                <w:p>
                  <w:pPr>
                    <w:adjustRightInd w:val="0"/>
                    <w:snapToGrid w:val="0"/>
                    <w:spacing w:line="240" w:lineRule="auto"/>
                    <w:jc w:val="center"/>
                    <w:rPr>
                      <w:rFonts w:hint="eastAsia" w:ascii="Times New Roman" w:hAnsi="Times New Roman" w:eastAsia="宋体" w:cs="Times New Roman"/>
                      <w:color w:val="000000"/>
                      <w:sz w:val="21"/>
                      <w:szCs w:val="21"/>
                      <w:lang w:val="en-US" w:eastAsia="zh-CN"/>
                    </w:rPr>
                  </w:pPr>
                  <w:r>
                    <w:rPr>
                      <w:rFonts w:hint="eastAsia" w:cs="Times New Roman"/>
                      <w:color w:val="000000"/>
                      <w:kern w:val="2"/>
                      <w:sz w:val="21"/>
                      <w:szCs w:val="21"/>
                      <w:lang w:val="en-US" w:eastAsia="zh-CN" w:bidi="ar-SA"/>
                    </w:rPr>
                    <w:t>臭气浓度</w:t>
                  </w:r>
                </w:p>
              </w:tc>
              <w:tc>
                <w:tcPr>
                  <w:tcW w:w="521" w:type="dxa"/>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kern w:val="2"/>
                      <w:sz w:val="21"/>
                      <w:szCs w:val="21"/>
                      <w:lang w:val="en-US" w:eastAsia="zh-CN" w:bidi="ar-SA"/>
                    </w:rPr>
                    <w:t>1次/年</w:t>
                  </w:r>
                </w:p>
              </w:tc>
              <w:tc>
                <w:tcPr>
                  <w:tcW w:w="3365" w:type="pct"/>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t>《恶臭污染物排放标准》（GB14554-93）表2恶臭污染物限值要求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restart"/>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厂界</w:t>
                  </w:r>
                  <w:r>
                    <w:rPr>
                      <w:rFonts w:hint="eastAsia" w:cs="Times New Roman"/>
                      <w:color w:val="000000"/>
                      <w:kern w:val="2"/>
                      <w:sz w:val="21"/>
                      <w:szCs w:val="21"/>
                      <w:lang w:val="en-US" w:eastAsia="zh-CN" w:bidi="ar-SA"/>
                    </w:rPr>
                    <w:t>外</w:t>
                  </w:r>
                </w:p>
              </w:tc>
              <w:tc>
                <w:tcPr>
                  <w:tcW w:w="680"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非甲烷总烃</w:t>
                  </w:r>
                </w:p>
              </w:tc>
              <w:tc>
                <w:tcPr>
                  <w:tcW w:w="311" w:type="pct"/>
                  <w:vMerge w:val="restar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1次/年</w:t>
                  </w:r>
                </w:p>
              </w:tc>
              <w:tc>
                <w:tcPr>
                  <w:tcW w:w="3365" w:type="pct"/>
                  <w:vMerge w:val="restart"/>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themeColor="text1"/>
                      <w:spacing w:val="0"/>
                      <w:kern w:val="0"/>
                      <w:position w:val="0"/>
                      <w:sz w:val="21"/>
                      <w:szCs w:val="21"/>
                      <w14:textFill>
                        <w14:solidFill>
                          <w14:schemeClr w14:val="tx1"/>
                        </w14:solidFill>
                      </w14:textFill>
                    </w:rPr>
                    <w:t>《合成树脂工业污染物排放标准》（GB-31572-2015）表9中浓度限值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680" w:type="pct"/>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颗粒物</w:t>
                  </w:r>
                </w:p>
              </w:tc>
              <w:tc>
                <w:tcPr>
                  <w:tcW w:w="311"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3365" w:type="pct"/>
                  <w:vMerge w:val="continue"/>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680" w:type="pct"/>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臭气浓度</w:t>
                  </w:r>
                </w:p>
              </w:tc>
              <w:tc>
                <w:tcPr>
                  <w:tcW w:w="311"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3365" w:type="pct"/>
                  <w:noWrap w:val="0"/>
                  <w:vAlign w:val="center"/>
                </w:tcPr>
                <w:p>
                  <w:pPr>
                    <w:pStyle w:val="55"/>
                    <w:keepNext w:val="0"/>
                    <w:keepLines w:val="0"/>
                    <w:pageBreakBefore w:val="0"/>
                    <w:widowControl w:val="0"/>
                    <w:kinsoku/>
                    <w:wordWrap/>
                    <w:overflowPunct/>
                    <w:topLinePunct w:val="0"/>
                    <w:autoSpaceDE w:val="0"/>
                    <w:autoSpaceDN w:val="0"/>
                    <w:bidi w:val="0"/>
                    <w:adjustRightInd/>
                    <w:snapToGrid w:val="0"/>
                    <w:spacing w:line="240" w:lineRule="auto"/>
                    <w:ind w:left="0" w:leftChars="0" w:right="0" w:rightChars="0" w:firstLine="0" w:firstLineChars="0"/>
                    <w:jc w:val="center"/>
                    <w:textAlignment w:val="auto"/>
                    <w:rPr>
                      <w:rFonts w:hint="default" w:ascii="Times New Roman" w:hAnsi="Times New Roman" w:eastAsia="宋体" w:cs="Times New Roman"/>
                      <w:color w:val="000000"/>
                      <w:kern w:val="2"/>
                      <w:sz w:val="21"/>
                      <w:szCs w:val="21"/>
                      <w:lang w:val="en-US" w:eastAsia="zh-CN" w:bidi="ar-SA"/>
                    </w:rPr>
                  </w:pPr>
                  <w:r>
                    <w:rPr>
                      <w:rFonts w:hint="default" w:ascii="Times New Roman" w:hAnsi="Times New Roman" w:eastAsia="宋体" w:cs="Times New Roman"/>
                      <w:color w:val="000000" w:themeColor="text1"/>
                      <w:spacing w:val="0"/>
                      <w:kern w:val="0"/>
                      <w:position w:val="0"/>
                      <w:sz w:val="21"/>
                      <w:szCs w:val="21"/>
                      <w:lang w:val="en-US" w:eastAsia="zh-CN"/>
                      <w14:textFill>
                        <w14:solidFill>
                          <w14:schemeClr w14:val="tx1"/>
                        </w14:solidFill>
                      </w14:textFill>
                    </w:rPr>
                    <w:t>《恶臭污染物排放标准》（GB14554-93）表1恶臭污染物厂界标准二级限值要求</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jc w:val="center"/>
              </w:trPr>
              <w:tc>
                <w:tcPr>
                  <w:tcW w:w="185" w:type="pct"/>
                  <w:vMerge w:val="continue"/>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p>
              </w:tc>
              <w:tc>
                <w:tcPr>
                  <w:tcW w:w="457"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厂界内</w:t>
                  </w:r>
                </w:p>
              </w:tc>
              <w:tc>
                <w:tcPr>
                  <w:tcW w:w="680"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非甲烷总烃</w:t>
                  </w:r>
                </w:p>
              </w:tc>
              <w:tc>
                <w:tcPr>
                  <w:tcW w:w="311"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1次/年</w:t>
                  </w:r>
                </w:p>
              </w:tc>
              <w:tc>
                <w:tcPr>
                  <w:tcW w:w="3365" w:type="pct"/>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color w:val="000000"/>
                      <w:kern w:val="2"/>
                      <w:sz w:val="21"/>
                      <w:szCs w:val="21"/>
                      <w:lang w:val="en-US" w:eastAsia="zh-CN" w:bidi="ar-SA"/>
                    </w:rPr>
                  </w:pPr>
                  <w:r>
                    <w:rPr>
                      <w:rFonts w:ascii="Times New Roman" w:hAnsi="Times New Roman" w:eastAsia="宋体" w:cs="Times New Roman"/>
                      <w:color w:val="000000"/>
                      <w:kern w:val="2"/>
                      <w:sz w:val="21"/>
                      <w:szCs w:val="21"/>
                      <w:lang w:val="en-US" w:eastAsia="zh-CN" w:bidi="ar-SA"/>
                    </w:rPr>
                    <w:t>《挥发性有机物无组织排放控制标准》（GB 37822-2019）附录A中</w:t>
                  </w:r>
                  <w:r>
                    <w:rPr>
                      <w:rFonts w:hint="eastAsia" w:ascii="Times New Roman" w:hAnsi="Times New Roman" w:eastAsia="宋体" w:cs="Times New Roman"/>
                      <w:color w:val="000000"/>
                      <w:kern w:val="2"/>
                      <w:sz w:val="21"/>
                      <w:szCs w:val="21"/>
                      <w:lang w:val="en-US" w:eastAsia="zh-CN" w:bidi="ar-SA"/>
                    </w:rPr>
                    <w:t>非甲烷总烃</w:t>
                  </w:r>
                  <w:r>
                    <w:rPr>
                      <w:rFonts w:hint="eastAsia" w:cs="Times New Roman"/>
                      <w:color w:val="000000"/>
                      <w:kern w:val="2"/>
                      <w:sz w:val="21"/>
                      <w:szCs w:val="21"/>
                      <w:lang w:val="en-US" w:eastAsia="zh-CN" w:bidi="ar-SA"/>
                    </w:rPr>
                    <w:t>特别</w:t>
                  </w:r>
                  <w:r>
                    <w:rPr>
                      <w:rFonts w:ascii="Times New Roman" w:hAnsi="Times New Roman" w:eastAsia="宋体" w:cs="Times New Roman"/>
                      <w:color w:val="000000"/>
                      <w:kern w:val="2"/>
                      <w:sz w:val="21"/>
                      <w:szCs w:val="21"/>
                      <w:lang w:val="en-US" w:eastAsia="zh-CN" w:bidi="ar-SA"/>
                    </w:rPr>
                    <w:t>排放限值</w:t>
                  </w:r>
                </w:p>
              </w:tc>
            </w:tr>
          </w:tbl>
          <w:p>
            <w:pPr>
              <w:adjustRightInd w:val="0"/>
              <w:snapToGrid w:val="0"/>
              <w:rPr>
                <w:rFonts w:ascii="Times New Roman" w:hAnsi="Times New Roman" w:eastAsia="宋体" w:cs="Times New Roman"/>
                <w:b/>
                <w:bCs/>
                <w:color w:val="000000"/>
              </w:rPr>
            </w:pPr>
            <w:r>
              <w:rPr>
                <w:rFonts w:ascii="Times New Roman" w:hAnsi="Times New Roman" w:eastAsia="宋体" w:cs="Times New Roman"/>
                <w:b/>
                <w:bCs/>
                <w:color w:val="000000"/>
              </w:rPr>
              <w:t>2废水</w:t>
            </w:r>
          </w:p>
          <w:p>
            <w:pPr>
              <w:keepLines w:val="0"/>
              <w:pageBreakBefore w:val="0"/>
              <w:widowControl/>
              <w:kinsoku/>
              <w:wordWrap/>
              <w:overflowPunct/>
              <w:bidi w:val="0"/>
              <w:ind w:firstLine="482" w:firstLineChars="200"/>
              <w:rPr>
                <w:rFonts w:hint="eastAsia" w:ascii="Times New Roman" w:hAnsi="Times New Roman" w:eastAsia="宋体" w:cs="Times New Roman"/>
                <w:color w:val="000000"/>
                <w:spacing w:val="0"/>
                <w:kern w:val="0"/>
              </w:rPr>
            </w:pPr>
            <w:r>
              <w:rPr>
                <w:rFonts w:ascii="Times New Roman" w:hAnsi="Times New Roman" w:eastAsia="宋体" w:cs="Times New Roman"/>
                <w:b/>
                <w:bCs/>
                <w:color w:val="000000"/>
                <w:spacing w:val="0"/>
                <w:kern w:val="0"/>
              </w:rPr>
              <w:t>2.1水污染源分析</w:t>
            </w:r>
          </w:p>
          <w:p>
            <w:pPr>
              <w:keepLines w:val="0"/>
              <w:pageBreakBefore w:val="0"/>
              <w:widowControl/>
              <w:kinsoku/>
              <w:wordWrap/>
              <w:overflowPunct/>
              <w:bidi w:val="0"/>
              <w:spacing w:line="360" w:lineRule="auto"/>
              <w:ind w:firstLine="480" w:firstLineChars="200"/>
              <w:jc w:val="both"/>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bCs/>
                <w:color w:val="000000"/>
                <w:kern w:val="24"/>
                <w:sz w:val="24"/>
                <w:szCs w:val="24"/>
                <w:lang w:val="en-US" w:eastAsia="zh-CN" w:bidi="ar-SA"/>
              </w:rPr>
              <w:t>生产废水：循环冷却水循环使用定期补充损耗，</w:t>
            </w:r>
            <w:r>
              <w:rPr>
                <w:rFonts w:hint="eastAsia"/>
                <w:lang w:val="en-US" w:eastAsia="zh-CN"/>
              </w:rPr>
              <w:t>循环水定期排水427.68m</w:t>
            </w:r>
            <w:r>
              <w:rPr>
                <w:rFonts w:hint="eastAsia"/>
                <w:vertAlign w:val="superscript"/>
                <w:lang w:val="en-US" w:eastAsia="zh-CN"/>
              </w:rPr>
              <w:t>3</w:t>
            </w:r>
            <w:r>
              <w:rPr>
                <w:rFonts w:hint="eastAsia"/>
                <w:lang w:val="en-US" w:eastAsia="zh-CN"/>
              </w:rPr>
              <w:t>/a，</w:t>
            </w:r>
            <w:r>
              <w:rPr>
                <w:rFonts w:hint="eastAsia" w:ascii="Times New Roman" w:hAnsi="Times New Roman" w:eastAsia="宋体" w:cs="Times New Roman"/>
                <w:bCs/>
                <w:color w:val="000000"/>
                <w:kern w:val="24"/>
                <w:sz w:val="24"/>
                <w:szCs w:val="24"/>
                <w:lang w:val="en-US" w:eastAsia="zh-CN" w:bidi="ar-SA"/>
              </w:rPr>
              <w:t>循环水定期排水属于清净下水，</w:t>
            </w:r>
            <w:r>
              <w:rPr>
                <w:rFonts w:hint="eastAsia" w:cs="Times New Roman"/>
                <w:bCs/>
                <w:color w:val="000000"/>
                <w:kern w:val="24"/>
                <w:sz w:val="24"/>
                <w:szCs w:val="24"/>
                <w:lang w:val="en-US" w:eastAsia="zh-CN" w:bidi="ar-SA"/>
              </w:rPr>
              <w:t>可直接排入园区下水管网，最终</w:t>
            </w:r>
            <w:r>
              <w:rPr>
                <w:rFonts w:hint="eastAsia" w:ascii="Times New Roman" w:hAnsi="Times New Roman" w:eastAsia="宋体" w:cs="Times New Roman"/>
                <w:bCs/>
                <w:color w:val="000000"/>
                <w:kern w:val="24"/>
                <w:sz w:val="24"/>
                <w:szCs w:val="24"/>
                <w:lang w:val="en-US" w:eastAsia="zh-CN" w:bidi="ar-SA"/>
              </w:rPr>
              <w:t>排至园区污水处理厂进行处理。</w:t>
            </w:r>
          </w:p>
          <w:p>
            <w:pPr>
              <w:keepLines w:val="0"/>
              <w:pageBreakBefore w:val="0"/>
              <w:widowControl/>
              <w:kinsoku/>
              <w:wordWrap/>
              <w:overflowPunct/>
              <w:autoSpaceDE w:val="0"/>
              <w:autoSpaceDN w:val="0"/>
              <w:bidi w:val="0"/>
              <w:adjustRightInd w:val="0"/>
              <w:snapToGrid w:val="0"/>
              <w:spacing w:line="360" w:lineRule="auto"/>
              <w:ind w:firstLine="480" w:firstLineChars="200"/>
              <w:rPr>
                <w:rFonts w:ascii="宋体" w:hAnsi="宋体" w:eastAsia="宋体" w:cs="宋体"/>
                <w:sz w:val="24"/>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生活污水：</w:t>
            </w:r>
            <w:r>
              <w:rPr>
                <w:rFonts w:hint="default" w:ascii="Times New Roman" w:hAnsi="Times New Roman" w:eastAsia="宋体" w:cs="Times New Roman"/>
                <w:color w:val="000000" w:themeColor="text1"/>
                <w:sz w:val="24"/>
                <w14:textFill>
                  <w14:solidFill>
                    <w14:schemeClr w14:val="tx1"/>
                  </w14:solidFill>
                </w14:textFill>
              </w:rPr>
              <w:t>本项目定员</w:t>
            </w:r>
            <w:r>
              <w:rPr>
                <w:rFonts w:hint="eastAsia" w:ascii="Times New Roman" w:hAnsi="Times New Roman" w:eastAsia="宋体" w:cs="Times New Roman"/>
                <w:color w:val="000000" w:themeColor="text1"/>
                <w:sz w:val="24"/>
                <w:lang w:val="en-US" w:eastAsia="zh-CN"/>
                <w14:textFill>
                  <w14:solidFill>
                    <w14:schemeClr w14:val="tx1"/>
                  </w14:solidFill>
                </w14:textFill>
              </w:rPr>
              <w:t>12</w:t>
            </w:r>
            <w:r>
              <w:rPr>
                <w:rFonts w:hint="default" w:ascii="Times New Roman" w:hAnsi="Times New Roman" w:eastAsia="宋体" w:cs="Times New Roman"/>
                <w:color w:val="000000" w:themeColor="text1"/>
                <w:sz w:val="24"/>
                <w14:textFill>
                  <w14:solidFill>
                    <w14:schemeClr w14:val="tx1"/>
                  </w14:solidFill>
                </w14:textFill>
              </w:rPr>
              <w:t>人，</w:t>
            </w:r>
            <w:r>
              <w:rPr>
                <w:rFonts w:hint="default" w:ascii="Times New Roman" w:hAnsi="Times New Roman" w:eastAsia="宋体" w:cs="Times New Roman"/>
                <w:color w:val="000000" w:themeColor="text1"/>
                <w:sz w:val="24"/>
                <w:szCs w:val="24"/>
                <w:highlight w:val="none"/>
                <w14:textFill>
                  <w14:solidFill>
                    <w14:schemeClr w14:val="tx1"/>
                  </w14:solidFill>
                </w14:textFill>
              </w:rPr>
              <w:t>依据《新疆维吾尔自治区生活用水定额》中的用水量估算</w:t>
            </w:r>
            <w:r>
              <w:rPr>
                <w:rFonts w:hint="default" w:ascii="Times New Roman" w:hAnsi="Times New Roman" w:eastAsia="宋体" w:cs="Times New Roman"/>
                <w:color w:val="000000" w:themeColor="text1"/>
                <w:sz w:val="24"/>
                <w:szCs w:val="24"/>
                <w:highlight w:val="none"/>
                <w:lang w:eastAsia="zh-CN"/>
                <w14:textFill>
                  <w14:solidFill>
                    <w14:schemeClr w14:val="tx1"/>
                  </w14:solidFill>
                </w14:textFill>
              </w:rPr>
              <w:t>，</w:t>
            </w:r>
            <w:r>
              <w:rPr>
                <w:rFonts w:hint="default" w:ascii="Times New Roman" w:hAnsi="Times New Roman" w:eastAsia="宋体" w:cs="Times New Roman"/>
                <w:color w:val="000000" w:themeColor="text1"/>
                <w:sz w:val="24"/>
                <w14:textFill>
                  <w14:solidFill>
                    <w14:schemeClr w14:val="tx1"/>
                  </w14:solidFill>
                </w14:textFill>
              </w:rPr>
              <w:t>年工作日</w:t>
            </w:r>
            <w:r>
              <w:rPr>
                <w:rFonts w:hint="eastAsia" w:ascii="Times New Roman" w:hAnsi="Times New Roman" w:eastAsia="宋体" w:cs="Times New Roman"/>
                <w:color w:val="000000" w:themeColor="text1"/>
                <w:sz w:val="24"/>
                <w:lang w:val="en-US" w:eastAsia="zh-CN"/>
                <w14:textFill>
                  <w14:solidFill>
                    <w14:schemeClr w14:val="tx1"/>
                  </w14:solidFill>
                </w14:textFill>
              </w:rPr>
              <w:t>180</w:t>
            </w:r>
            <w:r>
              <w:rPr>
                <w:rFonts w:hint="default" w:ascii="Times New Roman" w:hAnsi="Times New Roman" w:eastAsia="宋体" w:cs="Times New Roman"/>
                <w:color w:val="000000" w:themeColor="text1"/>
                <w:sz w:val="24"/>
                <w14:textFill>
                  <w14:solidFill>
                    <w14:schemeClr w14:val="tx1"/>
                  </w14:solidFill>
                </w14:textFill>
              </w:rPr>
              <w:t>天，则年生活用水量为</w:t>
            </w:r>
            <w:r>
              <w:rPr>
                <w:rFonts w:hint="eastAsia" w:cs="Times New Roman"/>
                <w:color w:val="000000" w:themeColor="text1"/>
                <w:sz w:val="24"/>
                <w:lang w:val="en-US" w:eastAsia="zh-CN"/>
                <w14:textFill>
                  <w14:solidFill>
                    <w14:schemeClr w14:val="tx1"/>
                  </w14:solidFill>
                </w14:textFill>
              </w:rPr>
              <w:t>172.8</w:t>
            </w:r>
            <w:r>
              <w:rPr>
                <w:rFonts w:hint="default" w:ascii="Times New Roman" w:hAnsi="Times New Roman" w:eastAsia="宋体" w:cs="Times New Roman"/>
                <w:color w:val="000000" w:themeColor="text1"/>
                <w:sz w:val="24"/>
                <w14:textFill>
                  <w14:solidFill>
                    <w14:schemeClr w14:val="tx1"/>
                  </w14:solidFill>
                </w14:textFill>
              </w:rPr>
              <w:t>m</w:t>
            </w:r>
            <w:r>
              <w:rPr>
                <w:rFonts w:hint="default" w:ascii="Times New Roman" w:hAnsi="Times New Roman" w:eastAsia="宋体" w:cs="Times New Roman"/>
                <w:color w:val="000000" w:themeColor="text1"/>
                <w:sz w:val="24"/>
                <w:vertAlign w:val="superscript"/>
                <w14:textFill>
                  <w14:solidFill>
                    <w14:schemeClr w14:val="tx1"/>
                  </w14:solidFill>
                </w14:textFill>
              </w:rPr>
              <w:t>3</w:t>
            </w:r>
            <w:r>
              <w:rPr>
                <w:rFonts w:hint="default" w:ascii="Times New Roman" w:hAnsi="Times New Roman" w:eastAsia="宋体" w:cs="Times New Roman"/>
                <w:bCs/>
                <w:color w:val="000000" w:themeColor="text1"/>
                <w:sz w:val="24"/>
                <w14:textFill>
                  <w14:solidFill>
                    <w14:schemeClr w14:val="tx1"/>
                  </w14:solidFill>
                </w14:textFill>
              </w:rPr>
              <w:t>。排水量按80%计，为</w:t>
            </w:r>
            <w:r>
              <w:rPr>
                <w:rFonts w:hint="eastAsia" w:cs="Times New Roman"/>
                <w:bCs/>
                <w:color w:val="000000" w:themeColor="text1"/>
                <w:sz w:val="24"/>
                <w:lang w:val="en-US" w:eastAsia="zh-CN"/>
                <w14:textFill>
                  <w14:solidFill>
                    <w14:schemeClr w14:val="tx1"/>
                  </w14:solidFill>
                </w14:textFill>
              </w:rPr>
              <w:t>138.24</w:t>
            </w:r>
            <w:r>
              <w:rPr>
                <w:rFonts w:hint="default" w:ascii="Times New Roman" w:hAnsi="Times New Roman" w:eastAsia="宋体" w:cs="Times New Roman"/>
                <w:bCs/>
                <w:color w:val="000000" w:themeColor="text1"/>
                <w:sz w:val="24"/>
                <w:lang w:val="en-US" w:eastAsia="zh-CN"/>
                <w14:textFill>
                  <w14:solidFill>
                    <w14:schemeClr w14:val="tx1"/>
                  </w14:solidFill>
                </w14:textFill>
              </w:rPr>
              <w:t>m</w:t>
            </w:r>
            <w:r>
              <w:rPr>
                <w:rFonts w:hint="default" w:ascii="Times New Roman" w:hAnsi="Times New Roman" w:eastAsia="宋体" w:cs="Times New Roman"/>
                <w:bCs/>
                <w:color w:val="000000" w:themeColor="text1"/>
                <w:sz w:val="24"/>
                <w:vertAlign w:val="superscript"/>
                <w:lang w:val="en-US" w:eastAsia="zh-CN"/>
                <w14:textFill>
                  <w14:solidFill>
                    <w14:schemeClr w14:val="tx1"/>
                  </w14:solidFill>
                </w14:textFill>
              </w:rPr>
              <w:t>3</w:t>
            </w:r>
            <w:r>
              <w:rPr>
                <w:rFonts w:hint="default" w:ascii="Times New Roman" w:hAnsi="Times New Roman" w:eastAsia="宋体" w:cs="Times New Roman"/>
                <w:bCs/>
                <w:color w:val="000000" w:themeColor="text1"/>
                <w:sz w:val="24"/>
                <w14:textFill>
                  <w14:solidFill>
                    <w14:schemeClr w14:val="tx1"/>
                  </w14:solidFill>
                </w14:textFill>
              </w:rPr>
              <w:t>/a。</w:t>
            </w:r>
            <w:r>
              <w:rPr>
                <w:rFonts w:hint="default" w:ascii="Times New Roman" w:hAnsi="Times New Roman" w:eastAsia="宋体" w:cs="Times New Roman"/>
                <w:color w:val="000000" w:themeColor="text1"/>
                <w:sz w:val="24"/>
                <w14:textFill>
                  <w14:solidFill>
                    <w14:schemeClr w14:val="tx1"/>
                  </w14:solidFill>
                </w14:textFill>
              </w:rPr>
              <w:t>生活污水排入防渗化粪池（</w:t>
            </w:r>
            <w:r>
              <w:rPr>
                <w:rFonts w:hint="default" w:ascii="Times New Roman" w:hAnsi="Times New Roman" w:eastAsia="宋体" w:cs="Times New Roman"/>
                <w:bCs/>
                <w:color w:val="000000" w:themeColor="text1"/>
                <w:sz w:val="24"/>
                <w14:textFill>
                  <w14:solidFill>
                    <w14:schemeClr w14:val="tx1"/>
                  </w14:solidFill>
                </w14:textFill>
              </w:rPr>
              <w:t>15m</w:t>
            </w:r>
            <w:r>
              <w:rPr>
                <w:rFonts w:hint="default" w:ascii="Times New Roman" w:hAnsi="Times New Roman" w:eastAsia="宋体" w:cs="Times New Roman"/>
                <w:bCs/>
                <w:color w:val="000000" w:themeColor="text1"/>
                <w:sz w:val="24"/>
                <w:vertAlign w:val="superscript"/>
                <w14:textFill>
                  <w14:solidFill>
                    <w14:schemeClr w14:val="tx1"/>
                  </w14:solidFill>
                </w14:textFill>
              </w:rPr>
              <w:t>3</w:t>
            </w:r>
            <w:r>
              <w:rPr>
                <w:rFonts w:hint="default" w:ascii="Times New Roman" w:hAnsi="Times New Roman" w:eastAsia="宋体" w:cs="Times New Roman"/>
                <w:color w:val="000000" w:themeColor="text1"/>
                <w:sz w:val="24"/>
                <w14:textFill>
                  <w14:solidFill>
                    <w14:schemeClr w14:val="tx1"/>
                  </w14:solidFill>
                </w14:textFill>
              </w:rPr>
              <w:t>）</w:t>
            </w:r>
            <w:r>
              <w:rPr>
                <w:rFonts w:hint="default" w:ascii="Times New Roman" w:hAnsi="Times New Roman" w:eastAsia="宋体" w:cs="Times New Roman"/>
                <w:color w:val="000000" w:themeColor="text1"/>
                <w:sz w:val="24"/>
                <w:lang w:eastAsia="zh-CN"/>
                <w14:textFill>
                  <w14:solidFill>
                    <w14:schemeClr w14:val="tx1"/>
                  </w14:solidFill>
                </w14:textFill>
              </w:rPr>
              <w:t>预</w:t>
            </w:r>
            <w:r>
              <w:rPr>
                <w:rFonts w:hint="default" w:ascii="Times New Roman" w:hAnsi="Times New Roman" w:eastAsia="宋体" w:cs="Times New Roman"/>
                <w:color w:val="000000" w:themeColor="text1"/>
                <w:sz w:val="24"/>
                <w14:textFill>
                  <w14:solidFill>
                    <w14:schemeClr w14:val="tx1"/>
                  </w14:solidFill>
                </w14:textFill>
              </w:rPr>
              <w:t>处理后，</w:t>
            </w:r>
            <w:r>
              <w:rPr>
                <w:rFonts w:hint="default" w:ascii="Times New Roman" w:hAnsi="Times New Roman" w:eastAsia="宋体" w:cs="Times New Roman"/>
                <w:color w:val="000000" w:themeColor="text1"/>
                <w:sz w:val="24"/>
                <w:lang w:eastAsia="zh-CN"/>
                <w14:textFill>
                  <w14:solidFill>
                    <w14:schemeClr w14:val="tx1"/>
                  </w14:solidFill>
                </w14:textFill>
              </w:rPr>
              <w:t>通过园区下水管网排至园区污水处理厂</w:t>
            </w:r>
            <w:r>
              <w:rPr>
                <w:rFonts w:hint="default" w:ascii="Times New Roman" w:hAnsi="Times New Roman" w:eastAsia="宋体" w:cs="Times New Roman"/>
                <w:bCs/>
                <w:color w:val="000000" w:themeColor="text1"/>
                <w:sz w:val="24"/>
                <w14:textFill>
                  <w14:solidFill>
                    <w14:schemeClr w14:val="tx1"/>
                  </w14:solidFill>
                </w14:textFill>
              </w:rPr>
              <w:t>。</w:t>
            </w:r>
            <w:r>
              <w:rPr>
                <w:rFonts w:ascii="Times New Roman" w:hAnsi="Times New Roman" w:eastAsia="宋体" w:cs="Times New Roman"/>
                <w:bCs/>
                <w:sz w:val="24"/>
              </w:rPr>
              <w:t>各类排水污染物浓度及排放量见表</w:t>
            </w:r>
            <w:r>
              <w:rPr>
                <w:rFonts w:hint="eastAsia" w:ascii="Times New Roman" w:hAnsi="Times New Roman" w:eastAsia="宋体" w:cs="Times New Roman"/>
                <w:bCs/>
                <w:sz w:val="24"/>
                <w:lang w:val="en-US" w:eastAsia="zh-CN"/>
              </w:rPr>
              <w:t>4-4</w:t>
            </w:r>
            <w:r>
              <w:rPr>
                <w:rFonts w:ascii="Times New Roman" w:hAnsi="Times New Roman" w:eastAsia="宋体" w:cs="Times New Roman"/>
                <w:bCs/>
                <w:sz w:val="24"/>
              </w:rPr>
              <w:t>。</w:t>
            </w:r>
          </w:p>
          <w:p>
            <w:pPr>
              <w:keepLines w:val="0"/>
              <w:pageBreakBefore w:val="0"/>
              <w:widowControl/>
              <w:kinsoku/>
              <w:wordWrap/>
              <w:overflowPunct/>
              <w:bidi w:val="0"/>
              <w:adjustRightInd w:val="0"/>
              <w:snapToGrid w:val="0"/>
              <w:spacing w:line="240" w:lineRule="auto"/>
              <w:ind w:firstLine="422" w:firstLineChars="200"/>
              <w:jc w:val="left"/>
              <w:rPr>
                <w:rFonts w:hint="default" w:ascii="Times New Roman" w:hAnsi="Times New Roman" w:eastAsia="宋体" w:cs="Times New Roman"/>
                <w:b/>
                <w:bCs w:val="0"/>
                <w:color w:val="000000"/>
                <w:kern w:val="24"/>
                <w:sz w:val="21"/>
                <w:szCs w:val="21"/>
                <w:lang w:val="en-US" w:eastAsia="zh-CN" w:bidi="ar-SA"/>
              </w:rPr>
            </w:pPr>
            <w:r>
              <w:rPr>
                <w:rFonts w:hint="default" w:ascii="Times New Roman" w:hAnsi="Times New Roman" w:eastAsia="宋体" w:cs="Times New Roman"/>
                <w:b/>
                <w:bCs w:val="0"/>
                <w:color w:val="000000"/>
                <w:kern w:val="24"/>
                <w:sz w:val="21"/>
                <w:szCs w:val="21"/>
                <w:lang w:val="en-US" w:eastAsia="zh-CN" w:bidi="ar-SA"/>
              </w:rPr>
              <w:t>表4-4              本项目废水污染产生排放情况一览表</w:t>
            </w:r>
          </w:p>
          <w:tbl>
            <w:tblPr>
              <w:tblStyle w:val="26"/>
              <w:tblW w:w="4998" w:type="pct"/>
              <w:tblInd w:w="0" w:type="dxa"/>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867"/>
              <w:gridCol w:w="1060"/>
              <w:gridCol w:w="2068"/>
              <w:gridCol w:w="1084"/>
              <w:gridCol w:w="1084"/>
              <w:gridCol w:w="1084"/>
              <w:gridCol w:w="1117"/>
            </w:tblGrid>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废水类别</w:t>
                  </w:r>
                </w:p>
              </w:tc>
              <w:tc>
                <w:tcPr>
                  <w:tcW w:w="1060"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废水量m</w:t>
                  </w:r>
                  <w:r>
                    <w:rPr>
                      <w:rFonts w:hint="default" w:ascii="Times New Roman" w:hAnsi="Times New Roman" w:eastAsia="宋体" w:cs="Times New Roman"/>
                      <w:sz w:val="21"/>
                      <w:szCs w:val="21"/>
                      <w:highlight w:val="none"/>
                      <w:vertAlign w:val="superscript"/>
                      <w:lang w:val="en-US" w:eastAsia="zh-CN"/>
                    </w:rPr>
                    <w:t>3</w:t>
                  </w:r>
                  <w:r>
                    <w:rPr>
                      <w:rFonts w:hint="default" w:ascii="Times New Roman" w:hAnsi="Times New Roman" w:eastAsia="宋体" w:cs="Times New Roman"/>
                      <w:sz w:val="21"/>
                      <w:szCs w:val="21"/>
                      <w:highlight w:val="none"/>
                      <w:lang w:val="en-US" w:eastAsia="zh-CN"/>
                    </w:rPr>
                    <w:t>/a</w:t>
                  </w:r>
                </w:p>
              </w:tc>
              <w:tc>
                <w:tcPr>
                  <w:tcW w:w="2068"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项目</w:t>
                  </w:r>
                </w:p>
              </w:tc>
              <w:tc>
                <w:tcPr>
                  <w:tcW w:w="4369" w:type="dxa"/>
                  <w:gridSpan w:val="4"/>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水质组成</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1060"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2068"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COD</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BOD</w:t>
                  </w:r>
                  <w:r>
                    <w:rPr>
                      <w:rFonts w:hint="default" w:ascii="Times New Roman" w:hAnsi="Times New Roman" w:eastAsia="宋体" w:cs="Times New Roman"/>
                      <w:sz w:val="21"/>
                      <w:szCs w:val="21"/>
                      <w:highlight w:val="none"/>
                      <w:vertAlign w:val="subscript"/>
                      <w:lang w:val="en-US" w:eastAsia="zh-CN"/>
                    </w:rPr>
                    <w:t>5</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氨氮</w:t>
                  </w:r>
                </w:p>
              </w:tc>
              <w:tc>
                <w:tcPr>
                  <w:tcW w:w="1117"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SS</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生活污水</w:t>
                  </w:r>
                </w:p>
              </w:tc>
              <w:tc>
                <w:tcPr>
                  <w:tcW w:w="1060"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138.24</w:t>
                  </w:r>
                </w:p>
              </w:tc>
              <w:tc>
                <w:tcPr>
                  <w:tcW w:w="2068"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产生浓度（mg/L）</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313.4</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114.2</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47.7</w:t>
                  </w:r>
                </w:p>
              </w:tc>
              <w:tc>
                <w:tcPr>
                  <w:tcW w:w="1117"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194.7</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rPr>
                  </w:pPr>
                </w:p>
              </w:tc>
              <w:tc>
                <w:tcPr>
                  <w:tcW w:w="1060"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rPr>
                  </w:pPr>
                </w:p>
              </w:tc>
              <w:tc>
                <w:tcPr>
                  <w:tcW w:w="2068"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产生量（t/a）</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043</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w:t>
                  </w:r>
                  <w:r>
                    <w:rPr>
                      <w:rFonts w:hint="eastAsia" w:cs="Times New Roman"/>
                      <w:sz w:val="21"/>
                      <w:szCs w:val="21"/>
                      <w:highlight w:val="none"/>
                      <w:lang w:val="en-US" w:eastAsia="zh-CN"/>
                    </w:rPr>
                    <w:t>159</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0.0</w:t>
                  </w:r>
                  <w:r>
                    <w:rPr>
                      <w:rFonts w:hint="eastAsia" w:cs="Times New Roman"/>
                      <w:sz w:val="21"/>
                      <w:szCs w:val="21"/>
                      <w:highlight w:val="none"/>
                      <w:lang w:val="en-US" w:eastAsia="zh-CN"/>
                    </w:rPr>
                    <w:t>066</w:t>
                  </w:r>
                </w:p>
              </w:tc>
              <w:tc>
                <w:tcPr>
                  <w:tcW w:w="1117"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0.</w:t>
                  </w:r>
                  <w:r>
                    <w:rPr>
                      <w:rFonts w:hint="eastAsia" w:cs="Times New Roman"/>
                      <w:sz w:val="21"/>
                      <w:szCs w:val="21"/>
                      <w:highlight w:val="none"/>
                      <w:lang w:val="en-US" w:eastAsia="zh-CN"/>
                    </w:rPr>
                    <w:t>0269</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循环水排水</w:t>
                  </w:r>
                </w:p>
              </w:tc>
              <w:tc>
                <w:tcPr>
                  <w:tcW w:w="1060" w:type="dxa"/>
                  <w:vMerge w:val="restart"/>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427.68</w:t>
                  </w:r>
                </w:p>
              </w:tc>
              <w:tc>
                <w:tcPr>
                  <w:tcW w:w="2068"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产生浓度（mg/L）</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313.4</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114.2</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47.7</w:t>
                  </w:r>
                </w:p>
              </w:tc>
              <w:tc>
                <w:tcPr>
                  <w:tcW w:w="1117"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eastAsia"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194.7</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67"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rPr>
                  </w:pPr>
                </w:p>
              </w:tc>
              <w:tc>
                <w:tcPr>
                  <w:tcW w:w="1060" w:type="dxa"/>
                  <w:vMerge w:val="continue"/>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rPr>
                  </w:pPr>
                </w:p>
              </w:tc>
              <w:tc>
                <w:tcPr>
                  <w:tcW w:w="2068"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rightChars="0"/>
                    <w:jc w:val="center"/>
                    <w:textAlignment w:val="auto"/>
                    <w:rPr>
                      <w:rFonts w:hint="default" w:ascii="Times New Roman" w:hAnsi="Times New Roman" w:eastAsia="宋体" w:cs="Times New Roman"/>
                      <w:sz w:val="21"/>
                      <w:szCs w:val="21"/>
                      <w:highlight w:val="none"/>
                      <w:lang w:val="en-US" w:eastAsia="zh-CN"/>
                    </w:rPr>
                  </w:pPr>
                  <w:r>
                    <w:rPr>
                      <w:rFonts w:hint="default" w:ascii="Times New Roman" w:hAnsi="Times New Roman" w:eastAsia="宋体" w:cs="Times New Roman"/>
                      <w:sz w:val="21"/>
                      <w:szCs w:val="21"/>
                      <w:highlight w:val="none"/>
                      <w:lang w:val="en-US" w:eastAsia="zh-CN"/>
                    </w:rPr>
                    <w:t>产生量（t/a）</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0.134</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0.0488</w:t>
                  </w:r>
                </w:p>
              </w:tc>
              <w:tc>
                <w:tcPr>
                  <w:tcW w:w="1084"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0.0204</w:t>
                  </w:r>
                </w:p>
              </w:tc>
              <w:tc>
                <w:tcPr>
                  <w:tcW w:w="1117" w:type="dxa"/>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cs="Times New Roman"/>
                      <w:sz w:val="21"/>
                      <w:szCs w:val="21"/>
                      <w:highlight w:val="none"/>
                      <w:lang w:val="en-US" w:eastAsia="zh-CN"/>
                    </w:rPr>
                    <w:t>0.0833</w:t>
                  </w:r>
                </w:p>
              </w:tc>
            </w:tr>
            <w:tr>
              <w:tblPrEx>
                <w:tblBorders>
                  <w:top w:val="single" w:color="000000"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0" w:hRule="atLeast"/>
              </w:trPr>
              <w:tc>
                <w:tcPr>
                  <w:tcW w:w="8364" w:type="dxa"/>
                  <w:gridSpan w:val="7"/>
                  <w:tcBorders>
                    <w:tl2br w:val="nil"/>
                    <w:tr2bl w:val="nil"/>
                  </w:tcBorders>
                  <w:noWrap w:val="0"/>
                  <w:vAlign w:val="center"/>
                </w:tcPr>
                <w:p>
                  <w:pPr>
                    <w:keepNext/>
                    <w:keepLines w:val="0"/>
                    <w:pageBreakBefore w:val="0"/>
                    <w:widowControl/>
                    <w:kinsoku/>
                    <w:wordWrap/>
                    <w:overflowPunct/>
                    <w:topLinePunct w:val="0"/>
                    <w:autoSpaceDE w:val="0"/>
                    <w:autoSpaceDN w:val="0"/>
                    <w:bidi w:val="0"/>
                    <w:adjustRightInd w:val="0"/>
                    <w:snapToGrid w:val="0"/>
                    <w:spacing w:line="240" w:lineRule="auto"/>
                    <w:ind w:left="0" w:leftChars="0" w:right="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eastAsia="宋体" w:cs="Times New Roman"/>
                      <w:sz w:val="21"/>
                      <w:szCs w:val="21"/>
                      <w:highlight w:val="none"/>
                      <w:lang w:val="en-US" w:eastAsia="zh-CN"/>
                    </w:rPr>
                    <w:t>SS产生浓度参考《社会区域类影响评价/环境影响评价工程师职业资格登记培训教材》中房地产项目取值；CODcr、</w:t>
                  </w:r>
                  <w:r>
                    <w:rPr>
                      <w:rFonts w:hint="default" w:ascii="Times New Roman" w:hAnsi="Times New Roman" w:eastAsia="宋体" w:cs="Times New Roman"/>
                      <w:sz w:val="21"/>
                      <w:szCs w:val="21"/>
                      <w:highlight w:val="none"/>
                      <w:lang w:val="en-US" w:eastAsia="zh-CN"/>
                    </w:rPr>
                    <w:t>BOD</w:t>
                  </w:r>
                  <w:r>
                    <w:rPr>
                      <w:rFonts w:hint="default" w:ascii="Times New Roman" w:hAnsi="Times New Roman" w:eastAsia="宋体" w:cs="Times New Roman"/>
                      <w:sz w:val="21"/>
                      <w:szCs w:val="21"/>
                      <w:highlight w:val="none"/>
                      <w:vertAlign w:val="subscript"/>
                      <w:lang w:val="en-US" w:eastAsia="zh-CN"/>
                    </w:rPr>
                    <w:t>5</w:t>
                  </w:r>
                  <w:r>
                    <w:rPr>
                      <w:rFonts w:hint="eastAsia" w:ascii="Times New Roman" w:hAnsi="Times New Roman" w:eastAsia="宋体" w:cs="Times New Roman"/>
                      <w:sz w:val="21"/>
                      <w:szCs w:val="21"/>
                      <w:highlight w:val="none"/>
                      <w:vertAlign w:val="baseline"/>
                      <w:lang w:val="en-US" w:eastAsia="zh-CN"/>
                    </w:rPr>
                    <w:t>、氨氮参考《排放源统计调查产排污核算方法和系数手册》中“集中式污染治理设施产排污系数手册”巴音郭楞蒙古自治州污水处理厂进水水质浓度</w:t>
                  </w:r>
                </w:p>
              </w:tc>
            </w:tr>
          </w:tbl>
          <w:p>
            <w:pPr>
              <w:keepLines w:val="0"/>
              <w:pageBreakBefore w:val="0"/>
              <w:widowControl/>
              <w:kinsoku/>
              <w:wordWrap/>
              <w:overflowPunct/>
              <w:bidi w:val="0"/>
              <w:spacing w:line="360" w:lineRule="auto"/>
              <w:ind w:left="480" w:leftChars="200" w:firstLine="0" w:firstLineChars="0"/>
              <w:jc w:val="both"/>
              <w:rPr>
                <w:rFonts w:hint="eastAsia" w:ascii="宋体" w:hAnsi="宋体" w:eastAsia="宋体" w:cs="宋体"/>
                <w:b/>
                <w:bCs w:val="0"/>
                <w:color w:val="000000"/>
                <w:spacing w:val="0"/>
                <w:kern w:val="0"/>
                <w:sz w:val="24"/>
                <w:szCs w:val="24"/>
                <w:lang w:val="en-US" w:eastAsia="zh-CN" w:bidi="ar-SA"/>
              </w:rPr>
            </w:pPr>
            <w:r>
              <w:rPr>
                <w:rFonts w:hint="eastAsia" w:ascii="Times New Roman" w:hAnsi="Times New Roman" w:eastAsia="宋体" w:cs="Times New Roman"/>
                <w:b/>
                <w:bCs w:val="0"/>
                <w:color w:val="000000"/>
                <w:spacing w:val="0"/>
                <w:kern w:val="0"/>
                <w:sz w:val="24"/>
                <w:szCs w:val="24"/>
                <w:lang w:val="en-US" w:eastAsia="zh-CN" w:bidi="ar-SA"/>
              </w:rPr>
              <w:t>2.2</w:t>
            </w:r>
            <w:r>
              <w:rPr>
                <w:rFonts w:hint="eastAsia" w:ascii="宋体" w:hAnsi="宋体" w:eastAsia="宋体" w:cs="宋体"/>
                <w:b/>
                <w:bCs w:val="0"/>
                <w:color w:val="000000"/>
                <w:spacing w:val="0"/>
                <w:kern w:val="0"/>
                <w:sz w:val="24"/>
                <w:szCs w:val="24"/>
                <w:lang w:val="en-US" w:eastAsia="zh-CN" w:bidi="ar-SA"/>
              </w:rPr>
              <w:t>依托污水处理可行性分析</w:t>
            </w:r>
          </w:p>
          <w:p>
            <w:pPr>
              <w:widowControl w:val="0"/>
              <w:spacing w:line="360" w:lineRule="auto"/>
              <w:ind w:firstLine="480" w:firstLineChars="200"/>
              <w:jc w:val="both"/>
              <w:rPr>
                <w:rFonts w:hint="default" w:ascii="Times New Roman" w:hAnsi="Times New Roman" w:eastAsia="宋体" w:cs="Times New Roman"/>
                <w:bCs/>
                <w:color w:val="000000"/>
                <w:kern w:val="24"/>
                <w:sz w:val="24"/>
                <w:szCs w:val="24"/>
                <w:lang w:val="en-US" w:eastAsia="zh-CN" w:bidi="ar-SA"/>
              </w:rPr>
            </w:pPr>
            <w:r>
              <w:rPr>
                <w:rFonts w:hint="eastAsia" w:cs="Times New Roman"/>
                <w:bCs/>
                <w:color w:val="000000"/>
                <w:kern w:val="24"/>
                <w:sz w:val="24"/>
                <w:szCs w:val="24"/>
                <w:lang w:val="en-US" w:eastAsia="zh-CN" w:bidi="ar-SA"/>
              </w:rPr>
              <w:t>河北巴州生态产业园污水处理厂位于焉耆回族自治县七个星镇河北巴州生态产业园东南侧，厂址中心坐标为E：86°20'56.69"，N：41°53'31.25"。位于本项目区东北侧2.1km左右。</w:t>
            </w:r>
            <w:r>
              <w:rPr>
                <w:rFonts w:hint="default" w:ascii="Times New Roman" w:hAnsi="Times New Roman" w:eastAsia="宋体" w:cs="Times New Roman"/>
                <w:bCs/>
                <w:color w:val="000000"/>
                <w:kern w:val="24"/>
                <w:sz w:val="24"/>
                <w:szCs w:val="24"/>
                <w:lang w:val="en-US" w:eastAsia="zh-CN" w:bidi="ar-SA"/>
              </w:rPr>
              <w:t>污水处理厂设计处理规模为1万m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/d，采用</w:t>
            </w:r>
            <w:r>
              <w:rPr>
                <w:rFonts w:hint="eastAsia" w:cs="Times New Roman"/>
                <w:bCs/>
                <w:color w:val="000000"/>
                <w:kern w:val="24"/>
                <w:sz w:val="24"/>
                <w:szCs w:val="24"/>
                <w:lang w:val="en-US" w:eastAsia="zh-CN" w:bidi="ar-SA"/>
              </w:rPr>
              <w:t>“</w:t>
            </w:r>
            <w:r>
              <w:rPr>
                <w:rFonts w:hint="default"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预处理</w:t>
            </w:r>
            <w:r>
              <w:rPr>
                <w:rFonts w:hint="eastAsia"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二级生化处理</w:t>
            </w:r>
            <w:r>
              <w:rPr>
                <w:rFonts w:hint="eastAsia"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深度处理</w:t>
            </w:r>
            <w:r>
              <w:rPr>
                <w:rFonts w:hint="eastAsia"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w:t>
            </w:r>
            <w:r>
              <w:rPr>
                <w:rFonts w:hint="default"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消毒处理</w:t>
            </w:r>
            <w:r>
              <w:rPr>
                <w:rFonts w:hint="eastAsia" w:cs="Times New Roman"/>
                <w:bCs/>
                <w:color w:val="000000"/>
                <w:kern w:val="24"/>
                <w:sz w:val="24"/>
                <w:szCs w:val="24"/>
                <w:lang w:val="en-US" w:eastAsia="zh-CN" w:bidi="ar-SA"/>
              </w:rPr>
              <w:t>”</w:t>
            </w:r>
            <w:r>
              <w:rPr>
                <w:rFonts w:hint="default" w:ascii="Times New Roman" w:hAnsi="Times New Roman" w:eastAsia="宋体" w:cs="Times New Roman"/>
                <w:bCs/>
                <w:color w:val="000000"/>
                <w:kern w:val="24"/>
                <w:sz w:val="24"/>
                <w:szCs w:val="24"/>
                <w:lang w:val="en-US" w:eastAsia="zh-CN" w:bidi="ar-SA"/>
              </w:rPr>
              <w:t>工艺，出水满足《城镇污水处理厂污染物排放标准》（GB18918-2002）中一级A标准后</w:t>
            </w:r>
            <w:r>
              <w:rPr>
                <w:rFonts w:hint="default" w:ascii="Times New Roman" w:hAnsi="Times New Roman" w:eastAsia="宋体" w:cs="Times New Roman"/>
                <w:color w:val="000000" w:themeColor="text1"/>
                <w:spacing w:val="0"/>
                <w:kern w:val="0"/>
                <w:sz w:val="24"/>
                <w:szCs w:val="24"/>
                <w:lang w:val="en-US" w:eastAsia="zh-CN" w:bidi="ar"/>
                <w14:textFill>
                  <w14:solidFill>
                    <w14:schemeClr w14:val="tx1"/>
                  </w14:solidFill>
                </w14:textFill>
              </w:rPr>
              <w:t>一部分用于生态林地灌溉，剩余部分中水回用</w:t>
            </w:r>
            <w:r>
              <w:rPr>
                <w:rFonts w:hint="default" w:ascii="Times New Roman" w:hAnsi="Times New Roman" w:eastAsia="宋体" w:cs="Times New Roman"/>
                <w:bCs/>
                <w:color w:val="000000"/>
                <w:kern w:val="24"/>
                <w:sz w:val="24"/>
                <w:szCs w:val="24"/>
                <w:lang w:val="en-US" w:eastAsia="zh-CN" w:bidi="ar-SA"/>
              </w:rPr>
              <w:t>。污水处理厂设计处理能力为1万m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w:t>
            </w:r>
            <w:r>
              <w:rPr>
                <w:rFonts w:hint="eastAsia" w:cs="Times New Roman"/>
                <w:bCs/>
                <w:color w:val="000000"/>
                <w:kern w:val="24"/>
                <w:sz w:val="24"/>
                <w:szCs w:val="24"/>
                <w:lang w:val="en-US" w:eastAsia="zh-CN" w:bidi="ar-SA"/>
              </w:rPr>
              <w:t>冷却循环水</w:t>
            </w:r>
            <w:r>
              <w:rPr>
                <w:rFonts w:hint="default" w:ascii="Times New Roman" w:hAnsi="Times New Roman" w:eastAsia="宋体" w:cs="Times New Roman"/>
                <w:bCs/>
                <w:color w:val="000000"/>
                <w:kern w:val="24"/>
                <w:sz w:val="24"/>
                <w:szCs w:val="24"/>
                <w:lang w:val="en-US" w:eastAsia="zh-CN" w:bidi="ar-SA"/>
              </w:rPr>
              <w:t>日排水量最大时期为日最大排水量为</w:t>
            </w:r>
            <w:r>
              <w:rPr>
                <w:rFonts w:hint="eastAsia" w:cs="Times New Roman"/>
                <w:bCs/>
                <w:color w:val="000000"/>
                <w:kern w:val="24"/>
                <w:sz w:val="24"/>
                <w:szCs w:val="24"/>
                <w:lang w:val="en-US" w:eastAsia="zh-CN" w:bidi="ar-SA"/>
              </w:rPr>
              <w:t>2.376</w:t>
            </w:r>
            <w:r>
              <w:rPr>
                <w:rFonts w:hint="default" w:ascii="Times New Roman" w:hAnsi="Times New Roman" w:eastAsia="宋体" w:cs="Times New Roman"/>
                <w:bCs/>
                <w:color w:val="000000"/>
                <w:kern w:val="24"/>
                <w:sz w:val="24"/>
                <w:szCs w:val="24"/>
                <w:lang w:val="en-US" w:eastAsia="zh-CN" w:bidi="ar-SA"/>
              </w:rPr>
              <w:t>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/d，生活污水最大日排水量为</w:t>
            </w:r>
            <w:r>
              <w:rPr>
                <w:rFonts w:hint="eastAsia" w:cs="Times New Roman"/>
                <w:bCs/>
                <w:color w:val="000000"/>
                <w:kern w:val="24"/>
                <w:sz w:val="24"/>
                <w:szCs w:val="24"/>
                <w:lang w:val="en-US" w:eastAsia="zh-CN" w:bidi="ar-SA"/>
              </w:rPr>
              <w:t>0.768</w:t>
            </w:r>
            <w:r>
              <w:rPr>
                <w:rFonts w:hint="default" w:ascii="Times New Roman" w:hAnsi="Times New Roman" w:eastAsia="宋体" w:cs="Times New Roman"/>
                <w:bCs/>
                <w:color w:val="000000"/>
                <w:kern w:val="24"/>
                <w:sz w:val="24"/>
                <w:szCs w:val="24"/>
                <w:lang w:val="en-US" w:eastAsia="zh-CN" w:bidi="ar-SA"/>
              </w:rPr>
              <w:t>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/d，合计本项目最大日排水量为</w:t>
            </w:r>
            <w:r>
              <w:rPr>
                <w:rFonts w:hint="eastAsia" w:cs="Times New Roman"/>
                <w:bCs/>
                <w:color w:val="000000"/>
                <w:kern w:val="24"/>
                <w:sz w:val="24"/>
                <w:szCs w:val="24"/>
                <w:lang w:val="en-US" w:eastAsia="zh-CN" w:bidi="ar-SA"/>
              </w:rPr>
              <w:t>3.144</w:t>
            </w:r>
            <w:r>
              <w:rPr>
                <w:rFonts w:hint="default" w:ascii="Times New Roman" w:hAnsi="Times New Roman" w:eastAsia="宋体" w:cs="Times New Roman"/>
                <w:bCs/>
                <w:color w:val="000000"/>
                <w:kern w:val="24"/>
                <w:sz w:val="24"/>
                <w:szCs w:val="24"/>
                <w:lang w:val="en-US" w:eastAsia="zh-CN" w:bidi="ar-SA"/>
              </w:rPr>
              <w:t>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/d。项目最大日排水量占污水处理厂日处理能力的</w:t>
            </w:r>
            <w:r>
              <w:rPr>
                <w:rFonts w:hint="eastAsia" w:cs="Times New Roman"/>
                <w:bCs/>
                <w:color w:val="000000"/>
                <w:kern w:val="24"/>
                <w:sz w:val="24"/>
                <w:szCs w:val="24"/>
                <w:lang w:val="en-US" w:eastAsia="zh-CN" w:bidi="ar-SA"/>
              </w:rPr>
              <w:t>0.0314</w:t>
            </w:r>
            <w:r>
              <w:rPr>
                <w:rFonts w:hint="default" w:ascii="Times New Roman" w:hAnsi="Times New Roman" w:eastAsia="宋体" w:cs="Times New Roman"/>
                <w:bCs/>
                <w:color w:val="000000"/>
                <w:kern w:val="24"/>
                <w:sz w:val="24"/>
                <w:szCs w:val="24"/>
                <w:lang w:val="en-US" w:eastAsia="zh-CN" w:bidi="ar-SA"/>
              </w:rPr>
              <w:t>%，经现场核实，园区污水处理厂现状每年进水量为</w:t>
            </w:r>
            <w:r>
              <w:rPr>
                <w:rFonts w:hint="eastAsia" w:cs="Times New Roman"/>
                <w:bCs/>
                <w:color w:val="000000"/>
                <w:kern w:val="24"/>
                <w:sz w:val="24"/>
                <w:szCs w:val="24"/>
                <w:lang w:val="en-US" w:eastAsia="zh-CN" w:bidi="ar-SA"/>
              </w:rPr>
              <w:t>6150</w:t>
            </w:r>
            <w:r>
              <w:rPr>
                <w:rFonts w:hint="default" w:ascii="Times New Roman" w:hAnsi="Times New Roman" w:eastAsia="宋体" w:cs="Times New Roman"/>
                <w:bCs/>
                <w:color w:val="000000"/>
                <w:kern w:val="24"/>
                <w:sz w:val="24"/>
                <w:szCs w:val="24"/>
                <w:lang w:val="en-US" w:eastAsia="zh-CN" w:bidi="ar-SA"/>
              </w:rPr>
              <w:t>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/d左右，处理余量为</w:t>
            </w:r>
            <w:r>
              <w:rPr>
                <w:rFonts w:hint="eastAsia" w:cs="Times New Roman"/>
                <w:bCs/>
                <w:color w:val="000000"/>
                <w:kern w:val="24"/>
                <w:sz w:val="24"/>
                <w:szCs w:val="24"/>
                <w:lang w:val="en-US" w:eastAsia="zh-CN" w:bidi="ar-SA"/>
              </w:rPr>
              <w:t>3850</w:t>
            </w:r>
            <w:r>
              <w:rPr>
                <w:rFonts w:hint="default" w:ascii="Times New Roman" w:hAnsi="Times New Roman" w:eastAsia="宋体" w:cs="Times New Roman"/>
                <w:bCs/>
                <w:color w:val="000000"/>
                <w:kern w:val="24"/>
                <w:sz w:val="24"/>
                <w:szCs w:val="24"/>
                <w:lang w:val="en-US" w:eastAsia="zh-CN" w:bidi="ar-SA"/>
              </w:rPr>
              <w:t>m</w:t>
            </w:r>
            <w:r>
              <w:rPr>
                <w:rFonts w:hint="default" w:ascii="Times New Roman" w:hAnsi="Times New Roman" w:eastAsia="宋体" w:cs="Times New Roman"/>
                <w:bCs/>
                <w:color w:val="000000"/>
                <w:kern w:val="24"/>
                <w:sz w:val="24"/>
                <w:szCs w:val="24"/>
                <w:vertAlign w:val="superscript"/>
                <w:lang w:val="en-US" w:eastAsia="zh-CN" w:bidi="ar-SA"/>
              </w:rPr>
              <w:t>3</w:t>
            </w:r>
            <w:r>
              <w:rPr>
                <w:rFonts w:hint="default" w:ascii="Times New Roman" w:hAnsi="Times New Roman" w:eastAsia="宋体" w:cs="Times New Roman"/>
                <w:bCs/>
                <w:color w:val="000000"/>
                <w:kern w:val="24"/>
                <w:sz w:val="24"/>
                <w:szCs w:val="24"/>
                <w:lang w:val="en-US" w:eastAsia="zh-CN" w:bidi="ar-SA"/>
              </w:rPr>
              <w:t>/d，余量尚可消纳本项目的废水水量。综上所述本项目生产运营期间废水进入园区污水处理厂可行。</w:t>
            </w:r>
          </w:p>
          <w:p>
            <w:pPr>
              <w:widowControl w:val="0"/>
              <w:adjustRightInd w:val="0"/>
              <w:snapToGrid w:val="0"/>
              <w:spacing w:line="240" w:lineRule="auto"/>
              <w:ind w:firstLine="422" w:firstLineChars="200"/>
              <w:jc w:val="both"/>
              <w:rPr>
                <w:rFonts w:ascii="Times New Roman" w:hAnsi="Times New Roman" w:eastAsia="宋体" w:cs="Times New Roman"/>
                <w:b/>
                <w:bCs/>
                <w:kern w:val="2"/>
                <w:sz w:val="21"/>
                <w:szCs w:val="21"/>
                <w:lang w:val="en-US" w:eastAsia="zh-CN" w:bidi="ar-SA"/>
              </w:rPr>
            </w:pPr>
            <w:r>
              <w:rPr>
                <w:rFonts w:ascii="Times New Roman" w:hAnsi="Times New Roman" w:eastAsia="宋体" w:cs="Times New Roman"/>
                <w:b/>
                <w:bCs/>
                <w:kern w:val="2"/>
                <w:sz w:val="21"/>
                <w:szCs w:val="21"/>
                <w:lang w:val="en-US" w:eastAsia="zh-CN" w:bidi="ar-SA"/>
              </w:rPr>
              <w:t>表</w:t>
            </w:r>
            <w:r>
              <w:rPr>
                <w:rFonts w:hint="eastAsia" w:ascii="Times New Roman" w:hAnsi="Times New Roman" w:eastAsia="宋体" w:cs="Times New Roman"/>
                <w:b/>
                <w:bCs/>
                <w:kern w:val="2"/>
                <w:sz w:val="21"/>
                <w:szCs w:val="21"/>
                <w:lang w:val="en-US" w:eastAsia="zh-CN" w:bidi="ar-SA"/>
              </w:rPr>
              <w:t>4-</w:t>
            </w:r>
            <w:r>
              <w:rPr>
                <w:rFonts w:hint="eastAsia" w:cs="Times New Roman"/>
                <w:b/>
                <w:bCs/>
                <w:kern w:val="2"/>
                <w:sz w:val="21"/>
                <w:szCs w:val="21"/>
                <w:lang w:val="en-US" w:eastAsia="zh-CN" w:bidi="ar-SA"/>
              </w:rPr>
              <w:t>5</w:t>
            </w:r>
            <w:r>
              <w:rPr>
                <w:rFonts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 xml:space="preserve"> </w:t>
            </w:r>
            <w:r>
              <w:rPr>
                <w:rFonts w:ascii="Times New Roman" w:hAnsi="Times New Roman" w:eastAsia="宋体" w:cs="Times New Roman"/>
                <w:b/>
                <w:bCs/>
                <w:kern w:val="2"/>
                <w:sz w:val="21"/>
                <w:szCs w:val="21"/>
                <w:lang w:val="en-US" w:eastAsia="zh-CN" w:bidi="ar-SA"/>
              </w:rPr>
              <w:t xml:space="preserve"> </w:t>
            </w:r>
            <w:r>
              <w:rPr>
                <w:rFonts w:hint="eastAsia" w:ascii="Times New Roman" w:hAnsi="Times New Roman" w:eastAsia="宋体" w:cs="Times New Roman"/>
                <w:b/>
                <w:bCs/>
                <w:kern w:val="2"/>
                <w:sz w:val="21"/>
                <w:szCs w:val="21"/>
                <w:lang w:val="en-US" w:eastAsia="zh-CN" w:bidi="ar-SA"/>
              </w:rPr>
              <w:t>污水</w:t>
            </w:r>
            <w:r>
              <w:rPr>
                <w:rFonts w:ascii="Times New Roman" w:hAnsi="Times New Roman" w:eastAsia="宋体" w:cs="Times New Roman"/>
                <w:b/>
                <w:bCs/>
                <w:kern w:val="2"/>
                <w:sz w:val="21"/>
                <w:szCs w:val="21"/>
                <w:lang w:val="en-US" w:eastAsia="zh-CN" w:bidi="ar-SA"/>
              </w:rPr>
              <w:t xml:space="preserve">间接排放口基本情况表    </w:t>
            </w:r>
            <w:r>
              <w:rPr>
                <w:rFonts w:hint="eastAsia" w:ascii="Times New Roman" w:hAnsi="Times New Roman" w:eastAsia="宋体" w:cs="Times New Roman"/>
                <w:b/>
                <w:bCs/>
                <w:kern w:val="2"/>
                <w:sz w:val="21"/>
                <w:szCs w:val="21"/>
                <w:lang w:val="en-US" w:eastAsia="zh-CN" w:bidi="ar-SA"/>
              </w:rPr>
              <w:t xml:space="preserve"> </w:t>
            </w:r>
            <w:r>
              <w:rPr>
                <w:rFonts w:ascii="Times New Roman" w:hAnsi="Times New Roman" w:eastAsia="宋体" w:cs="Times New Roman"/>
                <w:b/>
                <w:bCs/>
                <w:kern w:val="2"/>
                <w:sz w:val="21"/>
                <w:szCs w:val="21"/>
                <w:lang w:val="en-US" w:eastAsia="zh-CN" w:bidi="ar-SA"/>
              </w:rPr>
              <w:t xml:space="preserve"> 限值标准单位：mg/L （PH无量纲）</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49"/>
              <w:gridCol w:w="931"/>
              <w:gridCol w:w="1721"/>
              <w:gridCol w:w="512"/>
              <w:gridCol w:w="959"/>
              <w:gridCol w:w="474"/>
              <w:gridCol w:w="946"/>
              <w:gridCol w:w="676"/>
              <w:gridCol w:w="811"/>
              <w:gridCol w:w="888"/>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序号</w:t>
                  </w:r>
                </w:p>
              </w:tc>
              <w:tc>
                <w:tcPr>
                  <w:tcW w:w="556"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排放口编号</w:t>
                  </w:r>
                </w:p>
              </w:tc>
              <w:tc>
                <w:tcPr>
                  <w:tcW w:w="1028"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排放口坐标</w:t>
                  </w:r>
                </w:p>
              </w:tc>
              <w:tc>
                <w:tcPr>
                  <w:tcW w:w="306"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排放口类型</w:t>
                  </w:r>
                </w:p>
              </w:tc>
              <w:tc>
                <w:tcPr>
                  <w:tcW w:w="573"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废水排放量（t/a）</w:t>
                  </w:r>
                </w:p>
              </w:tc>
              <w:tc>
                <w:tcPr>
                  <w:tcW w:w="283"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排放去向</w:t>
                  </w:r>
                </w:p>
              </w:tc>
              <w:tc>
                <w:tcPr>
                  <w:tcW w:w="565"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排放规律</w:t>
                  </w:r>
                </w:p>
              </w:tc>
              <w:tc>
                <w:tcPr>
                  <w:tcW w:w="1418" w:type="pct"/>
                  <w:gridSpan w:val="3"/>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受纳污水处理厂信息</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名称</w:t>
                  </w: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污染物</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排放限值</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1</w:t>
                  </w:r>
                </w:p>
              </w:tc>
              <w:tc>
                <w:tcPr>
                  <w:tcW w:w="556"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DW001</w:t>
                  </w:r>
                </w:p>
              </w:tc>
              <w:tc>
                <w:tcPr>
                  <w:tcW w:w="1028"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right="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default" w:ascii="Times New Roman" w:hAnsi="Times New Roman" w:eastAsia="宋体" w:cs="Times New Roman"/>
                      <w:kern w:val="2"/>
                      <w:sz w:val="21"/>
                      <w:szCs w:val="21"/>
                      <w:highlight w:val="none"/>
                      <w:lang w:val="en-US" w:eastAsia="zh-CN" w:bidi="ar-SA"/>
                    </w:rPr>
                    <w:t>东经：</w:t>
                  </w:r>
                  <w:r>
                    <w:rPr>
                      <w:rFonts w:hint="default" w:ascii="Times New Roman" w:hAnsi="Times New Roman" w:eastAsia="宋体" w:cs="Times New Roman"/>
                      <w:sz w:val="21"/>
                      <w:szCs w:val="21"/>
                      <w:highlight w:val="none"/>
                      <w:lang w:val="en-US" w:eastAsia="zh-CN"/>
                    </w:rPr>
                    <w:t>86°</w:t>
                  </w:r>
                  <w:r>
                    <w:rPr>
                      <w:rFonts w:hint="eastAsia" w:eastAsia="宋体" w:cs="Times New Roman"/>
                      <w:sz w:val="21"/>
                      <w:szCs w:val="21"/>
                      <w:highlight w:val="none"/>
                      <w:lang w:val="en-US" w:eastAsia="zh-CN"/>
                    </w:rPr>
                    <w:t>20</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6</w:t>
                  </w:r>
                  <w:r>
                    <w:rPr>
                      <w:rFonts w:hint="default" w:ascii="Times New Roman" w:hAnsi="Times New Roman" w:eastAsia="宋体" w:cs="Times New Roman"/>
                      <w:sz w:val="21"/>
                      <w:szCs w:val="21"/>
                      <w:highlight w:val="none"/>
                      <w:lang w:val="en-US" w:eastAsia="zh-CN"/>
                    </w:rPr>
                    <w:t>.</w:t>
                  </w:r>
                  <w:r>
                    <w:rPr>
                      <w:rFonts w:hint="eastAsia" w:eastAsia="宋体" w:cs="Times New Roman"/>
                      <w:sz w:val="21"/>
                      <w:szCs w:val="21"/>
                      <w:highlight w:val="none"/>
                      <w:lang w:val="en-US" w:eastAsia="zh-CN"/>
                    </w:rPr>
                    <w:t>260</w:t>
                  </w:r>
                  <w:r>
                    <w:rPr>
                      <w:rFonts w:hint="default" w:ascii="Times New Roman" w:hAnsi="Times New Roman" w:eastAsia="宋体" w:cs="Times New Roman"/>
                      <w:sz w:val="21"/>
                      <w:szCs w:val="21"/>
                      <w:highlight w:val="none"/>
                      <w:lang w:val="en-US" w:eastAsia="zh-CN"/>
                    </w:rPr>
                    <w:t>″</w:t>
                  </w:r>
                </w:p>
                <w:p>
                  <w:pPr>
                    <w:pStyle w:val="10"/>
                    <w:keepNext w:val="0"/>
                    <w:keepLines w:val="0"/>
                    <w:pageBreakBefore w:val="0"/>
                    <w:kinsoku/>
                    <w:wordWrap/>
                    <w:overflowPunct/>
                    <w:topLinePunct w:val="0"/>
                    <w:autoSpaceDE/>
                    <w:autoSpaceDN/>
                    <w:bidi w:val="0"/>
                    <w:snapToGrid w:val="0"/>
                    <w:spacing w:before="0" w:after="0" w:line="240" w:lineRule="auto"/>
                    <w:ind w:right="0"/>
                    <w:jc w:val="center"/>
                    <w:textAlignment w:val="auto"/>
                    <w:rPr>
                      <w:lang w:val="en-US" w:eastAsia="zh-CN"/>
                    </w:rPr>
                  </w:pPr>
                  <w:r>
                    <w:rPr>
                      <w:rFonts w:hint="default" w:ascii="Times New Roman" w:hAnsi="Times New Roman" w:eastAsia="宋体" w:cs="Times New Roman"/>
                      <w:kern w:val="2"/>
                      <w:sz w:val="21"/>
                      <w:szCs w:val="21"/>
                      <w:highlight w:val="none"/>
                      <w:lang w:val="en-US" w:eastAsia="zh-CN" w:bidi="ar-SA"/>
                    </w:rPr>
                    <w:t>北纬：</w:t>
                  </w:r>
                  <w:r>
                    <w:rPr>
                      <w:rFonts w:hint="default" w:ascii="Times New Roman" w:hAnsi="Times New Roman" w:eastAsia="宋体" w:cs="Times New Roman"/>
                      <w:sz w:val="21"/>
                      <w:szCs w:val="21"/>
                      <w:highlight w:val="none"/>
                      <w:lang w:val="en-US" w:eastAsia="zh-CN"/>
                    </w:rPr>
                    <w:t>41°</w:t>
                  </w:r>
                  <w:r>
                    <w:rPr>
                      <w:rFonts w:hint="eastAsia" w:eastAsia="宋体" w:cs="Times New Roman"/>
                      <w:sz w:val="21"/>
                      <w:szCs w:val="21"/>
                      <w:highlight w:val="none"/>
                      <w:lang w:val="en-US" w:eastAsia="zh-CN"/>
                    </w:rPr>
                    <w:t>5</w:t>
                  </w:r>
                  <w:r>
                    <w:rPr>
                      <w:rFonts w:hint="default" w:ascii="Times New Roman" w:hAnsi="Times New Roman" w:eastAsia="宋体" w:cs="Times New Roman"/>
                      <w:sz w:val="21"/>
                      <w:szCs w:val="21"/>
                      <w:highlight w:val="none"/>
                      <w:lang w:val="en-US" w:eastAsia="zh-CN"/>
                    </w:rPr>
                    <w:t>2′</w:t>
                  </w:r>
                  <w:r>
                    <w:rPr>
                      <w:rFonts w:hint="eastAsia" w:eastAsia="宋体" w:cs="Times New Roman"/>
                      <w:sz w:val="21"/>
                      <w:szCs w:val="21"/>
                      <w:highlight w:val="none"/>
                      <w:lang w:val="en-US" w:eastAsia="zh-CN"/>
                    </w:rPr>
                    <w:t>3</w:t>
                  </w:r>
                  <w:r>
                    <w:rPr>
                      <w:rFonts w:hint="default" w:ascii="Times New Roman" w:hAnsi="Times New Roman" w:eastAsia="宋体" w:cs="Times New Roman"/>
                      <w:sz w:val="21"/>
                      <w:szCs w:val="21"/>
                      <w:highlight w:val="none"/>
                      <w:lang w:val="en-US" w:eastAsia="zh-CN"/>
                    </w:rPr>
                    <w:t>2.</w:t>
                  </w:r>
                  <w:r>
                    <w:rPr>
                      <w:rFonts w:hint="eastAsia" w:eastAsia="宋体" w:cs="Times New Roman"/>
                      <w:sz w:val="21"/>
                      <w:szCs w:val="21"/>
                      <w:highlight w:val="none"/>
                      <w:lang w:val="en-US" w:eastAsia="zh-CN"/>
                    </w:rPr>
                    <w:t>186</w:t>
                  </w:r>
                  <w:r>
                    <w:rPr>
                      <w:rFonts w:hint="default" w:ascii="Times New Roman" w:hAnsi="Times New Roman" w:eastAsia="宋体" w:cs="Times New Roman"/>
                      <w:sz w:val="21"/>
                      <w:szCs w:val="21"/>
                      <w:highlight w:val="none"/>
                      <w:lang w:val="en-US" w:eastAsia="zh-CN"/>
                    </w:rPr>
                    <w:t>″</w:t>
                  </w:r>
                </w:p>
              </w:tc>
              <w:tc>
                <w:tcPr>
                  <w:tcW w:w="306"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一般排放口</w:t>
                  </w:r>
                </w:p>
              </w:tc>
              <w:tc>
                <w:tcPr>
                  <w:tcW w:w="573"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eastAsia="宋体" w:cs="Times New Roman"/>
                      <w:kern w:val="2"/>
                      <w:sz w:val="21"/>
                      <w:szCs w:val="21"/>
                      <w:lang w:val="en-US" w:eastAsia="zh-CN" w:bidi="ar-SA"/>
                    </w:rPr>
                    <w:t>565.92</w:t>
                  </w:r>
                </w:p>
              </w:tc>
              <w:tc>
                <w:tcPr>
                  <w:tcW w:w="283"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城镇污水处理厂</w:t>
                  </w:r>
                </w:p>
              </w:tc>
              <w:tc>
                <w:tcPr>
                  <w:tcW w:w="565"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废水连续排放，流量不稳定，但有周期性规律</w:t>
                  </w:r>
                </w:p>
              </w:tc>
              <w:tc>
                <w:tcPr>
                  <w:tcW w:w="404" w:type="pct"/>
                  <w:vMerge w:val="restar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河北巴州生态产业园污水处理厂</w:t>
                  </w: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PH</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6-9</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COD</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BOD</w:t>
                  </w:r>
                  <w:r>
                    <w:rPr>
                      <w:rFonts w:ascii="Times New Roman" w:hAnsi="Times New Roman" w:eastAsia="宋体" w:cs="Times New Roman"/>
                      <w:kern w:val="2"/>
                      <w:sz w:val="21"/>
                      <w:szCs w:val="21"/>
                      <w:vertAlign w:val="subscript"/>
                      <w:lang w:val="en-US" w:eastAsia="zh-CN" w:bidi="ar-SA"/>
                    </w:rPr>
                    <w:t>5</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SS</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总氮</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氨氮</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5</w:t>
                  </w:r>
                  <w:r>
                    <w:rPr>
                      <w:rFonts w:ascii="Times New Roman" w:hAnsi="Times New Roman" w:eastAsia="宋体" w:cs="Times New Roman"/>
                      <w:kern w:val="2"/>
                      <w:sz w:val="21"/>
                      <w:szCs w:val="21"/>
                      <w:lang w:val="en-US" w:eastAsia="zh-CN" w:bidi="ar-SA"/>
                    </w:rPr>
                    <w:t>（</w:t>
                  </w:r>
                  <w:r>
                    <w:rPr>
                      <w:rFonts w:hint="eastAsia" w:cs="Times New Roman"/>
                      <w:kern w:val="2"/>
                      <w:sz w:val="21"/>
                      <w:szCs w:val="21"/>
                      <w:lang w:val="en-US" w:eastAsia="zh-CN" w:bidi="ar-SA"/>
                    </w:rPr>
                    <w:t>8</w:t>
                  </w:r>
                  <w:r>
                    <w:rPr>
                      <w:rFonts w:ascii="Times New Roman" w:hAnsi="Times New Roman" w:eastAsia="宋体" w:cs="Times New Roman"/>
                      <w:kern w:val="2"/>
                      <w:sz w:val="21"/>
                      <w:szCs w:val="21"/>
                      <w:lang w:val="en-US" w:eastAsia="zh-CN" w:bidi="ar-SA"/>
                    </w:rPr>
                    <w: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26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5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1028"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306"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7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283"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565"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04" w:type="pct"/>
                  <w:vMerge w:val="continue"/>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p>
              </w:tc>
              <w:tc>
                <w:tcPr>
                  <w:tcW w:w="484" w:type="pct"/>
                  <w:tcBorders>
                    <w:tl2br w:val="nil"/>
                    <w:tr2bl w:val="nil"/>
                  </w:tcBorders>
                  <w:noWrap w:val="0"/>
                  <w:vAlign w:val="center"/>
                </w:tcPr>
                <w:p>
                  <w:pPr>
                    <w:widowControl w:val="0"/>
                    <w:adjustRightInd w:val="0"/>
                    <w:snapToGrid w:val="0"/>
                    <w:spacing w:line="240" w:lineRule="auto"/>
                    <w:ind w:firstLine="0" w:firstLineChars="0"/>
                    <w:jc w:val="center"/>
                    <w:rPr>
                      <w:rFonts w:ascii="Times New Roman" w:hAnsi="Times New Roman" w:eastAsia="宋体" w:cs="Times New Roman"/>
                      <w:kern w:val="2"/>
                      <w:sz w:val="21"/>
                      <w:szCs w:val="21"/>
                      <w:lang w:val="en-US" w:eastAsia="zh-CN" w:bidi="ar-SA"/>
                    </w:rPr>
                  </w:pPr>
                  <w:r>
                    <w:rPr>
                      <w:rFonts w:ascii="Times New Roman" w:hAnsi="Times New Roman" w:eastAsia="宋体" w:cs="Times New Roman"/>
                      <w:kern w:val="2"/>
                      <w:sz w:val="21"/>
                      <w:szCs w:val="21"/>
                      <w:lang w:val="en-US" w:eastAsia="zh-CN" w:bidi="ar-SA"/>
                    </w:rPr>
                    <w:t>总磷</w:t>
                  </w:r>
                </w:p>
              </w:tc>
              <w:tc>
                <w:tcPr>
                  <w:tcW w:w="528" w:type="pct"/>
                  <w:tcBorders>
                    <w:tl2br w:val="nil"/>
                    <w:tr2bl w:val="nil"/>
                  </w:tcBorders>
                  <w:noWrap w:val="0"/>
                  <w:vAlign w:val="center"/>
                </w:tcPr>
                <w:p>
                  <w:pPr>
                    <w:widowControl w:val="0"/>
                    <w:adjustRightInd w:val="0"/>
                    <w:snapToGrid w:val="0"/>
                    <w:spacing w:line="240" w:lineRule="auto"/>
                    <w:ind w:firstLine="0" w:firstLineChars="0"/>
                    <w:jc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0.5</w:t>
                  </w:r>
                </w:p>
              </w:tc>
            </w:tr>
          </w:tbl>
          <w:p>
            <w:pPr>
              <w:pStyle w:val="9"/>
              <w:keepNext w:val="0"/>
              <w:keepLines w:val="0"/>
              <w:suppressLineNumbers w:val="0"/>
              <w:spacing w:before="0" w:beforeAutospacing="0" w:after="0" w:afterAutospacing="0" w:line="360" w:lineRule="auto"/>
              <w:ind w:left="0" w:right="0" w:firstLine="482" w:firstLineChars="200"/>
              <w:rPr>
                <w:rFonts w:hint="default" w:ascii="Times New Roman" w:hAnsi="Times New Roman" w:eastAsia="宋体" w:cs="Times New Roman"/>
                <w:b/>
                <w:bCs/>
                <w:color w:val="auto"/>
                <w:sz w:val="24"/>
                <w:szCs w:val="24"/>
                <w:lang w:val="en-US" w:eastAsia="zh-CN"/>
              </w:rPr>
            </w:pPr>
            <w:r>
              <w:rPr>
                <w:rFonts w:hint="eastAsia" w:cs="Times New Roman"/>
                <w:b/>
                <w:bCs/>
                <w:color w:val="000000"/>
                <w:highlight w:val="none"/>
                <w:lang w:val="en-US" w:eastAsia="zh-CN"/>
              </w:rPr>
              <w:t>2.3</w:t>
            </w:r>
            <w:r>
              <w:rPr>
                <w:rFonts w:hint="eastAsia" w:ascii="Times New Roman" w:hAnsi="Times New Roman" w:eastAsia="宋体" w:cs="Times New Roman"/>
                <w:b/>
                <w:bCs/>
                <w:color w:val="auto"/>
                <w:sz w:val="24"/>
                <w:szCs w:val="24"/>
                <w:lang w:val="en-US" w:eastAsia="zh-CN"/>
              </w:rPr>
              <w:t>依托现有工程</w:t>
            </w:r>
            <w:r>
              <w:rPr>
                <w:rFonts w:hint="eastAsia"/>
                <w:b/>
                <w:bCs/>
                <w:lang w:val="en-US" w:eastAsia="zh-CN"/>
              </w:rPr>
              <w:t>可行性分析</w:t>
            </w:r>
          </w:p>
          <w:p>
            <w:pPr>
              <w:pStyle w:val="58"/>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pPr>
            <w:r>
              <w:rPr>
                <w:rFonts w:hint="eastAsia" w:ascii="Times New Roman" w:hAnsi="Times New Roman" w:eastAsia="宋体" w:cs="Times New Roman"/>
                <w:sz w:val="24"/>
                <w:szCs w:val="24"/>
                <w:highlight w:val="none"/>
                <w:lang w:val="en-US" w:eastAsia="zh-CN"/>
              </w:rPr>
              <w:t>本</w:t>
            </w:r>
            <w:r>
              <w:rPr>
                <w:rFonts w:hint="eastAsia" w:ascii="Times New Roman" w:hAnsi="Times New Roman" w:eastAsia="宋体" w:cs="Times New Roman"/>
                <w:sz w:val="24"/>
                <w:szCs w:val="24"/>
                <w:highlight w:val="none"/>
                <w:lang w:eastAsia="zh-CN"/>
              </w:rPr>
              <w:t>项目生产过程中无生产废水产生，</w:t>
            </w:r>
            <w:r>
              <w:rPr>
                <w:rFonts w:hint="eastAsia" w:ascii="Times New Roman" w:hAnsi="Times New Roman" w:cs="Times New Roman"/>
                <w:sz w:val="24"/>
                <w:szCs w:val="24"/>
                <w:highlight w:val="none"/>
                <w:lang w:val="en-US" w:eastAsia="zh-CN"/>
              </w:rPr>
              <w:t>主要排放生活污水，</w:t>
            </w:r>
            <w:r>
              <w:rPr>
                <w:rFonts w:hint="eastAsia" w:ascii="Times New Roman" w:hAnsi="Times New Roman" w:eastAsia="宋体" w:cs="Times New Roman"/>
                <w:sz w:val="24"/>
                <w:szCs w:val="24"/>
                <w:highlight w:val="none"/>
                <w:lang w:eastAsia="zh-CN"/>
              </w:rPr>
              <w:t>生活污水</w:t>
            </w:r>
            <w:r>
              <w:rPr>
                <w:rFonts w:hint="eastAsia" w:ascii="Times New Roman" w:hAnsi="Times New Roman" w:eastAsia="宋体" w:cs="Times New Roman"/>
                <w:sz w:val="24"/>
                <w:szCs w:val="24"/>
                <w:highlight w:val="none"/>
                <w:lang w:val="en-US" w:eastAsia="zh-CN"/>
              </w:rPr>
              <w:t>依托新疆共进新型建材有限公司原有防渗化粪池进行收集处理，</w:t>
            </w:r>
            <w:r>
              <w:rPr>
                <w:rFonts w:hint="eastAsia" w:ascii="Times New Roman" w:hAnsi="Times New Roman" w:eastAsia="宋体" w:cs="Times New Roman"/>
                <w:sz w:val="24"/>
                <w:szCs w:val="24"/>
                <w:highlight w:val="none"/>
                <w:lang w:eastAsia="zh-CN"/>
              </w:rPr>
              <w:t>本项目</w:t>
            </w:r>
            <w:r>
              <w:rPr>
                <w:rFonts w:hint="eastAsia" w:ascii="Times New Roman" w:hAnsi="Times New Roman" w:eastAsia="宋体" w:cs="Times New Roman"/>
                <w:sz w:val="24"/>
                <w:szCs w:val="24"/>
                <w:highlight w:val="none"/>
                <w:lang w:val="en-US" w:eastAsia="zh-CN"/>
              </w:rPr>
              <w:t>生活</w:t>
            </w:r>
            <w:r>
              <w:rPr>
                <w:rFonts w:hint="eastAsia" w:ascii="Times New Roman" w:hAnsi="Times New Roman" w:eastAsia="宋体" w:cs="Times New Roman"/>
                <w:sz w:val="24"/>
                <w:szCs w:val="24"/>
                <w:highlight w:val="none"/>
                <w:lang w:eastAsia="zh-CN"/>
              </w:rPr>
              <w:t>污水排放量为</w:t>
            </w:r>
            <w:r>
              <w:rPr>
                <w:rFonts w:hint="eastAsia" w:cs="Times New Roman"/>
                <w:color w:val="000000"/>
                <w:sz w:val="24"/>
                <w:szCs w:val="24"/>
                <w:highlight w:val="none"/>
                <w:lang w:val="en-US" w:eastAsia="zh-CN"/>
              </w:rPr>
              <w:t>0.768</w:t>
            </w:r>
            <w:r>
              <w:rPr>
                <w:rFonts w:hint="default" w:ascii="Times New Roman" w:hAnsi="Times New Roman" w:eastAsia="宋体" w:cs="Times New Roman"/>
                <w:color w:val="000000"/>
                <w:sz w:val="24"/>
                <w:szCs w:val="24"/>
                <w:highlight w:val="none"/>
              </w:rPr>
              <w:t>m</w:t>
            </w:r>
            <w:r>
              <w:rPr>
                <w:rFonts w:hint="default" w:ascii="Times New Roman" w:hAnsi="Times New Roman" w:eastAsia="宋体" w:cs="Times New Roman"/>
                <w:color w:val="000000"/>
                <w:sz w:val="24"/>
                <w:szCs w:val="24"/>
                <w:highlight w:val="none"/>
                <w:vertAlign w:val="superscript"/>
              </w:rPr>
              <w:t>3</w:t>
            </w:r>
            <w:r>
              <w:rPr>
                <w:rFonts w:hint="default" w:ascii="Times New Roman" w:hAnsi="Times New Roman" w:eastAsia="宋体" w:cs="Times New Roman"/>
                <w:color w:val="000000"/>
                <w:sz w:val="24"/>
                <w:szCs w:val="24"/>
                <w:highlight w:val="none"/>
              </w:rPr>
              <w:t>/d</w:t>
            </w:r>
            <w:r>
              <w:rPr>
                <w:rFonts w:hint="eastAsia" w:ascii="Times New Roman" w:hAnsi="Times New Roman" w:eastAsia="宋体" w:cs="Times New Roman"/>
                <w:sz w:val="24"/>
                <w:szCs w:val="24"/>
                <w:highlight w:val="none"/>
                <w:lang w:val="en-US" w:eastAsia="zh-CN"/>
              </w:rPr>
              <w:t>，化粪池容积为15m</w:t>
            </w:r>
            <w:r>
              <w:rPr>
                <w:rFonts w:hint="eastAsia" w:ascii="Times New Roman" w:hAnsi="Times New Roman" w:eastAsia="宋体" w:cs="Times New Roman"/>
                <w:sz w:val="24"/>
                <w:szCs w:val="24"/>
                <w:highlight w:val="none"/>
                <w:vertAlign w:val="superscript"/>
                <w:lang w:val="en-US" w:eastAsia="zh-CN"/>
              </w:rPr>
              <w:t>3</w:t>
            </w:r>
            <w:r>
              <w:rPr>
                <w:rFonts w:hint="eastAsia" w:ascii="Times New Roman" w:hAnsi="Times New Roman" w:eastAsia="宋体" w:cs="Times New Roman"/>
                <w:sz w:val="24"/>
                <w:szCs w:val="24"/>
                <w:highlight w:val="none"/>
                <w:lang w:val="en-US" w:eastAsia="zh-CN"/>
              </w:rPr>
              <w:t>，</w:t>
            </w:r>
            <w:r>
              <w:rPr>
                <w:rFonts w:hint="eastAsia" w:eastAsia="宋体" w:cs="Times New Roman"/>
                <w:color w:val="000000"/>
                <w:highlight w:val="none"/>
                <w:lang w:val="en-US" w:eastAsia="zh-CN"/>
              </w:rPr>
              <w:t>容</w:t>
            </w:r>
            <w:r>
              <w:rPr>
                <w:rFonts w:hint="default" w:cs="Times New Roman"/>
                <w:color w:val="000000"/>
                <w:highlight w:val="none"/>
              </w:rPr>
              <w:t>量充足</w:t>
            </w:r>
            <w:r>
              <w:rPr>
                <w:rFonts w:hint="eastAsia" w:cs="Times New Roman"/>
                <w:color w:val="000000"/>
                <w:highlight w:val="none"/>
                <w:lang w:eastAsia="zh-CN"/>
              </w:rPr>
              <w:t>，</w:t>
            </w:r>
            <w:r>
              <w:rPr>
                <w:rFonts w:hint="default" w:cs="Times New Roman"/>
                <w:color w:val="000000"/>
                <w:highlight w:val="none"/>
              </w:rPr>
              <w:t>运行正常，</w:t>
            </w:r>
            <w:r>
              <w:rPr>
                <w:rFonts w:hint="eastAsia" w:ascii="Times New Roman" w:hAnsi="Times New Roman" w:eastAsia="宋体" w:cs="Times New Roman"/>
                <w:sz w:val="24"/>
                <w:szCs w:val="24"/>
                <w:highlight w:val="none"/>
                <w:lang w:val="en-US" w:eastAsia="zh-CN"/>
              </w:rPr>
              <w:t>化粪池处理量</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可满足本</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项目生活污水排放</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需求</w:t>
            </w:r>
            <w:r>
              <w:rPr>
                <w:rFonts w:hint="eastAsia" w:ascii="Times New Roman" w:hAnsi="Times New Roman" w:eastAsia="宋体" w:cs="Times New Roman"/>
                <w:color w:val="000000" w:themeColor="text1"/>
                <w:sz w:val="24"/>
                <w:szCs w:val="24"/>
                <w:highlight w:val="none"/>
                <w:lang w:val="en-US" w:eastAsia="zh-CN"/>
                <w14:textFill>
                  <w14:solidFill>
                    <w14:schemeClr w14:val="tx1"/>
                  </w14:solidFill>
                </w14:textFill>
              </w:rPr>
              <w:t>。</w:t>
            </w:r>
          </w:p>
          <w:p>
            <w:pPr>
              <w:spacing w:line="360" w:lineRule="auto"/>
              <w:ind w:firstLine="480"/>
              <w:rPr>
                <w:rFonts w:hint="eastAsia"/>
                <w:b/>
                <w:bCs w:val="0"/>
                <w:color w:val="000000" w:themeColor="text1"/>
                <w:lang w:val="en-US" w:eastAsia="zh-CN"/>
                <w14:textFill>
                  <w14:solidFill>
                    <w14:schemeClr w14:val="tx1"/>
                  </w14:solidFill>
                </w14:textFill>
              </w:rPr>
            </w:pPr>
            <w:r>
              <w:rPr>
                <w:rFonts w:hint="eastAsia" w:cs="Times New Roman"/>
                <w:b/>
                <w:bCs w:val="0"/>
                <w:color w:val="000000" w:themeColor="text1"/>
                <w:spacing w:val="0"/>
                <w:position w:val="0"/>
                <w:sz w:val="24"/>
                <w:szCs w:val="24"/>
                <w:lang w:val="en-US" w:eastAsia="zh-CN"/>
                <w14:textFill>
                  <w14:solidFill>
                    <w14:schemeClr w14:val="tx1"/>
                  </w14:solidFill>
                </w14:textFill>
              </w:rPr>
              <w:t>2.4废水自行监测计划</w:t>
            </w:r>
          </w:p>
          <w:p>
            <w:pPr>
              <w:pStyle w:val="3"/>
              <w:keepNext/>
              <w:keepLines/>
              <w:pageBreakBefore w:val="0"/>
              <w:widowControl w:val="0"/>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pPr>
            <w:r>
              <w:rPr>
                <w:rFonts w:hint="eastAsia"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根据《</w:t>
            </w:r>
            <w:r>
              <w:rPr>
                <w:rFonts w:hint="default"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 xml:space="preserve">排污许可证申请与核发技术规范 </w:t>
            </w:r>
            <w:r>
              <w:rPr>
                <w:rFonts w:hint="eastAsia"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橡胶和塑料制品》（</w:t>
            </w:r>
            <w:r>
              <w:rPr>
                <w:rFonts w:hint="default"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HJ</w:t>
            </w:r>
            <w:r>
              <w:rPr>
                <w:rFonts w:hint="eastAsia" w:cs="Times New Roman"/>
                <w:b w:val="0"/>
                <w:bCs/>
                <w:color w:val="000000" w:themeColor="text1"/>
                <w:kern w:val="0"/>
                <w:sz w:val="24"/>
                <w:szCs w:val="24"/>
                <w:vertAlign w:val="baseline"/>
                <w:lang w:val="en-US" w:eastAsia="zh-CN" w:bidi="ar-SA"/>
                <w14:textFill>
                  <w14:solidFill>
                    <w14:schemeClr w14:val="tx1"/>
                  </w14:solidFill>
                </w14:textFill>
              </w:rPr>
              <w:t>1122</w:t>
            </w:r>
            <w:r>
              <w:rPr>
                <w:rFonts w:hint="default"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-20</w:t>
            </w:r>
            <w:r>
              <w:rPr>
                <w:rFonts w:hint="eastAsia" w:cs="Times New Roman"/>
                <w:b w:val="0"/>
                <w:bCs/>
                <w:color w:val="000000" w:themeColor="text1"/>
                <w:kern w:val="0"/>
                <w:sz w:val="24"/>
                <w:szCs w:val="24"/>
                <w:vertAlign w:val="baseline"/>
                <w:lang w:val="en-US" w:eastAsia="zh-CN" w:bidi="ar-SA"/>
                <w14:textFill>
                  <w14:solidFill>
                    <w14:schemeClr w14:val="tx1"/>
                  </w14:solidFill>
                </w14:textFill>
              </w:rPr>
              <w:t>20</w:t>
            </w:r>
            <w:r>
              <w:rPr>
                <w:rFonts w:hint="eastAsia"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）与《排污单位自行监测技术指南 橡胶和塑料制品》（</w:t>
            </w:r>
            <w:r>
              <w:rPr>
                <w:rFonts w:hint="default"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HJ</w:t>
            </w:r>
            <w:r>
              <w:rPr>
                <w:rFonts w:hint="eastAsia" w:cs="Times New Roman"/>
                <w:b w:val="0"/>
                <w:bCs/>
                <w:color w:val="000000" w:themeColor="text1"/>
                <w:kern w:val="0"/>
                <w:sz w:val="24"/>
                <w:szCs w:val="24"/>
                <w:vertAlign w:val="baseline"/>
                <w:lang w:val="en-US" w:eastAsia="zh-CN" w:bidi="ar-SA"/>
                <w14:textFill>
                  <w14:solidFill>
                    <w14:schemeClr w14:val="tx1"/>
                  </w14:solidFill>
                </w14:textFill>
              </w:rPr>
              <w:t>1207</w:t>
            </w:r>
            <w:r>
              <w:rPr>
                <w:rFonts w:hint="default"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-20</w:t>
            </w:r>
            <w:r>
              <w:rPr>
                <w:rFonts w:hint="eastAsia" w:cs="Times New Roman"/>
                <w:b w:val="0"/>
                <w:bCs/>
                <w:color w:val="000000" w:themeColor="text1"/>
                <w:kern w:val="0"/>
                <w:sz w:val="24"/>
                <w:szCs w:val="24"/>
                <w:vertAlign w:val="baseline"/>
                <w:lang w:val="en-US" w:eastAsia="zh-CN" w:bidi="ar-SA"/>
                <w14:textFill>
                  <w14:solidFill>
                    <w14:schemeClr w14:val="tx1"/>
                  </w14:solidFill>
                </w14:textFill>
              </w:rPr>
              <w:t>21</w:t>
            </w:r>
            <w:r>
              <w:rPr>
                <w:rFonts w:hint="eastAsia" w:ascii="Times New Roman" w:hAnsi="Times New Roman" w:eastAsia="宋体" w:cs="Times New Roman"/>
                <w:b w:val="0"/>
                <w:bCs/>
                <w:color w:val="000000" w:themeColor="text1"/>
                <w:kern w:val="0"/>
                <w:sz w:val="24"/>
                <w:szCs w:val="24"/>
                <w:vertAlign w:val="baseline"/>
                <w:lang w:val="en-US" w:eastAsia="zh-CN" w:bidi="ar-SA"/>
                <w14:textFill>
                  <w14:solidFill>
                    <w14:schemeClr w14:val="tx1"/>
                  </w14:solidFill>
                </w14:textFill>
              </w:rPr>
              <w:t>）要求制定自行监测计划，自行监测计划见下表。</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jc w:val="left"/>
              <w:textAlignment w:val="auto"/>
              <w:rPr>
                <w:rFonts w:hint="default" w:ascii="Times New Roman" w:hAnsi="Times New Roman" w:eastAsia="宋体" w:cs="Times New Roman"/>
                <w:b/>
                <w:bCs/>
                <w:color w:val="000000" w:themeColor="text1"/>
                <w:spacing w:val="0"/>
                <w:position w:val="0"/>
                <w:sz w:val="21"/>
                <w:szCs w:val="21"/>
                <w:vertAlign w:val="baseline"/>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 xml:space="preserve">表4-6                    </w:t>
            </w:r>
            <w:r>
              <w:rPr>
                <w:rFonts w:hint="default" w:ascii="Times New Roman" w:hAnsi="Times New Roman" w:eastAsia="宋体" w:cs="Times New Roman"/>
                <w:b/>
                <w:bCs/>
                <w:color w:val="000000" w:themeColor="text1"/>
                <w:spacing w:val="0"/>
                <w:position w:val="0"/>
                <w:sz w:val="21"/>
                <w:szCs w:val="21"/>
                <w:lang w:val="en-US" w:eastAsia="zh-CN"/>
                <w14:textFill>
                  <w14:solidFill>
                    <w14:schemeClr w14:val="tx1"/>
                  </w14:solidFill>
                </w14:textFill>
              </w:rPr>
              <w:t>水污染物监测计划</w:t>
            </w:r>
          </w:p>
          <w:tbl>
            <w:tblPr>
              <w:tblStyle w:val="27"/>
              <w:tblW w:w="4998"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84"/>
              <w:gridCol w:w="4670"/>
              <w:gridCol w:w="1910"/>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t>监测点位</w:t>
                  </w:r>
                </w:p>
              </w:tc>
              <w:tc>
                <w:tcPr>
                  <w:tcW w:w="279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t>监测指标</w:t>
                  </w:r>
                </w:p>
              </w:tc>
              <w:tc>
                <w:tcPr>
                  <w:tcW w:w="114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
                      <w:bCs w:val="0"/>
                      <w:color w:val="000000" w:themeColor="text1"/>
                      <w:spacing w:val="0"/>
                      <w:position w:val="0"/>
                      <w:sz w:val="21"/>
                      <w:szCs w:val="21"/>
                      <w:vertAlign w:val="baseline"/>
                      <w:lang w:val="en-US" w:eastAsia="zh-CN"/>
                      <w14:textFill>
                        <w14:solidFill>
                          <w14:schemeClr w14:val="tx1"/>
                        </w14:solidFill>
                      </w14:textFill>
                    </w:rPr>
                    <w:t>监测频次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066"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废水总排口</w:t>
                  </w:r>
                </w:p>
              </w:tc>
              <w:tc>
                <w:tcPr>
                  <w:tcW w:w="279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pPr>
                  <w:r>
                    <w:rPr>
                      <w:rFonts w:hint="eastAsia"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流量、</w:t>
                  </w:r>
                  <w: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pH</w:t>
                  </w:r>
                  <w:r>
                    <w:rPr>
                      <w:rFonts w:hint="eastAsia"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值</w:t>
                  </w:r>
                  <w: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w:t>
                  </w:r>
                  <w:r>
                    <w:rPr>
                      <w:rFonts w:hint="eastAsia"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水温、COD、</w:t>
                  </w:r>
                  <w: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NH</w:t>
                  </w:r>
                  <w:r>
                    <w:rPr>
                      <w:rFonts w:hint="default" w:ascii="Times New Roman" w:hAnsi="Times New Roman" w:eastAsia="宋体" w:cs="Times New Roman"/>
                      <w:bCs/>
                      <w:color w:val="000000" w:themeColor="text1"/>
                      <w:spacing w:val="0"/>
                      <w:position w:val="0"/>
                      <w:sz w:val="21"/>
                      <w:szCs w:val="21"/>
                      <w:vertAlign w:val="subscript"/>
                      <w:lang w:val="en-US" w:eastAsia="zh-CN"/>
                      <w14:textFill>
                        <w14:solidFill>
                          <w14:schemeClr w14:val="tx1"/>
                        </w14:solidFill>
                      </w14:textFill>
                    </w:rPr>
                    <w:t>3</w:t>
                  </w:r>
                  <w:r>
                    <w:rPr>
                      <w:rFonts w:hint="default"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-N</w:t>
                  </w:r>
                  <w:r>
                    <w:rPr>
                      <w:rFonts w:hint="eastAsia" w:ascii="Times New Roman" w:hAnsi="Times New Roman" w:eastAsia="宋体" w:cs="Times New Roman"/>
                      <w:bCs/>
                      <w:color w:val="000000" w:themeColor="text1"/>
                      <w:spacing w:val="0"/>
                      <w:position w:val="0"/>
                      <w:sz w:val="21"/>
                      <w:szCs w:val="21"/>
                      <w:vertAlign w:val="baseline"/>
                      <w:lang w:val="en-US" w:eastAsia="zh-CN"/>
                      <w14:textFill>
                        <w14:solidFill>
                          <w14:schemeClr w14:val="tx1"/>
                        </w14:solidFill>
                      </w14:textFill>
                    </w:rPr>
                    <w:t>、TP、TN、SS、总有机碳、可吸附有机卤化物</w:t>
                  </w:r>
                </w:p>
              </w:tc>
              <w:tc>
                <w:tcPr>
                  <w:tcW w:w="1141" w:type="pct"/>
                  <w:tcBorders>
                    <w:tl2br w:val="nil"/>
                    <w:tr2bl w:val="nil"/>
                  </w:tcBorders>
                  <w:noWrap w:val="0"/>
                  <w:vAlign w:val="center"/>
                </w:tcPr>
                <w:p>
                  <w:pPr>
                    <w:adjustRightInd w:val="0"/>
                    <w:snapToGrid w:val="0"/>
                    <w:spacing w:line="240" w:lineRule="auto"/>
                    <w:jc w:val="center"/>
                    <w:rPr>
                      <w:rFonts w:hint="default" w:ascii="Times New Roman" w:hAnsi="Times New Roman" w:eastAsia="宋体" w:cs="Times New Roman"/>
                      <w:bCs/>
                      <w:color w:val="000000" w:themeColor="text1"/>
                      <w:spacing w:val="0"/>
                      <w:kern w:val="2"/>
                      <w:position w:val="0"/>
                      <w:sz w:val="21"/>
                      <w:szCs w:val="21"/>
                      <w:vertAlign w:val="baseline"/>
                      <w:lang w:val="en-US" w:eastAsia="zh-CN" w:bidi="ar-SA"/>
                      <w14:textFill>
                        <w14:solidFill>
                          <w14:schemeClr w14:val="tx1"/>
                        </w14:solidFill>
                      </w14:textFill>
                    </w:rPr>
                  </w:pPr>
                  <w:r>
                    <w:rPr>
                      <w:rFonts w:hint="eastAsia" w:ascii="Times New Roman" w:hAnsi="Times New Roman" w:eastAsia="宋体" w:cs="Times New Roman"/>
                      <w:bCs/>
                      <w:color w:val="000000" w:themeColor="text1"/>
                      <w:spacing w:val="0"/>
                      <w:kern w:val="2"/>
                      <w:position w:val="0"/>
                      <w:sz w:val="21"/>
                      <w:szCs w:val="21"/>
                      <w:vertAlign w:val="baseline"/>
                      <w:lang w:val="en-US" w:eastAsia="zh-CN" w:bidi="ar-SA"/>
                      <w14:textFill>
                        <w14:solidFill>
                          <w14:schemeClr w14:val="tx1"/>
                        </w14:solidFill>
                      </w14:textFill>
                    </w:rPr>
                    <w:t>1次/年</w:t>
                  </w:r>
                </w:p>
              </w:tc>
            </w:tr>
          </w:tbl>
          <w:p>
            <w:pPr>
              <w:rPr>
                <w:rFonts w:ascii="Times New Roman" w:hAnsi="Times New Roman" w:eastAsia="宋体" w:cs="Times New Roman"/>
                <w:b/>
                <w:bCs/>
                <w:color w:val="000000"/>
                <w:highlight w:val="none"/>
              </w:rPr>
            </w:pPr>
            <w:r>
              <w:rPr>
                <w:rFonts w:ascii="Times New Roman" w:hAnsi="Times New Roman" w:eastAsia="宋体" w:cs="Times New Roman"/>
                <w:b/>
                <w:bCs/>
                <w:color w:val="000000"/>
                <w:highlight w:val="none"/>
              </w:rPr>
              <w:t>3噪声</w:t>
            </w:r>
          </w:p>
          <w:p>
            <w:pPr>
              <w:ind w:firstLine="482" w:firstLineChars="200"/>
              <w:rPr>
                <w:rFonts w:ascii="Times New Roman" w:hAnsi="Times New Roman" w:eastAsia="宋体" w:cs="Times New Roman"/>
                <w:b/>
                <w:bCs/>
                <w:color w:val="000000"/>
              </w:rPr>
            </w:pPr>
            <w:r>
              <w:rPr>
                <w:rFonts w:ascii="Times New Roman" w:hAnsi="Times New Roman" w:eastAsia="宋体" w:cs="Times New Roman"/>
                <w:b/>
                <w:bCs/>
                <w:color w:val="000000"/>
              </w:rPr>
              <w:t>3.1噪声源强</w:t>
            </w:r>
          </w:p>
          <w:p>
            <w:pPr>
              <w:pStyle w:val="35"/>
              <w:rPr>
                <w:rFonts w:hint="eastAsia" w:ascii="Times New Roman" w:hAnsi="Times New Roman" w:eastAsia="宋体" w:cs="Times New Roman"/>
                <w:bCs/>
                <w:color w:val="000000"/>
                <w:kern w:val="24"/>
                <w:sz w:val="24"/>
                <w:szCs w:val="24"/>
                <w:lang w:val="en-US" w:eastAsia="zh-CN" w:bidi="ar-SA"/>
              </w:rPr>
            </w:pPr>
            <w:r>
              <w:rPr>
                <w:rFonts w:ascii="Times New Roman" w:hAnsi="Times New Roman" w:eastAsia="宋体" w:cs="Times New Roman"/>
                <w:bCs/>
                <w:color w:val="000000"/>
                <w:kern w:val="24"/>
                <w:sz w:val="24"/>
                <w:szCs w:val="24"/>
                <w:lang w:val="en-US" w:eastAsia="zh-CN" w:bidi="ar-SA"/>
              </w:rPr>
              <w:t>本项目运营期噪声主要为</w:t>
            </w:r>
            <w:r>
              <w:rPr>
                <w:rFonts w:hint="default" w:ascii="Times New Roman" w:hAnsi="Times New Roman" w:eastAsia="宋体" w:cs="Times New Roman"/>
                <w:bCs/>
                <w:color w:val="000000"/>
                <w:kern w:val="24"/>
                <w:sz w:val="24"/>
                <w:szCs w:val="24"/>
                <w:lang w:val="en-US" w:eastAsia="zh-CN" w:bidi="ar-SA"/>
              </w:rPr>
              <w:t>挤出机</w:t>
            </w:r>
            <w:r>
              <w:rPr>
                <w:rFonts w:hint="eastAsia" w:ascii="Times New Roman" w:hAnsi="Times New Roman" w:eastAsia="宋体" w:cs="Times New Roman"/>
                <w:bCs/>
                <w:color w:val="000000"/>
                <w:kern w:val="24"/>
                <w:sz w:val="24"/>
                <w:szCs w:val="24"/>
                <w:lang w:val="en-US" w:eastAsia="zh-CN" w:bidi="ar-SA"/>
              </w:rPr>
              <w:t>、</w:t>
            </w:r>
            <w:r>
              <w:rPr>
                <w:rFonts w:hint="eastAsia" w:cs="Times New Roman"/>
                <w:bCs/>
                <w:color w:val="000000"/>
                <w:kern w:val="24"/>
                <w:sz w:val="24"/>
                <w:szCs w:val="24"/>
                <w:lang w:val="en-US" w:eastAsia="zh-CN" w:bidi="ar-SA"/>
              </w:rPr>
              <w:t>搅拌机</w:t>
            </w:r>
            <w:r>
              <w:rPr>
                <w:rFonts w:hint="eastAsia" w:ascii="Times New Roman" w:hAnsi="Times New Roman" w:eastAsia="宋体" w:cs="Times New Roman"/>
                <w:bCs/>
                <w:color w:val="000000"/>
                <w:kern w:val="24"/>
                <w:sz w:val="24"/>
                <w:szCs w:val="24"/>
                <w:lang w:val="en-US" w:eastAsia="zh-CN" w:bidi="ar-SA"/>
              </w:rPr>
              <w:t>、</w:t>
            </w:r>
            <w:r>
              <w:rPr>
                <w:rFonts w:hint="eastAsia" w:cs="Times New Roman"/>
                <w:bCs/>
                <w:color w:val="000000"/>
                <w:kern w:val="24"/>
                <w:sz w:val="24"/>
                <w:szCs w:val="24"/>
                <w:lang w:val="en-US" w:eastAsia="zh-CN" w:bidi="ar-SA"/>
              </w:rPr>
              <w:t>切割机、缠绕机及二级活性炭风机</w:t>
            </w:r>
            <w:r>
              <w:rPr>
                <w:rFonts w:ascii="Times New Roman" w:hAnsi="Times New Roman" w:eastAsia="宋体" w:cs="Times New Roman"/>
                <w:bCs/>
                <w:color w:val="000000"/>
                <w:kern w:val="24"/>
                <w:sz w:val="24"/>
                <w:szCs w:val="24"/>
                <w:lang w:val="en-US" w:eastAsia="zh-CN" w:bidi="ar-SA"/>
              </w:rPr>
              <w:t>等生产设备产生的噪声，</w:t>
            </w:r>
            <w:r>
              <w:rPr>
                <w:rFonts w:hint="eastAsia" w:cs="Times New Roman"/>
                <w:bCs/>
                <w:color w:val="000000"/>
                <w:kern w:val="24"/>
                <w:sz w:val="24"/>
                <w:szCs w:val="24"/>
                <w:lang w:val="en-US" w:eastAsia="zh-CN" w:bidi="ar-SA"/>
              </w:rPr>
              <w:t>由于本项目已建成，经现场勘探，</w:t>
            </w:r>
            <w:r>
              <w:rPr>
                <w:rFonts w:ascii="Times New Roman" w:hAnsi="Times New Roman" w:eastAsia="宋体" w:cs="Times New Roman"/>
                <w:bCs/>
                <w:color w:val="000000"/>
                <w:kern w:val="24"/>
                <w:sz w:val="24"/>
                <w:szCs w:val="24"/>
                <w:lang w:val="en-US" w:eastAsia="zh-CN" w:bidi="ar-SA"/>
              </w:rPr>
              <w:t>本项目</w:t>
            </w:r>
            <w:r>
              <w:rPr>
                <w:rFonts w:hint="eastAsia" w:cs="Times New Roman"/>
                <w:bCs/>
                <w:color w:val="000000"/>
                <w:kern w:val="24"/>
                <w:sz w:val="24"/>
                <w:szCs w:val="24"/>
                <w:lang w:val="en-US" w:eastAsia="zh-CN" w:bidi="ar-SA"/>
              </w:rPr>
              <w:t>已安装低噪设备，对振动大的设备已采取基础减振措施，所有设备已安装于封闭生产车间内</w:t>
            </w:r>
            <w:r>
              <w:rPr>
                <w:rFonts w:ascii="Times New Roman" w:hAnsi="Times New Roman" w:eastAsia="宋体" w:cs="Times New Roman"/>
                <w:bCs/>
                <w:color w:val="000000"/>
                <w:kern w:val="24"/>
                <w:sz w:val="24"/>
                <w:szCs w:val="24"/>
                <w:lang w:val="en-US" w:eastAsia="zh-CN" w:bidi="ar-SA"/>
              </w:rPr>
              <w:t>。本项目设备噪声源强详见</w:t>
            </w:r>
            <w:r>
              <w:rPr>
                <w:rFonts w:hint="eastAsia" w:cs="Times New Roman"/>
                <w:bCs/>
                <w:color w:val="000000"/>
                <w:kern w:val="24"/>
                <w:sz w:val="24"/>
                <w:szCs w:val="24"/>
                <w:lang w:val="en-US" w:eastAsia="zh-CN" w:bidi="ar-SA"/>
              </w:rPr>
              <w:t>下表</w:t>
            </w:r>
            <w:r>
              <w:rPr>
                <w:rFonts w:hint="eastAsia" w:ascii="Times New Roman" w:hAnsi="Times New Roman" w:eastAsia="宋体" w:cs="Times New Roman"/>
                <w:bCs/>
                <w:color w:val="000000"/>
                <w:kern w:val="24"/>
                <w:sz w:val="24"/>
                <w:szCs w:val="24"/>
                <w:lang w:val="en-US" w:eastAsia="zh-CN" w:bidi="ar-SA"/>
              </w:rPr>
              <w:t>。</w:t>
            </w:r>
          </w:p>
          <w:p>
            <w:pPr>
              <w:spacing w:line="240" w:lineRule="auto"/>
              <w:ind w:firstLine="422" w:firstLineChars="200"/>
              <w:rPr>
                <w:rFonts w:hint="eastAsia" w:ascii="Times New Roman" w:hAnsi="Times New Roman" w:eastAsia="宋体" w:cs="Times New Roman"/>
                <w:b/>
                <w:bCs w:val="0"/>
                <w:color w:val="000000"/>
                <w:kern w:val="24"/>
                <w:sz w:val="21"/>
                <w:szCs w:val="21"/>
                <w:lang w:val="en-US" w:eastAsia="zh-CN" w:bidi="ar-SA"/>
              </w:rPr>
            </w:pPr>
            <w:r>
              <w:rPr>
                <w:rFonts w:hint="eastAsia" w:ascii="Times New Roman" w:hAnsi="Times New Roman" w:eastAsia="宋体" w:cs="Times New Roman"/>
                <w:b/>
                <w:bCs w:val="0"/>
                <w:color w:val="000000"/>
                <w:kern w:val="24"/>
                <w:sz w:val="21"/>
                <w:szCs w:val="21"/>
                <w:lang w:val="en-US" w:eastAsia="zh-CN" w:bidi="ar-SA"/>
              </w:rPr>
              <w:t>表4-</w:t>
            </w:r>
            <w:r>
              <w:rPr>
                <w:rFonts w:hint="eastAsia" w:cs="Times New Roman"/>
                <w:b/>
                <w:bCs w:val="0"/>
                <w:color w:val="000000"/>
                <w:kern w:val="24"/>
                <w:sz w:val="21"/>
                <w:szCs w:val="21"/>
                <w:lang w:val="en-US" w:eastAsia="zh-CN" w:bidi="ar-SA"/>
              </w:rPr>
              <w:t>7</w:t>
            </w:r>
            <w:r>
              <w:rPr>
                <w:rFonts w:hint="eastAsia" w:ascii="Times New Roman" w:hAnsi="Times New Roman" w:eastAsia="宋体" w:cs="Times New Roman"/>
                <w:b/>
                <w:bCs w:val="0"/>
                <w:color w:val="000000"/>
                <w:kern w:val="24"/>
                <w:sz w:val="21"/>
                <w:szCs w:val="21"/>
                <w:lang w:val="en-US" w:eastAsia="zh-CN" w:bidi="ar-SA"/>
              </w:rPr>
              <w:tab/>
            </w:r>
            <w:r>
              <w:rPr>
                <w:rFonts w:hint="eastAsia" w:ascii="Times New Roman" w:hAnsi="Times New Roman" w:eastAsia="宋体" w:cs="Times New Roman"/>
                <w:b/>
                <w:bCs w:val="0"/>
                <w:color w:val="000000"/>
                <w:kern w:val="24"/>
                <w:sz w:val="21"/>
                <w:szCs w:val="21"/>
                <w:lang w:val="en-US" w:eastAsia="zh-CN" w:bidi="ar-SA"/>
              </w:rPr>
              <w:t xml:space="preserve">     工业企业噪声源强调查清单（室外声源）</w:t>
            </w:r>
          </w:p>
          <w:tbl>
            <w:tblPr>
              <w:tblStyle w:val="26"/>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30"/>
              <w:gridCol w:w="880"/>
              <w:gridCol w:w="417"/>
              <w:gridCol w:w="584"/>
              <w:gridCol w:w="489"/>
              <w:gridCol w:w="2617"/>
              <w:gridCol w:w="1174"/>
              <w:gridCol w:w="1042"/>
              <w:gridCol w:w="729"/>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exact"/>
                <w:jc w:val="center"/>
              </w:trPr>
              <w:tc>
                <w:tcPr>
                  <w:tcW w:w="257"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bookmarkStart w:id="7" w:name="PT_5"/>
                  <w:r>
                    <w:rPr>
                      <w:rFonts w:hint="default" w:ascii="Times New Roman" w:hAnsi="Times New Roman" w:eastAsia="宋体" w:cs="Times New Roman"/>
                      <w:bCs/>
                      <w:color w:val="000000"/>
                      <w:kern w:val="24"/>
                      <w:sz w:val="21"/>
                      <w:szCs w:val="21"/>
                      <w:lang w:val="en-US" w:eastAsia="zh-CN" w:bidi="ar-SA"/>
                    </w:rPr>
                    <w:t>序号</w:t>
                  </w:r>
                </w:p>
              </w:tc>
              <w:tc>
                <w:tcPr>
                  <w:tcW w:w="526"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声源名称</w:t>
                  </w:r>
                </w:p>
              </w:tc>
              <w:tc>
                <w:tcPr>
                  <w:tcW w:w="890" w:type="pct"/>
                  <w:gridSpan w:val="3"/>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空间相对位置/m</w:t>
                  </w:r>
                </w:p>
              </w:tc>
              <w:tc>
                <w:tcPr>
                  <w:tcW w:w="2266" w:type="pct"/>
                  <w:gridSpan w:val="2"/>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声源源强（任选一种）</w:t>
                  </w:r>
                </w:p>
              </w:tc>
              <w:tc>
                <w:tcPr>
                  <w:tcW w:w="623"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声源控制措施</w:t>
                  </w:r>
                </w:p>
              </w:tc>
              <w:tc>
                <w:tcPr>
                  <w:tcW w:w="435"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运行时段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2" w:hRule="atLeast"/>
                <w:jc w:val="center"/>
              </w:trPr>
              <w:tc>
                <w:tcPr>
                  <w:tcW w:w="257"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p>
              </w:tc>
              <w:tc>
                <w:tcPr>
                  <w:tcW w:w="526"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p>
              </w:tc>
              <w:tc>
                <w:tcPr>
                  <w:tcW w:w="2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X</w:t>
                  </w:r>
                </w:p>
              </w:tc>
              <w:tc>
                <w:tcPr>
                  <w:tcW w:w="3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Y</w:t>
                  </w:r>
                </w:p>
              </w:tc>
              <w:tc>
                <w:tcPr>
                  <w:tcW w:w="29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Z</w:t>
                  </w:r>
                </w:p>
              </w:tc>
              <w:tc>
                <w:tcPr>
                  <w:tcW w:w="156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（声压级/距声源距离）/（dB(A)/m）</w:t>
                  </w:r>
                </w:p>
              </w:tc>
              <w:tc>
                <w:tcPr>
                  <w:tcW w:w="701"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声功率级/dB(A)</w:t>
                  </w:r>
                </w:p>
              </w:tc>
              <w:tc>
                <w:tcPr>
                  <w:tcW w:w="623"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p>
                <w:bookmarkEnd w:id="7"/>
              </w:tc>
              <w:tc>
                <w:tcPr>
                  <w:tcW w:w="435" w:type="pct"/>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7" w:hRule="exact"/>
                <w:jc w:val="center"/>
              </w:trPr>
              <w:tc>
                <w:tcPr>
                  <w:tcW w:w="257"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1</w:t>
                  </w:r>
                </w:p>
              </w:tc>
              <w:tc>
                <w:tcPr>
                  <w:tcW w:w="52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1#风机</w:t>
                  </w:r>
                </w:p>
              </w:tc>
              <w:tc>
                <w:tcPr>
                  <w:tcW w:w="2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-2.2</w:t>
                  </w:r>
                </w:p>
              </w:tc>
              <w:tc>
                <w:tcPr>
                  <w:tcW w:w="3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74.2</w:t>
                  </w:r>
                </w:p>
              </w:tc>
              <w:tc>
                <w:tcPr>
                  <w:tcW w:w="29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1.2</w:t>
                  </w:r>
                </w:p>
              </w:tc>
              <w:tc>
                <w:tcPr>
                  <w:tcW w:w="156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w:t>
                  </w:r>
                </w:p>
              </w:tc>
              <w:tc>
                <w:tcPr>
                  <w:tcW w:w="701"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eastAsia" w:ascii="Times New Roman" w:hAnsi="Times New Roman" w:eastAsia="宋体" w:cs="Times New Roman"/>
                      <w:bCs/>
                      <w:color w:val="000000"/>
                      <w:kern w:val="24"/>
                      <w:sz w:val="21"/>
                      <w:szCs w:val="21"/>
                      <w:lang w:val="en-US" w:eastAsia="zh-CN" w:bidi="ar-SA"/>
                    </w:rPr>
                    <w:t>80</w:t>
                  </w:r>
                </w:p>
              </w:tc>
              <w:tc>
                <w:tcPr>
                  <w:tcW w:w="623"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spacing w:val="-6"/>
                      <w:kern w:val="24"/>
                      <w:sz w:val="21"/>
                      <w:szCs w:val="21"/>
                      <w:lang w:val="en-US" w:eastAsia="zh-CN" w:bidi="ar-SA"/>
                    </w:rPr>
                  </w:pPr>
                  <w:r>
                    <w:rPr>
                      <w:rFonts w:hint="default" w:ascii="Times New Roman" w:hAnsi="Times New Roman" w:eastAsia="宋体" w:cs="Times New Roman"/>
                      <w:bCs/>
                      <w:color w:val="000000"/>
                      <w:spacing w:val="-6"/>
                      <w:kern w:val="24"/>
                      <w:sz w:val="21"/>
                      <w:szCs w:val="21"/>
                      <w:lang w:val="en-US" w:eastAsia="zh-CN" w:bidi="ar-SA"/>
                    </w:rPr>
                    <w:t>基础减震</w:t>
                  </w:r>
                </w:p>
              </w:tc>
              <w:tc>
                <w:tcPr>
                  <w:tcW w:w="435"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eastAsia" w:ascii="Times New Roman" w:hAnsi="Times New Roman" w:eastAsia="宋体" w:cs="Times New Roman"/>
                      <w:bCs/>
                      <w:color w:val="000000"/>
                      <w:kern w:val="24"/>
                      <w:sz w:val="21"/>
                      <w:szCs w:val="21"/>
                      <w:lang w:val="en-US" w:eastAsia="zh-CN" w:bidi="ar-SA"/>
                    </w:rPr>
                    <w:t>全天</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257"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bCs/>
                      <w:color w:val="000000"/>
                      <w:kern w:val="24"/>
                      <w:sz w:val="21"/>
                      <w:szCs w:val="21"/>
                      <w:lang w:val="en-US" w:eastAsia="zh-CN" w:bidi="ar-SA"/>
                    </w:rPr>
                    <w:t>2</w:t>
                  </w:r>
                </w:p>
              </w:tc>
              <w:tc>
                <w:tcPr>
                  <w:tcW w:w="526"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eastAsia" w:ascii="Times New Roman" w:hAnsi="Times New Roman" w:eastAsia="宋体" w:cs="Times New Roman"/>
                      <w:bCs/>
                      <w:color w:val="000000"/>
                      <w:kern w:val="24"/>
                      <w:sz w:val="21"/>
                      <w:szCs w:val="21"/>
                      <w:lang w:val="en-US" w:eastAsia="zh-CN" w:bidi="ar-SA"/>
                    </w:rPr>
                    <w:t>2</w:t>
                  </w:r>
                  <w:r>
                    <w:rPr>
                      <w:rFonts w:hint="default" w:ascii="Times New Roman" w:hAnsi="Times New Roman" w:eastAsia="宋体" w:cs="Times New Roman"/>
                      <w:bCs/>
                      <w:color w:val="000000"/>
                      <w:kern w:val="24"/>
                      <w:sz w:val="21"/>
                      <w:szCs w:val="21"/>
                      <w:lang w:val="en-US" w:eastAsia="zh-CN" w:bidi="ar-SA"/>
                    </w:rPr>
                    <w:t>#风机</w:t>
                  </w:r>
                </w:p>
              </w:tc>
              <w:tc>
                <w:tcPr>
                  <w:tcW w:w="2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56.5</w:t>
                  </w:r>
                </w:p>
              </w:tc>
              <w:tc>
                <w:tcPr>
                  <w:tcW w:w="349"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50.5</w:t>
                  </w:r>
                </w:p>
              </w:tc>
              <w:tc>
                <w:tcPr>
                  <w:tcW w:w="292"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default" w:ascii="Times New Roman" w:hAnsi="Times New Roman" w:eastAsia="宋体" w:cs="Times New Roman"/>
                      <w:sz w:val="21"/>
                      <w:szCs w:val="21"/>
                    </w:rPr>
                    <w:t>1.2</w:t>
                  </w:r>
                </w:p>
              </w:tc>
              <w:tc>
                <w:tcPr>
                  <w:tcW w:w="1564"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eastAsia" w:ascii="Times New Roman" w:hAnsi="Times New Roman" w:eastAsia="宋体" w:cs="Times New Roman"/>
                      <w:bCs/>
                      <w:color w:val="000000"/>
                      <w:kern w:val="24"/>
                      <w:sz w:val="21"/>
                      <w:szCs w:val="21"/>
                      <w:lang w:val="en-US" w:eastAsia="zh-CN" w:bidi="ar-SA"/>
                    </w:rPr>
                    <w:t>/</w:t>
                  </w:r>
                </w:p>
              </w:tc>
              <w:tc>
                <w:tcPr>
                  <w:tcW w:w="701"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kern w:val="24"/>
                      <w:sz w:val="21"/>
                      <w:szCs w:val="21"/>
                      <w:lang w:val="en-US" w:eastAsia="zh-CN" w:bidi="ar-SA"/>
                    </w:rPr>
                  </w:pPr>
                  <w:r>
                    <w:rPr>
                      <w:rFonts w:hint="eastAsia" w:ascii="Times New Roman" w:hAnsi="Times New Roman" w:eastAsia="宋体" w:cs="Times New Roman"/>
                      <w:bCs/>
                      <w:color w:val="000000"/>
                      <w:kern w:val="24"/>
                      <w:sz w:val="21"/>
                      <w:szCs w:val="21"/>
                      <w:lang w:val="en-US" w:eastAsia="zh-CN" w:bidi="ar-SA"/>
                    </w:rPr>
                    <w:t>80</w:t>
                  </w:r>
                </w:p>
              </w:tc>
              <w:tc>
                <w:tcPr>
                  <w:tcW w:w="623" w:type="pct"/>
                  <w:tcBorders>
                    <w:tl2br w:val="nil"/>
                    <w:tr2bl w:val="nil"/>
                  </w:tcBorders>
                  <w:shd w:val="clear" w:color="auto" w:fill="auto"/>
                  <w:vAlign w:val="center"/>
                </w:tcPr>
                <w:p>
                  <w:pPr>
                    <w:spacing w:line="240" w:lineRule="auto"/>
                    <w:jc w:val="center"/>
                    <w:rPr>
                      <w:rFonts w:hint="default" w:ascii="Times New Roman" w:hAnsi="Times New Roman" w:eastAsia="宋体" w:cs="Times New Roman"/>
                      <w:bCs/>
                      <w:color w:val="000000"/>
                      <w:spacing w:val="-6"/>
                      <w:kern w:val="24"/>
                      <w:sz w:val="21"/>
                      <w:szCs w:val="21"/>
                      <w:lang w:val="en-US" w:eastAsia="zh-CN" w:bidi="ar-SA"/>
                    </w:rPr>
                  </w:pPr>
                  <w:r>
                    <w:rPr>
                      <w:rFonts w:hint="default" w:ascii="Times New Roman" w:hAnsi="Times New Roman" w:eastAsia="宋体" w:cs="Times New Roman"/>
                      <w:bCs/>
                      <w:color w:val="000000"/>
                      <w:spacing w:val="-6"/>
                      <w:kern w:val="24"/>
                      <w:sz w:val="21"/>
                      <w:szCs w:val="21"/>
                      <w:lang w:val="en-US" w:eastAsia="zh-CN" w:bidi="ar-SA"/>
                    </w:rPr>
                    <w:t>基础减震</w:t>
                  </w:r>
                </w:p>
              </w:tc>
              <w:tc>
                <w:tcPr>
                  <w:tcW w:w="435" w:type="pct"/>
                  <w:vMerge w:val="continue"/>
                  <w:tcBorders>
                    <w:tl2br w:val="nil"/>
                    <w:tr2bl w:val="nil"/>
                  </w:tcBorders>
                  <w:shd w:val="clear" w:color="auto" w:fill="auto"/>
                  <w:vAlign w:val="center"/>
                </w:tcPr>
                <w:p>
                  <w:pPr>
                    <w:spacing w:line="240" w:lineRule="auto"/>
                    <w:rPr>
                      <w:rFonts w:hint="default" w:ascii="Times New Roman" w:hAnsi="Times New Roman" w:eastAsia="宋体" w:cs="Times New Roman"/>
                      <w:bCs/>
                      <w:color w:val="000000"/>
                      <w:kern w:val="24"/>
                      <w:sz w:val="21"/>
                      <w:szCs w:val="21"/>
                      <w:lang w:val="en-US" w:eastAsia="zh-CN" w:bidi="ar-SA"/>
                    </w:rPr>
                  </w:pPr>
                </w:p>
              </w:tc>
            </w:tr>
          </w:tbl>
          <w:p>
            <w:pPr>
              <w:rPr>
                <w:rFonts w:hint="eastAsia" w:ascii="Times New Roman" w:hAnsi="Times New Roman" w:eastAsia="宋体" w:cs="Times New Roman"/>
                <w:bCs/>
                <w:color w:val="000000"/>
                <w:kern w:val="24"/>
                <w:sz w:val="24"/>
                <w:szCs w:val="24"/>
                <w:lang w:val="en-US" w:eastAsia="zh-CN" w:bidi="ar-SA"/>
              </w:rPr>
            </w:pPr>
          </w:p>
          <w:p>
            <w:pPr>
              <w:pStyle w:val="6"/>
              <w:rPr>
                <w:rFonts w:hint="eastAsia" w:ascii="Times New Roman" w:hAnsi="Times New Roman" w:eastAsia="宋体" w:cs="Times New Roman"/>
                <w:bCs/>
                <w:color w:val="000000"/>
                <w:kern w:val="24"/>
                <w:sz w:val="24"/>
                <w:szCs w:val="24"/>
                <w:lang w:val="en-US" w:eastAsia="zh-CN" w:bidi="ar-SA"/>
              </w:rPr>
            </w:pPr>
          </w:p>
          <w:p>
            <w:pPr>
              <w:pStyle w:val="7"/>
              <w:rPr>
                <w:rFonts w:hint="eastAsia" w:ascii="Times New Roman" w:hAnsi="Times New Roman" w:eastAsia="宋体" w:cs="Times New Roman"/>
                <w:bCs/>
                <w:color w:val="000000"/>
                <w:kern w:val="24"/>
                <w:sz w:val="24"/>
                <w:szCs w:val="24"/>
                <w:lang w:val="en-US" w:eastAsia="zh-CN" w:bidi="ar-SA"/>
              </w:rPr>
            </w:pPr>
          </w:p>
          <w:p/>
          <w:p>
            <w:pPr>
              <w:pStyle w:val="6"/>
            </w:pPr>
          </w:p>
          <w:p>
            <w:pPr>
              <w:pStyle w:val="7"/>
            </w:pPr>
          </w:p>
          <w:p>
            <w:pPr>
              <w:pStyle w:val="8"/>
              <w:ind w:left="0" w:leftChars="0" w:firstLine="0" w:firstLineChars="0"/>
            </w:pPr>
          </w:p>
        </w:tc>
      </w:tr>
    </w:tbl>
    <w:p>
      <w:pPr>
        <w:pStyle w:val="35"/>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spacing w:line="240" w:lineRule="auto"/>
        <w:jc w:val="center"/>
        <w:rPr>
          <w:b/>
          <w:bCs/>
        </w:rPr>
      </w:pPr>
      <w:r>
        <w:rPr>
          <w:b/>
          <w:bCs/>
        </w:rPr>
        <w:t>表</w:t>
      </w:r>
      <w:r>
        <w:rPr>
          <w:rFonts w:hint="eastAsia"/>
          <w:b/>
          <w:bCs/>
          <w:lang w:val="en-US" w:eastAsia="zh-CN"/>
        </w:rPr>
        <w:t>4-8</w:t>
      </w:r>
      <w:r>
        <w:rPr>
          <w:b/>
          <w:bCs/>
        </w:rPr>
        <w:t xml:space="preserve">                </w:t>
      </w:r>
      <w:r>
        <w:rPr>
          <w:rFonts w:hint="eastAsia" w:ascii="Times New Roman" w:hAnsi="Times New Roman" w:eastAsia="宋体" w:cs="Times New Roman"/>
          <w:b/>
          <w:bCs w:val="0"/>
          <w:color w:val="000000"/>
          <w:kern w:val="24"/>
          <w:sz w:val="24"/>
          <w:szCs w:val="24"/>
          <w:lang w:val="en-US" w:eastAsia="zh-CN" w:bidi="ar-SA"/>
        </w:rPr>
        <w:t>工业企业噪声源强调查清单</w:t>
      </w:r>
      <w:r>
        <w:rPr>
          <w:b/>
          <w:bCs/>
          <w:lang w:val="en-US" w:eastAsia="zh-CN"/>
        </w:rPr>
        <w:t>（室内声源）</w:t>
      </w:r>
      <w:r>
        <w:rPr>
          <w:b/>
          <w:bCs/>
        </w:rPr>
        <w:t xml:space="preserve"> </w:t>
      </w:r>
      <w:r>
        <w:rPr>
          <w:rFonts w:hint="eastAsia"/>
          <w:b/>
          <w:bCs/>
        </w:rPr>
        <w:t xml:space="preserve">                     </w:t>
      </w:r>
      <w:r>
        <w:rPr>
          <w:b/>
          <w:bCs/>
        </w:rPr>
        <w:t xml:space="preserve"> 单位：dB（A）</w:t>
      </w:r>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43"/>
        <w:gridCol w:w="607"/>
        <w:gridCol w:w="859"/>
        <w:gridCol w:w="933"/>
        <w:gridCol w:w="703"/>
        <w:gridCol w:w="642"/>
        <w:gridCol w:w="544"/>
        <w:gridCol w:w="404"/>
        <w:gridCol w:w="378"/>
        <w:gridCol w:w="462"/>
        <w:gridCol w:w="463"/>
        <w:gridCol w:w="367"/>
        <w:gridCol w:w="429"/>
        <w:gridCol w:w="429"/>
        <w:gridCol w:w="430"/>
        <w:gridCol w:w="441"/>
        <w:gridCol w:w="593"/>
        <w:gridCol w:w="430"/>
        <w:gridCol w:w="430"/>
        <w:gridCol w:w="430"/>
        <w:gridCol w:w="441"/>
        <w:gridCol w:w="420"/>
        <w:gridCol w:w="420"/>
        <w:gridCol w:w="420"/>
        <w:gridCol w:w="420"/>
        <w:gridCol w:w="69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43" w:type="dxa"/>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序号</w:t>
            </w:r>
          </w:p>
        </w:tc>
        <w:tc>
          <w:tcPr>
            <w:tcW w:w="607" w:type="dxa"/>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建筑物名称</w:t>
            </w:r>
          </w:p>
        </w:tc>
        <w:tc>
          <w:tcPr>
            <w:tcW w:w="859" w:type="dxa"/>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声源名称</w:t>
            </w:r>
          </w:p>
        </w:tc>
        <w:tc>
          <w:tcPr>
            <w:tcW w:w="933" w:type="dxa"/>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val="0"/>
                <w:color w:val="000000"/>
                <w:sz w:val="21"/>
                <w:szCs w:val="21"/>
                <w:lang w:eastAsia="zh-CN"/>
              </w:rPr>
            </w:pPr>
            <w:r>
              <w:rPr>
                <w:rFonts w:hint="default" w:ascii="Times New Roman" w:hAnsi="Times New Roman" w:eastAsia="宋体" w:cs="Times New Roman"/>
                <w:b w:val="0"/>
                <w:bCs w:val="0"/>
                <w:color w:val="000000"/>
                <w:sz w:val="21"/>
                <w:szCs w:val="21"/>
                <w:lang w:eastAsia="zh-CN"/>
              </w:rPr>
              <w:t>声源</w:t>
            </w:r>
          </w:p>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val="0"/>
                <w:color w:val="000000"/>
                <w:sz w:val="21"/>
                <w:szCs w:val="21"/>
                <w:lang w:eastAsia="zh-CN"/>
              </w:rPr>
              <w:t>源强</w:t>
            </w:r>
          </w:p>
        </w:tc>
        <w:tc>
          <w:tcPr>
            <w:tcW w:w="703" w:type="dxa"/>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声源控制措施</w:t>
            </w:r>
          </w:p>
        </w:tc>
        <w:tc>
          <w:tcPr>
            <w:tcW w:w="1590" w:type="dxa"/>
            <w:gridSpan w:val="3"/>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空间相对位置/m</w:t>
            </w:r>
          </w:p>
        </w:tc>
        <w:tc>
          <w:tcPr>
            <w:tcW w:w="1670" w:type="dxa"/>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距室内边界距离/m</w:t>
            </w:r>
          </w:p>
        </w:tc>
        <w:tc>
          <w:tcPr>
            <w:tcW w:w="1729" w:type="dxa"/>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val="0"/>
                <w:color w:val="000000"/>
                <w:sz w:val="21"/>
                <w:szCs w:val="21"/>
              </w:rPr>
              <w:t>室内边界声级/dB(A)</w:t>
            </w:r>
          </w:p>
        </w:tc>
        <w:tc>
          <w:tcPr>
            <w:tcW w:w="593" w:type="dxa"/>
            <w:vMerge w:val="restart"/>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运行时段</w:t>
            </w:r>
          </w:p>
        </w:tc>
        <w:tc>
          <w:tcPr>
            <w:tcW w:w="1731" w:type="dxa"/>
            <w:gridSpan w:val="4"/>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val="0"/>
                <w:color w:val="000000"/>
                <w:sz w:val="21"/>
                <w:szCs w:val="21"/>
              </w:rPr>
              <w:t>建筑物插入损失/dB(A)</w:t>
            </w:r>
          </w:p>
        </w:tc>
        <w:tc>
          <w:tcPr>
            <w:tcW w:w="2370" w:type="dxa"/>
            <w:gridSpan w:val="5"/>
            <w:tcBorders>
              <w:tl2br w:val="nil"/>
              <w:tr2bl w:val="nil"/>
            </w:tcBorders>
            <w:shd w:val="clear" w:color="auto" w:fill="auto"/>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val="0"/>
                <w:color w:val="000000"/>
                <w:sz w:val="21"/>
                <w:szCs w:val="21"/>
              </w:rPr>
              <w:t>建筑物外噪声声压级/dB(A)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44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val="en-US" w:eastAsia="zh-CN"/>
              </w:rPr>
            </w:pP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93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eastAsia="zh-CN"/>
              </w:rPr>
            </w:pPr>
            <w:r>
              <w:rPr>
                <w:rFonts w:hint="default" w:ascii="Times New Roman" w:hAnsi="Times New Roman" w:eastAsia="宋体" w:cs="Times New Roman"/>
                <w:b w:val="0"/>
                <w:bCs w:val="0"/>
                <w:color w:val="000000"/>
                <w:sz w:val="21"/>
                <w:szCs w:val="21"/>
              </w:rPr>
              <w:t>声功率级/dB(A)</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X</w:t>
            </w:r>
          </w:p>
        </w:tc>
        <w:tc>
          <w:tcPr>
            <w:tcW w:w="544"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Y</w:t>
            </w:r>
          </w:p>
        </w:tc>
        <w:tc>
          <w:tcPr>
            <w:tcW w:w="404"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Z</w:t>
            </w:r>
          </w:p>
        </w:tc>
        <w:tc>
          <w:tcPr>
            <w:tcW w:w="378"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东</w:t>
            </w:r>
          </w:p>
        </w:tc>
        <w:tc>
          <w:tcPr>
            <w:tcW w:w="462"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南</w:t>
            </w:r>
          </w:p>
        </w:tc>
        <w:tc>
          <w:tcPr>
            <w:tcW w:w="46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西</w:t>
            </w:r>
          </w:p>
        </w:tc>
        <w:tc>
          <w:tcPr>
            <w:tcW w:w="367"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北</w:t>
            </w:r>
          </w:p>
        </w:tc>
        <w:tc>
          <w:tcPr>
            <w:tcW w:w="429"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东</w:t>
            </w:r>
          </w:p>
        </w:tc>
        <w:tc>
          <w:tcPr>
            <w:tcW w:w="429"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南</w:t>
            </w:r>
          </w:p>
        </w:tc>
        <w:tc>
          <w:tcPr>
            <w:tcW w:w="43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西</w:t>
            </w:r>
          </w:p>
        </w:tc>
        <w:tc>
          <w:tcPr>
            <w:tcW w:w="441"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北</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东</w:t>
            </w:r>
          </w:p>
        </w:tc>
        <w:tc>
          <w:tcPr>
            <w:tcW w:w="43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南</w:t>
            </w:r>
          </w:p>
        </w:tc>
        <w:tc>
          <w:tcPr>
            <w:tcW w:w="43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西</w:t>
            </w:r>
          </w:p>
        </w:tc>
        <w:tc>
          <w:tcPr>
            <w:tcW w:w="441"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北</w:t>
            </w:r>
          </w:p>
        </w:tc>
        <w:tc>
          <w:tcPr>
            <w:tcW w:w="42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东</w:t>
            </w:r>
          </w:p>
        </w:tc>
        <w:tc>
          <w:tcPr>
            <w:tcW w:w="42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南</w:t>
            </w:r>
          </w:p>
        </w:tc>
        <w:tc>
          <w:tcPr>
            <w:tcW w:w="42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西</w:t>
            </w:r>
          </w:p>
        </w:tc>
        <w:tc>
          <w:tcPr>
            <w:tcW w:w="42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北</w:t>
            </w:r>
          </w:p>
        </w:tc>
        <w:tc>
          <w:tcPr>
            <w:tcW w:w="690"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建筑物外距离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1</w:t>
            </w:r>
          </w:p>
        </w:tc>
        <w:tc>
          <w:tcPr>
            <w:tcW w:w="607" w:type="dxa"/>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b w:val="0"/>
                <w:bCs w:val="0"/>
                <w:color w:val="000000"/>
                <w:sz w:val="21"/>
                <w:szCs w:val="21"/>
                <w:lang w:val="en-US" w:eastAsia="zh-CN"/>
              </w:rPr>
              <w:t>1#厂房</w:t>
            </w: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1#挤出机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703" w:type="dxa"/>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000000"/>
                <w:sz w:val="21"/>
                <w:szCs w:val="21"/>
                <w:lang w:val="en-US" w:eastAsia="zh-CN"/>
              </w:rPr>
              <w:t>基础减振，厂房隔声</w:t>
            </w: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-41.8</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89.8</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120.6</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5.4</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21.1</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58.8</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593" w:type="dxa"/>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000000"/>
                <w:sz w:val="21"/>
                <w:szCs w:val="21"/>
                <w:lang w:val="en-US" w:eastAsia="zh-CN"/>
              </w:rPr>
              <w:t>全天</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33.8</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2</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缠绕机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-36.5</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74.7</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24.7</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112.5</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18.8</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30.0</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3</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eastAsia" w:cs="Times New Roman"/>
                <w:sz w:val="21"/>
                <w:szCs w:val="21"/>
                <w:lang w:val="en-US" w:eastAsia="zh-CN"/>
              </w:rPr>
              <w:t>压弯</w:t>
            </w:r>
            <w:r>
              <w:rPr>
                <w:rFonts w:hint="default" w:ascii="Times New Roman" w:hAnsi="Times New Roman" w:eastAsia="宋体" w:cs="Times New Roman"/>
                <w:sz w:val="21"/>
                <w:szCs w:val="21"/>
              </w:rPr>
              <w:t>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-20.5</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74.7</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12.3</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122.9</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31.5</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20.4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4</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r>
              <w:rPr>
                <w:rFonts w:hint="eastAsia" w:cs="Times New Roman"/>
                <w:sz w:val="21"/>
                <w:szCs w:val="21"/>
                <w:lang w:val="en-US" w:eastAsia="zh-CN"/>
              </w:rPr>
              <w:t>无屑</w:t>
            </w:r>
            <w:r>
              <w:rPr>
                <w:rFonts w:hint="default" w:ascii="Times New Roman" w:hAnsi="Times New Roman" w:eastAsia="宋体" w:cs="Times New Roman"/>
                <w:sz w:val="21"/>
                <w:szCs w:val="21"/>
              </w:rPr>
              <w:t>切割机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-41.4</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68</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24.2</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104.3</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18.9</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rPr>
              <w:t>5</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1#搅拌机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-32.5</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98.7</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36.7</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133.4</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7.4</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63.5</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63.5</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38.5</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38.5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6</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覆膜机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75</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83.1</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11.0</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134.8</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33.1</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8.5</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58.3</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58.5</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33.3</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33.5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7</w:t>
            </w:r>
          </w:p>
        </w:tc>
        <w:tc>
          <w:tcPr>
            <w:tcW w:w="607" w:type="dxa"/>
            <w:vMerge w:val="restart"/>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2#厂房</w:t>
            </w: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w:t>
            </w:r>
            <w:r>
              <w:rPr>
                <w:rFonts w:hint="eastAsia" w:cs="Times New Roman"/>
                <w:sz w:val="21"/>
                <w:szCs w:val="21"/>
                <w:lang w:val="en-US" w:eastAsia="zh-CN"/>
              </w:rPr>
              <w:t>无屑</w:t>
            </w:r>
            <w:r>
              <w:rPr>
                <w:rFonts w:hint="default" w:ascii="Times New Roman" w:hAnsi="Times New Roman" w:eastAsia="宋体" w:cs="Times New Roman"/>
                <w:sz w:val="21"/>
                <w:szCs w:val="21"/>
              </w:rPr>
              <w:t>切割机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80</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16.9</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89.4</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74.4</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4.7</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51.0</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12.6</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64.4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64.9</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64.4</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64.5</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39.4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39.9</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39.4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39.5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val="0"/>
                <w:color w:val="000000"/>
                <w:sz w:val="21"/>
                <w:szCs w:val="21"/>
                <w:lang w:val="en-US" w:eastAsia="zh-CN"/>
              </w:rPr>
              <w:t>8</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管型成型机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rPr>
              <w:t>75</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29.3</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80.9</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59.3</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5.6</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66.0</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11.6</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59.8</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59.4</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59.5</w:t>
            </w:r>
          </w:p>
        </w:tc>
        <w:tc>
          <w:tcPr>
            <w:tcW w:w="593" w:type="dxa"/>
            <w:vMerge w:val="continue"/>
            <w:tcBorders>
              <w:tl2br w:val="nil"/>
              <w:tr2bl w:val="nil"/>
            </w:tcBorders>
            <w:shd w:val="clear" w:color="auto" w:fill="FFFFFF"/>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34.8</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9</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2#挤出机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rPr>
              <w:t>75</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44.5</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69.8</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40.5</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6.1</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84.8</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10.8</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59.7</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59.4</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59.5</w:t>
            </w:r>
          </w:p>
        </w:tc>
        <w:tc>
          <w:tcPr>
            <w:tcW w:w="593" w:type="dxa"/>
            <w:vMerge w:val="continue"/>
            <w:tcBorders>
              <w:tl2br w:val="nil"/>
              <w:tr2bl w:val="nil"/>
            </w:tcBorders>
            <w:shd w:val="clear" w:color="auto" w:fill="FFFFFF"/>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34.7</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34.5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443" w:type="dxa"/>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r>
              <w:rPr>
                <w:rFonts w:hint="default" w:ascii="Times New Roman" w:hAnsi="Times New Roman" w:eastAsia="宋体" w:cs="Times New Roman"/>
                <w:b w:val="0"/>
                <w:bCs w:val="0"/>
                <w:color w:val="000000"/>
                <w:sz w:val="21"/>
                <w:szCs w:val="21"/>
                <w:lang w:val="en-US" w:eastAsia="zh-CN"/>
              </w:rPr>
              <w:t>10</w:t>
            </w:r>
          </w:p>
        </w:tc>
        <w:tc>
          <w:tcPr>
            <w:tcW w:w="607"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p>
        </w:tc>
        <w:tc>
          <w:tcPr>
            <w:tcW w:w="85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2#搅拌机</w:t>
            </w:r>
          </w:p>
        </w:tc>
        <w:tc>
          <w:tcPr>
            <w:tcW w:w="93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sz w:val="21"/>
                <w:szCs w:val="21"/>
              </w:rPr>
              <w:t>80</w:t>
            </w:r>
          </w:p>
        </w:tc>
        <w:tc>
          <w:tcPr>
            <w:tcW w:w="70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b w:val="0"/>
                <w:bCs/>
                <w:sz w:val="21"/>
                <w:szCs w:val="21"/>
              </w:rPr>
            </w:pPr>
          </w:p>
        </w:tc>
        <w:tc>
          <w:tcPr>
            <w:tcW w:w="64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60</w:t>
            </w:r>
          </w:p>
        </w:tc>
        <w:tc>
          <w:tcPr>
            <w:tcW w:w="54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58.7</w:t>
            </w:r>
          </w:p>
        </w:tc>
        <w:tc>
          <w:tcPr>
            <w:tcW w:w="404"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378"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21.5</w:t>
            </w:r>
          </w:p>
        </w:tc>
        <w:tc>
          <w:tcPr>
            <w:tcW w:w="462"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6.9</w:t>
            </w:r>
          </w:p>
        </w:tc>
        <w:tc>
          <w:tcPr>
            <w:tcW w:w="463"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103.9</w:t>
            </w:r>
          </w:p>
        </w:tc>
        <w:tc>
          <w:tcPr>
            <w:tcW w:w="367"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9.9</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64.4</w:t>
            </w:r>
          </w:p>
        </w:tc>
        <w:tc>
          <w:tcPr>
            <w:tcW w:w="429"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64.6</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64.4</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64.5</w:t>
            </w:r>
          </w:p>
        </w:tc>
        <w:tc>
          <w:tcPr>
            <w:tcW w:w="593" w:type="dxa"/>
            <w:vMerge w:val="continue"/>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kern w:val="2"/>
                <w:sz w:val="21"/>
                <w:szCs w:val="21"/>
                <w:lang w:val="en-US" w:eastAsia="zh-CN" w:bidi="ar-SA"/>
              </w:rPr>
            </w:pP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43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441"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25.0</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39.6</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39.4</w:t>
            </w:r>
          </w:p>
        </w:tc>
        <w:tc>
          <w:tcPr>
            <w:tcW w:w="42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39.5</w:t>
            </w:r>
          </w:p>
        </w:tc>
        <w:tc>
          <w:tcPr>
            <w:tcW w:w="690" w:type="dxa"/>
            <w:tcBorders>
              <w:tl2br w:val="nil"/>
              <w:tr2bl w:val="nil"/>
            </w:tcBorders>
            <w:shd w:val="clear" w:color="auto" w:fill="auto"/>
            <w:tcMar>
              <w:top w:w="0" w:type="dxa"/>
              <w:left w:w="0" w:type="dxa"/>
              <w:bottom w:w="0" w:type="dxa"/>
              <w:right w:w="0" w:type="dxa"/>
            </w:tcMar>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4" w:hRule="atLeast"/>
          <w:jc w:val="center"/>
        </w:trPr>
        <w:tc>
          <w:tcPr>
            <w:tcW w:w="13228" w:type="dxa"/>
            <w:gridSpan w:val="26"/>
            <w:tcBorders>
              <w:tl2br w:val="nil"/>
              <w:tr2bl w:val="nil"/>
            </w:tcBorders>
            <w:shd w:val="clear" w:color="auto" w:fill="auto"/>
            <w:tcMar>
              <w:top w:w="0" w:type="dxa"/>
              <w:left w:w="0" w:type="dxa"/>
              <w:bottom w:w="0" w:type="dxa"/>
              <w:right w:w="0" w:type="dxa"/>
            </w:tcMar>
            <w:vAlign w:val="center"/>
          </w:tcPr>
          <w:p>
            <w:pPr>
              <w:keepNext/>
              <w:keepLines/>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default" w:ascii="Times New Roman" w:hAnsi="Times New Roman" w:eastAsia="宋体" w:cs="Times New Roman"/>
                <w:sz w:val="21"/>
                <w:szCs w:val="21"/>
              </w:rPr>
            </w:pPr>
            <w:r>
              <w:rPr>
                <w:rFonts w:hint="default" w:ascii="Times New Roman" w:hAnsi="Times New Roman" w:eastAsia="宋体" w:cs="Times New Roman"/>
                <w:b w:val="0"/>
                <w:bCs/>
                <w:sz w:val="21"/>
                <w:szCs w:val="21"/>
                <w:lang w:val="en-US" w:eastAsia="zh-CN"/>
              </w:rPr>
              <w:t>坐标原点为（86.3346252</w:t>
            </w:r>
            <w:r>
              <w:rPr>
                <w:rFonts w:hint="eastAsia" w:cs="Times New Roman"/>
                <w:b w:val="0"/>
                <w:bCs/>
                <w:sz w:val="21"/>
                <w:szCs w:val="21"/>
                <w:lang w:val="en-US" w:eastAsia="zh-CN"/>
              </w:rPr>
              <w:t>，</w:t>
            </w:r>
            <w:r>
              <w:rPr>
                <w:rFonts w:hint="default" w:ascii="Times New Roman" w:hAnsi="Times New Roman" w:eastAsia="宋体" w:cs="Times New Roman"/>
                <w:b w:val="0"/>
                <w:bCs/>
                <w:sz w:val="21"/>
                <w:szCs w:val="21"/>
                <w:lang w:val="en-US" w:eastAsia="zh-CN"/>
              </w:rPr>
              <w:t>41.876537），正东向为X轴正方向，正北向为Y轴正方向</w:t>
            </w:r>
          </w:p>
        </w:tc>
      </w:tr>
    </w:tbl>
    <w:p>
      <w:pPr>
        <w:sectPr>
          <w:pgSz w:w="16840" w:h="11907" w:orient="landscape"/>
          <w:pgMar w:top="1531" w:right="1701" w:bottom="1531" w:left="2127" w:header="851" w:footer="851" w:gutter="0"/>
          <w:pgBorders>
            <w:top w:val="none" w:sz="0" w:space="0"/>
            <w:left w:val="none" w:sz="0" w:space="0"/>
            <w:bottom w:val="none" w:sz="0" w:space="0"/>
            <w:right w:val="none" w:sz="0" w:space="0"/>
          </w:pgBorders>
          <w:cols w:space="720" w:num="1"/>
          <w:docGrid w:linePitch="312" w:charSpace="0"/>
        </w:sectPr>
      </w:pPr>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Layout w:type="fixed"/>
        <w:tblCellMar>
          <w:top w:w="0" w:type="dxa"/>
          <w:left w:w="108" w:type="dxa"/>
          <w:bottom w:w="0" w:type="dxa"/>
          <w:right w:w="108" w:type="dxa"/>
        </w:tblCellMar>
      </w:tblPr>
      <w:tblGrid>
        <w:gridCol w:w="294"/>
        <w:gridCol w:w="86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8" w:space="0"/>
          </w:tblBorders>
        </w:tblPrEx>
        <w:trPr>
          <w:trHeight w:val="0" w:hRule="atLeast"/>
          <w:jc w:val="center"/>
        </w:trPr>
        <w:tc>
          <w:tcPr>
            <w:tcW w:w="294" w:type="dxa"/>
            <w:tcBorders>
              <w:tl2br w:val="nil"/>
              <w:tr2bl w:val="nil"/>
            </w:tcBorders>
            <w:noWrap w:val="0"/>
            <w:tcMar>
              <w:left w:w="28" w:type="dxa"/>
              <w:right w:w="28" w:type="dxa"/>
            </w:tcMar>
            <w:vAlign w:val="center"/>
          </w:tcPr>
          <w:p>
            <w:pPr>
              <w:adjustRightInd w:val="0"/>
              <w:snapToGrid w:val="0"/>
              <w:jc w:val="center"/>
              <w:rPr>
                <w:b/>
                <w:bCs w:val="0"/>
                <w:color w:val="000000"/>
                <w:szCs w:val="21"/>
              </w:rPr>
            </w:pPr>
            <w:r>
              <w:rPr>
                <w:b/>
                <w:bCs w:val="0"/>
                <w:color w:val="000000"/>
                <w:szCs w:val="21"/>
              </w:rPr>
              <w:t>运营期环</w:t>
            </w:r>
          </w:p>
          <w:p>
            <w:pPr>
              <w:adjustRightInd w:val="0"/>
              <w:snapToGrid w:val="0"/>
              <w:jc w:val="center"/>
              <w:rPr>
                <w:b/>
                <w:bCs w:val="0"/>
                <w:color w:val="000000"/>
                <w:szCs w:val="21"/>
              </w:rPr>
            </w:pPr>
            <w:r>
              <w:rPr>
                <w:b/>
                <w:bCs w:val="0"/>
                <w:color w:val="000000"/>
                <w:szCs w:val="21"/>
              </w:rPr>
              <w:t>境影</w:t>
            </w:r>
          </w:p>
          <w:p>
            <w:pPr>
              <w:adjustRightInd w:val="0"/>
              <w:snapToGrid w:val="0"/>
              <w:jc w:val="center"/>
              <w:rPr>
                <w:bCs/>
                <w:color w:val="000000"/>
                <w:szCs w:val="21"/>
              </w:rPr>
            </w:pPr>
            <w:r>
              <w:rPr>
                <w:b/>
                <w:bCs w:val="0"/>
                <w:color w:val="000000"/>
                <w:szCs w:val="21"/>
              </w:rPr>
              <w:t>响和保护措施</w:t>
            </w:r>
          </w:p>
        </w:tc>
        <w:tc>
          <w:tcPr>
            <w:tcW w:w="8687" w:type="dxa"/>
            <w:tcBorders>
              <w:tl2br w:val="nil"/>
              <w:tr2bl w:val="nil"/>
            </w:tcBorders>
            <w:noWrap w:val="0"/>
            <w:vAlign w:val="center"/>
          </w:tcPr>
          <w:p>
            <w:pPr>
              <w:pStyle w:val="3"/>
              <w:adjustRightInd w:val="0"/>
              <w:snapToGrid w:val="0"/>
              <w:ind w:firstLine="482" w:firstLineChars="200"/>
              <w:rPr>
                <w:color w:val="000000"/>
              </w:rPr>
            </w:pPr>
            <w:r>
              <w:rPr>
                <w:color w:val="000000"/>
              </w:rPr>
              <w:t>3.2</w:t>
            </w:r>
            <w:r>
              <w:rPr>
                <w:rFonts w:hint="eastAsia"/>
                <w:color w:val="000000"/>
              </w:rPr>
              <w:t>预测模式选用</w:t>
            </w:r>
          </w:p>
          <w:p>
            <w:pPr>
              <w:pStyle w:val="35"/>
              <w:adjustRightInd w:val="0"/>
              <w:snapToGrid w:val="0"/>
              <w:ind w:firstLine="480" w:firstLineChars="200"/>
              <w:rPr>
                <w:rFonts w:hint="eastAsia"/>
                <w:color w:val="000000"/>
                <w:szCs w:val="24"/>
              </w:rPr>
            </w:pPr>
            <w:r>
              <w:rPr>
                <w:rFonts w:hint="eastAsia"/>
                <w:color w:val="000000"/>
                <w:szCs w:val="24"/>
              </w:rPr>
              <w:t>采用《环境影响评价技术导则 声环境》(HJ2.4-2021)中推荐的模式进行计算。</w:t>
            </w:r>
          </w:p>
          <w:p>
            <w:pPr>
              <w:pStyle w:val="3"/>
              <w:adjustRightInd w:val="0"/>
              <w:snapToGrid w:val="0"/>
              <w:ind w:firstLine="482" w:firstLineChars="200"/>
              <w:rPr>
                <w:color w:val="000000"/>
              </w:rPr>
            </w:pPr>
            <w:r>
              <w:rPr>
                <w:color w:val="000000"/>
              </w:rPr>
              <w:t>3.3</w:t>
            </w:r>
            <w:r>
              <w:rPr>
                <w:rFonts w:hint="eastAsia"/>
                <w:color w:val="000000"/>
              </w:rPr>
              <w:t>降噪措施</w:t>
            </w:r>
          </w:p>
          <w:p>
            <w:pPr>
              <w:autoSpaceDE w:val="0"/>
              <w:autoSpaceDN w:val="0"/>
              <w:adjustRightInd w:val="0"/>
              <w:snapToGrid w:val="0"/>
              <w:ind w:firstLine="480" w:firstLineChars="200"/>
              <w:rPr>
                <w:color w:val="000000"/>
              </w:rPr>
            </w:pPr>
            <w:r>
              <w:rPr>
                <w:rFonts w:hint="eastAsia"/>
                <w:color w:val="000000"/>
              </w:rPr>
              <w:t>为减少噪声对周边环境的影响，本</w:t>
            </w:r>
            <w:r>
              <w:rPr>
                <w:rFonts w:hint="eastAsia"/>
                <w:color w:val="000000"/>
                <w:lang w:val="en-US" w:eastAsia="zh-CN"/>
              </w:rPr>
              <w:t>项目对</w:t>
            </w:r>
            <w:r>
              <w:rPr>
                <w:rFonts w:hint="eastAsia"/>
                <w:color w:val="000000"/>
              </w:rPr>
              <w:t>噪声</w:t>
            </w:r>
            <w:r>
              <w:rPr>
                <w:rFonts w:hint="eastAsia"/>
                <w:color w:val="000000"/>
                <w:lang w:val="en-US" w:eastAsia="zh-CN"/>
              </w:rPr>
              <w:t>已采取了以下</w:t>
            </w:r>
            <w:r>
              <w:rPr>
                <w:rFonts w:hint="eastAsia"/>
                <w:color w:val="000000"/>
              </w:rPr>
              <w:t>措施：</w:t>
            </w:r>
          </w:p>
          <w:p>
            <w:pPr>
              <w:adjustRightInd w:val="0"/>
              <w:snapToGrid w:val="0"/>
              <w:ind w:firstLine="480" w:firstLineChars="200"/>
              <w:rPr>
                <w:rFonts w:hint="eastAsia"/>
                <w:color w:val="000000"/>
              </w:rPr>
            </w:pPr>
            <w:r>
              <w:rPr>
                <w:rFonts w:hint="eastAsia"/>
                <w:color w:val="000000"/>
              </w:rPr>
              <w:t>（1）</w:t>
            </w:r>
            <w:r>
              <w:rPr>
                <w:rFonts w:hint="eastAsia"/>
                <w:color w:val="000000"/>
                <w:lang w:val="en-US" w:eastAsia="zh-CN"/>
              </w:rPr>
              <w:t>本项目已建成，</w:t>
            </w:r>
            <w:r>
              <w:rPr>
                <w:rFonts w:hint="eastAsia"/>
                <w:color w:val="000000"/>
              </w:rPr>
              <w:t>在设备选型上，</w:t>
            </w:r>
            <w:r>
              <w:rPr>
                <w:rFonts w:hint="eastAsia"/>
                <w:color w:val="000000"/>
                <w:lang w:val="en-US" w:eastAsia="zh-CN"/>
              </w:rPr>
              <w:t>已</w:t>
            </w:r>
            <w:r>
              <w:rPr>
                <w:rFonts w:hint="eastAsia"/>
                <w:color w:val="000000"/>
              </w:rPr>
              <w:t>选用</w:t>
            </w:r>
            <w:r>
              <w:rPr>
                <w:rFonts w:hint="eastAsia"/>
                <w:color w:val="000000"/>
                <w:lang w:val="en-US" w:eastAsia="zh-CN"/>
              </w:rPr>
              <w:t>安装</w:t>
            </w:r>
            <w:r>
              <w:rPr>
                <w:rFonts w:hint="eastAsia"/>
                <w:color w:val="000000"/>
              </w:rPr>
              <w:t>低噪</w:t>
            </w:r>
            <w:r>
              <w:rPr>
                <w:rFonts w:hint="eastAsia"/>
                <w:color w:val="000000"/>
                <w:lang w:val="en-US" w:eastAsia="zh-CN"/>
              </w:rPr>
              <w:t>声</w:t>
            </w:r>
            <w:r>
              <w:rPr>
                <w:rFonts w:hint="eastAsia"/>
                <w:color w:val="000000"/>
              </w:rPr>
              <w:t>设备</w:t>
            </w:r>
            <w:r>
              <w:rPr>
                <w:rFonts w:hint="eastAsia"/>
                <w:color w:val="000000"/>
                <w:lang w:val="en-US" w:eastAsia="zh-CN"/>
              </w:rPr>
              <w:t>和</w:t>
            </w:r>
            <w:r>
              <w:rPr>
                <w:rFonts w:hint="eastAsia"/>
                <w:color w:val="000000"/>
              </w:rPr>
              <w:t>振动小的设备；对振动大的设备</w:t>
            </w:r>
            <w:r>
              <w:rPr>
                <w:rFonts w:hint="eastAsia"/>
                <w:color w:val="000000"/>
                <w:lang w:val="en-US" w:eastAsia="zh-CN"/>
              </w:rPr>
              <w:t>已采取</w:t>
            </w:r>
            <w:r>
              <w:rPr>
                <w:rFonts w:hint="eastAsia"/>
                <w:color w:val="000000"/>
              </w:rPr>
              <w:t>减振</w:t>
            </w:r>
            <w:r>
              <w:rPr>
                <w:rFonts w:hint="eastAsia"/>
                <w:color w:val="000000"/>
                <w:lang w:val="en-US" w:eastAsia="zh-CN"/>
              </w:rPr>
              <w:t>措施</w:t>
            </w:r>
            <w:r>
              <w:rPr>
                <w:rFonts w:hint="eastAsia"/>
                <w:color w:val="000000"/>
              </w:rPr>
              <w:t>；</w:t>
            </w:r>
          </w:p>
          <w:p>
            <w:pPr>
              <w:adjustRightInd w:val="0"/>
              <w:snapToGrid w:val="0"/>
              <w:ind w:firstLine="480" w:firstLineChars="200"/>
              <w:rPr>
                <w:rFonts w:hint="eastAsia"/>
                <w:color w:val="000000"/>
              </w:rPr>
            </w:pPr>
            <w:r>
              <w:rPr>
                <w:rFonts w:hint="eastAsia"/>
                <w:color w:val="000000"/>
              </w:rPr>
              <w:t>（2）生产设备</w:t>
            </w:r>
            <w:r>
              <w:rPr>
                <w:rFonts w:hint="eastAsia"/>
                <w:color w:val="000000"/>
                <w:lang w:val="en-US" w:eastAsia="zh-CN"/>
              </w:rPr>
              <w:t>已安装</w:t>
            </w:r>
            <w:r>
              <w:rPr>
                <w:rFonts w:hint="eastAsia"/>
                <w:color w:val="000000"/>
              </w:rPr>
              <w:t>于</w:t>
            </w:r>
            <w:r>
              <w:rPr>
                <w:rFonts w:hint="eastAsia"/>
                <w:color w:val="000000"/>
                <w:lang w:val="en-US" w:eastAsia="zh-CN"/>
              </w:rPr>
              <w:t>封闭</w:t>
            </w:r>
            <w:r>
              <w:rPr>
                <w:rFonts w:hint="eastAsia"/>
                <w:color w:val="000000"/>
              </w:rPr>
              <w:t>生产车间内，有效降低噪声；</w:t>
            </w:r>
          </w:p>
          <w:p>
            <w:pPr>
              <w:adjustRightInd w:val="0"/>
              <w:snapToGrid w:val="0"/>
              <w:ind w:firstLine="480" w:firstLineChars="200"/>
              <w:rPr>
                <w:rFonts w:hint="eastAsia"/>
                <w:color w:val="000000"/>
              </w:rPr>
            </w:pPr>
            <w:r>
              <w:rPr>
                <w:rFonts w:hint="eastAsia"/>
                <w:color w:val="000000"/>
              </w:rPr>
              <w:t>（3）</w:t>
            </w:r>
            <w:r>
              <w:rPr>
                <w:rFonts w:hint="eastAsia"/>
                <w:color w:val="000000"/>
                <w:lang w:val="en-US" w:eastAsia="zh-CN"/>
              </w:rPr>
              <w:t>已制定计划，</w:t>
            </w:r>
            <w:r>
              <w:rPr>
                <w:rFonts w:hint="eastAsia"/>
                <w:color w:val="000000"/>
              </w:rPr>
              <w:t>定期对设备噪声进行检查，掌握其变化规律；加强生产设备的日常维护、更新，确保所有设备尤其是噪声污染防治设备处于正常工况；</w:t>
            </w:r>
          </w:p>
          <w:p>
            <w:pPr>
              <w:adjustRightInd w:val="0"/>
              <w:snapToGrid w:val="0"/>
              <w:ind w:firstLine="480" w:firstLineChars="200"/>
              <w:rPr>
                <w:rFonts w:hint="eastAsia"/>
                <w:color w:val="000000"/>
              </w:rPr>
            </w:pPr>
            <w:r>
              <w:rPr>
                <w:rFonts w:hint="eastAsia"/>
                <w:color w:val="000000"/>
              </w:rPr>
              <w:t>（4）加强对工作人员的个人防护和保护，如采用隔声耳罩等。</w:t>
            </w:r>
          </w:p>
          <w:p>
            <w:pPr>
              <w:pStyle w:val="3"/>
              <w:adjustRightInd w:val="0"/>
              <w:snapToGrid w:val="0"/>
              <w:ind w:firstLine="482" w:firstLineChars="200"/>
              <w:rPr>
                <w:rFonts w:hint="eastAsia" w:eastAsia="宋体"/>
                <w:color w:val="000000"/>
                <w:spacing w:val="0"/>
                <w:kern w:val="0"/>
                <w:lang w:eastAsia="zh-CN"/>
              </w:rPr>
            </w:pPr>
            <w:r>
              <w:rPr>
                <w:rFonts w:hint="eastAsia"/>
                <w:color w:val="000000"/>
                <w:spacing w:val="0"/>
                <w:kern w:val="0"/>
                <w:lang w:val="en-US" w:eastAsia="zh-CN"/>
              </w:rPr>
              <w:t>3.4</w:t>
            </w:r>
            <w:r>
              <w:rPr>
                <w:rFonts w:hint="eastAsia"/>
                <w:color w:val="000000"/>
                <w:spacing w:val="0"/>
                <w:kern w:val="0"/>
              </w:rPr>
              <w:t>噪声</w:t>
            </w:r>
            <w:r>
              <w:rPr>
                <w:rFonts w:hint="eastAsia"/>
                <w:color w:val="000000"/>
                <w:spacing w:val="0"/>
                <w:kern w:val="0"/>
                <w:lang w:val="en-US" w:eastAsia="zh-CN"/>
              </w:rPr>
              <w:t>预测结果</w:t>
            </w:r>
          </w:p>
          <w:p>
            <w:pPr>
              <w:pStyle w:val="35"/>
              <w:adjustRightInd w:val="0"/>
              <w:snapToGrid w:val="0"/>
              <w:ind w:firstLine="480" w:firstLineChars="200"/>
              <w:rPr>
                <w:rFonts w:hint="default" w:eastAsia="宋体"/>
                <w:b/>
                <w:bCs/>
                <w:color w:val="000000"/>
                <w:spacing w:val="0"/>
                <w:kern w:val="0"/>
                <w:sz w:val="21"/>
                <w:szCs w:val="21"/>
                <w:lang w:val="en-US" w:eastAsia="zh-CN"/>
              </w:rPr>
            </w:pPr>
            <w:r>
              <w:rPr>
                <w:rFonts w:hint="eastAsia"/>
                <w:color w:val="000000"/>
                <w:spacing w:val="0"/>
                <w:kern w:val="0"/>
                <w:szCs w:val="24"/>
              </w:rPr>
              <w:t>本项目所有设备均置于</w:t>
            </w:r>
            <w:r>
              <w:rPr>
                <w:rFonts w:hint="eastAsia"/>
                <w:color w:val="000000"/>
                <w:spacing w:val="0"/>
                <w:kern w:val="0"/>
                <w:szCs w:val="24"/>
                <w:lang w:val="en-US" w:eastAsia="zh-CN"/>
              </w:rPr>
              <w:t>厂房</w:t>
            </w:r>
            <w:r>
              <w:rPr>
                <w:rFonts w:hint="eastAsia"/>
                <w:color w:val="000000"/>
                <w:spacing w:val="0"/>
                <w:kern w:val="0"/>
                <w:szCs w:val="24"/>
              </w:rPr>
              <w:t>内，采用基础减振，厂房门窗隔音及距离衰减等措施治理后，预测结果见表</w:t>
            </w:r>
            <w:r>
              <w:rPr>
                <w:rFonts w:hint="eastAsia"/>
                <w:color w:val="000000"/>
                <w:spacing w:val="0"/>
                <w:kern w:val="0"/>
                <w:szCs w:val="24"/>
                <w:lang w:val="en-US" w:eastAsia="zh-CN"/>
              </w:rPr>
              <w:t>4-9</w:t>
            </w:r>
            <w:r>
              <w:rPr>
                <w:rFonts w:hint="eastAsia"/>
                <w:color w:val="000000"/>
                <w:spacing w:val="0"/>
                <w:kern w:val="0"/>
                <w:szCs w:val="24"/>
              </w:rPr>
              <w:t>。</w:t>
            </w:r>
          </w:p>
          <w:p>
            <w:pPr>
              <w:adjustRightInd w:val="0"/>
              <w:snapToGrid w:val="0"/>
              <w:spacing w:line="240" w:lineRule="auto"/>
              <w:ind w:firstLine="422" w:firstLineChars="200"/>
              <w:rPr>
                <w:b/>
                <w:bCs/>
                <w:color w:val="000000"/>
                <w:spacing w:val="0"/>
                <w:kern w:val="0"/>
                <w:sz w:val="21"/>
                <w:szCs w:val="21"/>
              </w:rPr>
            </w:pPr>
            <w:r>
              <w:rPr>
                <w:b/>
                <w:bCs/>
                <w:color w:val="000000"/>
                <w:spacing w:val="0"/>
                <w:kern w:val="0"/>
                <w:sz w:val="21"/>
                <w:szCs w:val="21"/>
              </w:rPr>
              <w:t>表</w:t>
            </w:r>
            <w:r>
              <w:rPr>
                <w:rFonts w:hint="eastAsia"/>
                <w:b/>
                <w:bCs/>
                <w:color w:val="000000"/>
                <w:spacing w:val="0"/>
                <w:kern w:val="0"/>
                <w:sz w:val="21"/>
                <w:szCs w:val="21"/>
                <w:lang w:val="en-US" w:eastAsia="zh-CN"/>
              </w:rPr>
              <w:t>4-9</w:t>
            </w:r>
            <w:r>
              <w:rPr>
                <w:b/>
                <w:bCs/>
                <w:color w:val="000000"/>
                <w:spacing w:val="0"/>
                <w:kern w:val="0"/>
                <w:sz w:val="21"/>
                <w:szCs w:val="21"/>
              </w:rPr>
              <w:t xml:space="preserve">                   噪声预测结果一览表   </w:t>
            </w:r>
            <w:r>
              <w:rPr>
                <w:rFonts w:hint="eastAsia"/>
                <w:b/>
                <w:bCs/>
                <w:color w:val="000000"/>
                <w:spacing w:val="0"/>
                <w:kern w:val="0"/>
                <w:sz w:val="21"/>
                <w:szCs w:val="21"/>
              </w:rPr>
              <w:t xml:space="preserve">         </w:t>
            </w:r>
            <w:r>
              <w:rPr>
                <w:b/>
                <w:bCs/>
                <w:color w:val="000000"/>
                <w:spacing w:val="0"/>
                <w:kern w:val="0"/>
                <w:sz w:val="21"/>
                <w:szCs w:val="21"/>
              </w:rPr>
              <w:t xml:space="preserve">  单位：dB（A）</w:t>
            </w:r>
          </w:p>
          <w:tbl>
            <w:tblPr>
              <w:tblStyle w:val="26"/>
              <w:tblW w:w="8150" w:type="dxa"/>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768"/>
              <w:gridCol w:w="1034"/>
              <w:gridCol w:w="735"/>
              <w:gridCol w:w="824"/>
              <w:gridCol w:w="618"/>
              <w:gridCol w:w="1339"/>
              <w:gridCol w:w="1048"/>
              <w:gridCol w:w="78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084"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预测方位</w:t>
                  </w:r>
                </w:p>
              </w:tc>
              <w:tc>
                <w:tcPr>
                  <w:tcW w:w="1590" w:type="pct"/>
                  <w:gridSpan w:val="3"/>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lang w:val="en-US" w:eastAsia="zh-CN"/>
                    </w:rPr>
                    <w:t>最大值点</w:t>
                  </w:r>
                  <w:r>
                    <w:rPr>
                      <w:rFonts w:hint="default" w:ascii="Times New Roman" w:hAnsi="Times New Roman" w:eastAsia="宋体" w:cs="Times New Roman"/>
                      <w:b w:val="0"/>
                      <w:bCs/>
                      <w:sz w:val="21"/>
                      <w:szCs w:val="21"/>
                    </w:rPr>
                    <w:t>空间相对位置/m</w:t>
                  </w:r>
                </w:p>
              </w:tc>
              <w:tc>
                <w:tcPr>
                  <w:tcW w:w="379"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时段</w:t>
                  </w:r>
                </w:p>
              </w:tc>
              <w:tc>
                <w:tcPr>
                  <w:tcW w:w="821" w:type="pct"/>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val="0"/>
                      <w:sz w:val="21"/>
                      <w:szCs w:val="21"/>
                      <w:lang w:val="en-US" w:eastAsia="zh-CN"/>
                    </w:rPr>
                  </w:pPr>
                  <w:r>
                    <w:rPr>
                      <w:rFonts w:hint="default" w:ascii="Times New Roman" w:hAnsi="Times New Roman" w:eastAsia="宋体" w:cs="Times New Roman"/>
                      <w:b w:val="0"/>
                      <w:bCs w:val="0"/>
                      <w:sz w:val="21"/>
                      <w:szCs w:val="21"/>
                      <w:lang w:val="en-US" w:eastAsia="zh-CN"/>
                    </w:rPr>
                    <w:t>贡献值</w:t>
                  </w:r>
                  <w:r>
                    <w:rPr>
                      <w:rFonts w:hint="default" w:ascii="Times New Roman" w:hAnsi="Times New Roman" w:eastAsia="宋体" w:cs="Times New Roman"/>
                      <w:b w:val="0"/>
                      <w:bCs w:val="0"/>
                      <w:sz w:val="21"/>
                      <w:szCs w:val="21"/>
                    </w:rPr>
                    <w:t>dB</w:t>
                  </w:r>
                  <w:r>
                    <w:rPr>
                      <w:rFonts w:hint="eastAsia" w:cs="Times New Roman"/>
                      <w:b w:val="0"/>
                      <w:bCs w:val="0"/>
                      <w:sz w:val="21"/>
                      <w:szCs w:val="21"/>
                      <w:lang w:eastAsia="zh-CN"/>
                    </w:rPr>
                    <w:t>（</w:t>
                  </w:r>
                  <w:r>
                    <w:rPr>
                      <w:rFonts w:hint="default" w:ascii="Times New Roman" w:hAnsi="Times New Roman" w:eastAsia="宋体" w:cs="Times New Roman"/>
                      <w:b w:val="0"/>
                      <w:bCs w:val="0"/>
                      <w:sz w:val="21"/>
                      <w:szCs w:val="21"/>
                    </w:rPr>
                    <w:t>A</w:t>
                  </w:r>
                  <w:r>
                    <w:rPr>
                      <w:rFonts w:hint="eastAsia" w:cs="Times New Roman"/>
                      <w:b w:val="0"/>
                      <w:bCs w:val="0"/>
                      <w:sz w:val="21"/>
                      <w:szCs w:val="21"/>
                      <w:lang w:eastAsia="zh-CN"/>
                    </w:rPr>
                    <w:t>）</w:t>
                  </w:r>
                </w:p>
              </w:tc>
              <w:tc>
                <w:tcPr>
                  <w:tcW w:w="642"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标准限值</w:t>
                  </w:r>
                </w:p>
              </w:tc>
              <w:tc>
                <w:tcPr>
                  <w:tcW w:w="480" w:type="pct"/>
                  <w:vMerge w:val="restar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达标情况</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 w:hRule="atLeast"/>
                <w:jc w:val="center"/>
              </w:trPr>
              <w:tc>
                <w:tcPr>
                  <w:tcW w:w="1084"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634"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X</w:t>
                  </w:r>
                </w:p>
              </w:tc>
              <w:tc>
                <w:tcPr>
                  <w:tcW w:w="450"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Y</w:t>
                  </w:r>
                </w:p>
              </w:tc>
              <w:tc>
                <w:tcPr>
                  <w:tcW w:w="505" w:type="pct"/>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r>
                    <w:rPr>
                      <w:rFonts w:hint="default" w:ascii="Times New Roman" w:hAnsi="Times New Roman" w:eastAsia="宋体" w:cs="Times New Roman"/>
                      <w:b w:val="0"/>
                      <w:bCs/>
                      <w:sz w:val="21"/>
                      <w:szCs w:val="21"/>
                    </w:rPr>
                    <w:t>Z</w:t>
                  </w:r>
                </w:p>
              </w:tc>
              <w:tc>
                <w:tcPr>
                  <w:tcW w:w="379"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821"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642"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c>
                <w:tcPr>
                  <w:tcW w:w="480" w:type="pct"/>
                  <w:vMerge w:val="continue"/>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val="0"/>
                      <w:bCs/>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东侧</w:t>
                  </w: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112.2</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-20.5</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31.2</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112.2</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-20.5</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31.2</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南侧</w:t>
                  </w: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-109.1</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-41.9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24.7</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-109.1</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-41.9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24.7</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西侧</w:t>
                  </w: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-50.9</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98.9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48.7</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-50.9</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98.9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48.7</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restart"/>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北侧</w:t>
                  </w: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58.1</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81.9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昼间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49.4</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65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b w:val="0"/>
                      <w:bCs/>
                      <w:sz w:val="21"/>
                      <w:szCs w:val="21"/>
                    </w:rPr>
                  </w:pPr>
                  <w:r>
                    <w:rPr>
                      <w:rFonts w:hint="default" w:ascii="Times New Roman" w:hAnsi="Times New Roman" w:eastAsia="宋体" w:cs="Times New Roman"/>
                      <w:sz w:val="21"/>
                      <w:szCs w:val="21"/>
                    </w:rPr>
                    <w:t>达标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0" w:hRule="atLeast"/>
                <w:jc w:val="center"/>
              </w:trPr>
              <w:tc>
                <w:tcPr>
                  <w:tcW w:w="1768" w:type="dxa"/>
                  <w:vMerge w:val="continue"/>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p>
              </w:tc>
              <w:tc>
                <w:tcPr>
                  <w:tcW w:w="103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58.1</w:t>
                  </w:r>
                </w:p>
              </w:tc>
              <w:tc>
                <w:tcPr>
                  <w:tcW w:w="735"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81.9</w:t>
                  </w:r>
                </w:p>
              </w:tc>
              <w:tc>
                <w:tcPr>
                  <w:tcW w:w="82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1.2</w:t>
                  </w:r>
                </w:p>
              </w:tc>
              <w:tc>
                <w:tcPr>
                  <w:tcW w:w="61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夜间</w:t>
                  </w:r>
                </w:p>
              </w:tc>
              <w:tc>
                <w:tcPr>
                  <w:tcW w:w="1339" w:type="dxa"/>
                  <w:tcBorders>
                    <w:tl2br w:val="nil"/>
                    <w:tr2bl w:val="nil"/>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eastAsia="Arial" w:cs="Times New Roman"/>
                      <w:sz w:val="21"/>
                      <w:szCs w:val="21"/>
                    </w:rPr>
                    <w:t>49.4</w:t>
                  </w:r>
                </w:p>
              </w:tc>
              <w:tc>
                <w:tcPr>
                  <w:tcW w:w="1048"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55</w:t>
                  </w:r>
                </w:p>
              </w:tc>
              <w:tc>
                <w:tcPr>
                  <w:tcW w:w="784" w:type="dxa"/>
                  <w:tcBorders>
                    <w:tl2br w:val="nil"/>
                    <w:tr2bl w:val="nil"/>
                  </w:tcBorders>
                  <w:shd w:val="clear" w:color="auto" w:fill="auto"/>
                  <w:vAlign w:val="center"/>
                </w:tcPr>
                <w:p>
                  <w:pPr>
                    <w:spacing w:line="240" w:lineRule="auto"/>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达标</w:t>
                  </w:r>
                </w:p>
              </w:tc>
            </w:tr>
          </w:tbl>
          <w:p>
            <w:pPr>
              <w:autoSpaceDE w:val="0"/>
              <w:autoSpaceDN w:val="0"/>
              <w:adjustRightInd w:val="0"/>
              <w:snapToGrid w:val="0"/>
              <w:ind w:firstLine="480" w:firstLineChars="200"/>
              <w:rPr>
                <w:rFonts w:hint="eastAsia"/>
                <w:color w:val="000000"/>
                <w:spacing w:val="0"/>
                <w:kern w:val="0"/>
              </w:rPr>
            </w:pPr>
            <w:r>
              <w:rPr>
                <w:rFonts w:hint="eastAsia"/>
                <w:color w:val="000000"/>
                <w:spacing w:val="0"/>
                <w:kern w:val="0"/>
                <w:lang w:eastAsia="zh-CN"/>
              </w:rPr>
              <w:t>由上表可知，正常工况下</w:t>
            </w:r>
            <w:r>
              <w:rPr>
                <w:rFonts w:hint="eastAsia"/>
                <w:color w:val="000000"/>
                <w:spacing w:val="0"/>
                <w:kern w:val="0"/>
              </w:rPr>
              <w:t>，厂界噪声满足《工业企业厂界环境噪声排放标准》（</w:t>
            </w:r>
            <w:r>
              <w:rPr>
                <w:color w:val="000000"/>
                <w:spacing w:val="0"/>
                <w:kern w:val="0"/>
              </w:rPr>
              <w:t>GB12348-2008</w:t>
            </w:r>
            <w:r>
              <w:rPr>
                <w:rFonts w:hint="eastAsia"/>
                <w:color w:val="000000"/>
                <w:spacing w:val="0"/>
                <w:kern w:val="0"/>
              </w:rPr>
              <w:t>）</w:t>
            </w:r>
            <w:r>
              <w:rPr>
                <w:color w:val="000000"/>
                <w:spacing w:val="0"/>
                <w:kern w:val="0"/>
              </w:rPr>
              <w:t>3</w:t>
            </w:r>
            <w:r>
              <w:rPr>
                <w:rFonts w:hint="eastAsia"/>
                <w:color w:val="000000"/>
                <w:spacing w:val="0"/>
                <w:kern w:val="0"/>
              </w:rPr>
              <w:t>类区标准中（昼间</w:t>
            </w:r>
            <w:r>
              <w:rPr>
                <w:color w:val="000000"/>
                <w:spacing w:val="0"/>
                <w:kern w:val="0"/>
              </w:rPr>
              <w:t>65dB</w:t>
            </w:r>
            <w:r>
              <w:rPr>
                <w:rFonts w:hint="eastAsia"/>
                <w:color w:val="000000"/>
                <w:spacing w:val="0"/>
                <w:kern w:val="0"/>
                <w:lang w:eastAsia="zh-CN"/>
              </w:rPr>
              <w:t>（</w:t>
            </w:r>
            <w:r>
              <w:rPr>
                <w:color w:val="000000"/>
                <w:spacing w:val="0"/>
                <w:kern w:val="0"/>
              </w:rPr>
              <w:t>A</w:t>
            </w:r>
            <w:r>
              <w:rPr>
                <w:rFonts w:hint="eastAsia"/>
                <w:color w:val="000000"/>
                <w:spacing w:val="0"/>
                <w:kern w:val="0"/>
                <w:lang w:eastAsia="zh-CN"/>
              </w:rPr>
              <w:t>），</w:t>
            </w:r>
            <w:r>
              <w:rPr>
                <w:rFonts w:hint="eastAsia"/>
                <w:color w:val="000000"/>
                <w:spacing w:val="0"/>
                <w:kern w:val="0"/>
                <w:lang w:val="en-US" w:eastAsia="zh-CN"/>
              </w:rPr>
              <w:t>夜间55dB（A）</w:t>
            </w:r>
            <w:r>
              <w:rPr>
                <w:rFonts w:hint="eastAsia"/>
                <w:color w:val="000000"/>
                <w:spacing w:val="0"/>
                <w:kern w:val="0"/>
              </w:rPr>
              <w:t>）的排放要求。</w:t>
            </w:r>
          </w:p>
          <w:p>
            <w:pPr>
              <w:rPr>
                <w:rFonts w:hint="eastAsia"/>
                <w:b/>
                <w:bCs/>
                <w:color w:val="000000"/>
                <w:spacing w:val="0"/>
                <w:kern w:val="0"/>
              </w:rPr>
            </w:pPr>
            <w:r>
              <w:rPr>
                <w:b/>
                <w:bCs/>
                <w:color w:val="000000"/>
                <w:spacing w:val="0"/>
                <w:kern w:val="0"/>
              </w:rPr>
              <w:t>3.</w:t>
            </w:r>
            <w:r>
              <w:rPr>
                <w:rFonts w:hint="eastAsia"/>
                <w:b/>
                <w:bCs/>
                <w:color w:val="000000"/>
                <w:spacing w:val="0"/>
                <w:kern w:val="0"/>
                <w:lang w:val="en-US" w:eastAsia="zh-CN"/>
              </w:rPr>
              <w:t>5</w:t>
            </w:r>
            <w:r>
              <w:rPr>
                <w:rFonts w:hint="eastAsia"/>
                <w:b/>
                <w:bCs/>
                <w:color w:val="000000"/>
                <w:spacing w:val="0"/>
                <w:kern w:val="0"/>
              </w:rPr>
              <w:t>监测计划</w:t>
            </w:r>
          </w:p>
          <w:p>
            <w:pPr>
              <w:autoSpaceDE w:val="0"/>
              <w:autoSpaceDN w:val="0"/>
              <w:adjustRightInd w:val="0"/>
              <w:snapToGrid w:val="0"/>
              <w:ind w:firstLine="480" w:firstLineChars="200"/>
              <w:rPr>
                <w:rFonts w:hint="eastAsia"/>
                <w:color w:val="000000"/>
                <w:spacing w:val="0"/>
                <w:kern w:val="0"/>
              </w:rPr>
            </w:pPr>
            <w:r>
              <w:rPr>
                <w:rFonts w:hint="eastAsia"/>
                <w:color w:val="000000"/>
                <w:spacing w:val="0"/>
                <w:kern w:val="0"/>
              </w:rPr>
              <w:t>本项目运营后监测计划如下表</w:t>
            </w:r>
            <w:r>
              <w:rPr>
                <w:rFonts w:hint="eastAsia"/>
                <w:color w:val="000000"/>
                <w:spacing w:val="0"/>
                <w:kern w:val="0"/>
                <w:lang w:val="en-US" w:eastAsia="zh-CN"/>
              </w:rPr>
              <w:t>4-10</w:t>
            </w:r>
            <w:r>
              <w:rPr>
                <w:rFonts w:hint="eastAsia"/>
                <w:color w:val="000000"/>
                <w:spacing w:val="0"/>
                <w:kern w:val="0"/>
              </w:rPr>
              <w:t>：</w:t>
            </w:r>
          </w:p>
          <w:p>
            <w:pPr>
              <w:pStyle w:val="5"/>
              <w:adjustRightInd w:val="0"/>
              <w:snapToGrid w:val="0"/>
              <w:ind w:firstLine="422"/>
              <w:rPr>
                <w:color w:val="000000"/>
                <w:spacing w:val="0"/>
                <w:kern w:val="0"/>
                <w:szCs w:val="21"/>
              </w:rPr>
            </w:pPr>
            <w:r>
              <w:rPr>
                <w:rFonts w:hint="eastAsia"/>
                <w:color w:val="000000"/>
                <w:spacing w:val="0"/>
                <w:kern w:val="0"/>
                <w:szCs w:val="21"/>
              </w:rPr>
              <w:t>表</w:t>
            </w:r>
            <w:r>
              <w:rPr>
                <w:rFonts w:hint="eastAsia"/>
                <w:color w:val="000000"/>
                <w:spacing w:val="0"/>
                <w:kern w:val="0"/>
                <w:szCs w:val="21"/>
                <w:lang w:val="en-US" w:eastAsia="zh-CN"/>
              </w:rPr>
              <w:t>4-10</w:t>
            </w:r>
            <w:r>
              <w:rPr>
                <w:color w:val="000000"/>
                <w:spacing w:val="0"/>
                <w:kern w:val="0"/>
                <w:szCs w:val="21"/>
              </w:rPr>
              <w:t xml:space="preserve">      </w:t>
            </w:r>
            <w:r>
              <w:rPr>
                <w:rFonts w:hint="eastAsia"/>
                <w:color w:val="000000"/>
                <w:spacing w:val="0"/>
                <w:kern w:val="0"/>
                <w:szCs w:val="21"/>
              </w:rPr>
              <w:t xml:space="preserve">   </w:t>
            </w:r>
            <w:r>
              <w:rPr>
                <w:color w:val="000000"/>
                <w:spacing w:val="0"/>
                <w:kern w:val="0"/>
                <w:szCs w:val="21"/>
              </w:rPr>
              <w:t xml:space="preserve">                </w:t>
            </w:r>
            <w:r>
              <w:rPr>
                <w:rFonts w:hint="eastAsia"/>
                <w:color w:val="000000"/>
                <w:spacing w:val="0"/>
                <w:kern w:val="0"/>
                <w:szCs w:val="21"/>
              </w:rPr>
              <w:t>声环境监测计划</w:t>
            </w:r>
          </w:p>
          <w:tbl>
            <w:tblPr>
              <w:tblStyle w:val="26"/>
              <w:tblW w:w="4998" w:type="pct"/>
              <w:tblInd w:w="0" w:type="dxa"/>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Layout w:type="fixed"/>
              <w:tblCellMar>
                <w:top w:w="0" w:type="dxa"/>
                <w:left w:w="0" w:type="dxa"/>
                <w:bottom w:w="0" w:type="dxa"/>
                <w:right w:w="0" w:type="dxa"/>
              </w:tblCellMar>
            </w:tblPr>
            <w:tblGrid>
              <w:gridCol w:w="889"/>
              <w:gridCol w:w="1310"/>
              <w:gridCol w:w="1714"/>
              <w:gridCol w:w="1061"/>
              <w:gridCol w:w="3494"/>
            </w:tblGrid>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12" w:space="0"/>
                    <w:left w:val="nil"/>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项目</w:t>
                  </w:r>
                </w:p>
              </w:tc>
              <w:tc>
                <w:tcPr>
                  <w:tcW w:w="773"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监测点位</w:t>
                  </w:r>
                </w:p>
              </w:tc>
              <w:tc>
                <w:tcPr>
                  <w:tcW w:w="1012"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监测项目</w:t>
                  </w:r>
                </w:p>
              </w:tc>
              <w:tc>
                <w:tcPr>
                  <w:tcW w:w="626" w:type="pct"/>
                  <w:tcBorders>
                    <w:top w:val="single" w:color="000000" w:sz="12" w:space="0"/>
                    <w:left w:val="single" w:color="000000" w:sz="4" w:space="0"/>
                    <w:bottom w:val="single" w:color="000000" w:sz="4"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监测频率</w:t>
                  </w:r>
                </w:p>
              </w:tc>
              <w:tc>
                <w:tcPr>
                  <w:tcW w:w="2062" w:type="pct"/>
                  <w:tcBorders>
                    <w:top w:val="single" w:color="000000" w:sz="12" w:space="0"/>
                    <w:left w:val="single" w:color="000000" w:sz="4" w:space="0"/>
                    <w:bottom w:val="single" w:color="000000" w:sz="4" w:space="0"/>
                    <w:right w:val="nil"/>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排放标准</w:t>
                  </w:r>
                </w:p>
              </w:tc>
            </w:tr>
            <w:tr>
              <w:tblPrEx>
                <w:tblBorders>
                  <w:top w:val="single" w:color="000000" w:sz="12" w:space="0"/>
                  <w:left w:val="none" w:color="auto" w:sz="6" w:space="0"/>
                  <w:bottom w:val="single" w:color="000000" w:sz="12" w:space="0"/>
                  <w:right w:val="none" w:color="auto" w:sz="6" w:space="0"/>
                  <w:insideH w:val="single" w:color="000000" w:sz="4" w:space="0"/>
                  <w:insideV w:val="single" w:color="000000" w:sz="4" w:space="0"/>
                </w:tblBorders>
                <w:tblCellMar>
                  <w:top w:w="0" w:type="dxa"/>
                  <w:left w:w="0" w:type="dxa"/>
                  <w:bottom w:w="0" w:type="dxa"/>
                  <w:right w:w="0" w:type="dxa"/>
                </w:tblCellMar>
              </w:tblPrEx>
              <w:tc>
                <w:tcPr>
                  <w:tcW w:w="525" w:type="pct"/>
                  <w:tcBorders>
                    <w:top w:val="single" w:color="000000" w:sz="4" w:space="0"/>
                    <w:left w:val="nil"/>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噪声</w:t>
                  </w:r>
                </w:p>
              </w:tc>
              <w:tc>
                <w:tcPr>
                  <w:tcW w:w="773"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厂界</w:t>
                  </w:r>
                </w:p>
              </w:tc>
              <w:tc>
                <w:tcPr>
                  <w:tcW w:w="1012"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color w:val="000000"/>
                      <w:spacing w:val="0"/>
                      <w:kern w:val="0"/>
                      <w:sz w:val="21"/>
                      <w:szCs w:val="21"/>
                    </w:rPr>
                  </w:pPr>
                  <w:r>
                    <w:rPr>
                      <w:rFonts w:hint="eastAsia"/>
                      <w:color w:val="000000"/>
                      <w:spacing w:val="0"/>
                      <w:kern w:val="0"/>
                      <w:sz w:val="21"/>
                      <w:szCs w:val="21"/>
                    </w:rPr>
                    <w:t>等效连续</w:t>
                  </w:r>
                  <w:r>
                    <w:rPr>
                      <w:color w:val="000000"/>
                      <w:spacing w:val="0"/>
                      <w:kern w:val="0"/>
                      <w:sz w:val="21"/>
                      <w:szCs w:val="21"/>
                    </w:rPr>
                    <w:t>A</w:t>
                  </w:r>
                  <w:r>
                    <w:rPr>
                      <w:rFonts w:hint="eastAsia"/>
                      <w:color w:val="000000"/>
                      <w:spacing w:val="0"/>
                      <w:kern w:val="0"/>
                      <w:sz w:val="21"/>
                      <w:szCs w:val="21"/>
                    </w:rPr>
                    <w:t>声级</w:t>
                  </w:r>
                </w:p>
              </w:tc>
              <w:tc>
                <w:tcPr>
                  <w:tcW w:w="626" w:type="pct"/>
                  <w:tcBorders>
                    <w:top w:val="single" w:color="000000" w:sz="4" w:space="0"/>
                    <w:left w:val="single" w:color="000000" w:sz="4" w:space="0"/>
                    <w:bottom w:val="single" w:color="000000" w:sz="12" w:space="0"/>
                    <w:right w:val="single" w:color="000000" w:sz="4" w:space="0"/>
                  </w:tcBorders>
                  <w:noWrap w:val="0"/>
                  <w:vAlign w:val="center"/>
                </w:tcPr>
                <w:p>
                  <w:pPr>
                    <w:pStyle w:val="6"/>
                    <w:adjustRightInd w:val="0"/>
                    <w:snapToGrid w:val="0"/>
                    <w:spacing w:line="240" w:lineRule="auto"/>
                    <w:ind w:firstLine="0" w:firstLineChars="0"/>
                    <w:jc w:val="center"/>
                    <w:rPr>
                      <w:rFonts w:hint="eastAsia"/>
                      <w:color w:val="000000"/>
                      <w:spacing w:val="0"/>
                      <w:kern w:val="0"/>
                      <w:sz w:val="21"/>
                      <w:szCs w:val="21"/>
                    </w:rPr>
                  </w:pPr>
                  <w:r>
                    <w:rPr>
                      <w:rFonts w:hint="eastAsia"/>
                      <w:color w:val="000000"/>
                      <w:spacing w:val="0"/>
                      <w:kern w:val="0"/>
                      <w:sz w:val="21"/>
                      <w:szCs w:val="21"/>
                    </w:rPr>
                    <w:t>季度</w:t>
                  </w:r>
                </w:p>
              </w:tc>
              <w:tc>
                <w:tcPr>
                  <w:tcW w:w="2062" w:type="pct"/>
                  <w:tcBorders>
                    <w:top w:val="single" w:color="000000" w:sz="4" w:space="0"/>
                    <w:left w:val="single" w:color="000000" w:sz="4" w:space="0"/>
                    <w:bottom w:val="single" w:color="000000" w:sz="12" w:space="0"/>
                    <w:right w:val="nil"/>
                  </w:tcBorders>
                  <w:noWrap w:val="0"/>
                  <w:vAlign w:val="center"/>
                </w:tcPr>
                <w:p>
                  <w:pPr>
                    <w:pStyle w:val="6"/>
                    <w:adjustRightInd w:val="0"/>
                    <w:snapToGrid w:val="0"/>
                    <w:spacing w:line="240" w:lineRule="auto"/>
                    <w:ind w:firstLine="0" w:firstLineChars="0"/>
                    <w:jc w:val="center"/>
                    <w:rPr>
                      <w:rFonts w:hint="eastAsia"/>
                      <w:color w:val="000000"/>
                      <w:spacing w:val="0"/>
                      <w:kern w:val="0"/>
                      <w:sz w:val="21"/>
                      <w:szCs w:val="21"/>
                    </w:rPr>
                  </w:pPr>
                  <w:r>
                    <w:rPr>
                      <w:rFonts w:hint="eastAsia"/>
                      <w:color w:val="000000"/>
                      <w:spacing w:val="0"/>
                      <w:kern w:val="0"/>
                      <w:sz w:val="21"/>
                      <w:szCs w:val="21"/>
                    </w:rPr>
                    <w:t>《工业企业厂界环境噪声排放标准》</w:t>
                  </w:r>
                  <w:r>
                    <w:rPr>
                      <w:rFonts w:hint="eastAsia"/>
                      <w:color w:val="000000"/>
                      <w:spacing w:val="0"/>
                      <w:kern w:val="0"/>
                      <w:sz w:val="21"/>
                      <w:szCs w:val="21"/>
                      <w:lang w:eastAsia="zh-CN"/>
                    </w:rPr>
                    <w:t>（</w:t>
                  </w:r>
                  <w:r>
                    <w:rPr>
                      <w:color w:val="000000"/>
                      <w:spacing w:val="0"/>
                      <w:kern w:val="0"/>
                      <w:sz w:val="21"/>
                      <w:szCs w:val="21"/>
                    </w:rPr>
                    <w:t>GB12348-2008</w:t>
                  </w:r>
                  <w:r>
                    <w:rPr>
                      <w:rFonts w:hint="eastAsia"/>
                      <w:color w:val="000000"/>
                      <w:spacing w:val="0"/>
                      <w:kern w:val="0"/>
                      <w:sz w:val="21"/>
                      <w:szCs w:val="21"/>
                      <w:lang w:eastAsia="zh-CN"/>
                    </w:rPr>
                    <w:t>）</w:t>
                  </w:r>
                  <w:r>
                    <w:rPr>
                      <w:color w:val="000000"/>
                      <w:spacing w:val="0"/>
                      <w:kern w:val="0"/>
                      <w:sz w:val="21"/>
                      <w:szCs w:val="21"/>
                    </w:rPr>
                    <w:t>3</w:t>
                  </w:r>
                  <w:r>
                    <w:rPr>
                      <w:rFonts w:hint="eastAsia"/>
                      <w:color w:val="000000"/>
                      <w:spacing w:val="0"/>
                      <w:kern w:val="0"/>
                      <w:sz w:val="21"/>
                      <w:szCs w:val="21"/>
                    </w:rPr>
                    <w:t>类区排放标准</w:t>
                  </w:r>
                </w:p>
              </w:tc>
            </w:tr>
          </w:tbl>
          <w:p>
            <w:pPr>
              <w:rPr>
                <w:b/>
                <w:bCs/>
                <w:color w:val="000000"/>
              </w:rPr>
            </w:pPr>
            <w:r>
              <w:rPr>
                <w:b/>
                <w:bCs/>
                <w:color w:val="000000"/>
              </w:rPr>
              <w:t>4固废</w:t>
            </w:r>
          </w:p>
          <w:p>
            <w:pPr>
              <w:ind w:firstLine="480" w:firstLineChars="200"/>
              <w:rPr>
                <w:color w:val="000000"/>
              </w:rPr>
            </w:pPr>
            <w:r>
              <w:rPr>
                <w:color w:val="000000"/>
              </w:rPr>
              <w:t>本项目产生的固体废物主要</w:t>
            </w:r>
            <w:r>
              <w:rPr>
                <w:rFonts w:hint="eastAsia"/>
                <w:color w:val="000000"/>
              </w:rPr>
              <w:t>为一般工业固废和危险废物。</w:t>
            </w:r>
          </w:p>
          <w:p>
            <w:pPr>
              <w:ind w:firstLine="482" w:firstLineChars="200"/>
              <w:rPr>
                <w:b/>
                <w:bCs/>
                <w:color w:val="000000"/>
              </w:rPr>
            </w:pPr>
            <w:r>
              <w:rPr>
                <w:b/>
                <w:bCs/>
                <w:color w:val="000000"/>
              </w:rPr>
              <w:t>4.1生活垃圾</w:t>
            </w:r>
          </w:p>
          <w:p>
            <w:pPr>
              <w:ind w:firstLine="480" w:firstLineChars="200"/>
              <w:rPr>
                <w:rFonts w:hint="eastAsia"/>
                <w:color w:val="000000"/>
                <w:spacing w:val="0"/>
                <w:kern w:val="0"/>
              </w:rPr>
            </w:pPr>
            <w:r>
              <w:rPr>
                <w:rFonts w:hint="eastAsia"/>
                <w:color w:val="000000"/>
                <w:spacing w:val="0"/>
                <w:kern w:val="0"/>
              </w:rPr>
              <w:t>本项目职工人数为</w:t>
            </w:r>
            <w:r>
              <w:rPr>
                <w:rFonts w:hint="eastAsia"/>
                <w:color w:val="000000"/>
                <w:spacing w:val="0"/>
                <w:kern w:val="0"/>
                <w:lang w:val="en-US" w:eastAsia="zh-CN"/>
              </w:rPr>
              <w:t>12</w:t>
            </w:r>
            <w:r>
              <w:rPr>
                <w:rFonts w:hint="eastAsia"/>
                <w:color w:val="000000"/>
                <w:spacing w:val="0"/>
                <w:kern w:val="0"/>
              </w:rPr>
              <w:t>人，工作天数为</w:t>
            </w:r>
            <w:r>
              <w:rPr>
                <w:rFonts w:hint="eastAsia"/>
                <w:color w:val="000000"/>
                <w:spacing w:val="0"/>
                <w:kern w:val="0"/>
                <w:lang w:val="en-US" w:eastAsia="zh-CN"/>
              </w:rPr>
              <w:t>180</w:t>
            </w:r>
            <w:r>
              <w:rPr>
                <w:rFonts w:hint="eastAsia"/>
                <w:color w:val="000000"/>
                <w:spacing w:val="0"/>
                <w:kern w:val="0"/>
              </w:rPr>
              <w:t>d，生活垃圾产生量按每人0.5kg/d计算，则本项目生活垃圾产生量约为</w:t>
            </w:r>
            <w:r>
              <w:rPr>
                <w:rFonts w:hint="eastAsia"/>
                <w:color w:val="000000"/>
                <w:spacing w:val="0"/>
                <w:kern w:val="0"/>
                <w:lang w:val="en-US" w:eastAsia="zh-CN"/>
              </w:rPr>
              <w:t>1.08</w:t>
            </w:r>
            <w:r>
              <w:rPr>
                <w:rFonts w:hint="eastAsia"/>
                <w:color w:val="000000"/>
                <w:spacing w:val="0"/>
                <w:kern w:val="0"/>
              </w:rPr>
              <w:t>t/a，集中收集后定期由环卫部门清运处置。</w:t>
            </w:r>
          </w:p>
          <w:p>
            <w:pPr>
              <w:ind w:firstLine="482" w:firstLineChars="200"/>
              <w:rPr>
                <w:b/>
                <w:bCs/>
                <w:color w:val="000000"/>
              </w:rPr>
            </w:pPr>
            <w:r>
              <w:rPr>
                <w:b/>
                <w:bCs/>
                <w:color w:val="000000"/>
              </w:rPr>
              <w:t>4.2一般工业固体废物</w:t>
            </w:r>
          </w:p>
          <w:p>
            <w:pPr>
              <w:ind w:firstLine="480" w:firstLineChars="200"/>
              <w:rPr>
                <w:rFonts w:hint="eastAsia"/>
                <w:color w:val="000000"/>
              </w:rPr>
            </w:pPr>
            <w:r>
              <w:rPr>
                <w:rFonts w:hint="eastAsia"/>
                <w:color w:val="000000"/>
                <w:lang w:eastAsia="zh-CN"/>
              </w:rPr>
              <w:t>（</w:t>
            </w:r>
            <w:r>
              <w:rPr>
                <w:rFonts w:hint="eastAsia"/>
                <w:color w:val="000000"/>
                <w:lang w:val="en-US" w:eastAsia="zh-CN"/>
              </w:rPr>
              <w:t>1</w:t>
            </w:r>
            <w:r>
              <w:rPr>
                <w:rFonts w:hint="eastAsia"/>
                <w:color w:val="000000"/>
                <w:lang w:eastAsia="zh-CN"/>
              </w:rPr>
              <w:t>）</w:t>
            </w:r>
            <w:r>
              <w:rPr>
                <w:rFonts w:hint="eastAsia"/>
                <w:color w:val="000000"/>
              </w:rPr>
              <w:t>废包装</w:t>
            </w:r>
          </w:p>
          <w:p>
            <w:pPr>
              <w:ind w:firstLine="480" w:firstLineChars="200"/>
              <w:rPr>
                <w:color w:val="000000"/>
              </w:rPr>
            </w:pPr>
            <w:r>
              <w:rPr>
                <w:rFonts w:hint="eastAsia"/>
                <w:color w:val="000000"/>
              </w:rPr>
              <w:t>本项目生产过程中会产生少量原料废包装袋，其产生量约为</w:t>
            </w:r>
            <w:r>
              <w:rPr>
                <w:rFonts w:hint="eastAsia"/>
                <w:color w:val="000000"/>
                <w:lang w:val="en-US" w:eastAsia="zh-CN"/>
              </w:rPr>
              <w:t>0.5</w:t>
            </w:r>
            <w:r>
              <w:rPr>
                <w:rFonts w:hint="eastAsia"/>
                <w:color w:val="000000"/>
              </w:rPr>
              <w:t>t/a，集中收集后定期</w:t>
            </w:r>
            <w:r>
              <w:rPr>
                <w:rFonts w:hint="eastAsia"/>
                <w:color w:val="000000"/>
                <w:lang w:val="en-US" w:eastAsia="zh-CN"/>
              </w:rPr>
              <w:t>交由一般固废处置单位进行处理</w:t>
            </w:r>
            <w:r>
              <w:rPr>
                <w:rFonts w:hint="eastAsia"/>
                <w:color w:val="000000"/>
              </w:rPr>
              <w:t>。</w:t>
            </w:r>
          </w:p>
          <w:p>
            <w:pPr>
              <w:ind w:firstLine="480" w:firstLineChars="200"/>
              <w:rPr>
                <w:rFonts w:hint="default" w:eastAsia="宋体"/>
                <w:color w:val="000000"/>
                <w:lang w:val="en-US" w:eastAsia="zh-CN"/>
              </w:rPr>
            </w:pPr>
            <w:r>
              <w:rPr>
                <w:rFonts w:hint="eastAsia"/>
                <w:color w:val="000000"/>
                <w:lang w:eastAsia="zh-CN"/>
              </w:rPr>
              <w:t>（</w:t>
            </w:r>
            <w:r>
              <w:rPr>
                <w:rFonts w:hint="eastAsia"/>
                <w:color w:val="000000"/>
                <w:lang w:val="en-US" w:eastAsia="zh-CN"/>
              </w:rPr>
              <w:t>2</w:t>
            </w:r>
            <w:r>
              <w:rPr>
                <w:rFonts w:hint="eastAsia"/>
                <w:color w:val="000000"/>
                <w:lang w:eastAsia="zh-CN"/>
              </w:rPr>
              <w:t>）</w:t>
            </w:r>
            <w:r>
              <w:rPr>
                <w:rFonts w:hint="eastAsia"/>
                <w:color w:val="000000"/>
              </w:rPr>
              <w:t>废</w:t>
            </w:r>
            <w:r>
              <w:rPr>
                <w:rFonts w:hint="eastAsia"/>
                <w:color w:val="000000"/>
                <w:lang w:val="en-US" w:eastAsia="zh-CN"/>
              </w:rPr>
              <w:t>边角料、不合格产品</w:t>
            </w:r>
          </w:p>
          <w:p>
            <w:pPr>
              <w:ind w:firstLine="480" w:firstLineChars="200"/>
              <w:rPr>
                <w:rFonts w:hint="eastAsia"/>
                <w:color w:val="000000"/>
              </w:rPr>
            </w:pPr>
            <w:r>
              <w:rPr>
                <w:rFonts w:hint="eastAsia"/>
                <w:color w:val="000000"/>
              </w:rPr>
              <w:t>根据建设单位提供的资料，废</w:t>
            </w:r>
            <w:r>
              <w:rPr>
                <w:rFonts w:hint="eastAsia"/>
                <w:color w:val="000000"/>
                <w:lang w:val="en-US" w:eastAsia="zh-CN"/>
              </w:rPr>
              <w:t>边角料</w:t>
            </w:r>
            <w:r>
              <w:rPr>
                <w:rFonts w:hint="eastAsia"/>
                <w:lang w:val="en-US" w:eastAsia="zh-CN"/>
              </w:rPr>
              <w:t>及不合格产品</w:t>
            </w:r>
            <w:r>
              <w:rPr>
                <w:rFonts w:hint="eastAsia"/>
                <w:color w:val="000000"/>
              </w:rPr>
              <w:t>产生量为</w:t>
            </w:r>
            <w:r>
              <w:rPr>
                <w:rFonts w:hint="eastAsia"/>
                <w:color w:val="000000"/>
                <w:lang w:val="en-US" w:eastAsia="zh-CN"/>
              </w:rPr>
              <w:t>2.0</w:t>
            </w:r>
            <w:r>
              <w:rPr>
                <w:color w:val="000000"/>
              </w:rPr>
              <w:t>t/a</w:t>
            </w:r>
            <w:r>
              <w:rPr>
                <w:rFonts w:hint="eastAsia"/>
                <w:color w:val="000000"/>
              </w:rPr>
              <w:t>，集中收集后定期</w:t>
            </w:r>
            <w:r>
              <w:rPr>
                <w:rFonts w:hint="eastAsia"/>
                <w:color w:val="000000"/>
                <w:lang w:eastAsia="zh-CN"/>
              </w:rPr>
              <w:t>交由一般固废处置单位进行处理</w:t>
            </w:r>
            <w:r>
              <w:rPr>
                <w:rFonts w:hint="eastAsia"/>
                <w:color w:val="000000"/>
              </w:rPr>
              <w:t>。</w:t>
            </w:r>
          </w:p>
          <w:p>
            <w:pPr>
              <w:ind w:firstLine="480" w:firstLineChars="200"/>
              <w:rPr>
                <w:rFonts w:hint="eastAsia"/>
                <w:color w:val="000000"/>
              </w:rPr>
            </w:pPr>
            <w:r>
              <w:rPr>
                <w:rFonts w:hint="eastAsia"/>
                <w:color w:val="000000"/>
              </w:rPr>
              <w:t>本项目一般工业固废临时储存场所设置应遵照以下规定：</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①</w:t>
            </w:r>
            <w:r>
              <w:rPr>
                <w:rFonts w:hint="default" w:ascii="Times New Roman" w:hAnsi="Times New Roman" w:eastAsia="宋体" w:cs="Times New Roman"/>
                <w:lang w:val="en-US" w:eastAsia="zh-CN"/>
              </w:rPr>
              <w:t>产生工业固体废物的单位应当建立健全工业固体废物产生、收集、贮存、运输、利用、处置全过程的污染环境防治责任制度，建立工业固体废物管理台账，如实记录产生工业固体废物的种类、数量、流向、贮存、利用、处置等信息，实现工业固体废物可追溯、可查询，并采取防治工业固体废物污染环境的措施。</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lang w:val="en-US" w:eastAsia="zh-CN"/>
              </w:rPr>
            </w:pPr>
            <w:r>
              <w:rPr>
                <w:rFonts w:hint="default" w:ascii="Times New Roman" w:hAnsi="Times New Roman" w:eastAsia="宋体" w:cs="Times New Roman"/>
              </w:rPr>
              <w:t>②</w:t>
            </w:r>
            <w:r>
              <w:rPr>
                <w:rFonts w:hint="default" w:ascii="Times New Roman" w:hAnsi="Times New Roman" w:eastAsia="宋体" w:cs="Times New Roman"/>
                <w:lang w:val="en-US" w:eastAsia="zh-CN"/>
              </w:rPr>
              <w:t>禁止向生活垃圾收集设施中投放工业固体废物。</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Times New Roman" w:hAnsi="Times New Roman" w:eastAsia="宋体" w:cs="Times New Roman"/>
              </w:rPr>
            </w:pPr>
            <w:r>
              <w:rPr>
                <w:rFonts w:hint="default" w:ascii="Times New Roman" w:hAnsi="Times New Roman" w:eastAsia="宋体" w:cs="Times New Roman"/>
              </w:rPr>
              <w:t>③产生、收集、贮存、运输、利用、处置固体废物的单位和其他生产经营者，应当采取防扬散、防流失、防渗漏或者其他防止污染环境的措施，不得擅自倾倒、堆放、丢弃、遗撒固体废物。</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color w:val="000000"/>
              </w:rPr>
            </w:pPr>
            <w:r>
              <w:rPr>
                <w:rFonts w:hint="eastAsia" w:ascii="宋体" w:hAnsi="宋体" w:cs="宋体"/>
                <w:color w:val="000000"/>
              </w:rPr>
              <w:t>④</w:t>
            </w:r>
            <w:r>
              <w:rPr>
                <w:color w:val="000000"/>
              </w:rPr>
              <w:t>对暂时不利用或者不能利用的，应当按照国务院生态环境</w:t>
            </w:r>
            <w:r>
              <w:rPr>
                <w:rFonts w:hint="eastAsia"/>
                <w:color w:val="000000"/>
                <w:lang w:val="en-US" w:eastAsia="zh-CN"/>
              </w:rPr>
              <w:t>部</w:t>
            </w:r>
            <w:r>
              <w:rPr>
                <w:color w:val="000000"/>
              </w:rPr>
              <w:t>等主管部门的规定建设贮存设施、场所，安全分类存放，或者采取无害化处置措施。贮存工业固体废物应当采取符合国家环境保护标准的防护措施。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⑤张贴一般固废贮存场所标牌。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color w:val="000000"/>
              </w:rPr>
            </w:pPr>
            <w:r>
              <w:rPr>
                <w:rFonts w:hint="default" w:ascii="Times New Roman" w:hAnsi="Times New Roman" w:eastAsia="宋体" w:cs="Times New Roman"/>
                <w:color w:val="000000"/>
              </w:rPr>
              <w:t>⑥产生工业固体废物的单位终止的，应当在终止前对工业固体废物的贮存、处置的设施、场所采取污染防治措施，并对未处置的工业固体废物作出妥善处置，防止污染环境。</w:t>
            </w:r>
          </w:p>
          <w:p>
            <w:pPr>
              <w:ind w:firstLine="482" w:firstLineChars="200"/>
              <w:rPr>
                <w:color w:val="000000"/>
              </w:rPr>
            </w:pPr>
            <w:r>
              <w:rPr>
                <w:b/>
                <w:bCs/>
                <w:color w:val="000000"/>
              </w:rPr>
              <w:t>4.3危险废物</w:t>
            </w:r>
          </w:p>
          <w:p>
            <w:pPr>
              <w:adjustRightInd w:val="0"/>
              <w:snapToGrid w:val="0"/>
              <w:ind w:firstLine="480" w:firstLineChars="200"/>
              <w:rPr>
                <w:color w:val="000000"/>
              </w:rPr>
            </w:pPr>
            <w:r>
              <w:rPr>
                <w:color w:val="000000"/>
              </w:rPr>
              <w:t>（1）废润滑油</w:t>
            </w:r>
          </w:p>
          <w:p>
            <w:pPr>
              <w:adjustRightInd w:val="0"/>
              <w:snapToGrid w:val="0"/>
              <w:ind w:firstLine="480" w:firstLineChars="200"/>
              <w:rPr>
                <w:color w:val="000000"/>
              </w:rPr>
            </w:pPr>
            <w:r>
              <w:rPr>
                <w:color w:val="000000"/>
              </w:rPr>
              <w:t>项目设备较多在设备运行维护过程中，会产生少量废润滑油（HW08</w:t>
            </w:r>
            <w:r>
              <w:rPr>
                <w:rFonts w:hint="eastAsia"/>
                <w:color w:val="000000"/>
                <w:lang w:eastAsia="zh-CN"/>
              </w:rPr>
              <w:t>，</w:t>
            </w:r>
            <w:r>
              <w:rPr>
                <w:color w:val="000000"/>
              </w:rPr>
              <w:t>900-217-08），产生量约为0.</w:t>
            </w:r>
            <w:r>
              <w:rPr>
                <w:rFonts w:hint="eastAsia"/>
                <w:color w:val="000000"/>
                <w:lang w:val="en-US" w:eastAsia="zh-CN"/>
              </w:rPr>
              <w:t>5</w:t>
            </w:r>
            <w:r>
              <w:rPr>
                <w:color w:val="000000"/>
              </w:rPr>
              <w:t>t/a，经收集暂存于</w:t>
            </w:r>
            <w:r>
              <w:rPr>
                <w:rFonts w:hint="eastAsia"/>
                <w:color w:val="000000"/>
                <w:lang w:eastAsia="zh-CN"/>
              </w:rPr>
              <w:t>危险废物贮存库</w:t>
            </w:r>
            <w:r>
              <w:rPr>
                <w:color w:val="000000"/>
              </w:rPr>
              <w:t>，定期交由有资质单位进行无害化处置。</w:t>
            </w:r>
          </w:p>
          <w:p>
            <w:pPr>
              <w:numPr>
                <w:ilvl w:val="0"/>
                <w:numId w:val="6"/>
              </w:numPr>
              <w:adjustRightInd w:val="0"/>
              <w:snapToGrid w:val="0"/>
              <w:ind w:firstLine="480" w:firstLineChars="200"/>
              <w:rPr>
                <w:rFonts w:hint="eastAsia"/>
                <w:color w:val="000000"/>
                <w:highlight w:val="none"/>
                <w:lang w:val="en-US" w:eastAsia="zh-CN"/>
              </w:rPr>
            </w:pPr>
            <w:r>
              <w:rPr>
                <w:rFonts w:hint="eastAsia"/>
                <w:color w:val="000000"/>
                <w:highlight w:val="none"/>
                <w:lang w:val="en-US" w:eastAsia="zh-CN"/>
              </w:rPr>
              <w:t>废油桶</w:t>
            </w:r>
          </w:p>
          <w:p>
            <w:pPr>
              <w:adjustRightInd w:val="0"/>
              <w:snapToGrid w:val="0"/>
              <w:ind w:firstLine="480" w:firstLineChars="200"/>
              <w:rPr>
                <w:color w:val="000000"/>
              </w:rPr>
            </w:pPr>
            <w:r>
              <w:rPr>
                <w:rFonts w:hint="eastAsia"/>
                <w:color w:val="000000"/>
                <w:spacing w:val="0"/>
                <w:kern w:val="0"/>
                <w:lang w:val="en-US" w:eastAsia="zh-CN"/>
              </w:rPr>
              <w:t>本项目在使用润滑油时会产生的废油桶（</w:t>
            </w:r>
            <w:r>
              <w:rPr>
                <w:rFonts w:hint="default"/>
                <w:color w:val="000000"/>
                <w:spacing w:val="0"/>
                <w:kern w:val="0"/>
                <w:lang w:val="en-US" w:eastAsia="zh-CN"/>
              </w:rPr>
              <w:t>HW08</w:t>
            </w:r>
            <w:r>
              <w:rPr>
                <w:rFonts w:hint="eastAsia"/>
                <w:color w:val="000000"/>
                <w:spacing w:val="0"/>
                <w:kern w:val="0"/>
                <w:lang w:val="en-US" w:eastAsia="zh-CN"/>
              </w:rPr>
              <w:t>，</w:t>
            </w:r>
            <w:r>
              <w:rPr>
                <w:rFonts w:hint="default"/>
                <w:color w:val="000000"/>
                <w:spacing w:val="0"/>
                <w:kern w:val="0"/>
                <w:lang w:val="en-US" w:eastAsia="zh-CN"/>
              </w:rPr>
              <w:t>900-249-08</w:t>
            </w:r>
            <w:r>
              <w:rPr>
                <w:rFonts w:hint="eastAsia"/>
                <w:color w:val="000000"/>
                <w:spacing w:val="0"/>
                <w:kern w:val="0"/>
                <w:lang w:val="en-US" w:eastAsia="zh-CN"/>
              </w:rPr>
              <w:t>），产生量约为0.1</w:t>
            </w:r>
            <w:r>
              <w:rPr>
                <w:rFonts w:hint="default"/>
                <w:color w:val="000000"/>
                <w:spacing w:val="0"/>
                <w:kern w:val="0"/>
                <w:lang w:val="en-US" w:eastAsia="zh-CN"/>
              </w:rPr>
              <w:t>t/a</w:t>
            </w:r>
            <w:r>
              <w:rPr>
                <w:rFonts w:hint="eastAsia"/>
                <w:color w:val="000000"/>
                <w:spacing w:val="0"/>
                <w:kern w:val="0"/>
                <w:lang w:val="en-US" w:eastAsia="zh-CN"/>
              </w:rPr>
              <w:t>，</w:t>
            </w:r>
            <w:r>
              <w:rPr>
                <w:color w:val="000000"/>
              </w:rPr>
              <w:t>经收集暂存于</w:t>
            </w:r>
            <w:r>
              <w:rPr>
                <w:rFonts w:hint="eastAsia"/>
                <w:color w:val="000000"/>
                <w:lang w:eastAsia="zh-CN"/>
              </w:rPr>
              <w:t>危险废物贮存库</w:t>
            </w:r>
            <w:r>
              <w:rPr>
                <w:color w:val="000000"/>
              </w:rPr>
              <w:t>，定期交由有资质单位进行无害化处置。</w:t>
            </w:r>
          </w:p>
          <w:p>
            <w:pPr>
              <w:numPr>
                <w:ilvl w:val="0"/>
                <w:numId w:val="6"/>
              </w:numPr>
              <w:adjustRightInd w:val="0"/>
              <w:snapToGrid w:val="0"/>
              <w:ind w:firstLine="480" w:firstLineChars="200"/>
              <w:rPr>
                <w:rFonts w:hint="eastAsia"/>
                <w:color w:val="000000"/>
                <w:highlight w:val="none"/>
                <w:lang w:val="en-US" w:eastAsia="zh-CN"/>
              </w:rPr>
            </w:pPr>
            <w:r>
              <w:rPr>
                <w:rFonts w:hint="eastAsia"/>
                <w:color w:val="000000"/>
                <w:highlight w:val="none"/>
                <w:lang w:val="en-US" w:eastAsia="zh-CN"/>
              </w:rPr>
              <w:t>废活性炭</w:t>
            </w:r>
          </w:p>
          <w:p>
            <w:pPr>
              <w:keepNext w:val="0"/>
              <w:keepLines w:val="0"/>
              <w:pageBreakBefore w:val="0"/>
              <w:widowControl w:val="0"/>
              <w:numPr>
                <w:ilvl w:val="0"/>
                <w:numId w:val="0"/>
              </w:numPr>
              <w:kinsoku/>
              <w:wordWrap/>
              <w:overflowPunct/>
              <w:topLinePunct w:val="0"/>
              <w:autoSpaceDE/>
              <w:autoSpaceDN/>
              <w:bidi w:val="0"/>
              <w:adjustRightInd w:val="0"/>
              <w:snapToGrid w:val="0"/>
              <w:ind w:firstLine="480" w:firstLineChars="200"/>
              <w:textAlignment w:val="auto"/>
              <w:rPr>
                <w:rFonts w:hint="default" w:ascii="Times New Roman" w:hAnsi="Times New Roman" w:eastAsia="宋体" w:cs="Times New Roman"/>
                <w:sz w:val="24"/>
                <w:szCs w:val="24"/>
              </w:rPr>
            </w:pPr>
            <w:r>
              <w:rPr>
                <w:rFonts w:hint="default"/>
                <w:color w:val="000000"/>
                <w:lang w:val="en-US" w:eastAsia="zh-CN"/>
              </w:rPr>
              <w:t>性炭吸附装置处理中的活性炭需要进行更换，按照1kg活性炭可吸附0.3kgVOCs计算，</w:t>
            </w:r>
            <w:r>
              <w:rPr>
                <w:rFonts w:hint="eastAsia"/>
                <w:color w:val="000000"/>
                <w:lang w:val="en-US" w:eastAsia="zh-CN"/>
              </w:rPr>
              <w:t>本项目</w:t>
            </w:r>
            <w:r>
              <w:rPr>
                <w:rFonts w:hint="default"/>
                <w:color w:val="000000"/>
                <w:lang w:val="en-US" w:eastAsia="zh-CN"/>
              </w:rPr>
              <w:t>VOCs</w:t>
            </w:r>
            <w:r>
              <w:rPr>
                <w:rFonts w:hint="eastAsia"/>
                <w:color w:val="000000"/>
                <w:lang w:val="en-US" w:eastAsia="zh-CN"/>
              </w:rPr>
              <w:t>吸附量为0.432t/a，故活性炭使用量约为1.44t/a，</w:t>
            </w:r>
            <w:r>
              <w:rPr>
                <w:rFonts w:hint="default"/>
                <w:color w:val="000000"/>
                <w:lang w:val="en-US" w:eastAsia="zh-CN"/>
              </w:rPr>
              <w:t>废活性炭产生量约为</w:t>
            </w:r>
            <w:r>
              <w:rPr>
                <w:rFonts w:hint="eastAsia"/>
                <w:color w:val="000000"/>
                <w:lang w:val="en-US" w:eastAsia="zh-CN"/>
              </w:rPr>
              <w:t>1.872</w:t>
            </w:r>
            <w:r>
              <w:rPr>
                <w:rFonts w:hint="default"/>
                <w:color w:val="000000"/>
                <w:lang w:val="en-US" w:eastAsia="zh-CN"/>
              </w:rPr>
              <w:t>/a。根据《国家危险废物名录（2025版）》，废活性炭属于危险废物，废物类别为HW49其他废物中VOCs治理过程（不包括餐饮行业油烟治理过程）产生的废活性炭（900-039-49）经收集后放入专用的储存桶内暂存于项目危废暂存间，定期交有资质的单位进行处理。</w:t>
            </w:r>
          </w:p>
          <w:p>
            <w:pPr>
              <w:keepNext w:val="0"/>
              <w:keepLines w:val="0"/>
              <w:pageBreakBefore w:val="0"/>
              <w:widowControl w:val="0"/>
              <w:numPr>
                <w:ilvl w:val="0"/>
                <w:numId w:val="6"/>
              </w:numPr>
              <w:kinsoku/>
              <w:wordWrap/>
              <w:overflowPunct/>
              <w:topLinePunct w:val="0"/>
              <w:autoSpaceDE/>
              <w:autoSpaceDN/>
              <w:bidi w:val="0"/>
              <w:adjustRightInd w:val="0"/>
              <w:snapToGrid w:val="0"/>
              <w:ind w:left="0" w:leftChars="0" w:firstLine="480" w:firstLineChars="200"/>
              <w:textAlignment w:val="auto"/>
              <w:rPr>
                <w:rFonts w:hint="eastAsia" w:ascii="Times New Roman" w:hAnsi="Times New Roman" w:eastAsia="宋体" w:cs="Times New Roman"/>
                <w:color w:val="000000"/>
                <w:spacing w:val="0"/>
                <w:kern w:val="0"/>
                <w:lang w:val="en-US" w:eastAsia="zh-CN"/>
              </w:rPr>
            </w:pPr>
            <w:r>
              <w:rPr>
                <w:rFonts w:hint="eastAsia" w:ascii="Times New Roman" w:hAnsi="Times New Roman" w:eastAsia="宋体" w:cs="Times New Roman"/>
                <w:color w:val="000000"/>
                <w:spacing w:val="0"/>
                <w:kern w:val="0"/>
                <w:lang w:val="en-US" w:eastAsia="zh-CN"/>
              </w:rPr>
              <w:t>沾染含油污泥的废手套、废抹布</w:t>
            </w:r>
          </w:p>
          <w:p>
            <w:pPr>
              <w:keepNext w:val="0"/>
              <w:keepLines w:val="0"/>
              <w:pageBreakBefore w:val="0"/>
              <w:widowControl w:val="0"/>
              <w:numPr>
                <w:ilvl w:val="0"/>
                <w:numId w:val="0"/>
              </w:numPr>
              <w:kinsoku/>
              <w:wordWrap/>
              <w:overflowPunct/>
              <w:topLinePunct w:val="0"/>
              <w:autoSpaceDE/>
              <w:autoSpaceDN/>
              <w:bidi w:val="0"/>
              <w:adjustRightInd w:val="0"/>
              <w:snapToGrid w:val="0"/>
              <w:ind w:leftChars="0" w:firstLine="480" w:firstLineChars="200"/>
              <w:textAlignment w:val="auto"/>
              <w:rPr>
                <w:rFonts w:hint="default" w:ascii="Times New Roman" w:hAnsi="Times New Roman" w:eastAsia="宋体" w:cs="Times New Roman"/>
                <w:color w:val="000000"/>
                <w:spacing w:val="0"/>
                <w:kern w:val="0"/>
                <w:lang w:val="en-US" w:eastAsia="zh-CN"/>
              </w:rPr>
            </w:pPr>
            <w:r>
              <w:rPr>
                <w:rFonts w:hint="default" w:ascii="Times New Roman" w:hAnsi="Times New Roman" w:eastAsia="宋体" w:cs="Times New Roman"/>
                <w:color w:val="000000"/>
                <w:spacing w:val="0"/>
                <w:kern w:val="0"/>
                <w:lang w:val="en-US" w:eastAsia="zh-CN"/>
              </w:rPr>
              <w:t>本项目员工日常工作中产生的沾染含油污泥的废手套、废抹布，产生量约0.01t/a，沾染含油污泥的废手套、废抹布，收集后按危险废物管理。</w:t>
            </w:r>
          </w:p>
          <w:p>
            <w:pPr>
              <w:pStyle w:val="58"/>
              <w:adjustRightInd w:val="0"/>
              <w:snapToGrid w:val="0"/>
              <w:spacing w:line="240" w:lineRule="auto"/>
              <w:ind w:firstLine="422"/>
              <w:rPr>
                <w:b/>
                <w:bCs w:val="0"/>
                <w:sz w:val="21"/>
                <w:szCs w:val="21"/>
              </w:rPr>
            </w:pPr>
            <w:r>
              <w:rPr>
                <w:b/>
                <w:bCs w:val="0"/>
                <w:sz w:val="21"/>
                <w:szCs w:val="21"/>
              </w:rPr>
              <w:t>表</w:t>
            </w:r>
            <w:r>
              <w:rPr>
                <w:rFonts w:hint="eastAsia"/>
                <w:b/>
                <w:bCs w:val="0"/>
                <w:sz w:val="21"/>
                <w:szCs w:val="21"/>
                <w:lang w:val="en-US" w:eastAsia="zh-CN"/>
              </w:rPr>
              <w:t>4-11</w:t>
            </w:r>
            <w:r>
              <w:rPr>
                <w:b/>
                <w:bCs w:val="0"/>
                <w:sz w:val="21"/>
                <w:szCs w:val="21"/>
              </w:rPr>
              <w:t xml:space="preserve">             危险废物产生及处置情况一览表</w:t>
            </w:r>
          </w:p>
          <w:tbl>
            <w:tblPr>
              <w:tblStyle w:val="2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052"/>
              <w:gridCol w:w="1300"/>
              <w:gridCol w:w="912"/>
              <w:gridCol w:w="900"/>
              <w:gridCol w:w="388"/>
              <w:gridCol w:w="787"/>
              <w:gridCol w:w="450"/>
              <w:gridCol w:w="413"/>
              <w:gridCol w:w="713"/>
              <w:gridCol w:w="45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危险废物名称</w:t>
                  </w:r>
                </w:p>
              </w:tc>
              <w:tc>
                <w:tcPr>
                  <w:tcW w:w="620"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危险废物类别</w:t>
                  </w:r>
                </w:p>
              </w:tc>
              <w:tc>
                <w:tcPr>
                  <w:tcW w:w="767"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危险废物代码</w:t>
                  </w:r>
                </w:p>
              </w:tc>
              <w:tc>
                <w:tcPr>
                  <w:tcW w:w="538"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产生量（吨/年）</w:t>
                  </w:r>
                </w:p>
              </w:tc>
              <w:tc>
                <w:tcPr>
                  <w:tcW w:w="531"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产生工序及装置</w:t>
                  </w:r>
                </w:p>
              </w:tc>
              <w:tc>
                <w:tcPr>
                  <w:tcW w:w="229"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形态</w:t>
                  </w:r>
                </w:p>
              </w:tc>
              <w:tc>
                <w:tcPr>
                  <w:tcW w:w="464"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主要成分</w:t>
                  </w:r>
                </w:p>
              </w:tc>
              <w:tc>
                <w:tcPr>
                  <w:tcW w:w="265"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产废周期</w:t>
                  </w:r>
                </w:p>
              </w:tc>
              <w:tc>
                <w:tcPr>
                  <w:tcW w:w="243"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危险特性</w:t>
                  </w:r>
                </w:p>
              </w:tc>
              <w:tc>
                <w:tcPr>
                  <w:tcW w:w="420"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color w:val="000000"/>
                      <w:sz w:val="21"/>
                      <w:szCs w:val="21"/>
                    </w:rPr>
                    <w:t>污染防治措施</w:t>
                  </w:r>
                </w:p>
              </w:tc>
              <w:tc>
                <w:tcPr>
                  <w:tcW w:w="266" w:type="pct"/>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jc w:val="center"/>
                    <w:textAlignment w:val="auto"/>
                    <w:rPr>
                      <w:color w:val="000000"/>
                      <w:sz w:val="21"/>
                      <w:szCs w:val="21"/>
                    </w:rPr>
                  </w:pPr>
                  <w:r>
                    <w:rPr>
                      <w:rFonts w:hint="eastAsia"/>
                      <w:color w:val="000000"/>
                      <w:sz w:val="21"/>
                      <w:szCs w:val="21"/>
                    </w:rPr>
                    <w:t>转移周期</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noWrap w:val="0"/>
                  <w:vAlign w:val="center"/>
                </w:tcPr>
                <w:p>
                  <w:pPr>
                    <w:keepNext/>
                    <w:keepLines w:val="0"/>
                    <w:pageBreakBefore w:val="0"/>
                    <w:widowControl/>
                    <w:kinsoku/>
                    <w:wordWrap/>
                    <w:overflowPunct/>
                    <w:autoSpaceDE/>
                    <w:autoSpaceDN/>
                    <w:bidi w:val="0"/>
                    <w:adjustRightInd w:val="0"/>
                    <w:snapToGrid w:val="0"/>
                    <w:spacing w:line="240" w:lineRule="auto"/>
                    <w:jc w:val="center"/>
                    <w:textAlignment w:val="auto"/>
                    <w:rPr>
                      <w:color w:val="000000"/>
                      <w:kern w:val="0"/>
                      <w:sz w:val="21"/>
                      <w:szCs w:val="21"/>
                    </w:rPr>
                  </w:pPr>
                  <w:r>
                    <w:rPr>
                      <w:rFonts w:hint="eastAsia"/>
                      <w:color w:val="000000"/>
                      <w:kern w:val="0"/>
                      <w:sz w:val="21"/>
                      <w:szCs w:val="21"/>
                      <w:lang w:val="en-US" w:eastAsia="zh-CN"/>
                    </w:rPr>
                    <w:t>使</w:t>
                  </w:r>
                  <w:r>
                    <w:rPr>
                      <w:color w:val="000000"/>
                      <w:kern w:val="0"/>
                      <w:sz w:val="21"/>
                      <w:szCs w:val="21"/>
                    </w:rPr>
                    <w:t>用工业齿轮油进行机械设备润滑过程中产生的废润滑油</w:t>
                  </w:r>
                </w:p>
              </w:tc>
              <w:tc>
                <w:tcPr>
                  <w:tcW w:w="620"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HW08</w:t>
                  </w:r>
                </w:p>
              </w:tc>
              <w:tc>
                <w:tcPr>
                  <w:tcW w:w="767"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900-217-08</w:t>
                  </w:r>
                </w:p>
              </w:tc>
              <w:tc>
                <w:tcPr>
                  <w:tcW w:w="538"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0.</w:t>
                  </w:r>
                  <w:r>
                    <w:rPr>
                      <w:rFonts w:hint="eastAsia"/>
                      <w:color w:val="000000"/>
                      <w:kern w:val="0"/>
                      <w:sz w:val="21"/>
                      <w:szCs w:val="21"/>
                      <w:lang w:val="en-US" w:eastAsia="zh-CN"/>
                    </w:rPr>
                    <w:t>5</w:t>
                  </w:r>
                  <w:r>
                    <w:rPr>
                      <w:rFonts w:hint="eastAsia"/>
                      <w:color w:val="000000"/>
                      <w:kern w:val="0"/>
                      <w:sz w:val="21"/>
                      <w:szCs w:val="21"/>
                    </w:rPr>
                    <w:t>t</w:t>
                  </w:r>
                  <w:r>
                    <w:rPr>
                      <w:color w:val="000000"/>
                      <w:kern w:val="0"/>
                      <w:sz w:val="21"/>
                      <w:szCs w:val="21"/>
                    </w:rPr>
                    <w:t>/a</w:t>
                  </w:r>
                </w:p>
              </w:tc>
              <w:tc>
                <w:tcPr>
                  <w:tcW w:w="531"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机器维修工序</w:t>
                  </w:r>
                </w:p>
              </w:tc>
              <w:tc>
                <w:tcPr>
                  <w:tcW w:w="229"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液态</w:t>
                  </w:r>
                </w:p>
              </w:tc>
              <w:tc>
                <w:tcPr>
                  <w:tcW w:w="464"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烷烃、多环芳烃、烯烃、苯系物、酚类</w:t>
                  </w:r>
                </w:p>
              </w:tc>
              <w:tc>
                <w:tcPr>
                  <w:tcW w:w="265"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sz w:val="21"/>
                      <w:szCs w:val="21"/>
                    </w:rPr>
                    <w:t>不定期</w:t>
                  </w:r>
                </w:p>
              </w:tc>
              <w:tc>
                <w:tcPr>
                  <w:tcW w:w="243"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rFonts w:hint="default"/>
                      <w:color w:val="000000"/>
                      <w:kern w:val="0"/>
                      <w:sz w:val="21"/>
                      <w:szCs w:val="21"/>
                    </w:rPr>
                    <w:t>T</w:t>
                  </w:r>
                  <w:r>
                    <w:rPr>
                      <w:rFonts w:hint="eastAsia"/>
                      <w:color w:val="000000"/>
                      <w:kern w:val="0"/>
                      <w:sz w:val="21"/>
                      <w:szCs w:val="21"/>
                      <w:lang w:eastAsia="zh-CN"/>
                    </w:rPr>
                    <w:t>，</w:t>
                  </w:r>
                  <w:r>
                    <w:rPr>
                      <w:rFonts w:hint="default"/>
                      <w:color w:val="000000"/>
                      <w:kern w:val="0"/>
                      <w:sz w:val="21"/>
                      <w:szCs w:val="21"/>
                    </w:rPr>
                    <w:t>I</w:t>
                  </w:r>
                </w:p>
              </w:tc>
              <w:tc>
                <w:tcPr>
                  <w:tcW w:w="420" w:type="pct"/>
                  <w:vMerge w:val="restar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sz w:val="21"/>
                      <w:szCs w:val="21"/>
                    </w:rPr>
                    <w:t>危险废物暂存于</w:t>
                  </w:r>
                  <w:r>
                    <w:rPr>
                      <w:rFonts w:hint="eastAsia"/>
                      <w:color w:val="000000"/>
                      <w:sz w:val="21"/>
                      <w:szCs w:val="21"/>
                      <w:lang w:eastAsia="zh-CN"/>
                    </w:rPr>
                    <w:t>危险废物贮存库</w:t>
                  </w:r>
                  <w:r>
                    <w:rPr>
                      <w:color w:val="000000"/>
                      <w:sz w:val="21"/>
                      <w:szCs w:val="21"/>
                    </w:rPr>
                    <w:t>并委托有资质单位定期回收</w:t>
                  </w:r>
                </w:p>
              </w:tc>
              <w:tc>
                <w:tcPr>
                  <w:tcW w:w="266" w:type="pct"/>
                  <w:vMerge w:val="restar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r>
                    <w:rPr>
                      <w:color w:val="000000"/>
                      <w:sz w:val="21"/>
                      <w:szCs w:val="21"/>
                    </w:rPr>
                    <w:t>每年转移一次</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c>
                <w:tcPr>
                  <w:tcW w:w="652" w:type="pct"/>
                  <w:noWrap w:val="0"/>
                  <w:vAlign w:val="center"/>
                </w:tcPr>
                <w:p>
                  <w:pPr>
                    <w:keepNext/>
                    <w:keepLines w:val="0"/>
                    <w:pageBreakBefore w:val="0"/>
                    <w:widowControl/>
                    <w:kinsoku/>
                    <w:wordWrap/>
                    <w:overflowPunct/>
                    <w:autoSpaceDE/>
                    <w:autoSpaceDN/>
                    <w:bidi w:val="0"/>
                    <w:adjustRightInd w:val="0"/>
                    <w:snapToGrid w:val="0"/>
                    <w:spacing w:line="240" w:lineRule="auto"/>
                    <w:jc w:val="both"/>
                    <w:textAlignment w:val="auto"/>
                    <w:rPr>
                      <w:rFonts w:hint="eastAsia" w:eastAsia="宋体"/>
                      <w:color w:val="000000"/>
                      <w:kern w:val="0"/>
                      <w:sz w:val="21"/>
                      <w:szCs w:val="21"/>
                      <w:lang w:val="en-US" w:eastAsia="zh-CN" w:bidi="ar"/>
                    </w:rPr>
                  </w:pPr>
                  <w:r>
                    <w:rPr>
                      <w:rFonts w:hint="eastAsia"/>
                      <w:color w:val="000000"/>
                      <w:kern w:val="0"/>
                      <w:sz w:val="21"/>
                      <w:szCs w:val="21"/>
                      <w:lang w:val="en-US" w:eastAsia="zh-CN" w:bidi="ar"/>
                    </w:rPr>
                    <w:t>其</w:t>
                  </w:r>
                  <w:r>
                    <w:rPr>
                      <w:rFonts w:hint="eastAsia" w:eastAsia="宋体"/>
                      <w:color w:val="000000"/>
                      <w:kern w:val="0"/>
                      <w:sz w:val="21"/>
                      <w:szCs w:val="21"/>
                      <w:lang w:val="en-US" w:eastAsia="zh-CN" w:bidi="ar"/>
                    </w:rPr>
                    <w:t>他生产、销售、使用过程中产生的废矿物油及沾染矿物油的废弃包装物</w:t>
                  </w:r>
                </w:p>
              </w:tc>
              <w:tc>
                <w:tcPr>
                  <w:tcW w:w="620"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rFonts w:hint="default"/>
                      <w:color w:val="000000"/>
                      <w:kern w:val="0"/>
                      <w:sz w:val="21"/>
                      <w:szCs w:val="21"/>
                      <w:lang w:val="en-US" w:eastAsia="zh-CN"/>
                    </w:rPr>
                    <w:t>HW08</w:t>
                  </w:r>
                </w:p>
              </w:tc>
              <w:tc>
                <w:tcPr>
                  <w:tcW w:w="767"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rFonts w:hint="default"/>
                      <w:color w:val="000000"/>
                      <w:kern w:val="0"/>
                      <w:sz w:val="21"/>
                      <w:szCs w:val="21"/>
                      <w:lang w:val="en-US" w:eastAsia="zh-CN"/>
                    </w:rPr>
                    <w:t>900-249-08</w:t>
                  </w:r>
                </w:p>
              </w:tc>
              <w:tc>
                <w:tcPr>
                  <w:tcW w:w="538"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rFonts w:hint="default" w:eastAsia="宋体"/>
                      <w:color w:val="000000"/>
                      <w:kern w:val="0"/>
                      <w:sz w:val="21"/>
                      <w:szCs w:val="21"/>
                      <w:lang w:val="en-US" w:eastAsia="zh-CN"/>
                    </w:rPr>
                  </w:pPr>
                  <w:r>
                    <w:rPr>
                      <w:rFonts w:hint="eastAsia"/>
                      <w:color w:val="000000"/>
                      <w:kern w:val="0"/>
                      <w:sz w:val="21"/>
                      <w:szCs w:val="21"/>
                      <w:lang w:val="en-US" w:eastAsia="zh-CN"/>
                    </w:rPr>
                    <w:t>0.1t/a</w:t>
                  </w:r>
                </w:p>
              </w:tc>
              <w:tc>
                <w:tcPr>
                  <w:tcW w:w="531"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kern w:val="0"/>
                      <w:sz w:val="21"/>
                      <w:szCs w:val="21"/>
                    </w:rPr>
                  </w:pPr>
                  <w:r>
                    <w:rPr>
                      <w:color w:val="000000"/>
                      <w:kern w:val="0"/>
                      <w:sz w:val="21"/>
                      <w:szCs w:val="21"/>
                    </w:rPr>
                    <w:t>机器维修工序</w:t>
                  </w:r>
                </w:p>
              </w:tc>
              <w:tc>
                <w:tcPr>
                  <w:tcW w:w="229" w:type="pct"/>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rFonts w:hint="eastAsia" w:eastAsia="宋体"/>
                      <w:color w:val="000000"/>
                      <w:kern w:val="0"/>
                      <w:sz w:val="21"/>
                      <w:szCs w:val="21"/>
                      <w:lang w:val="en-US" w:eastAsia="zh-CN"/>
                    </w:rPr>
                  </w:pPr>
                  <w:r>
                    <w:rPr>
                      <w:rFonts w:hint="eastAsia"/>
                      <w:color w:val="000000"/>
                      <w:kern w:val="0"/>
                      <w:sz w:val="21"/>
                      <w:szCs w:val="21"/>
                      <w:lang w:val="en-US" w:eastAsia="zh-CN"/>
                    </w:rPr>
                    <w:t>固态</w:t>
                  </w:r>
                </w:p>
              </w:tc>
              <w:tc>
                <w:tcPr>
                  <w:tcW w:w="464" w:type="pct"/>
                  <w:shd w:val="clear" w:color="auto" w:fill="auto"/>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烷烃、多环芳烃、烯烃、苯系物、酚类</w:t>
                  </w:r>
                </w:p>
              </w:tc>
              <w:tc>
                <w:tcPr>
                  <w:tcW w:w="265" w:type="pct"/>
                  <w:shd w:val="clear" w:color="auto" w:fill="auto"/>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eastAsia" w:eastAsia="宋体" w:cs="Times New Roman"/>
                      <w:sz w:val="21"/>
                      <w:szCs w:val="21"/>
                      <w:vertAlign w:val="baseline"/>
                      <w:lang w:eastAsia="zh-CN"/>
                    </w:rPr>
                    <w:t>不定期</w:t>
                  </w:r>
                </w:p>
              </w:tc>
              <w:tc>
                <w:tcPr>
                  <w:tcW w:w="243" w:type="pct"/>
                  <w:shd w:val="clear" w:color="auto" w:fill="auto"/>
                  <w:noWrap w:val="0"/>
                  <w:vAlign w:val="center"/>
                </w:tcPr>
                <w:p>
                  <w:pPr>
                    <w:keepNext w:val="0"/>
                    <w:keepLines w:val="0"/>
                    <w:pageBreakBefore w:val="0"/>
                    <w:widowControl w:val="0"/>
                    <w:kinsoku/>
                    <w:wordWrap/>
                    <w:overflowPunct/>
                    <w:topLinePunct/>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color w:val="000000"/>
                      <w:kern w:val="0"/>
                      <w:sz w:val="21"/>
                      <w:szCs w:val="21"/>
                      <w:highlight w:val="none"/>
                    </w:rPr>
                    <w:t>T，I</w:t>
                  </w:r>
                </w:p>
              </w:tc>
              <w:tc>
                <w:tcPr>
                  <w:tcW w:w="420"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c>
                <w:tcPr>
                  <w:tcW w:w="266"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noWrap w:val="0"/>
                  <w:vAlign w:val="center"/>
                </w:tcPr>
                <w:p>
                  <w:pPr>
                    <w:keepNext/>
                    <w:keepLines w:val="0"/>
                    <w:pageBreakBefore w:val="0"/>
                    <w:widowControl/>
                    <w:kinsoku/>
                    <w:wordWrap/>
                    <w:overflowPunct w:val="0"/>
                    <w:topLinePunct w:val="0"/>
                    <w:autoSpaceDE/>
                    <w:autoSpaceDN/>
                    <w:bidi w:val="0"/>
                    <w:adjustRightInd w:val="0"/>
                    <w:snapToGrid w:val="0"/>
                    <w:spacing w:line="240" w:lineRule="auto"/>
                    <w:jc w:val="both"/>
                    <w:textAlignment w:val="auto"/>
                    <w:rPr>
                      <w:color w:val="000000"/>
                      <w:kern w:val="0"/>
                      <w:sz w:val="21"/>
                      <w:szCs w:val="21"/>
                      <w:lang w:bidi="ar"/>
                    </w:rPr>
                  </w:pPr>
                  <w:r>
                    <w:rPr>
                      <w:color w:val="000000"/>
                      <w:kern w:val="0"/>
                      <w:sz w:val="21"/>
                      <w:szCs w:val="21"/>
                      <w:lang w:bidi="ar"/>
                    </w:rPr>
                    <w:t>烟气、VOCs治理过程（不包括餐饮行业油烟治理过程）产生的废活性炭，化学原料和化学制品脱色（不包括有机合成食品添加剂脱色）、除杂、净化过程产生的废活性炭（不包括900-405-06、772-005-18、261-053-29、265-002-29、384-003-29、387-001-29类危险废物）</w:t>
                  </w:r>
                </w:p>
              </w:tc>
              <w:tc>
                <w:tcPr>
                  <w:tcW w:w="620"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eastAsia="宋体" w:cs="Times New Roman"/>
                      <w:sz w:val="21"/>
                      <w:szCs w:val="21"/>
                      <w:vertAlign w:val="baseline"/>
                      <w:lang w:val="en-US" w:eastAsia="zh-CN"/>
                    </w:rPr>
                    <w:t>HW49</w:t>
                  </w:r>
                </w:p>
              </w:tc>
              <w:tc>
                <w:tcPr>
                  <w:tcW w:w="767"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eastAsia="宋体" w:cs="Times New Roman"/>
                      <w:sz w:val="21"/>
                      <w:szCs w:val="21"/>
                      <w:vertAlign w:val="baseline"/>
                      <w:lang w:val="en-US" w:eastAsia="zh-CN"/>
                    </w:rPr>
                    <w:t>900-039-49</w:t>
                  </w:r>
                </w:p>
              </w:tc>
              <w:tc>
                <w:tcPr>
                  <w:tcW w:w="538"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cs="Times New Roman"/>
                      <w:sz w:val="21"/>
                      <w:szCs w:val="21"/>
                      <w:vertAlign w:val="baseline"/>
                      <w:lang w:val="en-US" w:eastAsia="zh-CN"/>
                    </w:rPr>
                    <w:t>1.872</w:t>
                  </w:r>
                  <w:r>
                    <w:rPr>
                      <w:rFonts w:hint="eastAsia" w:eastAsia="宋体" w:cs="Times New Roman"/>
                      <w:sz w:val="21"/>
                      <w:szCs w:val="21"/>
                      <w:vertAlign w:val="baseline"/>
                      <w:lang w:val="en-US" w:eastAsia="zh-CN"/>
                    </w:rPr>
                    <w:t>t/a</w:t>
                  </w:r>
                </w:p>
              </w:tc>
              <w:tc>
                <w:tcPr>
                  <w:tcW w:w="531"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eastAsia="宋体" w:cs="Times New Roman"/>
                      <w:sz w:val="21"/>
                      <w:szCs w:val="21"/>
                      <w:vertAlign w:val="baseline"/>
                      <w:lang w:val="en-US" w:eastAsia="zh-CN"/>
                    </w:rPr>
                    <w:t>废气治理</w:t>
                  </w:r>
                </w:p>
              </w:tc>
              <w:tc>
                <w:tcPr>
                  <w:tcW w:w="229"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eastAsia="宋体" w:cs="Times New Roman"/>
                      <w:sz w:val="21"/>
                      <w:szCs w:val="21"/>
                      <w:vertAlign w:val="baseline"/>
                      <w:lang w:eastAsia="zh-CN"/>
                    </w:rPr>
                    <w:t>固</w:t>
                  </w:r>
                  <w:r>
                    <w:rPr>
                      <w:rFonts w:hint="eastAsia" w:cs="Times New Roman"/>
                      <w:sz w:val="21"/>
                      <w:szCs w:val="21"/>
                      <w:vertAlign w:val="baseline"/>
                      <w:lang w:val="en-US" w:eastAsia="zh-CN"/>
                    </w:rPr>
                    <w:t>态</w:t>
                  </w:r>
                </w:p>
              </w:tc>
              <w:tc>
                <w:tcPr>
                  <w:tcW w:w="464"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eastAsia" w:ascii="Times New Roman" w:hAnsi="Times New Roman" w:eastAsia="宋体" w:cs="Times New Roman"/>
                      <w:kern w:val="0"/>
                      <w:sz w:val="21"/>
                      <w:szCs w:val="21"/>
                      <w:vertAlign w:val="baseline"/>
                      <w:lang w:val="en-US" w:eastAsia="zh-CN" w:bidi="ar-SA"/>
                    </w:rPr>
                  </w:pPr>
                  <w:r>
                    <w:rPr>
                      <w:rFonts w:hint="eastAsia" w:cs="Times New Roman"/>
                      <w:sz w:val="21"/>
                      <w:szCs w:val="21"/>
                      <w:vertAlign w:val="baseline"/>
                      <w:lang w:val="en-US" w:eastAsia="zh-CN"/>
                    </w:rPr>
                    <w:t>非甲烷总烃</w:t>
                  </w:r>
                </w:p>
              </w:tc>
              <w:tc>
                <w:tcPr>
                  <w:tcW w:w="265"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eastAsia" w:ascii="Times New Roman" w:hAnsi="Times New Roman" w:eastAsia="宋体" w:cs="Times New Roman"/>
                      <w:kern w:val="0"/>
                      <w:sz w:val="21"/>
                      <w:szCs w:val="21"/>
                      <w:vertAlign w:val="baseline"/>
                      <w:lang w:val="en-US" w:eastAsia="zh-CN" w:bidi="ar-SA"/>
                    </w:rPr>
                  </w:pPr>
                  <w:r>
                    <w:rPr>
                      <w:rFonts w:hint="default" w:ascii="Times New Roman" w:hAnsi="Times New Roman" w:eastAsia="宋体" w:cs="Times New Roman"/>
                      <w:color w:val="000000"/>
                      <w:kern w:val="0"/>
                      <w:sz w:val="21"/>
                      <w:szCs w:val="21"/>
                      <w:highlight w:val="none"/>
                      <w:lang w:eastAsia="zh-CN"/>
                    </w:rPr>
                    <w:t>每年</w:t>
                  </w:r>
                  <w:r>
                    <w:rPr>
                      <w:rFonts w:hint="default" w:ascii="Times New Roman" w:hAnsi="Times New Roman" w:eastAsia="宋体" w:cs="Times New Roman"/>
                      <w:color w:val="000000"/>
                      <w:kern w:val="0"/>
                      <w:sz w:val="21"/>
                      <w:szCs w:val="21"/>
                      <w:highlight w:val="none"/>
                      <w:lang w:val="en-US" w:eastAsia="zh-CN"/>
                    </w:rPr>
                    <w:t>1次</w:t>
                  </w:r>
                </w:p>
              </w:tc>
              <w:tc>
                <w:tcPr>
                  <w:tcW w:w="243"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default" w:ascii="Times New Roman" w:hAnsi="Times New Roman" w:eastAsia="宋体" w:cs="Times New Roman"/>
                      <w:kern w:val="0"/>
                      <w:sz w:val="21"/>
                      <w:szCs w:val="21"/>
                      <w:vertAlign w:val="baseline"/>
                      <w:lang w:val="en-US" w:eastAsia="zh-CN" w:bidi="ar-SA"/>
                    </w:rPr>
                  </w:pPr>
                  <w:r>
                    <w:rPr>
                      <w:rFonts w:hint="eastAsia" w:eastAsia="宋体" w:cs="Times New Roman"/>
                      <w:sz w:val="21"/>
                      <w:szCs w:val="21"/>
                      <w:vertAlign w:val="baseline"/>
                      <w:lang w:val="en-US" w:eastAsia="zh-CN"/>
                    </w:rPr>
                    <w:t>T</w:t>
                  </w:r>
                </w:p>
              </w:tc>
              <w:tc>
                <w:tcPr>
                  <w:tcW w:w="420"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c>
                <w:tcPr>
                  <w:tcW w:w="266"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652" w:type="pct"/>
                  <w:noWrap w:val="0"/>
                  <w:vAlign w:val="center"/>
                </w:tcPr>
                <w:p>
                  <w:pPr>
                    <w:keepNext/>
                    <w:keepLines w:val="0"/>
                    <w:pageBreakBefore w:val="0"/>
                    <w:widowControl/>
                    <w:kinsoku/>
                    <w:wordWrap/>
                    <w:overflowPunct w:val="0"/>
                    <w:topLinePunct w:val="0"/>
                    <w:autoSpaceDE/>
                    <w:autoSpaceDN/>
                    <w:bidi w:val="0"/>
                    <w:adjustRightInd w:val="0"/>
                    <w:snapToGrid w:val="0"/>
                    <w:spacing w:line="240" w:lineRule="auto"/>
                    <w:jc w:val="both"/>
                    <w:textAlignment w:val="auto"/>
                    <w:rPr>
                      <w:color w:val="000000"/>
                      <w:kern w:val="0"/>
                      <w:sz w:val="21"/>
                      <w:szCs w:val="21"/>
                      <w:lang w:bidi="ar"/>
                    </w:rPr>
                  </w:pPr>
                  <w:r>
                    <w:rPr>
                      <w:rFonts w:hint="default"/>
                      <w:color w:val="000000"/>
                      <w:kern w:val="0"/>
                      <w:sz w:val="21"/>
                      <w:szCs w:val="21"/>
                      <w:lang w:val="en-US" w:eastAsia="zh-CN" w:bidi="ar"/>
                    </w:rPr>
                    <w:t>沾染含油污泥的废手套、废抹布</w:t>
                  </w:r>
                </w:p>
              </w:tc>
              <w:tc>
                <w:tcPr>
                  <w:tcW w:w="620" w:type="pct"/>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eastAsia="宋体" w:cs="Times New Roman"/>
                      <w:sz w:val="21"/>
                      <w:szCs w:val="21"/>
                      <w:vertAlign w:val="baseline"/>
                      <w:lang w:val="en-US" w:eastAsia="zh-CN"/>
                    </w:rPr>
                  </w:pPr>
                  <w:r>
                    <w:rPr>
                      <w:rFonts w:hint="default" w:ascii="Times New Roman" w:hAnsi="Times New Roman" w:eastAsia="宋体" w:cs="Times New Roman"/>
                      <w:sz w:val="21"/>
                      <w:szCs w:val="21"/>
                    </w:rPr>
                    <w:t>HW49</w:t>
                  </w:r>
                </w:p>
              </w:tc>
              <w:tc>
                <w:tcPr>
                  <w:tcW w:w="767" w:type="pct"/>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eastAsia="宋体" w:cs="Times New Roman"/>
                      <w:sz w:val="21"/>
                      <w:szCs w:val="21"/>
                      <w:vertAlign w:val="baseline"/>
                      <w:lang w:val="en-US" w:eastAsia="zh-CN"/>
                    </w:rPr>
                  </w:pPr>
                  <w:r>
                    <w:rPr>
                      <w:rFonts w:hint="default" w:ascii="Times New Roman" w:hAnsi="Times New Roman" w:eastAsia="宋体" w:cs="Times New Roman"/>
                      <w:sz w:val="21"/>
                      <w:szCs w:val="21"/>
                    </w:rPr>
                    <w:t>900-041-49</w:t>
                  </w:r>
                </w:p>
              </w:tc>
              <w:tc>
                <w:tcPr>
                  <w:tcW w:w="538" w:type="pct"/>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sz w:val="21"/>
                      <w:szCs w:val="21"/>
                      <w:vertAlign w:val="baseline"/>
                      <w:lang w:val="en-US" w:eastAsia="zh-CN"/>
                    </w:rPr>
                  </w:pPr>
                  <w:r>
                    <w:rPr>
                      <w:rFonts w:hint="default" w:ascii="Times New Roman" w:hAnsi="Times New Roman" w:eastAsia="宋体" w:cs="Times New Roman"/>
                      <w:color w:val="000000"/>
                      <w:kern w:val="0"/>
                      <w:sz w:val="21"/>
                      <w:szCs w:val="21"/>
                      <w:highlight w:val="none"/>
                      <w:lang w:val="en-US" w:eastAsia="zh-CN"/>
                    </w:rPr>
                    <w:t>0.0</w:t>
                  </w:r>
                  <w:r>
                    <w:rPr>
                      <w:rFonts w:hint="eastAsia" w:ascii="Times New Roman" w:hAnsi="Times New Roman" w:eastAsia="宋体" w:cs="Times New Roman"/>
                      <w:color w:val="000000"/>
                      <w:kern w:val="0"/>
                      <w:sz w:val="21"/>
                      <w:szCs w:val="21"/>
                      <w:highlight w:val="none"/>
                      <w:lang w:val="en-US" w:eastAsia="zh-CN"/>
                    </w:rPr>
                    <w:t>1t/a</w:t>
                  </w:r>
                </w:p>
              </w:tc>
              <w:tc>
                <w:tcPr>
                  <w:tcW w:w="531" w:type="pct"/>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default" w:ascii="Times New Roman" w:hAnsi="Times New Roman" w:cs="Times New Roman"/>
                      <w:b w:val="0"/>
                      <w:bCs/>
                      <w:sz w:val="21"/>
                      <w:szCs w:val="21"/>
                      <w:vertAlign w:val="baseline"/>
                      <w:lang w:val="en-US" w:eastAsia="zh-CN"/>
                    </w:rPr>
                    <w:t>机器维修工序</w:t>
                  </w:r>
                </w:p>
              </w:tc>
              <w:tc>
                <w:tcPr>
                  <w:tcW w:w="229" w:type="pct"/>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color w:val="000000"/>
                      <w:kern w:val="0"/>
                      <w:sz w:val="21"/>
                      <w:szCs w:val="21"/>
                      <w:highlight w:val="none"/>
                      <w:lang w:eastAsia="zh-CN"/>
                    </w:rPr>
                    <w:t>固体</w:t>
                  </w:r>
                </w:p>
              </w:tc>
              <w:tc>
                <w:tcPr>
                  <w:tcW w:w="464" w:type="pct"/>
                  <w:shd w:val="clear" w:color="auto" w:fill="auto"/>
                  <w:noWrap w:val="0"/>
                  <w:vAlign w:val="center"/>
                </w:tcPr>
                <w:p>
                  <w:pPr>
                    <w:pStyle w:val="25"/>
                    <w:keepNext/>
                    <w:keepLines w:val="0"/>
                    <w:pageBreakBefore w:val="0"/>
                    <w:widowControl/>
                    <w:kinsoku/>
                    <w:wordWrap/>
                    <w:overflowPunct/>
                    <w:topLinePunct/>
                    <w:autoSpaceDE/>
                    <w:autoSpaceDN/>
                    <w:bidi w:val="0"/>
                    <w:adjustRightInd w:val="0"/>
                    <w:snapToGrid w:val="0"/>
                    <w:spacing w:after="0"/>
                    <w:ind w:left="0" w:leftChars="0" w:firstLine="0" w:firstLineChars="0"/>
                    <w:jc w:val="center"/>
                    <w:textAlignment w:val="auto"/>
                    <w:rPr>
                      <w:rFonts w:hint="eastAsia" w:eastAsia="宋体" w:cs="Times New Roman"/>
                      <w:sz w:val="21"/>
                      <w:szCs w:val="21"/>
                      <w:vertAlign w:val="baseline"/>
                      <w:lang w:eastAsia="zh-CN"/>
                    </w:rPr>
                  </w:pPr>
                  <w:r>
                    <w:rPr>
                      <w:rFonts w:hint="default" w:ascii="Times New Roman" w:hAnsi="Times New Roman" w:eastAsia="宋体" w:cs="Times New Roman"/>
                      <w:color w:val="auto"/>
                      <w:sz w:val="21"/>
                      <w:szCs w:val="21"/>
                      <w:lang w:eastAsia="zh-CN"/>
                    </w:rPr>
                    <w:t>苯系物、非甲烷总烃</w:t>
                  </w:r>
                </w:p>
              </w:tc>
              <w:tc>
                <w:tcPr>
                  <w:tcW w:w="265"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lang w:eastAsia="zh-CN"/>
                    </w:rPr>
                    <w:t>不定期</w:t>
                  </w:r>
                </w:p>
              </w:tc>
              <w:tc>
                <w:tcPr>
                  <w:tcW w:w="243" w:type="pct"/>
                  <w:shd w:val="clear" w:color="auto" w:fill="auto"/>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0"/>
                      <w:sz w:val="21"/>
                      <w:szCs w:val="21"/>
                      <w:highlight w:val="none"/>
                      <w:lang w:val="en-US" w:eastAsia="zh-CN" w:bidi="ar-SA"/>
                    </w:rPr>
                  </w:pPr>
                  <w:r>
                    <w:rPr>
                      <w:rFonts w:hint="default" w:ascii="Times New Roman" w:hAnsi="Times New Roman" w:eastAsia="宋体" w:cs="Times New Roman"/>
                      <w:sz w:val="21"/>
                      <w:szCs w:val="21"/>
                      <w:lang w:val="en-US" w:eastAsia="zh-CN"/>
                    </w:rPr>
                    <w:t>T/In</w:t>
                  </w:r>
                </w:p>
              </w:tc>
              <w:tc>
                <w:tcPr>
                  <w:tcW w:w="420"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c>
                <w:tcPr>
                  <w:tcW w:w="266" w:type="pct"/>
                  <w:vMerge w:val="continue"/>
                  <w:noWrap w:val="0"/>
                  <w:vAlign w:val="center"/>
                </w:tcPr>
                <w:p>
                  <w:pPr>
                    <w:keepNext/>
                    <w:keepLines w:val="0"/>
                    <w:pageBreakBefore w:val="0"/>
                    <w:widowControl/>
                    <w:kinsoku/>
                    <w:wordWrap/>
                    <w:overflowPunct/>
                    <w:topLinePunct/>
                    <w:autoSpaceDE/>
                    <w:autoSpaceDN/>
                    <w:bidi w:val="0"/>
                    <w:adjustRightInd w:val="0"/>
                    <w:snapToGrid w:val="0"/>
                    <w:spacing w:line="240" w:lineRule="auto"/>
                    <w:jc w:val="center"/>
                    <w:textAlignment w:val="auto"/>
                    <w:rPr>
                      <w:color w:val="000000"/>
                      <w:sz w:val="21"/>
                      <w:szCs w:val="21"/>
                    </w:rPr>
                  </w:pPr>
                </w:p>
              </w:tc>
            </w:tr>
          </w:tbl>
          <w:p>
            <w:pPr>
              <w:ind w:firstLine="480" w:firstLineChars="200"/>
              <w:rPr>
                <w:color w:val="000000"/>
              </w:rPr>
            </w:pPr>
            <w:r>
              <w:rPr>
                <w:color w:val="000000"/>
              </w:rPr>
              <w:t>本项目危险废物临时贮存场所设置应遵照以下规定：</w:t>
            </w:r>
          </w:p>
          <w:p>
            <w:pPr>
              <w:ind w:firstLine="482" w:firstLineChars="200"/>
              <w:rPr>
                <w:color w:val="000000"/>
                <w:kern w:val="0"/>
              </w:rPr>
            </w:pPr>
            <w:r>
              <w:rPr>
                <w:rFonts w:hint="eastAsia"/>
                <w:b/>
                <w:bCs/>
                <w:color w:val="000000"/>
                <w:kern w:val="0"/>
                <w:lang w:eastAsia="zh-CN"/>
              </w:rPr>
              <w:t>危险废物贮存库</w:t>
            </w:r>
            <w:r>
              <w:rPr>
                <w:b/>
                <w:bCs/>
                <w:color w:val="000000"/>
                <w:kern w:val="0"/>
              </w:rPr>
              <w:t>建设要求：</w:t>
            </w:r>
          </w:p>
          <w:p>
            <w:pPr>
              <w:ind w:firstLine="480" w:firstLineChars="200"/>
              <w:rPr>
                <w:color w:val="000000"/>
                <w:kern w:val="0"/>
              </w:rPr>
            </w:pPr>
            <w:r>
              <w:rPr>
                <w:color w:val="000000"/>
                <w:kern w:val="0"/>
              </w:rPr>
              <w:t>①</w:t>
            </w:r>
            <w:r>
              <w:rPr>
                <w:rFonts w:hint="eastAsia"/>
                <w:color w:val="000000"/>
                <w:kern w:val="0"/>
              </w:rPr>
              <w:t>贮存设施应根据危险废物的形态、物理化学性质、包装形式和污染物迁移途径，采取必要的防风、防晒、防雨、防漏、防渗、防腐以及其他环境污染防治措施，不应露天堆放危险废物。</w:t>
            </w:r>
          </w:p>
          <w:p>
            <w:pPr>
              <w:ind w:firstLine="480" w:firstLineChars="200"/>
              <w:rPr>
                <w:rFonts w:hint="eastAsia"/>
                <w:color w:val="000000"/>
                <w:kern w:val="0"/>
              </w:rPr>
            </w:pPr>
            <w:r>
              <w:rPr>
                <w:color w:val="000000"/>
                <w:kern w:val="0"/>
              </w:rPr>
              <w:t>②</w:t>
            </w:r>
            <w:r>
              <w:rPr>
                <w:rFonts w:hint="eastAsia"/>
                <w:color w:val="000000"/>
                <w:kern w:val="0"/>
              </w:rPr>
              <w:t>贮存设施应根据危险废物的类别、数量、形态、物理化学性质和污染防治等要求设置必要的贮存分区，避免不相容的危险废物接触、混合。</w:t>
            </w:r>
          </w:p>
          <w:p>
            <w:pPr>
              <w:ind w:firstLine="480" w:firstLineChars="200"/>
              <w:rPr>
                <w:color w:val="000000"/>
                <w:kern w:val="0"/>
              </w:rPr>
            </w:pPr>
            <w:r>
              <w:rPr>
                <w:color w:val="000000"/>
                <w:kern w:val="0"/>
              </w:rPr>
              <w:t>③</w:t>
            </w:r>
            <w:r>
              <w:rPr>
                <w:rFonts w:hint="eastAsia"/>
                <w:color w:val="000000"/>
                <w:kern w:val="0"/>
              </w:rPr>
              <w:t>贮存设施或贮存分区内地面、墙面裙脚、堵截泄漏的围堰、接触危险废物的隔板和墙体等应采用坚固的材料建造，表面无裂缝。</w:t>
            </w:r>
          </w:p>
          <w:p>
            <w:pPr>
              <w:ind w:firstLine="480" w:firstLineChars="200"/>
              <w:rPr>
                <w:color w:val="000000"/>
                <w:kern w:val="0"/>
              </w:rPr>
            </w:pPr>
            <w:r>
              <w:rPr>
                <w:color w:val="000000"/>
                <w:kern w:val="0"/>
              </w:rPr>
              <w:t>④</w:t>
            </w:r>
            <w:r>
              <w:rPr>
                <w:rFonts w:hint="eastAsia"/>
                <w:color w:val="000000"/>
                <w:kern w:val="0"/>
              </w:rPr>
              <w:t>贮存设施地面与裙脚应采取表面防渗措施；表面防渗材料应与所接触的物料或污染物相容，可采用抗渗混凝土、高密度聚乙烯膜、钠基膨润土防水毯或其他防渗性能等效的材料。贮存的危险废物直接接触地面的，还应进行基础防渗，防渗层为至少</w:t>
            </w:r>
            <w:r>
              <w:rPr>
                <w:color w:val="000000"/>
                <w:kern w:val="0"/>
              </w:rPr>
              <w:t>1m</w:t>
            </w:r>
            <w:r>
              <w:rPr>
                <w:rFonts w:hint="eastAsia"/>
                <w:color w:val="000000"/>
                <w:kern w:val="0"/>
              </w:rPr>
              <w:t>厚黏土层（渗透系数不大于</w:t>
            </w:r>
            <w:r>
              <w:rPr>
                <w:color w:val="000000"/>
                <w:kern w:val="0"/>
              </w:rPr>
              <w:t>10</w:t>
            </w:r>
            <w:r>
              <w:rPr>
                <w:color w:val="000000"/>
                <w:kern w:val="0"/>
                <w:vertAlign w:val="superscript"/>
              </w:rPr>
              <w:t>-7</w:t>
            </w:r>
            <w:r>
              <w:rPr>
                <w:color w:val="000000"/>
                <w:kern w:val="0"/>
              </w:rPr>
              <w:t>cm/s</w:t>
            </w:r>
            <w:r>
              <w:rPr>
                <w:rFonts w:hint="eastAsia"/>
                <w:color w:val="000000"/>
                <w:kern w:val="0"/>
              </w:rPr>
              <w:t>），或至少</w:t>
            </w:r>
            <w:r>
              <w:rPr>
                <w:color w:val="000000"/>
                <w:kern w:val="0"/>
              </w:rPr>
              <w:t>2mm</w:t>
            </w:r>
            <w:r>
              <w:rPr>
                <w:rFonts w:hint="eastAsia"/>
                <w:color w:val="000000"/>
                <w:kern w:val="0"/>
              </w:rPr>
              <w:t>厚高密度聚乙烯膜等人工防渗材料（渗透系数不大于</w:t>
            </w:r>
            <w:r>
              <w:rPr>
                <w:color w:val="000000"/>
                <w:kern w:val="0"/>
              </w:rPr>
              <w:t>10</w:t>
            </w:r>
            <w:r>
              <w:rPr>
                <w:color w:val="000000"/>
                <w:kern w:val="0"/>
                <w:vertAlign w:val="superscript"/>
              </w:rPr>
              <w:t>-10</w:t>
            </w:r>
            <w:r>
              <w:rPr>
                <w:color w:val="000000"/>
                <w:kern w:val="0"/>
              </w:rPr>
              <w:t>cm/s</w:t>
            </w:r>
            <w:r>
              <w:rPr>
                <w:rFonts w:hint="eastAsia"/>
                <w:color w:val="000000"/>
                <w:kern w:val="0"/>
              </w:rPr>
              <w:t>），或其他防渗性能等效的材料。</w:t>
            </w:r>
          </w:p>
          <w:p>
            <w:pPr>
              <w:ind w:firstLine="480" w:firstLineChars="200"/>
              <w:rPr>
                <w:color w:val="000000"/>
                <w:kern w:val="0"/>
              </w:rPr>
            </w:pPr>
            <w:r>
              <w:rPr>
                <w:color w:val="000000"/>
                <w:kern w:val="0"/>
              </w:rPr>
              <w:t>⑤</w:t>
            </w:r>
            <w:r>
              <w:rPr>
                <w:rFonts w:hint="eastAsia"/>
                <w:color w:val="000000"/>
                <w:kern w:val="0"/>
              </w:rPr>
              <w:t>同一贮存设施宜采用相同的防渗、防腐工艺（包括防渗、防腐结构或材料），防渗、防腐材料应覆盖所有可能与废物及其渗滤液、渗漏液等接触的构筑物表面；采用不同防渗、防腐工艺应分别建设贮存分区</w:t>
            </w:r>
            <w:r>
              <w:rPr>
                <w:color w:val="000000"/>
                <w:kern w:val="0"/>
              </w:rPr>
              <w:t>。</w:t>
            </w:r>
          </w:p>
          <w:p>
            <w:pPr>
              <w:ind w:firstLine="480" w:firstLineChars="200"/>
              <w:rPr>
                <w:color w:val="000000"/>
                <w:kern w:val="0"/>
              </w:rPr>
            </w:pPr>
            <w:r>
              <w:rPr>
                <w:color w:val="000000"/>
                <w:kern w:val="0"/>
              </w:rPr>
              <w:t>⑥</w:t>
            </w:r>
            <w:r>
              <w:rPr>
                <w:rFonts w:hint="eastAsia"/>
                <w:color w:val="000000"/>
                <w:kern w:val="0"/>
              </w:rPr>
              <w:t>贮存设施应采取技术和管理措施防止无关人员进入</w:t>
            </w:r>
            <w:r>
              <w:rPr>
                <w:color w:val="000000"/>
                <w:kern w:val="0"/>
              </w:rPr>
              <w:t>。</w:t>
            </w:r>
          </w:p>
          <w:p>
            <w:pPr>
              <w:ind w:firstLine="482" w:firstLineChars="200"/>
              <w:rPr>
                <w:rFonts w:hint="eastAsia"/>
                <w:b/>
                <w:bCs/>
                <w:color w:val="000000"/>
                <w:kern w:val="0"/>
                <w:lang w:bidi="ar"/>
              </w:rPr>
            </w:pPr>
            <w:r>
              <w:rPr>
                <w:rFonts w:hint="eastAsia"/>
                <w:b/>
                <w:bCs/>
                <w:color w:val="000000"/>
                <w:kern w:val="0"/>
                <w:lang w:bidi="ar"/>
              </w:rPr>
              <w:t>容器和包装物污染控制要求：</w:t>
            </w:r>
          </w:p>
          <w:p>
            <w:pPr>
              <w:ind w:firstLine="480" w:firstLineChars="200"/>
              <w:rPr>
                <w:color w:val="000000"/>
                <w:kern w:val="0"/>
              </w:rPr>
            </w:pPr>
            <w:r>
              <w:rPr>
                <w:color w:val="000000"/>
                <w:kern w:val="0"/>
              </w:rPr>
              <w:t>①</w:t>
            </w:r>
            <w:r>
              <w:rPr>
                <w:rFonts w:hint="eastAsia"/>
                <w:color w:val="000000"/>
                <w:kern w:val="0"/>
              </w:rPr>
              <w:t>容器和包装物材质、内衬应与盛装的危险废物相容。</w:t>
            </w:r>
          </w:p>
          <w:p>
            <w:pPr>
              <w:ind w:firstLine="480" w:firstLineChars="200"/>
              <w:rPr>
                <w:color w:val="000000"/>
                <w:kern w:val="0"/>
              </w:rPr>
            </w:pPr>
            <w:r>
              <w:rPr>
                <w:color w:val="000000"/>
                <w:kern w:val="0"/>
              </w:rPr>
              <w:t>②</w:t>
            </w:r>
            <w:r>
              <w:rPr>
                <w:rFonts w:hint="eastAsia"/>
                <w:color w:val="000000"/>
                <w:kern w:val="0"/>
              </w:rPr>
              <w:t>针对不同类别、形态、物理化学性质的危险废物，其容器和包装物应满足相应的防渗、防漏、防腐和强度等要求。</w:t>
            </w:r>
          </w:p>
          <w:p>
            <w:pPr>
              <w:ind w:firstLine="480" w:firstLineChars="200"/>
              <w:rPr>
                <w:color w:val="000000"/>
                <w:kern w:val="0"/>
              </w:rPr>
            </w:pPr>
            <w:r>
              <w:rPr>
                <w:color w:val="000000"/>
                <w:kern w:val="0"/>
              </w:rPr>
              <w:t>③</w:t>
            </w:r>
            <w:r>
              <w:rPr>
                <w:rFonts w:hint="eastAsia"/>
                <w:color w:val="000000"/>
                <w:kern w:val="0"/>
              </w:rPr>
              <w:t>硬质容器和包装物及其支护结构堆叠码放时不应有明显变形，无破损泄漏。</w:t>
            </w:r>
          </w:p>
          <w:p>
            <w:pPr>
              <w:ind w:firstLine="480" w:firstLineChars="200"/>
              <w:rPr>
                <w:color w:val="000000"/>
                <w:kern w:val="0"/>
              </w:rPr>
            </w:pPr>
            <w:r>
              <w:rPr>
                <w:color w:val="000000"/>
                <w:kern w:val="0"/>
              </w:rPr>
              <w:t>④</w:t>
            </w:r>
            <w:r>
              <w:rPr>
                <w:rFonts w:hint="eastAsia"/>
                <w:color w:val="000000"/>
                <w:kern w:val="0"/>
              </w:rPr>
              <w:t>柔性容器和包装物堆叠码放时应封口严密，无破损泄漏。</w:t>
            </w:r>
          </w:p>
          <w:p>
            <w:pPr>
              <w:ind w:firstLine="480" w:firstLineChars="200"/>
              <w:rPr>
                <w:rFonts w:hint="eastAsia"/>
                <w:color w:val="000000"/>
                <w:kern w:val="0"/>
              </w:rPr>
            </w:pPr>
            <w:r>
              <w:rPr>
                <w:rFonts w:hint="eastAsia"/>
                <w:color w:val="000000"/>
                <w:kern w:val="0"/>
              </w:rPr>
              <w:t>⑤使用容器盛装液态、半固态危险废物时，容器内部应留有适当的空间，以适应因温度变化等可能引发的收缩和膨胀，防止其导致容器渗漏或永久变形。</w:t>
            </w:r>
          </w:p>
          <w:p>
            <w:pPr>
              <w:ind w:firstLine="480" w:firstLineChars="200"/>
              <w:rPr>
                <w:rFonts w:hint="eastAsia"/>
                <w:color w:val="000000"/>
                <w:kern w:val="0"/>
              </w:rPr>
            </w:pPr>
            <w:r>
              <w:rPr>
                <w:rFonts w:hint="eastAsia"/>
                <w:color w:val="000000"/>
                <w:kern w:val="0"/>
              </w:rPr>
              <w:t>⑥容器和包装物外表面应保持清洁。</w:t>
            </w:r>
          </w:p>
          <w:p>
            <w:pPr>
              <w:ind w:firstLine="482" w:firstLineChars="200"/>
              <w:rPr>
                <w:rFonts w:hint="eastAsia"/>
                <w:b/>
                <w:bCs/>
                <w:color w:val="000000"/>
                <w:kern w:val="0"/>
                <w:lang w:bidi="ar"/>
              </w:rPr>
            </w:pPr>
            <w:r>
              <w:rPr>
                <w:b/>
                <w:bCs/>
                <w:color w:val="000000"/>
                <w:kern w:val="0"/>
                <w:lang w:bidi="ar"/>
              </w:rPr>
              <w:t>危险废物贮存设施的运行与管理要求</w:t>
            </w:r>
            <w:r>
              <w:rPr>
                <w:rFonts w:hint="eastAsia"/>
                <w:b/>
                <w:bCs/>
                <w:color w:val="000000"/>
                <w:kern w:val="0"/>
                <w:lang w:bidi="ar"/>
              </w:rPr>
              <w:t>：</w:t>
            </w:r>
          </w:p>
          <w:p>
            <w:pPr>
              <w:ind w:firstLine="480" w:firstLineChars="200"/>
              <w:rPr>
                <w:color w:val="000000"/>
                <w:kern w:val="0"/>
                <w:lang w:bidi="ar"/>
              </w:rPr>
            </w:pPr>
            <w:r>
              <w:rPr>
                <w:color w:val="000000"/>
                <w:kern w:val="0"/>
                <w:lang w:bidi="ar"/>
              </w:rPr>
              <w:t>①危险废物存入贮存设施前应对危险废物类别和特性与危险废物标签等危险废物识别标志的一致性进行核验，不一致的或类别、特性不明的不应存入。</w:t>
            </w:r>
          </w:p>
          <w:p>
            <w:pPr>
              <w:ind w:firstLine="480" w:firstLineChars="200"/>
              <w:rPr>
                <w:color w:val="000000"/>
                <w:kern w:val="0"/>
                <w:lang w:bidi="ar"/>
              </w:rPr>
            </w:pPr>
            <w:r>
              <w:rPr>
                <w:color w:val="000000"/>
                <w:kern w:val="0"/>
                <w:lang w:bidi="ar"/>
              </w:rPr>
              <w:t>②应定期检查危险废物的贮存状况，及时清理贮存设施地面，更换破损泄漏的危险废物贮存容器和包装物，保证堆存危险废物的防雨、防风、防扬尘等设施功能完好。</w:t>
            </w:r>
          </w:p>
          <w:p>
            <w:pPr>
              <w:ind w:firstLine="480" w:firstLineChars="200"/>
              <w:rPr>
                <w:color w:val="000000"/>
                <w:kern w:val="0"/>
                <w:lang w:bidi="ar"/>
              </w:rPr>
            </w:pPr>
            <w:r>
              <w:rPr>
                <w:color w:val="000000"/>
                <w:kern w:val="0"/>
                <w:lang w:bidi="ar"/>
              </w:rPr>
              <w:t>③作业设备及车辆等结束作业离开贮存设施时，应对其残留的危险废物进行清理，清理的废物或清洗废水应收集处理。</w:t>
            </w:r>
          </w:p>
          <w:p>
            <w:pPr>
              <w:ind w:firstLine="480" w:firstLineChars="200"/>
              <w:rPr>
                <w:color w:val="000000"/>
                <w:kern w:val="0"/>
                <w:lang w:bidi="ar"/>
              </w:rPr>
            </w:pPr>
            <w:r>
              <w:rPr>
                <w:color w:val="000000"/>
                <w:kern w:val="0"/>
                <w:lang w:bidi="ar"/>
              </w:rPr>
              <w:t>④贮存设施运行期间，应按国家有关标准和规定建立危险废物管理台账并保存。</w:t>
            </w:r>
          </w:p>
          <w:p>
            <w:pPr>
              <w:ind w:firstLine="480" w:firstLineChars="200"/>
              <w:rPr>
                <w:color w:val="000000"/>
                <w:kern w:val="0"/>
                <w:lang w:bidi="ar"/>
              </w:rPr>
            </w:pPr>
            <w:r>
              <w:rPr>
                <w:color w:val="000000"/>
                <w:kern w:val="0"/>
                <w:lang w:bidi="ar"/>
              </w:rPr>
              <w:t>⑤贮存设施所有者或运营者应建立贮存设施环境管理制度、管理人员岗位职责制度、设施运行操作制度、人员岗位培训制度等。</w:t>
            </w:r>
          </w:p>
          <w:p>
            <w:pPr>
              <w:ind w:firstLine="480" w:firstLineChars="200"/>
              <w:rPr>
                <w:color w:val="000000"/>
                <w:kern w:val="0"/>
                <w:lang w:bidi="ar"/>
              </w:rPr>
            </w:pPr>
            <w:r>
              <w:rPr>
                <w:color w:val="000000"/>
                <w:kern w:val="0"/>
                <w:lang w:bidi="ar"/>
              </w:rPr>
              <w:t>⑥贮存设施所有者或运营者应依据国家土壤和地下水污染防治的有关规定，结合贮存设施特点建立土壤和地下水污染隐患排查制度，并定期开展隐患排查；发现隐患应及时采取措施消除隐患，并建立档案。</w:t>
            </w:r>
          </w:p>
          <w:p>
            <w:pPr>
              <w:ind w:firstLine="480" w:firstLineChars="200"/>
              <w:rPr>
                <w:color w:val="000000"/>
                <w:kern w:val="0"/>
                <w:lang w:bidi="ar"/>
              </w:rPr>
            </w:pPr>
            <w:r>
              <w:rPr>
                <w:color w:val="000000"/>
                <w:kern w:val="0"/>
                <w:lang w:bidi="ar"/>
              </w:rPr>
              <w:t>⑦贮存设施所有者或运营者应建立贮存设施全部档案，包括设计、施工、验收、运行、监测和环境应急等，应按国家有关档案管理的法律法规进行整理和归档。</w:t>
            </w:r>
          </w:p>
          <w:p>
            <w:pPr>
              <w:ind w:firstLine="482" w:firstLineChars="200"/>
              <w:rPr>
                <w:rFonts w:hint="eastAsia"/>
                <w:b/>
                <w:bCs/>
                <w:color w:val="000000"/>
                <w:kern w:val="0"/>
                <w:lang w:bidi="ar"/>
              </w:rPr>
            </w:pPr>
            <w:r>
              <w:rPr>
                <w:b/>
                <w:bCs/>
                <w:color w:val="000000"/>
                <w:kern w:val="0"/>
                <w:lang w:bidi="ar"/>
              </w:rPr>
              <w:t>危险废物贮存设施的安全防护要求</w:t>
            </w:r>
            <w:r>
              <w:rPr>
                <w:rFonts w:hint="eastAsia"/>
                <w:b/>
                <w:bCs/>
                <w:color w:val="000000"/>
                <w:kern w:val="0"/>
                <w:lang w:bidi="ar"/>
              </w:rPr>
              <w:t>：</w:t>
            </w:r>
          </w:p>
          <w:p>
            <w:pPr>
              <w:ind w:firstLine="480" w:firstLineChars="200"/>
              <w:rPr>
                <w:color w:val="000000"/>
                <w:kern w:val="0"/>
                <w:lang w:bidi="ar"/>
              </w:rPr>
            </w:pPr>
            <w:r>
              <w:rPr>
                <w:color w:val="000000"/>
                <w:kern w:val="0"/>
                <w:lang w:bidi="ar"/>
              </w:rPr>
              <w:t>①危险废物贮存设施都必须按GB15562.2</w:t>
            </w:r>
            <w:r>
              <w:rPr>
                <w:rFonts w:hint="eastAsia"/>
                <w:color w:val="000000"/>
                <w:kern w:val="0"/>
                <w:lang w:val="en-US" w:eastAsia="zh-CN" w:bidi="ar"/>
              </w:rPr>
              <w:t>及修改单</w:t>
            </w:r>
            <w:r>
              <w:rPr>
                <w:color w:val="000000"/>
                <w:kern w:val="0"/>
                <w:lang w:bidi="ar"/>
              </w:rPr>
              <w:t>的规定设置警示标志。</w:t>
            </w:r>
          </w:p>
          <w:p>
            <w:pPr>
              <w:ind w:firstLine="480" w:firstLineChars="200"/>
              <w:rPr>
                <w:color w:val="000000"/>
                <w:kern w:val="0"/>
                <w:lang w:bidi="ar"/>
              </w:rPr>
            </w:pPr>
            <w:r>
              <w:rPr>
                <w:color w:val="000000"/>
                <w:kern w:val="0"/>
                <w:lang w:bidi="ar"/>
              </w:rPr>
              <w:t>②危险废物贮存设施周围应设置围墙或其</w:t>
            </w:r>
            <w:r>
              <w:rPr>
                <w:rFonts w:hint="eastAsia"/>
                <w:color w:val="000000"/>
                <w:kern w:val="0"/>
                <w:lang w:val="en-US" w:eastAsia="zh-CN" w:bidi="ar"/>
              </w:rPr>
              <w:t>他</w:t>
            </w:r>
            <w:r>
              <w:rPr>
                <w:color w:val="000000"/>
                <w:kern w:val="0"/>
                <w:lang w:bidi="ar"/>
              </w:rPr>
              <w:t>防护栅栏。</w:t>
            </w:r>
          </w:p>
          <w:p>
            <w:pPr>
              <w:ind w:firstLine="480" w:firstLineChars="200"/>
              <w:rPr>
                <w:color w:val="000000"/>
                <w:kern w:val="0"/>
                <w:lang w:bidi="ar"/>
              </w:rPr>
            </w:pPr>
            <w:r>
              <w:rPr>
                <w:color w:val="000000"/>
                <w:kern w:val="0"/>
                <w:lang w:bidi="ar"/>
              </w:rPr>
              <w:t>③危险废物贮存设施应配备通讯设备、照明设施、安全防护服装及工具，并设有应急防护设施。</w:t>
            </w:r>
          </w:p>
          <w:p>
            <w:pPr>
              <w:ind w:firstLine="480" w:firstLineChars="200"/>
              <w:rPr>
                <w:color w:val="000000"/>
                <w:kern w:val="0"/>
                <w:lang w:bidi="ar"/>
              </w:rPr>
            </w:pPr>
            <w:r>
              <w:rPr>
                <w:color w:val="000000"/>
                <w:kern w:val="0"/>
                <w:lang w:bidi="ar"/>
              </w:rPr>
              <w:t>④危险废物贮存设施内清理出来的泄漏物，一律按危险废物处理。</w:t>
            </w:r>
          </w:p>
          <w:p>
            <w:pPr>
              <w:ind w:firstLine="482" w:firstLineChars="200"/>
              <w:rPr>
                <w:b/>
                <w:bCs/>
                <w:color w:val="000000"/>
                <w:kern w:val="0"/>
              </w:rPr>
            </w:pPr>
            <w:r>
              <w:rPr>
                <w:b/>
                <w:bCs/>
                <w:color w:val="000000"/>
                <w:kern w:val="0"/>
              </w:rPr>
              <w:t>危险废物的转运要求：</w:t>
            </w:r>
          </w:p>
          <w:p>
            <w:pPr>
              <w:ind w:firstLine="480" w:firstLineChars="200"/>
              <w:rPr>
                <w:color w:val="000000"/>
                <w:kern w:val="0"/>
              </w:rPr>
            </w:pPr>
            <w:r>
              <w:rPr>
                <w:color w:val="000000"/>
                <w:kern w:val="0"/>
              </w:rPr>
              <w:t>危险废物应按照国家有关规定向当地环境保护行政主管部门申报登记，接受当地环境保护行政主管部门监督管理。在危险废物外运至处置单位时必须严格遵守以下要求：</w:t>
            </w:r>
          </w:p>
          <w:p>
            <w:pPr>
              <w:ind w:firstLine="480" w:firstLineChars="200"/>
              <w:rPr>
                <w:color w:val="000000"/>
                <w:kern w:val="0"/>
              </w:rPr>
            </w:pPr>
            <w:r>
              <w:rPr>
                <w:color w:val="000000"/>
                <w:kern w:val="0"/>
              </w:rPr>
              <w:t>①做好每次外运处置废弃物的运输登记，</w:t>
            </w:r>
            <w:r>
              <w:rPr>
                <w:rFonts w:hint="eastAsia"/>
                <w:color w:val="000000"/>
                <w:kern w:val="0"/>
              </w:rPr>
              <w:t>做好危险废物电子转移联单工作</w:t>
            </w:r>
            <w:r>
              <w:rPr>
                <w:color w:val="000000"/>
                <w:kern w:val="0"/>
              </w:rPr>
              <w:t>。</w:t>
            </w:r>
          </w:p>
          <w:p>
            <w:pPr>
              <w:ind w:firstLine="480" w:firstLineChars="200"/>
              <w:rPr>
                <w:color w:val="000000"/>
                <w:kern w:val="0"/>
              </w:rPr>
            </w:pPr>
            <w:r>
              <w:rPr>
                <w:color w:val="000000"/>
                <w:kern w:val="0"/>
              </w:rPr>
              <w:t>②废弃物处置单位的运输人员必须掌握危险化学品运输的安全知识，化学品的性质、危害特性、包装容器的使用特性和发生意外时的应急措施了解所运载的危险。运输车辆必须具有车辆危险货物运输许可证。</w:t>
            </w:r>
          </w:p>
          <w:p>
            <w:pPr>
              <w:ind w:firstLine="480" w:firstLineChars="200"/>
              <w:rPr>
                <w:color w:val="000000"/>
                <w:kern w:val="0"/>
              </w:rPr>
            </w:pPr>
            <w:r>
              <w:rPr>
                <w:color w:val="000000"/>
                <w:kern w:val="0"/>
              </w:rPr>
              <w:t>③处置单位在运输危险废物时必须配备押运人员，并随时处于押运人员的监管之下，不得超装、超载，严格按照所在城市规定的行车时间和行车路线行驶，不得进入危险化学品运输车辆禁止通行的区域。</w:t>
            </w:r>
          </w:p>
          <w:p>
            <w:pPr>
              <w:ind w:firstLine="480" w:firstLineChars="200"/>
              <w:rPr>
                <w:color w:val="000000"/>
                <w:kern w:val="0"/>
              </w:rPr>
            </w:pPr>
            <w:r>
              <w:rPr>
                <w:color w:val="000000"/>
                <w:kern w:val="0"/>
              </w:rPr>
              <w:t>④危险废物在运输途中若发生被盗、丢失、流散、泄漏等情况时，公司及押运人员必须立即向当地公安部门报告，并采取一切可能的警示措施。</w:t>
            </w:r>
          </w:p>
          <w:p>
            <w:pPr>
              <w:ind w:firstLine="480" w:firstLineChars="200"/>
              <w:rPr>
                <w:color w:val="000000"/>
                <w:kern w:val="0"/>
              </w:rPr>
            </w:pPr>
            <w:r>
              <w:rPr>
                <w:color w:val="000000"/>
                <w:kern w:val="0"/>
              </w:rPr>
              <w:t>⑤一旦发生废弃物泄漏事故，公司和废弃物处置单位都应积极协助有关部门采取必要的安全措施，减少事故损失，防止事故蔓延、扩大；针对事故对人体、动植物、土壤、水源、空气造成的现实危害和可能产生的危害，应迅速采取封闭、隔离、洗消等措施，并对事故造成的危害进行监测、处置，直至符合国家环境保护标准。</w:t>
            </w:r>
          </w:p>
          <w:p>
            <w:pPr>
              <w:pStyle w:val="6"/>
              <w:rPr>
                <w:rFonts w:hint="eastAsia" w:cs="Times New Roman"/>
                <w:b w:val="0"/>
                <w:bCs w:val="0"/>
                <w:sz w:val="24"/>
                <w:szCs w:val="24"/>
                <w:lang w:val="en-US" w:eastAsia="zh-CN"/>
              </w:rPr>
            </w:pPr>
            <w:r>
              <w:rPr>
                <w:rFonts w:hint="default" w:ascii="Times New Roman" w:hAnsi="Times New Roman" w:eastAsia="宋体" w:cs="Times New Roman"/>
                <w:b/>
                <w:bCs/>
                <w:sz w:val="24"/>
                <w:szCs w:val="24"/>
                <w:lang w:val="en-US" w:eastAsia="zh-CN"/>
              </w:rPr>
              <w:t>危险废物转移管理</w:t>
            </w:r>
            <w:r>
              <w:rPr>
                <w:rFonts w:hint="eastAsia" w:ascii="Times New Roman" w:hAnsi="Times New Roman" w:eastAsia="宋体" w:cs="Times New Roman"/>
                <w:b/>
                <w:bCs/>
                <w:sz w:val="24"/>
                <w:szCs w:val="24"/>
                <w:lang w:val="en-US" w:eastAsia="zh-CN"/>
              </w:rPr>
              <w:t>要求</w:t>
            </w:r>
            <w:r>
              <w:rPr>
                <w:rFonts w:hint="eastAsia" w:cs="Times New Roman"/>
                <w:b/>
                <w:bCs/>
                <w:sz w:val="24"/>
                <w:szCs w:val="24"/>
                <w:lang w:val="en-US" w:eastAsia="zh-CN"/>
              </w:rPr>
              <w:t>：</w:t>
            </w:r>
          </w:p>
          <w:p>
            <w:pPr>
              <w:ind w:firstLine="480" w:firstLineChars="200"/>
              <w:rPr>
                <w:color w:val="000000"/>
                <w:kern w:val="0"/>
              </w:rPr>
            </w:pPr>
            <w:r>
              <w:rPr>
                <w:color w:val="000000"/>
                <w:kern w:val="0"/>
              </w:rPr>
              <w:t>①危险废物转移联单应当根据危险废物管理计划中填报的危险废物转移等备案信息填写、运行。</w:t>
            </w:r>
          </w:p>
          <w:p>
            <w:pPr>
              <w:ind w:firstLine="480" w:firstLineChars="200"/>
              <w:rPr>
                <w:rFonts w:hint="eastAsia" w:eastAsia="宋体"/>
                <w:color w:val="000000"/>
                <w:kern w:val="0"/>
                <w:lang w:eastAsia="zh-CN"/>
              </w:rPr>
            </w:pPr>
            <w:r>
              <w:rPr>
                <w:color w:val="000000"/>
                <w:kern w:val="0"/>
              </w:rPr>
              <w:t>②移出人每转移一车（船或者其他运输工具）次同类危险废物，应当填写、运行一份危险废物转移联单；每车（船或者其他运输工具）次转移多类危险废物的，可以填写、运行一份危险废物转移联单，也可以每一类危险废物填写、运行一份危险废物转移联单</w:t>
            </w:r>
            <w:r>
              <w:rPr>
                <w:rFonts w:hint="eastAsia"/>
                <w:color w:val="000000"/>
                <w:kern w:val="0"/>
                <w:lang w:eastAsia="zh-CN"/>
              </w:rPr>
              <w:t>。使用同一车（船或者其他运输工具）一次为多个移出人转移危险废物的，每个移出人应当分别填写、运行危险废物转移联单。</w:t>
            </w:r>
          </w:p>
          <w:p>
            <w:pPr>
              <w:ind w:firstLine="480" w:firstLineChars="200"/>
              <w:rPr>
                <w:color w:val="000000"/>
                <w:kern w:val="0"/>
              </w:rPr>
            </w:pPr>
            <w:r>
              <w:rPr>
                <w:color w:val="000000"/>
                <w:kern w:val="0"/>
              </w:rPr>
              <w:t>③抵的危险废物的名称、数量、特性、形态、包装方式与危险废物转移联单填写内容不符的，接受人应当及时告知移出人，视情况决定是否接受，同时向接受地生态环境主管部门报告。</w:t>
            </w:r>
          </w:p>
          <w:p>
            <w:pPr>
              <w:pStyle w:val="7"/>
              <w:rPr>
                <w:color w:val="000000"/>
                <w:kern w:val="0"/>
              </w:rPr>
            </w:pPr>
            <w:r>
              <w:rPr>
                <w:color w:val="000000"/>
                <w:kern w:val="0"/>
              </w:rPr>
              <w:t>④对不通过车（船或者其他运输工具），且无法按次对危险废物计量的其他方式转移危险废物的，移出人和</w:t>
            </w:r>
            <w:r>
              <w:rPr>
                <w:rFonts w:hint="eastAsia"/>
                <w:color w:val="000000"/>
                <w:kern w:val="0"/>
                <w:lang w:eastAsia="zh-CN"/>
              </w:rPr>
              <w:t>接收</w:t>
            </w:r>
            <w:r>
              <w:rPr>
                <w:color w:val="000000"/>
                <w:kern w:val="0"/>
              </w:rPr>
              <w:t>人应当分别配备计量记录设备，将每天危险废物转移的种类、重量（数量）、形态和危险特性等信息纳入相关台账记录，并根据所在地设区的市级以上地方生态环境主管部门的要求填写、运行危险废物转移联单。</w:t>
            </w:r>
          </w:p>
          <w:p>
            <w:pPr>
              <w:pStyle w:val="7"/>
            </w:pPr>
            <w:r>
              <w:rPr>
                <w:color w:val="000000"/>
                <w:kern w:val="0"/>
              </w:rPr>
              <w:t>⑤危险废物电子转移联单数据应当在信息系统中至少保存十年。</w:t>
            </w:r>
          </w:p>
          <w:p>
            <w:pPr>
              <w:spacing w:line="360" w:lineRule="auto"/>
              <w:rPr>
                <w:rFonts w:hint="default" w:ascii="Times New Roman" w:hAnsi="Times New Roman" w:eastAsia="宋体" w:cs="Times New Roman"/>
                <w:b/>
                <w:bCs/>
                <w:color w:val="000000"/>
                <w:spacing w:val="0"/>
                <w:kern w:val="0"/>
                <w:sz w:val="24"/>
              </w:rPr>
            </w:pPr>
            <w:r>
              <w:rPr>
                <w:rFonts w:hint="eastAsia" w:ascii="Times New Roman" w:hAnsi="Times New Roman" w:eastAsia="宋体" w:cs="Times New Roman"/>
                <w:b/>
                <w:bCs/>
                <w:color w:val="000000"/>
                <w:spacing w:val="0"/>
                <w:kern w:val="0"/>
                <w:sz w:val="24"/>
              </w:rPr>
              <w:t>固体废物汇总</w:t>
            </w:r>
          </w:p>
          <w:p>
            <w:pPr>
              <w:spacing w:line="360" w:lineRule="auto"/>
              <w:ind w:firstLine="480" w:firstLineChars="200"/>
              <w:rPr>
                <w:rFonts w:hint="default" w:ascii="Times New Roman" w:hAnsi="Times New Roman" w:eastAsia="宋体" w:cs="Times New Roman"/>
                <w:color w:val="000000"/>
                <w:spacing w:val="0"/>
                <w:kern w:val="0"/>
                <w:sz w:val="24"/>
                <w:lang w:val="en-US" w:eastAsia="zh-CN"/>
              </w:rPr>
            </w:pPr>
            <w:r>
              <w:rPr>
                <w:rFonts w:hint="eastAsia" w:ascii="Times New Roman" w:hAnsi="Times New Roman" w:eastAsia="宋体" w:cs="Times New Roman"/>
                <w:color w:val="000000"/>
                <w:spacing w:val="0"/>
                <w:kern w:val="0"/>
                <w:sz w:val="24"/>
                <w:lang w:val="en-US" w:eastAsia="zh-CN"/>
              </w:rPr>
              <w:t>本项目固体废物汇总表见表</w:t>
            </w:r>
            <w:r>
              <w:rPr>
                <w:rFonts w:hint="eastAsia" w:cs="Times New Roman"/>
                <w:color w:val="000000"/>
                <w:spacing w:val="0"/>
                <w:kern w:val="0"/>
                <w:sz w:val="24"/>
                <w:lang w:val="en-US" w:eastAsia="zh-CN"/>
              </w:rPr>
              <w:t>4-12</w:t>
            </w:r>
            <w:r>
              <w:rPr>
                <w:rFonts w:hint="eastAsia" w:ascii="Times New Roman" w:hAnsi="Times New Roman" w:eastAsia="宋体" w:cs="Times New Roman"/>
                <w:color w:val="000000"/>
                <w:spacing w:val="0"/>
                <w:kern w:val="0"/>
                <w:sz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ascii="Times New Roman" w:hAnsi="Times New Roman" w:eastAsia="宋体" w:cs="Times New Roman"/>
                <w:b/>
                <w:bCs/>
                <w:color w:val="000000"/>
                <w:spacing w:val="0"/>
                <w:kern w:val="0"/>
                <w:sz w:val="21"/>
                <w:szCs w:val="21"/>
              </w:rPr>
            </w:pPr>
            <w:r>
              <w:rPr>
                <w:rFonts w:ascii="Times New Roman" w:hAnsi="Times New Roman" w:eastAsia="宋体" w:cs="Times New Roman"/>
                <w:b/>
                <w:bCs/>
                <w:color w:val="000000"/>
                <w:spacing w:val="0"/>
                <w:kern w:val="0"/>
                <w:sz w:val="21"/>
                <w:szCs w:val="21"/>
              </w:rPr>
              <w:t>表</w:t>
            </w:r>
            <w:r>
              <w:rPr>
                <w:rFonts w:hint="eastAsia" w:cs="Times New Roman"/>
                <w:b/>
                <w:bCs/>
                <w:color w:val="000000"/>
                <w:spacing w:val="0"/>
                <w:kern w:val="0"/>
                <w:sz w:val="21"/>
                <w:szCs w:val="21"/>
                <w:lang w:val="en-US" w:eastAsia="zh-CN"/>
              </w:rPr>
              <w:t>4-12</w:t>
            </w:r>
            <w:r>
              <w:rPr>
                <w:rFonts w:ascii="Times New Roman" w:hAnsi="Times New Roman" w:eastAsia="宋体" w:cs="Times New Roman"/>
                <w:b/>
                <w:bCs/>
                <w:color w:val="000000"/>
                <w:spacing w:val="0"/>
                <w:kern w:val="0"/>
                <w:sz w:val="21"/>
                <w:szCs w:val="21"/>
              </w:rPr>
              <w:t xml:space="preserve">             </w:t>
            </w:r>
            <w:r>
              <w:rPr>
                <w:rFonts w:hint="eastAsia" w:ascii="Times New Roman" w:hAnsi="Times New Roman" w:eastAsia="宋体" w:cs="Times New Roman"/>
                <w:b/>
                <w:bCs/>
                <w:color w:val="000000"/>
                <w:spacing w:val="0"/>
                <w:kern w:val="0"/>
                <w:sz w:val="21"/>
                <w:szCs w:val="21"/>
                <w:lang w:val="en-US" w:eastAsia="zh-CN"/>
              </w:rPr>
              <w:t>固体</w:t>
            </w:r>
            <w:r>
              <w:rPr>
                <w:rFonts w:ascii="Times New Roman" w:hAnsi="Times New Roman" w:eastAsia="宋体" w:cs="Times New Roman"/>
                <w:b/>
                <w:bCs/>
                <w:color w:val="000000"/>
                <w:spacing w:val="0"/>
                <w:kern w:val="0"/>
                <w:sz w:val="21"/>
                <w:szCs w:val="21"/>
              </w:rPr>
              <w:t>废物产生及处置情况一览表</w:t>
            </w:r>
          </w:p>
          <w:tbl>
            <w:tblPr>
              <w:tblStyle w:val="27"/>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55"/>
              <w:gridCol w:w="899"/>
              <w:gridCol w:w="553"/>
              <w:gridCol w:w="1313"/>
              <w:gridCol w:w="664"/>
              <w:gridCol w:w="867"/>
              <w:gridCol w:w="921"/>
              <w:gridCol w:w="878"/>
              <w:gridCol w:w="911"/>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工序/生产线</w:t>
                  </w:r>
                </w:p>
              </w:tc>
              <w:tc>
                <w:tcPr>
                  <w:tcW w:w="50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装置</w:t>
                  </w:r>
                </w:p>
              </w:tc>
              <w:tc>
                <w:tcPr>
                  <w:tcW w:w="530"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固体废物名称</w:t>
                  </w:r>
                </w:p>
              </w:tc>
              <w:tc>
                <w:tcPr>
                  <w:tcW w:w="326"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固废属性</w:t>
                  </w:r>
                </w:p>
              </w:tc>
              <w:tc>
                <w:tcPr>
                  <w:tcW w:w="774"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固废代码</w:t>
                  </w:r>
                </w:p>
              </w:tc>
              <w:tc>
                <w:tcPr>
                  <w:tcW w:w="903"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产生情况</w:t>
                  </w:r>
                </w:p>
              </w:tc>
              <w:tc>
                <w:tcPr>
                  <w:tcW w:w="1061"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处置措施</w:t>
                  </w:r>
                </w:p>
              </w:tc>
              <w:tc>
                <w:tcPr>
                  <w:tcW w:w="53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最终去向</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3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26"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774"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3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核算方法</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产生量（t/a）</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工艺</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处置量（t/a）</w:t>
                  </w:r>
                </w:p>
              </w:tc>
              <w:tc>
                <w:tcPr>
                  <w:tcW w:w="5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废包装袋</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废包装袋</w:t>
                  </w:r>
                </w:p>
              </w:tc>
              <w:tc>
                <w:tcPr>
                  <w:tcW w:w="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一般固废</w:t>
                  </w:r>
                </w:p>
              </w:tc>
              <w:tc>
                <w:tcPr>
                  <w:tcW w:w="7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900-003-S17</w:t>
                  </w:r>
                </w:p>
              </w:tc>
              <w:tc>
                <w:tcPr>
                  <w:tcW w:w="39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rPr>
                    <w:t>0.5</w:t>
                  </w:r>
                </w:p>
              </w:tc>
              <w:tc>
                <w:tcPr>
                  <w:tcW w:w="54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bidi="ar-SA"/>
                    </w:rPr>
                    <w:t>交由一般固废处置单位进行处理</w:t>
                  </w:r>
                </w:p>
              </w:tc>
              <w:tc>
                <w:tcPr>
                  <w:tcW w:w="5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ascii="Times New Roman" w:hAnsi="Times New Roman" w:eastAsia="宋体" w:cs="Times New Roman"/>
                      <w:color w:val="000000"/>
                      <w:spacing w:val="0"/>
                      <w:kern w:val="0"/>
                      <w:sz w:val="21"/>
                      <w:szCs w:val="21"/>
                      <w:lang w:val="en-US" w:eastAsia="zh-CN"/>
                    </w:rPr>
                    <w:t>0.5</w:t>
                  </w:r>
                </w:p>
              </w:tc>
              <w:tc>
                <w:tcPr>
                  <w:tcW w:w="5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bidi="ar-SA"/>
                    </w:rPr>
                    <w:t>交由一般固废处置单位进行处理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废边角料</w:t>
                  </w:r>
                  <w:r>
                    <w:rPr>
                      <w:rFonts w:hint="eastAsia" w:cs="Times New Roman"/>
                      <w:color w:val="000000"/>
                      <w:spacing w:val="0"/>
                      <w:kern w:val="0"/>
                      <w:sz w:val="21"/>
                      <w:szCs w:val="21"/>
                      <w:lang w:val="en-US" w:eastAsia="zh-CN"/>
                    </w:rPr>
                    <w:t>、不合格产品</w:t>
                  </w:r>
                </w:p>
              </w:tc>
              <w:tc>
                <w:tcPr>
                  <w:tcW w:w="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一般固废</w:t>
                  </w:r>
                </w:p>
              </w:tc>
              <w:tc>
                <w:tcPr>
                  <w:tcW w:w="7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900-003-S17</w:t>
                  </w:r>
                </w:p>
              </w:tc>
              <w:tc>
                <w:tcPr>
                  <w:tcW w:w="39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2.0</w:t>
                  </w:r>
                </w:p>
              </w:tc>
              <w:tc>
                <w:tcPr>
                  <w:tcW w:w="543"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bidi="ar-SA"/>
                    </w:rPr>
                    <w:t>交由一般固废处置单位进行处理</w:t>
                  </w:r>
                </w:p>
              </w:tc>
              <w:tc>
                <w:tcPr>
                  <w:tcW w:w="518"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2.0</w:t>
                  </w:r>
                </w:p>
              </w:tc>
              <w:tc>
                <w:tcPr>
                  <w:tcW w:w="53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bidi="ar-SA"/>
                    </w:rPr>
                    <w:t>交由一般固废处置单位进行处理</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highlight w:val="none"/>
                      <w:lang w:val="en-US" w:eastAsia="zh-CN"/>
                    </w:rPr>
                    <w:t>二级活性炭装置</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废活性炭</w:t>
                  </w:r>
                </w:p>
              </w:tc>
              <w:tc>
                <w:tcPr>
                  <w:tcW w:w="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危险废物</w:t>
                  </w:r>
                </w:p>
              </w:tc>
              <w:tc>
                <w:tcPr>
                  <w:tcW w:w="7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900-039-49</w:t>
                  </w:r>
                </w:p>
              </w:tc>
              <w:tc>
                <w:tcPr>
                  <w:tcW w:w="3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sz w:val="21"/>
                      <w:szCs w:val="21"/>
                      <w:vertAlign w:val="baseline"/>
                      <w:lang w:val="en-US" w:eastAsia="zh-CN"/>
                    </w:rPr>
                    <w:t>1.872</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eastAsia" w:cs="Times New Roman"/>
                      <w:sz w:val="21"/>
                      <w:szCs w:val="21"/>
                      <w:vertAlign w:val="baseline"/>
                      <w:lang w:val="en-US" w:eastAsia="zh-CN"/>
                    </w:rPr>
                    <w:t>1.872</w:t>
                  </w:r>
                </w:p>
              </w:tc>
              <w:tc>
                <w:tcPr>
                  <w:tcW w:w="537" w:type="pct"/>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委托有资质单位处置</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机械设备</w:t>
                  </w:r>
                </w:p>
              </w:tc>
              <w:tc>
                <w:tcPr>
                  <w:tcW w:w="530"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废油桶</w:t>
                  </w:r>
                </w:p>
              </w:tc>
              <w:tc>
                <w:tcPr>
                  <w:tcW w:w="326"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危险废物</w:t>
                  </w:r>
                </w:p>
              </w:tc>
              <w:tc>
                <w:tcPr>
                  <w:tcW w:w="774"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default" w:ascii="Times New Roman" w:hAnsi="Times New Roman" w:cs="Times New Roman"/>
                      <w:b w:val="0"/>
                      <w:bCs/>
                      <w:sz w:val="21"/>
                      <w:szCs w:val="21"/>
                      <w:vertAlign w:val="baseline"/>
                      <w:lang w:val="en-US" w:eastAsia="zh-CN"/>
                    </w:rPr>
                    <w:t>900-249-08</w:t>
                  </w:r>
                </w:p>
              </w:tc>
              <w:tc>
                <w:tcPr>
                  <w:tcW w:w="39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bidi="ar-SA"/>
                    </w:rPr>
                  </w:pPr>
                  <w:r>
                    <w:rPr>
                      <w:rFonts w:hint="default"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sz w:val="21"/>
                      <w:szCs w:val="21"/>
                      <w:lang w:val="en-US" w:eastAsia="zh-CN" w:bidi="ar-SA"/>
                    </w:rPr>
                  </w:pPr>
                  <w:r>
                    <w:rPr>
                      <w:rFonts w:hint="eastAsia" w:cs="Times New Roman"/>
                      <w:color w:val="000000"/>
                      <w:spacing w:val="0"/>
                      <w:kern w:val="0"/>
                      <w:sz w:val="21"/>
                      <w:szCs w:val="21"/>
                      <w:lang w:val="en-US" w:eastAsia="zh-CN"/>
                    </w:rPr>
                    <w:t>0.1</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0.1</w:t>
                  </w:r>
                </w:p>
              </w:tc>
              <w:tc>
                <w:tcPr>
                  <w:tcW w:w="5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机械设备</w:t>
                  </w:r>
                </w:p>
              </w:tc>
              <w:tc>
                <w:tcPr>
                  <w:tcW w:w="530"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废润滑油</w:t>
                  </w:r>
                </w:p>
              </w:tc>
              <w:tc>
                <w:tcPr>
                  <w:tcW w:w="326"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危险废物</w:t>
                  </w:r>
                </w:p>
              </w:tc>
              <w:tc>
                <w:tcPr>
                  <w:tcW w:w="7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900-217-08</w:t>
                  </w:r>
                </w:p>
              </w:tc>
              <w:tc>
                <w:tcPr>
                  <w:tcW w:w="3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0.</w:t>
                  </w:r>
                  <w:r>
                    <w:rPr>
                      <w:rFonts w:hint="eastAsia" w:cs="Times New Roman"/>
                      <w:color w:val="000000"/>
                      <w:spacing w:val="0"/>
                      <w:kern w:val="0"/>
                      <w:sz w:val="21"/>
                      <w:szCs w:val="21"/>
                      <w:lang w:val="en-US" w:eastAsia="zh-CN"/>
                    </w:rPr>
                    <w:t>5</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ascii="Times New Roman" w:hAnsi="Times New Roman" w:eastAsia="宋体" w:cs="Times New Roman"/>
                      <w:color w:val="000000"/>
                      <w:spacing w:val="0"/>
                      <w:kern w:val="0"/>
                      <w:sz w:val="21"/>
                      <w:szCs w:val="21"/>
                      <w:lang w:val="en-US" w:eastAsia="zh-CN"/>
                    </w:rPr>
                    <w:t>0.</w:t>
                  </w:r>
                  <w:r>
                    <w:rPr>
                      <w:rFonts w:hint="eastAsia" w:cs="Times New Roman"/>
                      <w:color w:val="000000"/>
                      <w:spacing w:val="0"/>
                      <w:kern w:val="0"/>
                      <w:sz w:val="21"/>
                      <w:szCs w:val="21"/>
                      <w:lang w:val="en-US" w:eastAsia="zh-CN"/>
                    </w:rPr>
                    <w:t>5</w:t>
                  </w:r>
                </w:p>
              </w:tc>
              <w:tc>
                <w:tcPr>
                  <w:tcW w:w="5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360"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c>
                <w:tcPr>
                  <w:tcW w:w="50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机械设备</w:t>
                  </w:r>
                </w:p>
              </w:tc>
              <w:tc>
                <w:tcPr>
                  <w:tcW w:w="530" w:type="pct"/>
                  <w:tcBorders>
                    <w:tl2br w:val="nil"/>
                    <w:tr2bl w:val="nil"/>
                  </w:tcBorders>
                  <w:shd w:val="clear" w:color="auto" w:fill="auto"/>
                  <w:noWrap w:val="0"/>
                  <w:vAlign w:val="center"/>
                </w:tcPr>
                <w:p>
                  <w:pPr>
                    <w:pStyle w:val="33"/>
                    <w:ind w:left="0" w:leftChars="0" w:right="0" w:rightChars="0" w:firstLine="0" w:firstLineChars="0"/>
                    <w:jc w:val="center"/>
                    <w:rPr>
                      <w:rFonts w:hint="eastAsia" w:ascii="Times New Roman" w:hAnsi="Times New Roman" w:eastAsia="宋体" w:cs="Times New Roman"/>
                      <w:b w:val="0"/>
                      <w:bCs/>
                      <w:color w:val="000000"/>
                      <w:kern w:val="0"/>
                      <w:sz w:val="21"/>
                      <w:szCs w:val="21"/>
                      <w:vertAlign w:val="baseline"/>
                      <w:lang w:val="en-US" w:eastAsia="zh-CN" w:bidi="ar"/>
                    </w:rPr>
                  </w:pPr>
                  <w:r>
                    <w:rPr>
                      <w:rFonts w:hint="default" w:ascii="Times New Roman" w:hAnsi="Times New Roman" w:cs="Times New Roman"/>
                      <w:b w:val="0"/>
                      <w:bCs/>
                      <w:sz w:val="21"/>
                      <w:szCs w:val="21"/>
                      <w:vertAlign w:val="baseline"/>
                      <w:lang w:val="en-US" w:eastAsia="zh-CN"/>
                    </w:rPr>
                    <w:t>沾染含油污泥的废手套、废抹布</w:t>
                  </w:r>
                </w:p>
              </w:tc>
              <w:tc>
                <w:tcPr>
                  <w:tcW w:w="326"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color w:val="000000"/>
                      <w:spacing w:val="0"/>
                      <w:kern w:val="0"/>
                      <w:sz w:val="21"/>
                      <w:szCs w:val="21"/>
                      <w:lang w:val="en-US" w:eastAsia="zh-CN"/>
                    </w:rPr>
                    <w:t>危险废物</w:t>
                  </w:r>
                </w:p>
              </w:tc>
              <w:tc>
                <w:tcPr>
                  <w:tcW w:w="774" w:type="pct"/>
                  <w:tcBorders>
                    <w:tl2br w:val="nil"/>
                    <w:tr2bl w:val="nil"/>
                  </w:tcBorders>
                  <w:shd w:val="clear" w:color="auto" w:fill="auto"/>
                  <w:noWrap w:val="0"/>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b w:val="0"/>
                      <w:bCs/>
                      <w:kern w:val="2"/>
                      <w:sz w:val="21"/>
                      <w:szCs w:val="21"/>
                      <w:vertAlign w:val="baseline"/>
                      <w:lang w:val="en-US" w:eastAsia="zh-CN" w:bidi="ar-SA"/>
                    </w:rPr>
                  </w:pPr>
                  <w:r>
                    <w:rPr>
                      <w:rFonts w:hint="default" w:ascii="Times New Roman" w:hAnsi="Times New Roman" w:eastAsia="宋体" w:cs="Times New Roman"/>
                      <w:sz w:val="21"/>
                      <w:szCs w:val="21"/>
                    </w:rPr>
                    <w:t>900-041-49</w:t>
                  </w:r>
                </w:p>
              </w:tc>
              <w:tc>
                <w:tcPr>
                  <w:tcW w:w="39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类比法</w:t>
                  </w:r>
                </w:p>
              </w:tc>
              <w:tc>
                <w:tcPr>
                  <w:tcW w:w="511"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0.01</w:t>
                  </w:r>
                </w:p>
              </w:tc>
              <w:tc>
                <w:tcPr>
                  <w:tcW w:w="54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default" w:ascii="Times New Roman" w:hAnsi="Times New Roman" w:eastAsia="宋体" w:cs="Times New Roman"/>
                      <w:color w:val="000000"/>
                      <w:spacing w:val="0"/>
                      <w:kern w:val="0"/>
                      <w:sz w:val="21"/>
                      <w:szCs w:val="21"/>
                      <w:lang w:val="en-US" w:eastAsia="zh-CN"/>
                    </w:rPr>
                    <w:t>暂存于</w:t>
                  </w:r>
                  <w:r>
                    <w:rPr>
                      <w:rFonts w:hint="eastAsia" w:cs="Times New Roman"/>
                      <w:color w:val="000000"/>
                      <w:spacing w:val="0"/>
                      <w:kern w:val="0"/>
                      <w:sz w:val="21"/>
                      <w:szCs w:val="21"/>
                      <w:lang w:val="en-US" w:eastAsia="zh-CN"/>
                    </w:rPr>
                    <w:t>危险废物贮存库</w:t>
                  </w:r>
                </w:p>
              </w:tc>
              <w:tc>
                <w:tcPr>
                  <w:tcW w:w="5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0.01</w:t>
                  </w:r>
                </w:p>
              </w:tc>
              <w:tc>
                <w:tcPr>
                  <w:tcW w:w="537"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p>
              </w:tc>
            </w:tr>
          </w:tbl>
          <w:p>
            <w:pPr>
              <w:rPr>
                <w:b/>
                <w:bCs/>
                <w:color w:val="000000"/>
              </w:rPr>
            </w:pPr>
            <w:r>
              <w:rPr>
                <w:b/>
                <w:bCs/>
                <w:color w:val="000000"/>
              </w:rPr>
              <w:t>5</w:t>
            </w:r>
            <w:r>
              <w:rPr>
                <w:rFonts w:hint="default"/>
                <w:b/>
                <w:bCs/>
                <w:color w:val="000000"/>
                <w:lang w:val="en-US" w:eastAsia="zh-CN"/>
              </w:rPr>
              <w:t>地</w:t>
            </w:r>
            <w:r>
              <w:rPr>
                <w:rFonts w:hint="eastAsia"/>
                <w:b/>
                <w:bCs/>
                <w:color w:val="000000"/>
                <w:lang w:val="en-US" w:eastAsia="zh-CN"/>
              </w:rPr>
              <w:t>下水、土壤影响分析</w:t>
            </w:r>
          </w:p>
          <w:p>
            <w:pPr>
              <w:ind w:firstLine="480" w:firstLineChars="200"/>
              <w:rPr>
                <w:color w:val="000000"/>
              </w:rPr>
            </w:pPr>
            <w:r>
              <w:rPr>
                <w:color w:val="000000"/>
              </w:rPr>
              <w:t>本项目</w:t>
            </w:r>
            <w:r>
              <w:rPr>
                <w:rFonts w:hint="eastAsia"/>
                <w:color w:val="000000"/>
              </w:rPr>
              <w:t>正常工况下不存在污染途径，非正</w:t>
            </w:r>
            <w:r>
              <w:rPr>
                <w:rFonts w:hint="eastAsia"/>
                <w:color w:val="000000"/>
                <w:lang w:val="en-US" w:eastAsia="zh-CN"/>
              </w:rPr>
              <w:t>常</w:t>
            </w:r>
            <w:r>
              <w:rPr>
                <w:rFonts w:hint="eastAsia"/>
                <w:color w:val="000000"/>
              </w:rPr>
              <w:t>工况下</w:t>
            </w:r>
            <w:r>
              <w:rPr>
                <w:color w:val="000000"/>
              </w:rPr>
              <w:t>可能对地下水</w:t>
            </w:r>
            <w:r>
              <w:rPr>
                <w:rFonts w:hint="eastAsia"/>
                <w:color w:val="000000"/>
                <w:lang w:eastAsia="zh-CN"/>
              </w:rPr>
              <w:t>、</w:t>
            </w:r>
            <w:r>
              <w:rPr>
                <w:rFonts w:hint="eastAsia"/>
                <w:color w:val="000000"/>
                <w:lang w:val="en-US" w:eastAsia="zh-CN"/>
              </w:rPr>
              <w:t>土壤</w:t>
            </w:r>
            <w:r>
              <w:rPr>
                <w:color w:val="000000"/>
              </w:rPr>
              <w:t>环境产生的影响为生活</w:t>
            </w:r>
            <w:r>
              <w:rPr>
                <w:rFonts w:hint="eastAsia"/>
                <w:color w:val="000000"/>
              </w:rPr>
              <w:t>污水收集处置</w:t>
            </w:r>
            <w:r>
              <w:rPr>
                <w:color w:val="000000"/>
              </w:rPr>
              <w:t>过程中未做好地下水污染防护措施</w:t>
            </w:r>
            <w:r>
              <w:rPr>
                <w:rFonts w:hint="eastAsia"/>
                <w:color w:val="000000"/>
              </w:rPr>
              <w:t>及危险废物泄漏</w:t>
            </w:r>
            <w:r>
              <w:rPr>
                <w:color w:val="000000"/>
              </w:rPr>
              <w:t>，防治地下水</w:t>
            </w:r>
            <w:r>
              <w:rPr>
                <w:rFonts w:hint="eastAsia"/>
                <w:color w:val="000000"/>
                <w:lang w:eastAsia="zh-CN"/>
              </w:rPr>
              <w:t>、</w:t>
            </w:r>
            <w:r>
              <w:rPr>
                <w:rFonts w:hint="eastAsia"/>
                <w:color w:val="000000"/>
                <w:lang w:val="en-US" w:eastAsia="zh-CN"/>
              </w:rPr>
              <w:t>土壤</w:t>
            </w:r>
            <w:r>
              <w:rPr>
                <w:color w:val="000000"/>
              </w:rPr>
              <w:t>污染控制措施的原则如下：</w:t>
            </w:r>
          </w:p>
          <w:p>
            <w:pPr>
              <w:ind w:firstLine="480" w:firstLineChars="200"/>
              <w:rPr>
                <w:color w:val="000000"/>
              </w:rPr>
            </w:pPr>
            <w:r>
              <w:rPr>
                <w:color w:val="000000"/>
              </w:rPr>
              <w:t>（1）主动控制即源头控制措施，主要包括在废水管道、设备、污水储存采取相应措施，防止和降低污染物废水处理站及污水收集、排放管道的滴、漏，将污染物泄漏的环境风险事故降到最低程度。</w:t>
            </w:r>
          </w:p>
          <w:p>
            <w:pPr>
              <w:ind w:firstLine="480" w:firstLineChars="200"/>
              <w:rPr>
                <w:color w:val="000000"/>
              </w:rPr>
            </w:pPr>
            <w:r>
              <w:rPr>
                <w:color w:val="000000"/>
              </w:rPr>
              <w:t>（2）被动控制即末端控制措施，主要包括</w:t>
            </w:r>
            <w:r>
              <w:rPr>
                <w:rFonts w:hint="eastAsia"/>
                <w:color w:val="000000"/>
              </w:rPr>
              <w:t>防渗化粪池、</w:t>
            </w:r>
            <w:r>
              <w:rPr>
                <w:rFonts w:hint="eastAsia"/>
                <w:color w:val="000000"/>
                <w:lang w:eastAsia="zh-CN"/>
              </w:rPr>
              <w:t>危险废物贮存库</w:t>
            </w:r>
            <w:r>
              <w:rPr>
                <w:color w:val="000000"/>
              </w:rPr>
              <w:t>的防渗措施和泄漏、渗漏污染物收集措施，即在废水处理收集、储存进行防渗处理，防止污染物渗入地下。</w:t>
            </w:r>
          </w:p>
          <w:p>
            <w:pPr>
              <w:ind w:firstLine="480" w:firstLineChars="200"/>
              <w:rPr>
                <w:color w:val="000000"/>
              </w:rPr>
            </w:pPr>
            <w:r>
              <w:rPr>
                <w:color w:val="000000"/>
              </w:rPr>
              <w:t>根据以上原则，本项目地下水</w:t>
            </w:r>
            <w:r>
              <w:rPr>
                <w:rFonts w:hint="eastAsia"/>
                <w:color w:val="000000"/>
                <w:lang w:eastAsia="zh-CN"/>
              </w:rPr>
              <w:t>、</w:t>
            </w:r>
            <w:r>
              <w:rPr>
                <w:rFonts w:hint="eastAsia"/>
                <w:color w:val="000000"/>
                <w:lang w:val="en-US" w:eastAsia="zh-CN"/>
              </w:rPr>
              <w:t>土壤</w:t>
            </w:r>
            <w:r>
              <w:rPr>
                <w:color w:val="000000"/>
              </w:rPr>
              <w:t>污染的控制措施为：</w:t>
            </w:r>
            <w:r>
              <w:rPr>
                <w:rFonts w:hint="eastAsia"/>
                <w:color w:val="000000"/>
                <w:lang w:eastAsia="zh-CN"/>
              </w:rPr>
              <w:t>危险废物贮存库</w:t>
            </w:r>
            <w:r>
              <w:rPr>
                <w:rFonts w:hint="eastAsia"/>
                <w:color w:val="000000"/>
              </w:rPr>
              <w:t>作</w:t>
            </w:r>
            <w:r>
              <w:rPr>
                <w:color w:val="000000"/>
              </w:rPr>
              <w:t>为重点防渗区，</w:t>
            </w:r>
            <w:r>
              <w:rPr>
                <w:rFonts w:hint="eastAsia"/>
                <w:color w:val="000000"/>
              </w:rPr>
              <w:t>按照《环境影响评价技术导则 地下水环境》（HJ610-2016）</w:t>
            </w:r>
            <w:r>
              <w:rPr>
                <w:color w:val="000000"/>
              </w:rPr>
              <w:t>要求制定防渗措施</w:t>
            </w:r>
            <w:r>
              <w:rPr>
                <w:rFonts w:hint="eastAsia"/>
                <w:color w:val="000000"/>
              </w:rPr>
              <w:t>，重点防渗区</w:t>
            </w:r>
            <w:r>
              <w:rPr>
                <w:color w:val="000000"/>
              </w:rPr>
              <w:t>地面硬化处理并设防渗层，确保等效黏土防渗层Mb≥6.0m，渗透系数K≤1.0×10</w:t>
            </w:r>
            <w:r>
              <w:rPr>
                <w:color w:val="000000"/>
                <w:vertAlign w:val="superscript"/>
              </w:rPr>
              <w:t>-</w:t>
            </w:r>
            <w:r>
              <w:rPr>
                <w:rFonts w:hint="eastAsia"/>
                <w:color w:val="000000"/>
                <w:vertAlign w:val="superscript"/>
              </w:rPr>
              <w:t>7</w:t>
            </w:r>
            <w:r>
              <w:rPr>
                <w:color w:val="000000"/>
              </w:rPr>
              <w:t>cm/s</w:t>
            </w:r>
            <w:r>
              <w:rPr>
                <w:rFonts w:hint="eastAsia"/>
                <w:color w:val="000000"/>
              </w:rPr>
              <w:t>，</w:t>
            </w:r>
            <w:r>
              <w:rPr>
                <w:rFonts w:hint="eastAsia"/>
                <w:color w:val="000000"/>
                <w:lang w:eastAsia="zh-CN"/>
              </w:rPr>
              <w:t>危险废物贮存库</w:t>
            </w:r>
            <w:r>
              <w:rPr>
                <w:rFonts w:hint="eastAsia"/>
                <w:color w:val="000000"/>
              </w:rPr>
              <w:t>防渗要求同时满足《危险废物贮存污染控制标准》（GB18597-20</w:t>
            </w:r>
            <w:r>
              <w:rPr>
                <w:rFonts w:hint="eastAsia"/>
                <w:color w:val="000000"/>
                <w:lang w:val="en-US" w:eastAsia="zh-CN"/>
              </w:rPr>
              <w:t>23</w:t>
            </w:r>
            <w:r>
              <w:rPr>
                <w:rFonts w:hint="eastAsia"/>
                <w:color w:val="000000"/>
              </w:rPr>
              <w:t>）：基础防渗层至少为1m厚黏土层（渗透系数</w:t>
            </w:r>
            <w:r>
              <w:rPr>
                <w:rFonts w:hint="eastAsia" w:ascii="宋体" w:hAnsi="宋体" w:cs="宋体"/>
                <w:color w:val="000000"/>
              </w:rPr>
              <w:t>≤</w:t>
            </w:r>
            <w:r>
              <w:rPr>
                <w:color w:val="000000"/>
              </w:rPr>
              <w:t>1.0×10</w:t>
            </w:r>
            <w:r>
              <w:rPr>
                <w:color w:val="000000"/>
                <w:vertAlign w:val="superscript"/>
              </w:rPr>
              <w:t>-</w:t>
            </w:r>
            <w:r>
              <w:rPr>
                <w:rFonts w:hint="eastAsia"/>
                <w:color w:val="000000"/>
                <w:vertAlign w:val="superscript"/>
              </w:rPr>
              <w:t>7</w:t>
            </w:r>
            <w:r>
              <w:rPr>
                <w:color w:val="000000"/>
              </w:rPr>
              <w:t>cm/s</w:t>
            </w:r>
            <w:r>
              <w:rPr>
                <w:rFonts w:hint="eastAsia"/>
                <w:color w:val="000000"/>
              </w:rPr>
              <w:t>），或2mm厚高密度聚乙烯，或至少2mm厚的其他人工材料，渗透系数</w:t>
            </w:r>
            <w:r>
              <w:rPr>
                <w:rFonts w:hint="eastAsia" w:ascii="宋体" w:hAnsi="宋体" w:cs="宋体"/>
                <w:color w:val="000000"/>
              </w:rPr>
              <w:t>≤</w:t>
            </w:r>
            <w:r>
              <w:rPr>
                <w:color w:val="000000"/>
              </w:rPr>
              <w:t>1.0×10</w:t>
            </w:r>
            <w:r>
              <w:rPr>
                <w:color w:val="000000"/>
                <w:vertAlign w:val="superscript"/>
              </w:rPr>
              <w:t>-</w:t>
            </w:r>
            <w:r>
              <w:rPr>
                <w:rFonts w:hint="eastAsia"/>
                <w:color w:val="000000"/>
                <w:vertAlign w:val="superscript"/>
              </w:rPr>
              <w:t>10</w:t>
            </w:r>
            <w:r>
              <w:rPr>
                <w:color w:val="000000"/>
              </w:rPr>
              <w:t>cm/s。</w:t>
            </w:r>
          </w:p>
          <w:p>
            <w:pPr>
              <w:ind w:firstLine="480" w:firstLineChars="200"/>
              <w:rPr>
                <w:color w:val="000000"/>
              </w:rPr>
            </w:pPr>
            <w:r>
              <w:rPr>
                <w:rFonts w:hint="eastAsia"/>
                <w:color w:val="000000"/>
                <w:lang w:val="en-US" w:eastAsia="zh-CN"/>
              </w:rPr>
              <w:t>厂房、化粪池、循环水池</w:t>
            </w:r>
            <w:r>
              <w:rPr>
                <w:color w:val="000000"/>
              </w:rPr>
              <w:t>为一般防渗，严格按照</w:t>
            </w:r>
            <w:r>
              <w:rPr>
                <w:rFonts w:hint="eastAsia"/>
                <w:color w:val="000000"/>
              </w:rPr>
              <w:t>《环境影响评价技术导则 地下水环境》（HJ 610-2016）</w:t>
            </w:r>
            <w:r>
              <w:rPr>
                <w:color w:val="000000"/>
              </w:rPr>
              <w:t>要求制定防渗措施；地面硬化处理设防渗层，可使一般防渗区域的等效黏土防渗层Mb≥</w:t>
            </w:r>
            <w:r>
              <w:rPr>
                <w:rFonts w:hint="eastAsia"/>
                <w:color w:val="000000"/>
              </w:rPr>
              <w:t>1.5</w:t>
            </w:r>
            <w:r>
              <w:rPr>
                <w:color w:val="000000"/>
              </w:rPr>
              <w:t>m，渗透系数K≤</w:t>
            </w:r>
            <w:r>
              <w:rPr>
                <w:rFonts w:hint="eastAsia"/>
                <w:color w:val="000000"/>
              </w:rPr>
              <w:t>1</w:t>
            </w:r>
            <w:r>
              <w:rPr>
                <w:rFonts w:ascii="Arial" w:hAnsi="Arial" w:cs="Arial"/>
                <w:color w:val="000000"/>
              </w:rPr>
              <w:t>×</w:t>
            </w:r>
            <w:r>
              <w:rPr>
                <w:color w:val="000000"/>
              </w:rPr>
              <w:t>10</w:t>
            </w:r>
            <w:r>
              <w:rPr>
                <w:color w:val="000000"/>
                <w:vertAlign w:val="superscript"/>
              </w:rPr>
              <w:t>-</w:t>
            </w:r>
            <w:r>
              <w:rPr>
                <w:rFonts w:hint="eastAsia"/>
                <w:color w:val="000000"/>
                <w:vertAlign w:val="superscript"/>
              </w:rPr>
              <w:t>7</w:t>
            </w:r>
            <w:r>
              <w:rPr>
                <w:color w:val="000000"/>
              </w:rPr>
              <w:t>cm/s。</w:t>
            </w:r>
          </w:p>
          <w:p>
            <w:pPr>
              <w:spacing w:line="240" w:lineRule="auto"/>
              <w:ind w:firstLine="422" w:firstLineChars="200"/>
              <w:rPr>
                <w:color w:val="000000"/>
                <w:sz w:val="21"/>
                <w:szCs w:val="21"/>
              </w:rPr>
            </w:pPr>
            <w:r>
              <w:rPr>
                <w:b/>
                <w:bCs/>
                <w:color w:val="000000"/>
                <w:sz w:val="21"/>
                <w:szCs w:val="21"/>
              </w:rPr>
              <w:t>表</w:t>
            </w:r>
            <w:r>
              <w:rPr>
                <w:rFonts w:hint="eastAsia"/>
                <w:b/>
                <w:bCs/>
                <w:color w:val="000000"/>
                <w:sz w:val="21"/>
                <w:szCs w:val="21"/>
                <w:lang w:val="en-US" w:eastAsia="zh-CN"/>
              </w:rPr>
              <w:t>4-13</w:t>
            </w:r>
            <w:r>
              <w:rPr>
                <w:b/>
                <w:bCs/>
                <w:color w:val="000000"/>
                <w:sz w:val="21"/>
                <w:szCs w:val="21"/>
              </w:rPr>
              <w:t xml:space="preserve">                地下水分区防渗情况一览表</w:t>
            </w:r>
          </w:p>
          <w:tbl>
            <w:tblPr>
              <w:tblStyle w:val="26"/>
              <w:tblW w:w="4998" w:type="pct"/>
              <w:tblInd w:w="5"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57"/>
              <w:gridCol w:w="1569"/>
              <w:gridCol w:w="425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adjustRightInd w:val="0"/>
                    <w:snapToGrid w:val="0"/>
                    <w:spacing w:line="240" w:lineRule="auto"/>
                    <w:jc w:val="center"/>
                    <w:rPr>
                      <w:color w:val="000000"/>
                      <w:sz w:val="21"/>
                      <w:szCs w:val="21"/>
                    </w:rPr>
                  </w:pPr>
                  <w:r>
                    <w:rPr>
                      <w:color w:val="000000"/>
                      <w:sz w:val="21"/>
                      <w:szCs w:val="21"/>
                    </w:rPr>
                    <w:t>序号</w:t>
                  </w:r>
                </w:p>
              </w:tc>
              <w:tc>
                <w:tcPr>
                  <w:tcW w:w="1155" w:type="pct"/>
                  <w:noWrap w:val="0"/>
                  <w:vAlign w:val="center"/>
                </w:tcPr>
                <w:p>
                  <w:pPr>
                    <w:adjustRightInd w:val="0"/>
                    <w:snapToGrid w:val="0"/>
                    <w:spacing w:line="240" w:lineRule="auto"/>
                    <w:jc w:val="center"/>
                    <w:rPr>
                      <w:color w:val="000000"/>
                      <w:sz w:val="21"/>
                      <w:szCs w:val="21"/>
                    </w:rPr>
                  </w:pPr>
                  <w:r>
                    <w:rPr>
                      <w:color w:val="000000"/>
                      <w:sz w:val="21"/>
                      <w:szCs w:val="21"/>
                    </w:rPr>
                    <w:t>区域名称</w:t>
                  </w:r>
                </w:p>
              </w:tc>
              <w:tc>
                <w:tcPr>
                  <w:tcW w:w="926" w:type="pct"/>
                  <w:noWrap w:val="0"/>
                  <w:vAlign w:val="center"/>
                </w:tcPr>
                <w:p>
                  <w:pPr>
                    <w:adjustRightInd w:val="0"/>
                    <w:snapToGrid w:val="0"/>
                    <w:spacing w:line="240" w:lineRule="auto"/>
                    <w:jc w:val="center"/>
                    <w:rPr>
                      <w:color w:val="000000"/>
                      <w:sz w:val="21"/>
                      <w:szCs w:val="21"/>
                    </w:rPr>
                  </w:pPr>
                  <w:r>
                    <w:rPr>
                      <w:color w:val="000000"/>
                      <w:sz w:val="21"/>
                      <w:szCs w:val="21"/>
                    </w:rPr>
                    <w:t>分区类别</w:t>
                  </w:r>
                </w:p>
              </w:tc>
              <w:tc>
                <w:tcPr>
                  <w:tcW w:w="2511" w:type="pct"/>
                  <w:noWrap w:val="0"/>
                  <w:vAlign w:val="center"/>
                </w:tcPr>
                <w:p>
                  <w:pPr>
                    <w:adjustRightInd w:val="0"/>
                    <w:snapToGrid w:val="0"/>
                    <w:spacing w:line="240" w:lineRule="auto"/>
                    <w:jc w:val="center"/>
                    <w:rPr>
                      <w:color w:val="000000"/>
                      <w:sz w:val="21"/>
                      <w:szCs w:val="21"/>
                    </w:rPr>
                  </w:pPr>
                  <w:r>
                    <w:rPr>
                      <w:color w:val="000000"/>
                      <w:sz w:val="21"/>
                      <w:szCs w:val="21"/>
                    </w:rPr>
                    <w:t>防渗措施</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adjustRightInd w:val="0"/>
                    <w:snapToGrid w:val="0"/>
                    <w:spacing w:line="240" w:lineRule="auto"/>
                    <w:jc w:val="center"/>
                    <w:rPr>
                      <w:color w:val="000000"/>
                      <w:sz w:val="21"/>
                      <w:szCs w:val="21"/>
                    </w:rPr>
                  </w:pPr>
                  <w:r>
                    <w:rPr>
                      <w:color w:val="000000"/>
                      <w:sz w:val="21"/>
                      <w:szCs w:val="21"/>
                    </w:rPr>
                    <w:t>1</w:t>
                  </w:r>
                </w:p>
              </w:tc>
              <w:tc>
                <w:tcPr>
                  <w:tcW w:w="1155" w:type="pct"/>
                  <w:noWrap w:val="0"/>
                  <w:vAlign w:val="center"/>
                </w:tcPr>
                <w:p>
                  <w:pPr>
                    <w:adjustRightInd w:val="0"/>
                    <w:snapToGrid w:val="0"/>
                    <w:spacing w:line="240" w:lineRule="auto"/>
                    <w:jc w:val="center"/>
                    <w:rPr>
                      <w:rFonts w:hint="eastAsia" w:eastAsia="宋体"/>
                      <w:color w:val="000000"/>
                      <w:sz w:val="21"/>
                      <w:szCs w:val="21"/>
                      <w:lang w:eastAsia="zh-CN"/>
                    </w:rPr>
                  </w:pPr>
                  <w:r>
                    <w:rPr>
                      <w:rFonts w:hint="eastAsia"/>
                      <w:color w:val="000000"/>
                      <w:sz w:val="21"/>
                      <w:szCs w:val="21"/>
                      <w:lang w:eastAsia="zh-CN"/>
                    </w:rPr>
                    <w:t>危险废物贮存库</w:t>
                  </w:r>
                </w:p>
              </w:tc>
              <w:tc>
                <w:tcPr>
                  <w:tcW w:w="926" w:type="pct"/>
                  <w:noWrap w:val="0"/>
                  <w:vAlign w:val="center"/>
                </w:tcPr>
                <w:p>
                  <w:pPr>
                    <w:adjustRightInd w:val="0"/>
                    <w:snapToGrid w:val="0"/>
                    <w:spacing w:line="240" w:lineRule="auto"/>
                    <w:jc w:val="center"/>
                    <w:rPr>
                      <w:color w:val="000000"/>
                      <w:sz w:val="21"/>
                      <w:szCs w:val="21"/>
                    </w:rPr>
                  </w:pPr>
                  <w:r>
                    <w:rPr>
                      <w:color w:val="000000"/>
                      <w:sz w:val="21"/>
                      <w:szCs w:val="21"/>
                    </w:rPr>
                    <w:t>重点防渗区</w:t>
                  </w:r>
                </w:p>
              </w:tc>
              <w:tc>
                <w:tcPr>
                  <w:tcW w:w="2511" w:type="pct"/>
                  <w:noWrap w:val="0"/>
                  <w:vAlign w:val="center"/>
                </w:tcPr>
                <w:p>
                  <w:pPr>
                    <w:adjustRightInd w:val="0"/>
                    <w:snapToGrid w:val="0"/>
                    <w:spacing w:line="240" w:lineRule="auto"/>
                    <w:jc w:val="center"/>
                    <w:rPr>
                      <w:rFonts w:hint="eastAsia"/>
                      <w:color w:val="000000"/>
                      <w:sz w:val="21"/>
                      <w:szCs w:val="21"/>
                    </w:rPr>
                  </w:pPr>
                  <w:r>
                    <w:rPr>
                      <w:color w:val="000000"/>
                      <w:sz w:val="21"/>
                      <w:szCs w:val="21"/>
                    </w:rPr>
                    <w:t>防渗混凝土+防渗材料（防渗混凝土+2mm厚HD</w:t>
                  </w:r>
                  <w:r>
                    <w:rPr>
                      <w:rFonts w:hint="eastAsia"/>
                      <w:color w:val="000000"/>
                      <w:sz w:val="21"/>
                      <w:szCs w:val="21"/>
                    </w:rPr>
                    <w:t>PE</w:t>
                  </w:r>
                  <w:r>
                    <w:rPr>
                      <w:color w:val="000000"/>
                      <w:sz w:val="21"/>
                      <w:szCs w:val="21"/>
                    </w:rPr>
                    <w:t>膜）</w:t>
                  </w:r>
                  <w:r>
                    <w:rPr>
                      <w:rFonts w:hint="eastAsia"/>
                      <w:color w:val="000000"/>
                      <w:sz w:val="21"/>
                      <w:szCs w:val="21"/>
                    </w:rPr>
                    <w:t>，确保等效黏土防渗层Mb≥6.0m，渗透系数K≤1.0×10</w:t>
                  </w:r>
                  <w:r>
                    <w:rPr>
                      <w:rFonts w:hint="eastAsia"/>
                      <w:color w:val="000000"/>
                      <w:sz w:val="21"/>
                      <w:szCs w:val="21"/>
                      <w:vertAlign w:val="superscript"/>
                    </w:rPr>
                    <w:t>-7</w:t>
                  </w:r>
                  <w:r>
                    <w:rPr>
                      <w:rFonts w:hint="eastAsia"/>
                      <w:color w:val="000000"/>
                      <w:sz w:val="21"/>
                      <w:szCs w:val="21"/>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adjustRightInd w:val="0"/>
                    <w:snapToGrid w:val="0"/>
                    <w:spacing w:line="240" w:lineRule="auto"/>
                    <w:jc w:val="center"/>
                    <w:rPr>
                      <w:color w:val="000000"/>
                      <w:sz w:val="21"/>
                      <w:szCs w:val="21"/>
                    </w:rPr>
                  </w:pPr>
                  <w:r>
                    <w:rPr>
                      <w:color w:val="000000"/>
                      <w:sz w:val="21"/>
                      <w:szCs w:val="21"/>
                    </w:rPr>
                    <w:t>2</w:t>
                  </w:r>
                </w:p>
              </w:tc>
              <w:tc>
                <w:tcPr>
                  <w:tcW w:w="1155" w:type="pct"/>
                  <w:noWrap w:val="0"/>
                  <w:vAlign w:val="center"/>
                </w:tcPr>
                <w:p>
                  <w:pPr>
                    <w:adjustRightInd w:val="0"/>
                    <w:snapToGrid w:val="0"/>
                    <w:spacing w:line="240" w:lineRule="auto"/>
                    <w:jc w:val="center"/>
                    <w:rPr>
                      <w:rFonts w:hint="default" w:eastAsia="宋体"/>
                      <w:color w:val="000000"/>
                      <w:sz w:val="21"/>
                      <w:szCs w:val="21"/>
                      <w:lang w:val="en-US" w:eastAsia="zh-CN"/>
                    </w:rPr>
                  </w:pPr>
                  <w:r>
                    <w:rPr>
                      <w:rFonts w:hint="eastAsia"/>
                      <w:color w:val="000000"/>
                      <w:sz w:val="21"/>
                      <w:szCs w:val="21"/>
                      <w:lang w:val="en-US" w:eastAsia="zh-CN"/>
                    </w:rPr>
                    <w:t>厂房、循环水池、化粪池</w:t>
                  </w:r>
                </w:p>
              </w:tc>
              <w:tc>
                <w:tcPr>
                  <w:tcW w:w="926" w:type="pct"/>
                  <w:noWrap w:val="0"/>
                  <w:vAlign w:val="center"/>
                </w:tcPr>
                <w:p>
                  <w:pPr>
                    <w:adjustRightInd w:val="0"/>
                    <w:snapToGrid w:val="0"/>
                    <w:spacing w:line="240" w:lineRule="auto"/>
                    <w:jc w:val="center"/>
                    <w:rPr>
                      <w:color w:val="000000"/>
                      <w:sz w:val="21"/>
                      <w:szCs w:val="21"/>
                    </w:rPr>
                  </w:pPr>
                  <w:r>
                    <w:rPr>
                      <w:color w:val="000000"/>
                      <w:sz w:val="21"/>
                      <w:szCs w:val="21"/>
                    </w:rPr>
                    <w:t>一般防渗区</w:t>
                  </w:r>
                </w:p>
              </w:tc>
              <w:tc>
                <w:tcPr>
                  <w:tcW w:w="2511" w:type="pct"/>
                  <w:noWrap w:val="0"/>
                  <w:vAlign w:val="center"/>
                </w:tcPr>
                <w:p>
                  <w:pPr>
                    <w:adjustRightInd w:val="0"/>
                    <w:snapToGrid w:val="0"/>
                    <w:spacing w:line="240" w:lineRule="auto"/>
                    <w:jc w:val="center"/>
                    <w:rPr>
                      <w:rFonts w:hint="eastAsia"/>
                      <w:color w:val="000000"/>
                      <w:sz w:val="21"/>
                      <w:szCs w:val="21"/>
                    </w:rPr>
                  </w:pPr>
                  <w:r>
                    <w:rPr>
                      <w:color w:val="000000"/>
                      <w:sz w:val="21"/>
                      <w:szCs w:val="21"/>
                    </w:rPr>
                    <w:t>防渗混</w:t>
                  </w:r>
                  <w:r>
                    <w:rPr>
                      <w:rFonts w:hint="eastAsia"/>
                      <w:color w:val="000000"/>
                      <w:sz w:val="21"/>
                      <w:szCs w:val="21"/>
                      <w:lang w:val="en-US" w:eastAsia="zh-CN"/>
                    </w:rPr>
                    <w:t>凝</w:t>
                  </w:r>
                  <w:r>
                    <w:rPr>
                      <w:color w:val="000000"/>
                      <w:sz w:val="21"/>
                      <w:szCs w:val="21"/>
                    </w:rPr>
                    <w:t>土表层防渗</w:t>
                  </w:r>
                  <w:r>
                    <w:rPr>
                      <w:rFonts w:hint="eastAsia"/>
                      <w:color w:val="000000"/>
                      <w:sz w:val="21"/>
                      <w:szCs w:val="21"/>
                    </w:rPr>
                    <w:t>，一般防渗区域的等效黏土防渗层Mb≥1.5m，渗透系数K≤1×10</w:t>
                  </w:r>
                  <w:r>
                    <w:rPr>
                      <w:rFonts w:hint="eastAsia"/>
                      <w:color w:val="000000"/>
                      <w:sz w:val="21"/>
                      <w:szCs w:val="21"/>
                      <w:vertAlign w:val="superscript"/>
                    </w:rPr>
                    <w:t>-7</w:t>
                  </w:r>
                  <w:r>
                    <w:rPr>
                      <w:rFonts w:hint="eastAsia"/>
                      <w:color w:val="000000"/>
                      <w:sz w:val="21"/>
                      <w:szCs w:val="21"/>
                    </w:rPr>
                    <w:t>cm/s</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407" w:type="pct"/>
                  <w:noWrap w:val="0"/>
                  <w:vAlign w:val="center"/>
                </w:tcPr>
                <w:p>
                  <w:pPr>
                    <w:adjustRightInd w:val="0"/>
                    <w:snapToGrid w:val="0"/>
                    <w:spacing w:line="240" w:lineRule="auto"/>
                    <w:jc w:val="center"/>
                    <w:rPr>
                      <w:color w:val="000000"/>
                      <w:sz w:val="21"/>
                      <w:szCs w:val="21"/>
                    </w:rPr>
                  </w:pPr>
                  <w:r>
                    <w:rPr>
                      <w:color w:val="000000"/>
                      <w:sz w:val="21"/>
                      <w:szCs w:val="21"/>
                    </w:rPr>
                    <w:t>3</w:t>
                  </w:r>
                </w:p>
              </w:tc>
              <w:tc>
                <w:tcPr>
                  <w:tcW w:w="1155" w:type="pct"/>
                  <w:noWrap w:val="0"/>
                  <w:vAlign w:val="center"/>
                </w:tcPr>
                <w:p>
                  <w:pPr>
                    <w:adjustRightInd w:val="0"/>
                    <w:snapToGrid w:val="0"/>
                    <w:spacing w:line="240" w:lineRule="auto"/>
                    <w:jc w:val="center"/>
                    <w:rPr>
                      <w:color w:val="000000"/>
                      <w:sz w:val="21"/>
                      <w:szCs w:val="21"/>
                    </w:rPr>
                  </w:pPr>
                  <w:r>
                    <w:rPr>
                      <w:color w:val="000000"/>
                      <w:sz w:val="21"/>
                      <w:szCs w:val="21"/>
                    </w:rPr>
                    <w:t>其他区域</w:t>
                  </w:r>
                </w:p>
              </w:tc>
              <w:tc>
                <w:tcPr>
                  <w:tcW w:w="926" w:type="pct"/>
                  <w:noWrap w:val="0"/>
                  <w:vAlign w:val="center"/>
                </w:tcPr>
                <w:p>
                  <w:pPr>
                    <w:adjustRightInd w:val="0"/>
                    <w:snapToGrid w:val="0"/>
                    <w:spacing w:line="240" w:lineRule="auto"/>
                    <w:jc w:val="center"/>
                    <w:rPr>
                      <w:color w:val="000000"/>
                      <w:sz w:val="21"/>
                      <w:szCs w:val="21"/>
                    </w:rPr>
                  </w:pPr>
                  <w:r>
                    <w:rPr>
                      <w:color w:val="000000"/>
                      <w:sz w:val="21"/>
                      <w:szCs w:val="21"/>
                    </w:rPr>
                    <w:t>简单防渗区</w:t>
                  </w:r>
                </w:p>
              </w:tc>
              <w:tc>
                <w:tcPr>
                  <w:tcW w:w="2511" w:type="pct"/>
                  <w:noWrap w:val="0"/>
                  <w:vAlign w:val="center"/>
                </w:tcPr>
                <w:p>
                  <w:pPr>
                    <w:adjustRightInd w:val="0"/>
                    <w:snapToGrid w:val="0"/>
                    <w:spacing w:line="240" w:lineRule="auto"/>
                    <w:jc w:val="center"/>
                    <w:rPr>
                      <w:color w:val="000000"/>
                      <w:sz w:val="21"/>
                      <w:szCs w:val="21"/>
                    </w:rPr>
                  </w:pPr>
                  <w:r>
                    <w:rPr>
                      <w:color w:val="000000"/>
                      <w:sz w:val="21"/>
                      <w:szCs w:val="21"/>
                    </w:rPr>
                    <w:t>一般地面水泥硬化</w:t>
                  </w:r>
                </w:p>
              </w:tc>
            </w:tr>
          </w:tbl>
          <w:p>
            <w:pPr>
              <w:rPr>
                <w:b/>
                <w:bCs/>
                <w:color w:val="000000"/>
                <w:spacing w:val="-10"/>
                <w:szCs w:val="21"/>
              </w:rPr>
            </w:pPr>
            <w:r>
              <w:rPr>
                <w:rFonts w:hint="eastAsia"/>
                <w:b/>
                <w:bCs/>
                <w:color w:val="000000"/>
                <w:lang w:val="en-US" w:eastAsia="zh-CN"/>
              </w:rPr>
              <w:t>6</w:t>
            </w:r>
            <w:r>
              <w:rPr>
                <w:b/>
                <w:bCs/>
                <w:color w:val="000000"/>
              </w:rPr>
              <w:t>环境风险</w:t>
            </w:r>
          </w:p>
          <w:p>
            <w:pPr>
              <w:ind w:firstLine="480"/>
              <w:rPr>
                <w:color w:val="000000"/>
              </w:rPr>
            </w:pPr>
            <w:r>
              <w:rPr>
                <w:color w:val="000000"/>
                <w:szCs w:val="21"/>
              </w:rPr>
              <w:t>环境风险评价的目的是分析和预测建设项目存在的潜在危险、有害因素，建设项目建设和运行期间可能发生的突发性</w:t>
            </w:r>
            <w:r>
              <w:rPr>
                <w:rFonts w:hint="eastAsia"/>
                <w:color w:val="000000"/>
                <w:szCs w:val="21"/>
                <w:lang w:val="en-US" w:eastAsia="zh-CN"/>
              </w:rPr>
              <w:t>事件</w:t>
            </w:r>
            <w:r>
              <w:rPr>
                <w:color w:val="000000"/>
                <w:szCs w:val="21"/>
              </w:rPr>
              <w:t>或事故，引起有毒有害和易燃易爆等物质的</w:t>
            </w:r>
            <w:r>
              <w:rPr>
                <w:rFonts w:hint="eastAsia"/>
                <w:color w:val="000000"/>
                <w:szCs w:val="21"/>
              </w:rPr>
              <w:t>泄漏</w:t>
            </w:r>
            <w:r>
              <w:rPr>
                <w:color w:val="000000"/>
                <w:szCs w:val="21"/>
              </w:rPr>
              <w:t>，所造成的人身安全与环境影响和损害程度，提出合理可行的防范、应急与减缓措施，以使建设项目事故率、损失和环境影响达到可接受的水平。</w:t>
            </w:r>
          </w:p>
          <w:p>
            <w:pPr>
              <w:ind w:firstLine="482" w:firstLineChars="200"/>
              <w:rPr>
                <w:b/>
                <w:bCs/>
                <w:color w:val="000000"/>
              </w:rPr>
            </w:pPr>
            <w:r>
              <w:rPr>
                <w:rFonts w:hint="eastAsia"/>
                <w:b/>
                <w:bCs/>
                <w:color w:val="000000"/>
                <w:lang w:val="en-US" w:eastAsia="zh-CN"/>
              </w:rPr>
              <w:t>6</w:t>
            </w:r>
            <w:r>
              <w:rPr>
                <w:b/>
                <w:bCs/>
                <w:color w:val="000000"/>
              </w:rPr>
              <w:t>.1评价依据</w:t>
            </w:r>
          </w:p>
          <w:p>
            <w:pPr>
              <w:ind w:firstLine="480"/>
              <w:rPr>
                <w:color w:val="000000"/>
                <w:szCs w:val="21"/>
              </w:rPr>
            </w:pPr>
            <w:r>
              <w:rPr>
                <w:color w:val="000000"/>
                <w:szCs w:val="21"/>
              </w:rPr>
              <w:t>根据《建设项目环境风险评价技术导则》（HJ169-2018）中</w:t>
            </w:r>
            <w:r>
              <w:rPr>
                <w:rFonts w:hint="eastAsia"/>
                <w:color w:val="000000"/>
                <w:szCs w:val="21"/>
              </w:rPr>
              <w:t>“</w:t>
            </w:r>
            <w:r>
              <w:rPr>
                <w:color w:val="000000"/>
                <w:szCs w:val="21"/>
              </w:rPr>
              <w:t>附录B重点关注的危险物质及临界量</w:t>
            </w:r>
            <w:r>
              <w:rPr>
                <w:rFonts w:hint="eastAsia"/>
                <w:color w:val="000000"/>
                <w:szCs w:val="21"/>
              </w:rPr>
              <w:t>”</w:t>
            </w:r>
            <w:r>
              <w:rPr>
                <w:color w:val="000000"/>
                <w:szCs w:val="21"/>
              </w:rPr>
              <w:t>、附录C，计算危险物质数量与临界量比值Q：</w:t>
            </w:r>
          </w:p>
          <w:p>
            <w:pPr>
              <w:ind w:firstLine="480"/>
              <w:rPr>
                <w:color w:val="000000"/>
                <w:szCs w:val="21"/>
              </w:rPr>
            </w:pPr>
            <w:r>
              <w:rPr>
                <w:color w:val="000000"/>
                <w:szCs w:val="21"/>
              </w:rPr>
              <w:t>q1/Q1+q2/Q2+…+qn/Qn≥1</w:t>
            </w:r>
          </w:p>
          <w:p>
            <w:pPr>
              <w:ind w:firstLine="480"/>
              <w:rPr>
                <w:color w:val="000000"/>
                <w:szCs w:val="21"/>
              </w:rPr>
            </w:pPr>
            <w:r>
              <w:rPr>
                <w:color w:val="000000"/>
                <w:szCs w:val="21"/>
              </w:rPr>
              <w:t>式中：q1、q2、qn每种危险物质最大存在总量，t；</w:t>
            </w:r>
          </w:p>
          <w:p>
            <w:pPr>
              <w:ind w:firstLine="480"/>
              <w:rPr>
                <w:color w:val="000000"/>
                <w:szCs w:val="21"/>
              </w:rPr>
            </w:pPr>
            <w:r>
              <w:rPr>
                <w:color w:val="000000"/>
                <w:szCs w:val="21"/>
              </w:rPr>
              <w:t>Q1、Q2、Qn每种危险物质的临界量，t；</w:t>
            </w:r>
          </w:p>
          <w:p>
            <w:pPr>
              <w:ind w:firstLine="480"/>
              <w:rPr>
                <w:color w:val="000000"/>
                <w:szCs w:val="21"/>
              </w:rPr>
            </w:pPr>
            <w:r>
              <w:rPr>
                <w:color w:val="000000"/>
                <w:szCs w:val="21"/>
              </w:rPr>
              <w:t>当Q＜1时，该项目环境风险潜势为I。</w:t>
            </w:r>
          </w:p>
          <w:p>
            <w:pPr>
              <w:ind w:firstLine="480"/>
              <w:rPr>
                <w:color w:val="000000"/>
                <w:szCs w:val="21"/>
              </w:rPr>
            </w:pPr>
            <w:r>
              <w:rPr>
                <w:color w:val="000000"/>
                <w:szCs w:val="21"/>
              </w:rPr>
              <w:t>当Q≥1时，将Q值划分为：①1≤Q＜10；②10≤Q＜100；③100≤Q。</w:t>
            </w:r>
          </w:p>
          <w:p>
            <w:pPr>
              <w:ind w:firstLine="480"/>
              <w:rPr>
                <w:b/>
                <w:bCs/>
                <w:color w:val="000000"/>
                <w:sz w:val="21"/>
                <w:szCs w:val="21"/>
              </w:rPr>
            </w:pPr>
            <w:r>
              <w:rPr>
                <w:color w:val="000000"/>
                <w:szCs w:val="21"/>
              </w:rPr>
              <w:t>本项目各物质的具体暂存情况如下</w:t>
            </w:r>
            <w:r>
              <w:rPr>
                <w:b/>
                <w:bCs/>
                <w:color w:val="000000"/>
                <w:sz w:val="21"/>
                <w:szCs w:val="21"/>
              </w:rPr>
              <w:t>：</w:t>
            </w:r>
          </w:p>
          <w:p>
            <w:pPr>
              <w:adjustRightInd w:val="0"/>
              <w:snapToGrid w:val="0"/>
              <w:spacing w:line="240" w:lineRule="auto"/>
              <w:ind w:firstLine="422" w:firstLineChars="200"/>
              <w:rPr>
                <w:b/>
                <w:bCs/>
                <w:color w:val="000000"/>
                <w:sz w:val="21"/>
                <w:szCs w:val="21"/>
              </w:rPr>
            </w:pPr>
            <w:r>
              <w:rPr>
                <w:b/>
                <w:bCs/>
                <w:color w:val="000000"/>
                <w:sz w:val="21"/>
                <w:szCs w:val="21"/>
              </w:rPr>
              <w:t>表</w:t>
            </w:r>
            <w:r>
              <w:rPr>
                <w:rFonts w:hint="eastAsia"/>
                <w:b/>
                <w:bCs/>
                <w:color w:val="000000"/>
                <w:sz w:val="21"/>
                <w:szCs w:val="21"/>
                <w:lang w:val="en-US" w:eastAsia="zh-CN"/>
              </w:rPr>
              <w:t>4-15</w:t>
            </w:r>
            <w:r>
              <w:rPr>
                <w:rFonts w:hint="eastAsia"/>
                <w:b/>
                <w:bCs/>
                <w:color w:val="000000"/>
                <w:sz w:val="21"/>
                <w:szCs w:val="21"/>
              </w:rPr>
              <w:t xml:space="preserve">           </w:t>
            </w:r>
            <w:r>
              <w:rPr>
                <w:b/>
                <w:bCs/>
                <w:color w:val="000000"/>
                <w:sz w:val="21"/>
                <w:szCs w:val="21"/>
              </w:rPr>
              <w:t>建设项目Q值确定表</w:t>
            </w:r>
          </w:p>
          <w:tbl>
            <w:tblPr>
              <w:tblStyle w:val="2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66"/>
              <w:gridCol w:w="2070"/>
              <w:gridCol w:w="1626"/>
              <w:gridCol w:w="2971"/>
              <w:gridCol w:w="1435"/>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216" w:type="pct"/>
                  <w:noWrap w:val="0"/>
                  <w:vAlign w:val="center"/>
                </w:tcPr>
                <w:p>
                  <w:pPr>
                    <w:adjustRightInd w:val="0"/>
                    <w:snapToGrid w:val="0"/>
                    <w:spacing w:line="240" w:lineRule="auto"/>
                    <w:jc w:val="center"/>
                    <w:rPr>
                      <w:color w:val="000000"/>
                      <w:sz w:val="21"/>
                      <w:szCs w:val="21"/>
                    </w:rPr>
                  </w:pPr>
                  <w:r>
                    <w:rPr>
                      <w:color w:val="000000"/>
                      <w:sz w:val="21"/>
                      <w:szCs w:val="21"/>
                    </w:rPr>
                    <w:t>序号</w:t>
                  </w:r>
                </w:p>
              </w:tc>
              <w:tc>
                <w:tcPr>
                  <w:tcW w:w="1222" w:type="pct"/>
                  <w:noWrap w:val="0"/>
                  <w:vAlign w:val="center"/>
                </w:tcPr>
                <w:p>
                  <w:pPr>
                    <w:adjustRightInd w:val="0"/>
                    <w:snapToGrid w:val="0"/>
                    <w:spacing w:line="240" w:lineRule="auto"/>
                    <w:jc w:val="center"/>
                    <w:rPr>
                      <w:color w:val="000000"/>
                      <w:sz w:val="21"/>
                      <w:szCs w:val="21"/>
                    </w:rPr>
                  </w:pPr>
                  <w:r>
                    <w:rPr>
                      <w:color w:val="000000"/>
                      <w:sz w:val="21"/>
                      <w:szCs w:val="21"/>
                    </w:rPr>
                    <w:t>危险物质名称</w:t>
                  </w:r>
                </w:p>
              </w:tc>
              <w:tc>
                <w:tcPr>
                  <w:tcW w:w="960" w:type="pct"/>
                  <w:noWrap w:val="0"/>
                  <w:vAlign w:val="center"/>
                </w:tcPr>
                <w:p>
                  <w:pPr>
                    <w:adjustRightInd w:val="0"/>
                    <w:snapToGrid w:val="0"/>
                    <w:spacing w:line="240" w:lineRule="auto"/>
                    <w:jc w:val="center"/>
                    <w:rPr>
                      <w:color w:val="000000"/>
                      <w:sz w:val="21"/>
                      <w:szCs w:val="21"/>
                    </w:rPr>
                  </w:pPr>
                  <w:r>
                    <w:rPr>
                      <w:color w:val="000000"/>
                      <w:sz w:val="21"/>
                      <w:szCs w:val="21"/>
                    </w:rPr>
                    <w:t>厂内最大贮存总量</w:t>
                  </w:r>
                </w:p>
              </w:tc>
              <w:tc>
                <w:tcPr>
                  <w:tcW w:w="1753" w:type="pct"/>
                  <w:noWrap w:val="0"/>
                  <w:vAlign w:val="center"/>
                </w:tcPr>
                <w:p>
                  <w:pPr>
                    <w:adjustRightInd w:val="0"/>
                    <w:snapToGrid w:val="0"/>
                    <w:spacing w:line="240" w:lineRule="auto"/>
                    <w:jc w:val="center"/>
                    <w:rPr>
                      <w:color w:val="000000"/>
                      <w:sz w:val="21"/>
                      <w:szCs w:val="21"/>
                    </w:rPr>
                  </w:pPr>
                  <w:r>
                    <w:rPr>
                      <w:color w:val="000000"/>
                      <w:sz w:val="21"/>
                      <w:szCs w:val="21"/>
                    </w:rPr>
                    <w:t>临界量</w:t>
                  </w:r>
                </w:p>
              </w:tc>
              <w:tc>
                <w:tcPr>
                  <w:tcW w:w="847" w:type="pct"/>
                  <w:noWrap w:val="0"/>
                  <w:vAlign w:val="center"/>
                </w:tcPr>
                <w:p>
                  <w:pPr>
                    <w:adjustRightInd w:val="0"/>
                    <w:snapToGrid w:val="0"/>
                    <w:spacing w:line="240" w:lineRule="auto"/>
                    <w:jc w:val="center"/>
                    <w:rPr>
                      <w:color w:val="000000"/>
                      <w:sz w:val="21"/>
                      <w:szCs w:val="21"/>
                    </w:rPr>
                  </w:pPr>
                  <w:r>
                    <w:rPr>
                      <w:color w:val="000000"/>
                      <w:sz w:val="21"/>
                      <w:szCs w:val="21"/>
                    </w:rPr>
                    <w:t>该种危险物质Q值</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216" w:type="pct"/>
                  <w:noWrap w:val="0"/>
                  <w:vAlign w:val="center"/>
                </w:tcPr>
                <w:p>
                  <w:pPr>
                    <w:adjustRightInd w:val="0"/>
                    <w:snapToGrid w:val="0"/>
                    <w:spacing w:line="240" w:lineRule="auto"/>
                    <w:jc w:val="center"/>
                    <w:rPr>
                      <w:color w:val="000000"/>
                      <w:sz w:val="21"/>
                      <w:szCs w:val="21"/>
                    </w:rPr>
                  </w:pPr>
                  <w:r>
                    <w:rPr>
                      <w:color w:val="000000"/>
                      <w:sz w:val="21"/>
                      <w:szCs w:val="21"/>
                    </w:rPr>
                    <w:t>1</w:t>
                  </w:r>
                </w:p>
              </w:tc>
              <w:tc>
                <w:tcPr>
                  <w:tcW w:w="1222" w:type="pct"/>
                  <w:noWrap w:val="0"/>
                  <w:vAlign w:val="center"/>
                </w:tcPr>
                <w:p>
                  <w:pPr>
                    <w:adjustRightInd w:val="0"/>
                    <w:snapToGrid w:val="0"/>
                    <w:spacing w:line="240" w:lineRule="auto"/>
                    <w:jc w:val="center"/>
                    <w:rPr>
                      <w:rFonts w:hint="eastAsia"/>
                      <w:color w:val="000000"/>
                      <w:sz w:val="21"/>
                      <w:szCs w:val="21"/>
                    </w:rPr>
                  </w:pPr>
                  <w:r>
                    <w:rPr>
                      <w:rFonts w:hint="eastAsia"/>
                      <w:color w:val="000000"/>
                      <w:sz w:val="21"/>
                      <w:szCs w:val="21"/>
                      <w:lang w:val="en-US" w:eastAsia="zh-CN"/>
                    </w:rPr>
                    <w:t>废</w:t>
                  </w:r>
                  <w:r>
                    <w:rPr>
                      <w:rFonts w:hint="eastAsia"/>
                      <w:color w:val="000000"/>
                      <w:sz w:val="21"/>
                      <w:szCs w:val="21"/>
                    </w:rPr>
                    <w:t>润滑油</w:t>
                  </w:r>
                </w:p>
              </w:tc>
              <w:tc>
                <w:tcPr>
                  <w:tcW w:w="960" w:type="pct"/>
                  <w:noWrap w:val="0"/>
                  <w:vAlign w:val="center"/>
                </w:tcPr>
                <w:p>
                  <w:pPr>
                    <w:adjustRightInd w:val="0"/>
                    <w:snapToGrid w:val="0"/>
                    <w:spacing w:line="240" w:lineRule="auto"/>
                    <w:jc w:val="center"/>
                    <w:rPr>
                      <w:rFonts w:hint="default" w:eastAsia="宋体"/>
                      <w:color w:val="000000"/>
                      <w:sz w:val="21"/>
                      <w:szCs w:val="21"/>
                      <w:lang w:val="en-US" w:eastAsia="zh-CN"/>
                    </w:rPr>
                  </w:pPr>
                  <w:r>
                    <w:rPr>
                      <w:color w:val="000000"/>
                      <w:sz w:val="21"/>
                      <w:szCs w:val="21"/>
                    </w:rPr>
                    <w:t>0</w:t>
                  </w:r>
                  <w:r>
                    <w:rPr>
                      <w:rFonts w:hint="eastAsia"/>
                      <w:color w:val="000000"/>
                      <w:sz w:val="21"/>
                      <w:szCs w:val="21"/>
                      <w:lang w:val="en-US" w:eastAsia="zh-CN"/>
                    </w:rPr>
                    <w:t>.5</w:t>
                  </w:r>
                </w:p>
              </w:tc>
              <w:tc>
                <w:tcPr>
                  <w:tcW w:w="1753" w:type="pct"/>
                  <w:noWrap w:val="0"/>
                  <w:vAlign w:val="center"/>
                </w:tcPr>
                <w:p>
                  <w:pPr>
                    <w:adjustRightInd w:val="0"/>
                    <w:snapToGrid w:val="0"/>
                    <w:spacing w:line="240" w:lineRule="auto"/>
                    <w:jc w:val="center"/>
                    <w:rPr>
                      <w:color w:val="000000"/>
                      <w:sz w:val="21"/>
                      <w:szCs w:val="21"/>
                    </w:rPr>
                  </w:pPr>
                  <w:r>
                    <w:rPr>
                      <w:color w:val="000000"/>
                      <w:sz w:val="21"/>
                      <w:szCs w:val="21"/>
                    </w:rPr>
                    <w:t>2500</w:t>
                  </w:r>
                </w:p>
              </w:tc>
              <w:tc>
                <w:tcPr>
                  <w:tcW w:w="847" w:type="pct"/>
                  <w:noWrap w:val="0"/>
                  <w:vAlign w:val="center"/>
                </w:tcPr>
                <w:p>
                  <w:pPr>
                    <w:adjustRightInd w:val="0"/>
                    <w:snapToGrid w:val="0"/>
                    <w:spacing w:line="240" w:lineRule="auto"/>
                    <w:jc w:val="center"/>
                    <w:rPr>
                      <w:rFonts w:hint="eastAsia" w:eastAsia="宋体"/>
                      <w:color w:val="000000"/>
                      <w:sz w:val="21"/>
                      <w:szCs w:val="21"/>
                      <w:lang w:eastAsia="zh-CN"/>
                    </w:rPr>
                  </w:pPr>
                  <w:r>
                    <w:rPr>
                      <w:color w:val="000000"/>
                      <w:sz w:val="21"/>
                      <w:szCs w:val="21"/>
                    </w:rPr>
                    <w:t>0.000</w:t>
                  </w:r>
                  <w:r>
                    <w:rPr>
                      <w:rFonts w:hint="eastAsia"/>
                      <w:color w:val="000000"/>
                      <w:sz w:val="21"/>
                      <w:szCs w:val="21"/>
                      <w:lang w:val="en-US" w:eastAsia="zh-CN"/>
                    </w:rPr>
                    <w:t>2</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4152" w:type="pct"/>
                  <w:gridSpan w:val="4"/>
                  <w:noWrap w:val="0"/>
                  <w:vAlign w:val="center"/>
                </w:tcPr>
                <w:p>
                  <w:pPr>
                    <w:adjustRightInd w:val="0"/>
                    <w:snapToGrid w:val="0"/>
                    <w:spacing w:line="240" w:lineRule="auto"/>
                    <w:jc w:val="center"/>
                    <w:rPr>
                      <w:color w:val="000000"/>
                      <w:sz w:val="21"/>
                      <w:szCs w:val="21"/>
                    </w:rPr>
                  </w:pPr>
                  <w:r>
                    <w:rPr>
                      <w:color w:val="000000"/>
                      <w:sz w:val="21"/>
                      <w:szCs w:val="21"/>
                    </w:rPr>
                    <w:t>合计</w:t>
                  </w:r>
                </w:p>
              </w:tc>
              <w:tc>
                <w:tcPr>
                  <w:tcW w:w="847" w:type="pct"/>
                  <w:noWrap w:val="0"/>
                  <w:vAlign w:val="center"/>
                </w:tcPr>
                <w:p>
                  <w:pPr>
                    <w:adjustRightInd w:val="0"/>
                    <w:snapToGrid w:val="0"/>
                    <w:spacing w:line="240" w:lineRule="auto"/>
                    <w:jc w:val="center"/>
                    <w:rPr>
                      <w:rFonts w:hint="eastAsia" w:eastAsia="宋体"/>
                      <w:color w:val="000000"/>
                      <w:sz w:val="21"/>
                      <w:szCs w:val="21"/>
                      <w:lang w:eastAsia="zh-CN"/>
                    </w:rPr>
                  </w:pPr>
                  <w:r>
                    <w:rPr>
                      <w:color w:val="000000"/>
                      <w:sz w:val="21"/>
                      <w:szCs w:val="21"/>
                    </w:rPr>
                    <w:t>0.</w:t>
                  </w:r>
                  <w:r>
                    <w:rPr>
                      <w:rFonts w:hint="eastAsia"/>
                      <w:color w:val="000000"/>
                      <w:sz w:val="21"/>
                      <w:szCs w:val="21"/>
                    </w:rPr>
                    <w:t>000</w:t>
                  </w:r>
                  <w:r>
                    <w:rPr>
                      <w:rFonts w:hint="eastAsia"/>
                      <w:color w:val="000000"/>
                      <w:sz w:val="21"/>
                      <w:szCs w:val="21"/>
                      <w:lang w:val="en-US" w:eastAsia="zh-CN"/>
                    </w:rPr>
                    <w:t>2</w:t>
                  </w:r>
                </w:p>
              </w:tc>
            </w:tr>
          </w:tbl>
          <w:p>
            <w:pPr>
              <w:ind w:firstLine="482"/>
              <w:rPr>
                <w:b/>
                <w:bCs/>
                <w:color w:val="000000"/>
              </w:rPr>
            </w:pPr>
            <w:r>
              <w:rPr>
                <w:color w:val="000000"/>
              </w:rPr>
              <w:t>根据《建设项目环境风险评价技术导则》（HJ169-2018）中环境风险评价工作等级划分基本原则。本项目Q＜1环境风险潜势为I级，结合下表可知，本项目的风险评价等级为简单分析</w:t>
            </w:r>
            <w:r>
              <w:rPr>
                <w:b/>
                <w:bCs/>
                <w:color w:val="000000"/>
              </w:rPr>
              <w:t>。</w:t>
            </w:r>
          </w:p>
          <w:p>
            <w:pPr>
              <w:adjustRightInd w:val="0"/>
              <w:snapToGrid w:val="0"/>
              <w:spacing w:line="240" w:lineRule="auto"/>
              <w:ind w:firstLine="422" w:firstLineChars="200"/>
              <w:rPr>
                <w:color w:val="000000"/>
              </w:rPr>
            </w:pPr>
            <w:r>
              <w:rPr>
                <w:b/>
                <w:bCs/>
                <w:color w:val="000000"/>
                <w:sz w:val="21"/>
                <w:szCs w:val="21"/>
              </w:rPr>
              <w:t>表</w:t>
            </w:r>
            <w:r>
              <w:rPr>
                <w:rFonts w:hint="eastAsia"/>
                <w:b/>
                <w:bCs/>
                <w:color w:val="000000"/>
                <w:sz w:val="21"/>
                <w:szCs w:val="21"/>
                <w:lang w:val="en-US" w:eastAsia="zh-CN"/>
              </w:rPr>
              <w:t>4-16</w:t>
            </w:r>
            <w:r>
              <w:rPr>
                <w:rFonts w:hint="eastAsia"/>
                <w:b/>
                <w:bCs/>
                <w:color w:val="000000"/>
                <w:sz w:val="21"/>
                <w:szCs w:val="21"/>
              </w:rPr>
              <w:t xml:space="preserve">                </w:t>
            </w:r>
            <w:r>
              <w:rPr>
                <w:b/>
                <w:bCs/>
                <w:color w:val="000000"/>
                <w:sz w:val="21"/>
                <w:szCs w:val="21"/>
              </w:rPr>
              <w:t>评价工作等级划分</w:t>
            </w:r>
          </w:p>
          <w:tbl>
            <w:tblPr>
              <w:tblStyle w:val="26"/>
              <w:tblW w:w="4998" w:type="pct"/>
              <w:tblInd w:w="2"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3123"/>
              <w:gridCol w:w="2030"/>
              <w:gridCol w:w="603"/>
              <w:gridCol w:w="602"/>
              <w:gridCol w:w="2110"/>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123" w:type="dxa"/>
                  <w:noWrap w:val="0"/>
                  <w:vAlign w:val="center"/>
                </w:tcPr>
                <w:p>
                  <w:pPr>
                    <w:adjustRightInd w:val="0"/>
                    <w:snapToGrid w:val="0"/>
                    <w:spacing w:line="240" w:lineRule="auto"/>
                    <w:jc w:val="center"/>
                    <w:rPr>
                      <w:color w:val="000000"/>
                      <w:sz w:val="21"/>
                      <w:szCs w:val="21"/>
                    </w:rPr>
                  </w:pPr>
                  <w:r>
                    <w:rPr>
                      <w:color w:val="000000"/>
                      <w:sz w:val="21"/>
                      <w:szCs w:val="21"/>
                    </w:rPr>
                    <w:t>环境风险潜势</w:t>
                  </w:r>
                </w:p>
              </w:tc>
              <w:tc>
                <w:tcPr>
                  <w:tcW w:w="2030" w:type="dxa"/>
                  <w:noWrap w:val="0"/>
                  <w:vAlign w:val="center"/>
                </w:tcPr>
                <w:p>
                  <w:pPr>
                    <w:adjustRightInd w:val="0"/>
                    <w:snapToGrid w:val="0"/>
                    <w:spacing w:line="240" w:lineRule="auto"/>
                    <w:jc w:val="center"/>
                    <w:rPr>
                      <w:color w:val="000000"/>
                      <w:sz w:val="21"/>
                      <w:szCs w:val="21"/>
                    </w:rPr>
                  </w:pPr>
                  <w:r>
                    <w:rPr>
                      <w:color w:val="000000"/>
                      <w:sz w:val="21"/>
                      <w:szCs w:val="21"/>
                    </w:rPr>
                    <w:t>IV，IV+</w:t>
                  </w:r>
                </w:p>
              </w:tc>
              <w:tc>
                <w:tcPr>
                  <w:tcW w:w="603" w:type="dxa"/>
                  <w:noWrap w:val="0"/>
                  <w:vAlign w:val="center"/>
                </w:tcPr>
                <w:p>
                  <w:pPr>
                    <w:adjustRightInd w:val="0"/>
                    <w:snapToGrid w:val="0"/>
                    <w:spacing w:line="240" w:lineRule="auto"/>
                    <w:jc w:val="center"/>
                    <w:rPr>
                      <w:color w:val="000000"/>
                      <w:sz w:val="21"/>
                      <w:szCs w:val="21"/>
                    </w:rPr>
                  </w:pPr>
                  <w:r>
                    <w:rPr>
                      <w:color w:val="000000"/>
                      <w:sz w:val="21"/>
                      <w:szCs w:val="21"/>
                    </w:rPr>
                    <w:t>III</w:t>
                  </w:r>
                </w:p>
              </w:tc>
              <w:tc>
                <w:tcPr>
                  <w:tcW w:w="602" w:type="dxa"/>
                  <w:noWrap w:val="0"/>
                  <w:vAlign w:val="center"/>
                </w:tcPr>
                <w:p>
                  <w:pPr>
                    <w:adjustRightInd w:val="0"/>
                    <w:snapToGrid w:val="0"/>
                    <w:spacing w:line="240" w:lineRule="auto"/>
                    <w:jc w:val="center"/>
                    <w:rPr>
                      <w:color w:val="000000"/>
                      <w:sz w:val="21"/>
                      <w:szCs w:val="21"/>
                    </w:rPr>
                  </w:pPr>
                  <w:r>
                    <w:rPr>
                      <w:color w:val="000000"/>
                      <w:sz w:val="21"/>
                      <w:szCs w:val="21"/>
                    </w:rPr>
                    <w:t>II</w:t>
                  </w:r>
                </w:p>
              </w:tc>
              <w:tc>
                <w:tcPr>
                  <w:tcW w:w="2109" w:type="dxa"/>
                  <w:noWrap w:val="0"/>
                  <w:vAlign w:val="center"/>
                </w:tcPr>
                <w:p>
                  <w:pPr>
                    <w:adjustRightInd w:val="0"/>
                    <w:snapToGrid w:val="0"/>
                    <w:spacing w:line="240" w:lineRule="auto"/>
                    <w:jc w:val="center"/>
                    <w:rPr>
                      <w:color w:val="000000"/>
                      <w:sz w:val="21"/>
                      <w:szCs w:val="21"/>
                    </w:rPr>
                  </w:pPr>
                  <w:r>
                    <w:rPr>
                      <w:color w:val="000000"/>
                      <w:sz w:val="21"/>
                      <w:szCs w:val="21"/>
                    </w:rPr>
                    <w:t>I</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123" w:type="dxa"/>
                  <w:noWrap w:val="0"/>
                  <w:vAlign w:val="center"/>
                </w:tcPr>
                <w:p>
                  <w:pPr>
                    <w:adjustRightInd w:val="0"/>
                    <w:snapToGrid w:val="0"/>
                    <w:spacing w:line="240" w:lineRule="auto"/>
                    <w:jc w:val="center"/>
                    <w:rPr>
                      <w:color w:val="000000"/>
                      <w:sz w:val="21"/>
                      <w:szCs w:val="21"/>
                    </w:rPr>
                  </w:pPr>
                  <w:r>
                    <w:rPr>
                      <w:color w:val="000000"/>
                      <w:sz w:val="21"/>
                      <w:szCs w:val="21"/>
                    </w:rPr>
                    <w:t>评价工作等级</w:t>
                  </w:r>
                </w:p>
              </w:tc>
              <w:tc>
                <w:tcPr>
                  <w:tcW w:w="2030" w:type="dxa"/>
                  <w:noWrap w:val="0"/>
                  <w:vAlign w:val="center"/>
                </w:tcPr>
                <w:p>
                  <w:pPr>
                    <w:adjustRightInd w:val="0"/>
                    <w:snapToGrid w:val="0"/>
                    <w:spacing w:line="240" w:lineRule="auto"/>
                    <w:jc w:val="center"/>
                    <w:rPr>
                      <w:color w:val="000000"/>
                      <w:sz w:val="21"/>
                      <w:szCs w:val="21"/>
                    </w:rPr>
                  </w:pPr>
                  <w:r>
                    <w:rPr>
                      <w:color w:val="000000"/>
                      <w:sz w:val="21"/>
                      <w:szCs w:val="21"/>
                    </w:rPr>
                    <w:t>一</w:t>
                  </w:r>
                </w:p>
              </w:tc>
              <w:tc>
                <w:tcPr>
                  <w:tcW w:w="603" w:type="dxa"/>
                  <w:noWrap w:val="0"/>
                  <w:vAlign w:val="center"/>
                </w:tcPr>
                <w:p>
                  <w:pPr>
                    <w:adjustRightInd w:val="0"/>
                    <w:snapToGrid w:val="0"/>
                    <w:spacing w:line="240" w:lineRule="auto"/>
                    <w:jc w:val="center"/>
                    <w:rPr>
                      <w:color w:val="000000"/>
                      <w:sz w:val="21"/>
                      <w:szCs w:val="21"/>
                    </w:rPr>
                  </w:pPr>
                  <w:r>
                    <w:rPr>
                      <w:color w:val="000000"/>
                      <w:sz w:val="21"/>
                      <w:szCs w:val="21"/>
                    </w:rPr>
                    <w:t>二</w:t>
                  </w:r>
                </w:p>
              </w:tc>
              <w:tc>
                <w:tcPr>
                  <w:tcW w:w="602" w:type="dxa"/>
                  <w:noWrap w:val="0"/>
                  <w:vAlign w:val="center"/>
                </w:tcPr>
                <w:p>
                  <w:pPr>
                    <w:adjustRightInd w:val="0"/>
                    <w:snapToGrid w:val="0"/>
                    <w:spacing w:line="240" w:lineRule="auto"/>
                    <w:jc w:val="center"/>
                    <w:rPr>
                      <w:color w:val="000000"/>
                      <w:sz w:val="21"/>
                      <w:szCs w:val="21"/>
                    </w:rPr>
                  </w:pPr>
                  <w:r>
                    <w:rPr>
                      <w:color w:val="000000"/>
                      <w:sz w:val="21"/>
                      <w:szCs w:val="21"/>
                    </w:rPr>
                    <w:t>三</w:t>
                  </w:r>
                </w:p>
              </w:tc>
              <w:tc>
                <w:tcPr>
                  <w:tcW w:w="2109" w:type="dxa"/>
                  <w:noWrap w:val="0"/>
                  <w:vAlign w:val="center"/>
                </w:tcPr>
                <w:p>
                  <w:pPr>
                    <w:adjustRightInd w:val="0"/>
                    <w:snapToGrid w:val="0"/>
                    <w:spacing w:line="240" w:lineRule="auto"/>
                    <w:jc w:val="center"/>
                    <w:rPr>
                      <w:color w:val="000000"/>
                      <w:sz w:val="21"/>
                      <w:szCs w:val="21"/>
                    </w:rPr>
                  </w:pPr>
                  <w:r>
                    <w:rPr>
                      <w:color w:val="000000"/>
                      <w:sz w:val="21"/>
                      <w:szCs w:val="21"/>
                    </w:rPr>
                    <w:t>简单分析</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8467" w:type="dxa"/>
                  <w:gridSpan w:val="5"/>
                  <w:noWrap w:val="0"/>
                  <w:vAlign w:val="center"/>
                </w:tcPr>
                <w:p>
                  <w:pPr>
                    <w:adjustRightInd w:val="0"/>
                    <w:snapToGrid w:val="0"/>
                    <w:spacing w:line="240" w:lineRule="auto"/>
                    <w:jc w:val="center"/>
                    <w:rPr>
                      <w:color w:val="000000"/>
                      <w:sz w:val="21"/>
                      <w:szCs w:val="21"/>
                    </w:rPr>
                  </w:pPr>
                  <w:r>
                    <w:rPr>
                      <w:color w:val="000000"/>
                      <w:sz w:val="21"/>
                      <w:szCs w:val="21"/>
                    </w:rPr>
                    <w:t>注：a是相对于详细评价工作内容而言，在描述危险物质、环境影响途径、环境危害后果，风险防范措施等方面给出定性的说明。</w:t>
                  </w:r>
                </w:p>
              </w:tc>
            </w:tr>
          </w:tbl>
          <w:p>
            <w:pPr>
              <w:ind w:firstLine="482" w:firstLineChars="200"/>
              <w:rPr>
                <w:b/>
                <w:bCs/>
                <w:color w:val="000000"/>
              </w:rPr>
            </w:pPr>
            <w:r>
              <w:rPr>
                <w:rFonts w:hint="eastAsia"/>
                <w:b/>
                <w:bCs/>
                <w:color w:val="000000"/>
                <w:lang w:val="en-US" w:eastAsia="zh-CN"/>
              </w:rPr>
              <w:t>6</w:t>
            </w:r>
            <w:r>
              <w:rPr>
                <w:rFonts w:hint="eastAsia"/>
                <w:b/>
                <w:bCs/>
                <w:color w:val="000000"/>
              </w:rPr>
              <w:t>.</w:t>
            </w:r>
            <w:r>
              <w:rPr>
                <w:b/>
                <w:bCs/>
                <w:color w:val="000000"/>
              </w:rPr>
              <w:t>2环境风险分布情况</w:t>
            </w:r>
          </w:p>
          <w:p>
            <w:pPr>
              <w:pStyle w:val="59"/>
              <w:adjustRightInd w:val="0"/>
              <w:snapToGrid w:val="0"/>
              <w:ind w:firstLine="512" w:firstLineChars="200"/>
              <w:rPr>
                <w:rFonts w:ascii="Times New Roman" w:hAnsi="Times New Roman" w:cs="Times New Roman"/>
                <w:color w:val="000000"/>
                <w:sz w:val="24"/>
                <w:szCs w:val="24"/>
                <w:lang w:eastAsia="zh-CN"/>
              </w:rPr>
            </w:pPr>
            <w:r>
              <w:rPr>
                <w:rFonts w:ascii="Times New Roman" w:hAnsi="Times New Roman" w:cs="Times New Roman"/>
                <w:color w:val="000000"/>
                <w:spacing w:val="8"/>
                <w:sz w:val="24"/>
                <w:szCs w:val="24"/>
                <w:lang w:eastAsia="zh-CN"/>
              </w:rPr>
              <w:t>根据《建设项目环境风险评价技术导则》（</w:t>
            </w:r>
            <w:r>
              <w:rPr>
                <w:rFonts w:ascii="Times New Roman" w:hAnsi="Times New Roman" w:cs="Times New Roman"/>
                <w:color w:val="000000"/>
                <w:sz w:val="24"/>
                <w:szCs w:val="24"/>
                <w:lang w:eastAsia="zh-CN"/>
              </w:rPr>
              <w:t>HJ</w:t>
            </w:r>
            <w:r>
              <w:rPr>
                <w:rFonts w:ascii="Times New Roman" w:hAnsi="Times New Roman" w:cs="Times New Roman"/>
                <w:color w:val="000000"/>
                <w:spacing w:val="8"/>
                <w:sz w:val="24"/>
                <w:szCs w:val="24"/>
                <w:lang w:eastAsia="zh-CN"/>
              </w:rPr>
              <w:t>169-2018）对本项目运营过程中涉及的物质进行风险识别，本项目环境风险识别见下表。</w:t>
            </w:r>
          </w:p>
          <w:p>
            <w:pPr>
              <w:adjustRightInd w:val="0"/>
              <w:snapToGrid w:val="0"/>
              <w:spacing w:line="240" w:lineRule="auto"/>
              <w:ind w:firstLine="422" w:firstLineChars="200"/>
              <w:rPr>
                <w:color w:val="000000"/>
              </w:rPr>
            </w:pPr>
            <w:r>
              <w:rPr>
                <w:b/>
                <w:bCs/>
                <w:color w:val="000000"/>
                <w:sz w:val="21"/>
                <w:szCs w:val="21"/>
              </w:rPr>
              <w:t>表</w:t>
            </w:r>
            <w:r>
              <w:rPr>
                <w:rFonts w:hint="eastAsia"/>
                <w:b/>
                <w:bCs/>
                <w:color w:val="000000"/>
                <w:sz w:val="21"/>
                <w:szCs w:val="21"/>
                <w:lang w:val="en-US" w:eastAsia="zh-CN"/>
              </w:rPr>
              <w:t>4-17</w:t>
            </w:r>
            <w:r>
              <w:rPr>
                <w:rFonts w:hint="eastAsia"/>
                <w:b/>
                <w:bCs/>
                <w:color w:val="000000"/>
                <w:sz w:val="21"/>
                <w:szCs w:val="21"/>
              </w:rPr>
              <w:t xml:space="preserve">          </w:t>
            </w:r>
            <w:r>
              <w:rPr>
                <w:b/>
                <w:bCs/>
                <w:color w:val="000000"/>
                <w:sz w:val="21"/>
                <w:szCs w:val="21"/>
              </w:rPr>
              <w:t>建设项目环境风险识别表</w:t>
            </w:r>
          </w:p>
          <w:tbl>
            <w:tblPr>
              <w:tblStyle w:val="26"/>
              <w:tblW w:w="4998" w:type="pct"/>
              <w:tblInd w:w="0" w:type="dxa"/>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566"/>
              <w:gridCol w:w="1154"/>
              <w:gridCol w:w="861"/>
              <w:gridCol w:w="1703"/>
              <w:gridCol w:w="1698"/>
              <w:gridCol w:w="2486"/>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pPr>
                    <w:adjustRightInd w:val="0"/>
                    <w:snapToGrid w:val="0"/>
                    <w:spacing w:line="240" w:lineRule="auto"/>
                    <w:jc w:val="center"/>
                    <w:rPr>
                      <w:color w:val="000000"/>
                      <w:sz w:val="21"/>
                      <w:szCs w:val="21"/>
                    </w:rPr>
                  </w:pPr>
                  <w:r>
                    <w:rPr>
                      <w:color w:val="000000"/>
                      <w:spacing w:val="-4"/>
                      <w:sz w:val="21"/>
                      <w:szCs w:val="21"/>
                    </w:rPr>
                    <w:t>序号</w:t>
                  </w:r>
                </w:p>
              </w:tc>
              <w:tc>
                <w:tcPr>
                  <w:tcW w:w="681" w:type="pct"/>
                  <w:noWrap w:val="0"/>
                  <w:vAlign w:val="center"/>
                </w:tcPr>
                <w:p>
                  <w:pPr>
                    <w:adjustRightInd w:val="0"/>
                    <w:snapToGrid w:val="0"/>
                    <w:spacing w:line="240" w:lineRule="auto"/>
                    <w:jc w:val="center"/>
                    <w:rPr>
                      <w:color w:val="000000"/>
                      <w:sz w:val="21"/>
                      <w:szCs w:val="21"/>
                    </w:rPr>
                  </w:pPr>
                  <w:r>
                    <w:rPr>
                      <w:color w:val="000000"/>
                      <w:spacing w:val="-2"/>
                      <w:sz w:val="21"/>
                      <w:szCs w:val="21"/>
                    </w:rPr>
                    <w:t>危险单元</w:t>
                  </w:r>
                </w:p>
              </w:tc>
              <w:tc>
                <w:tcPr>
                  <w:tcW w:w="508" w:type="pct"/>
                  <w:noWrap w:val="0"/>
                  <w:vAlign w:val="center"/>
                </w:tcPr>
                <w:p>
                  <w:pPr>
                    <w:adjustRightInd w:val="0"/>
                    <w:snapToGrid w:val="0"/>
                    <w:spacing w:line="240" w:lineRule="auto"/>
                    <w:jc w:val="center"/>
                    <w:rPr>
                      <w:color w:val="000000"/>
                      <w:sz w:val="21"/>
                      <w:szCs w:val="21"/>
                    </w:rPr>
                  </w:pPr>
                  <w:r>
                    <w:rPr>
                      <w:color w:val="000000"/>
                      <w:spacing w:val="-3"/>
                      <w:sz w:val="21"/>
                      <w:szCs w:val="21"/>
                    </w:rPr>
                    <w:t>风险源</w:t>
                  </w:r>
                </w:p>
              </w:tc>
              <w:tc>
                <w:tcPr>
                  <w:tcW w:w="1005" w:type="pct"/>
                  <w:noWrap w:val="0"/>
                  <w:vAlign w:val="center"/>
                </w:tcPr>
                <w:p>
                  <w:pPr>
                    <w:adjustRightInd w:val="0"/>
                    <w:snapToGrid w:val="0"/>
                    <w:spacing w:line="240" w:lineRule="auto"/>
                    <w:jc w:val="center"/>
                    <w:rPr>
                      <w:color w:val="000000"/>
                      <w:sz w:val="21"/>
                      <w:szCs w:val="21"/>
                    </w:rPr>
                  </w:pPr>
                  <w:r>
                    <w:rPr>
                      <w:color w:val="000000"/>
                      <w:spacing w:val="-3"/>
                      <w:sz w:val="21"/>
                      <w:szCs w:val="21"/>
                    </w:rPr>
                    <w:t>主要危险</w:t>
                  </w:r>
                  <w:r>
                    <w:rPr>
                      <w:color w:val="000000"/>
                      <w:spacing w:val="-4"/>
                      <w:sz w:val="21"/>
                      <w:szCs w:val="21"/>
                    </w:rPr>
                    <w:t>物质</w:t>
                  </w:r>
                </w:p>
              </w:tc>
              <w:tc>
                <w:tcPr>
                  <w:tcW w:w="1002" w:type="pct"/>
                  <w:noWrap w:val="0"/>
                  <w:vAlign w:val="center"/>
                </w:tcPr>
                <w:p>
                  <w:pPr>
                    <w:adjustRightInd w:val="0"/>
                    <w:snapToGrid w:val="0"/>
                    <w:spacing w:line="240" w:lineRule="auto"/>
                    <w:jc w:val="center"/>
                    <w:rPr>
                      <w:color w:val="000000"/>
                      <w:sz w:val="21"/>
                      <w:szCs w:val="21"/>
                    </w:rPr>
                  </w:pPr>
                  <w:r>
                    <w:rPr>
                      <w:color w:val="000000"/>
                      <w:spacing w:val="-2"/>
                      <w:sz w:val="21"/>
                      <w:szCs w:val="21"/>
                    </w:rPr>
                    <w:t>环境风险</w:t>
                  </w:r>
                  <w:r>
                    <w:rPr>
                      <w:color w:val="000000"/>
                      <w:spacing w:val="-7"/>
                      <w:sz w:val="21"/>
                      <w:szCs w:val="21"/>
                    </w:rPr>
                    <w:t>类型</w:t>
                  </w:r>
                </w:p>
              </w:tc>
              <w:tc>
                <w:tcPr>
                  <w:tcW w:w="1467" w:type="pct"/>
                  <w:noWrap w:val="0"/>
                  <w:vAlign w:val="center"/>
                </w:tcPr>
                <w:p>
                  <w:pPr>
                    <w:adjustRightInd w:val="0"/>
                    <w:snapToGrid w:val="0"/>
                    <w:spacing w:line="240" w:lineRule="auto"/>
                    <w:jc w:val="center"/>
                    <w:rPr>
                      <w:color w:val="000000"/>
                      <w:sz w:val="21"/>
                      <w:szCs w:val="21"/>
                    </w:rPr>
                  </w:pPr>
                  <w:r>
                    <w:rPr>
                      <w:color w:val="000000"/>
                      <w:spacing w:val="-2"/>
                      <w:sz w:val="21"/>
                      <w:szCs w:val="21"/>
                    </w:rPr>
                    <w:t>环境影响途径</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c>
                <w:tcPr>
                  <w:tcW w:w="334" w:type="pct"/>
                  <w:noWrap w:val="0"/>
                  <w:vAlign w:val="center"/>
                </w:tcPr>
                <w:p>
                  <w:pPr>
                    <w:adjustRightInd w:val="0"/>
                    <w:snapToGrid w:val="0"/>
                    <w:spacing w:line="240" w:lineRule="auto"/>
                    <w:jc w:val="center"/>
                    <w:rPr>
                      <w:rFonts w:hint="eastAsia"/>
                      <w:color w:val="000000"/>
                      <w:sz w:val="21"/>
                      <w:szCs w:val="21"/>
                    </w:rPr>
                  </w:pPr>
                  <w:r>
                    <w:rPr>
                      <w:rFonts w:hint="eastAsia"/>
                      <w:color w:val="000000"/>
                      <w:sz w:val="21"/>
                      <w:szCs w:val="21"/>
                    </w:rPr>
                    <w:t>1</w:t>
                  </w:r>
                </w:p>
              </w:tc>
              <w:tc>
                <w:tcPr>
                  <w:tcW w:w="681" w:type="pct"/>
                  <w:noWrap w:val="0"/>
                  <w:vAlign w:val="center"/>
                </w:tcPr>
                <w:p>
                  <w:pPr>
                    <w:pStyle w:val="59"/>
                    <w:adjustRightInd w:val="0"/>
                    <w:snapToGrid w:val="0"/>
                    <w:spacing w:line="240" w:lineRule="auto"/>
                    <w:jc w:val="center"/>
                    <w:rPr>
                      <w:rFonts w:hint="default" w:ascii="Times New Roman" w:hAnsi="Times New Roman" w:cs="Times New Roman"/>
                      <w:color w:val="000000"/>
                      <w:sz w:val="21"/>
                      <w:szCs w:val="21"/>
                      <w:lang w:val="en-US" w:eastAsia="zh-CN"/>
                    </w:rPr>
                  </w:pPr>
                  <w:r>
                    <w:rPr>
                      <w:rFonts w:hint="eastAsia" w:ascii="Times New Roman" w:hAnsi="Times New Roman" w:cs="Times New Roman"/>
                      <w:color w:val="000000"/>
                      <w:spacing w:val="-3"/>
                      <w:sz w:val="21"/>
                      <w:szCs w:val="21"/>
                      <w:lang w:val="en-US" w:eastAsia="zh-CN"/>
                    </w:rPr>
                    <w:t>危险废物贮存库</w:t>
                  </w:r>
                </w:p>
              </w:tc>
              <w:tc>
                <w:tcPr>
                  <w:tcW w:w="508" w:type="pct"/>
                  <w:noWrap w:val="0"/>
                  <w:vAlign w:val="center"/>
                </w:tcPr>
                <w:p>
                  <w:pPr>
                    <w:pStyle w:val="59"/>
                    <w:adjustRightInd w:val="0"/>
                    <w:snapToGrid w:val="0"/>
                    <w:spacing w:line="240" w:lineRule="auto"/>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pacing w:val="-3"/>
                      <w:sz w:val="21"/>
                      <w:szCs w:val="21"/>
                      <w:lang w:val="en-US" w:eastAsia="zh-CN"/>
                    </w:rPr>
                    <w:t>废</w:t>
                  </w:r>
                  <w:r>
                    <w:rPr>
                      <w:rFonts w:hint="eastAsia" w:ascii="Times New Roman" w:hAnsi="Times New Roman" w:cs="Times New Roman"/>
                      <w:color w:val="000000"/>
                      <w:spacing w:val="-3"/>
                      <w:sz w:val="21"/>
                      <w:szCs w:val="21"/>
                      <w:lang w:eastAsia="zh-CN"/>
                    </w:rPr>
                    <w:t>润滑油</w:t>
                  </w:r>
                </w:p>
              </w:tc>
              <w:tc>
                <w:tcPr>
                  <w:tcW w:w="1005" w:type="pct"/>
                  <w:noWrap w:val="0"/>
                  <w:vAlign w:val="center"/>
                </w:tcPr>
                <w:p>
                  <w:pPr>
                    <w:pStyle w:val="59"/>
                    <w:adjustRightInd w:val="0"/>
                    <w:snapToGrid w:val="0"/>
                    <w:spacing w:line="240" w:lineRule="auto"/>
                    <w:jc w:val="center"/>
                    <w:rPr>
                      <w:rFonts w:hint="eastAsia" w:ascii="Times New Roman" w:hAnsi="Times New Roman" w:cs="Times New Roman"/>
                      <w:color w:val="000000"/>
                      <w:sz w:val="21"/>
                      <w:szCs w:val="21"/>
                      <w:lang w:eastAsia="zh-CN"/>
                    </w:rPr>
                  </w:pPr>
                  <w:r>
                    <w:rPr>
                      <w:rFonts w:hint="eastAsia" w:ascii="Times New Roman" w:hAnsi="Times New Roman" w:cs="Times New Roman"/>
                      <w:color w:val="000000"/>
                      <w:spacing w:val="-3"/>
                      <w:sz w:val="21"/>
                      <w:szCs w:val="21"/>
                      <w:lang w:val="en-US" w:eastAsia="zh-CN"/>
                    </w:rPr>
                    <w:t>废</w:t>
                  </w:r>
                  <w:r>
                    <w:rPr>
                      <w:rFonts w:hint="eastAsia" w:ascii="Times New Roman" w:hAnsi="Times New Roman" w:cs="Times New Roman"/>
                      <w:color w:val="000000"/>
                      <w:spacing w:val="-3"/>
                      <w:sz w:val="21"/>
                      <w:szCs w:val="21"/>
                      <w:lang w:eastAsia="zh-CN"/>
                    </w:rPr>
                    <w:t>润滑油</w:t>
                  </w:r>
                </w:p>
              </w:tc>
              <w:tc>
                <w:tcPr>
                  <w:tcW w:w="1002" w:type="pct"/>
                  <w:noWrap w:val="0"/>
                  <w:vAlign w:val="center"/>
                </w:tcPr>
                <w:p>
                  <w:pPr>
                    <w:pStyle w:val="59"/>
                    <w:adjustRightInd w:val="0"/>
                    <w:snapToGrid w:val="0"/>
                    <w:spacing w:line="240" w:lineRule="auto"/>
                    <w:jc w:val="center"/>
                    <w:rPr>
                      <w:rFonts w:ascii="Times New Roman" w:hAnsi="Times New Roman" w:cs="Times New Roman"/>
                      <w:color w:val="000000"/>
                      <w:sz w:val="21"/>
                      <w:szCs w:val="21"/>
                      <w:lang w:eastAsia="zh-CN"/>
                    </w:rPr>
                  </w:pPr>
                  <w:r>
                    <w:rPr>
                      <w:rFonts w:hint="eastAsia" w:ascii="Times New Roman" w:hAnsi="Times New Roman" w:cs="Times New Roman"/>
                      <w:color w:val="000000"/>
                      <w:spacing w:val="-13"/>
                      <w:sz w:val="21"/>
                      <w:szCs w:val="21"/>
                      <w:lang w:eastAsia="zh-CN"/>
                    </w:rPr>
                    <w:t>泄漏</w:t>
                  </w:r>
                  <w:r>
                    <w:rPr>
                      <w:rFonts w:ascii="Times New Roman" w:hAnsi="Times New Roman" w:cs="Times New Roman"/>
                      <w:color w:val="000000"/>
                      <w:spacing w:val="-13"/>
                      <w:sz w:val="21"/>
                      <w:szCs w:val="21"/>
                      <w:lang w:eastAsia="zh-CN"/>
                    </w:rPr>
                    <w:t>、火灾</w:t>
                  </w:r>
                </w:p>
              </w:tc>
              <w:tc>
                <w:tcPr>
                  <w:tcW w:w="1467" w:type="pct"/>
                  <w:noWrap w:val="0"/>
                  <w:vAlign w:val="center"/>
                </w:tcPr>
                <w:p>
                  <w:pPr>
                    <w:pStyle w:val="59"/>
                    <w:adjustRightInd w:val="0"/>
                    <w:snapToGrid w:val="0"/>
                    <w:spacing w:line="240" w:lineRule="auto"/>
                    <w:jc w:val="center"/>
                    <w:rPr>
                      <w:rFonts w:ascii="Times New Roman" w:hAnsi="Times New Roman" w:cs="Times New Roman"/>
                      <w:color w:val="000000"/>
                      <w:sz w:val="21"/>
                      <w:szCs w:val="21"/>
                      <w:lang w:eastAsia="zh-CN"/>
                    </w:rPr>
                  </w:pPr>
                  <w:r>
                    <w:rPr>
                      <w:rFonts w:ascii="Times New Roman" w:hAnsi="Times New Roman" w:cs="Times New Roman"/>
                      <w:color w:val="000000"/>
                      <w:spacing w:val="-6"/>
                      <w:sz w:val="21"/>
                      <w:szCs w:val="21"/>
                      <w:lang w:eastAsia="zh-CN"/>
                    </w:rPr>
                    <w:t>大气、地表水、</w:t>
                  </w:r>
                  <w:r>
                    <w:rPr>
                      <w:rFonts w:ascii="Times New Roman" w:hAnsi="Times New Roman" w:cs="Times New Roman"/>
                      <w:color w:val="000000"/>
                      <w:spacing w:val="-4"/>
                      <w:sz w:val="21"/>
                      <w:szCs w:val="21"/>
                      <w:lang w:eastAsia="zh-CN"/>
                    </w:rPr>
                    <w:t>土壤</w:t>
                  </w:r>
                </w:p>
              </w:tc>
            </w:tr>
          </w:tbl>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本项目</w:t>
            </w:r>
            <w:r>
              <w:rPr>
                <w:rFonts w:hint="eastAsia" w:ascii="Times New Roman" w:hAnsi="Times New Roman" w:cs="Times New Roman"/>
                <w:color w:val="000000"/>
                <w:sz w:val="24"/>
                <w:szCs w:val="24"/>
                <w:lang w:val="en-US" w:eastAsia="zh-CN"/>
              </w:rPr>
              <w:t>废润滑油位于危险废物贮存库内</w:t>
            </w:r>
            <w:r>
              <w:rPr>
                <w:rFonts w:ascii="Times New Roman" w:hAnsi="Times New Roman" w:cs="Times New Roman"/>
                <w:color w:val="000000"/>
                <w:sz w:val="24"/>
                <w:szCs w:val="24"/>
                <w:lang w:eastAsia="zh-CN"/>
              </w:rPr>
              <w:t>，若发生破损或泄漏，能够及时发现，车间地面已硬化，每桶装量较小，若及时处理，不会进入外界，对环境影响较小；</w:t>
            </w:r>
            <w:r>
              <w:rPr>
                <w:rFonts w:hint="eastAsia" w:ascii="Times New Roman" w:hAnsi="Times New Roman" w:cs="Times New Roman"/>
                <w:color w:val="000000"/>
                <w:sz w:val="24"/>
                <w:szCs w:val="24"/>
                <w:lang w:eastAsia="zh-CN"/>
              </w:rPr>
              <w:t>润滑油</w:t>
            </w:r>
            <w:r>
              <w:rPr>
                <w:rFonts w:ascii="Times New Roman" w:hAnsi="Times New Roman" w:cs="Times New Roman"/>
                <w:color w:val="000000"/>
                <w:sz w:val="24"/>
                <w:szCs w:val="24"/>
                <w:lang w:eastAsia="zh-CN"/>
              </w:rPr>
              <w:t>位于原料仓库内，若发生破损或泄漏，能够及时发现，车间地面已硬化，若及时处理，不会进入外界，对环境影响较小；废</w:t>
            </w:r>
            <w:r>
              <w:rPr>
                <w:rFonts w:hint="eastAsia" w:ascii="Times New Roman" w:hAnsi="Times New Roman" w:cs="Times New Roman"/>
                <w:color w:val="000000"/>
                <w:sz w:val="24"/>
                <w:szCs w:val="24"/>
                <w:lang w:eastAsia="zh-CN"/>
              </w:rPr>
              <w:t>润滑油</w:t>
            </w:r>
            <w:r>
              <w:rPr>
                <w:rFonts w:ascii="Times New Roman" w:hAnsi="Times New Roman" w:cs="Times New Roman"/>
                <w:color w:val="000000"/>
                <w:sz w:val="24"/>
                <w:szCs w:val="24"/>
                <w:lang w:eastAsia="zh-CN"/>
              </w:rPr>
              <w:t>位于</w:t>
            </w:r>
            <w:r>
              <w:rPr>
                <w:rFonts w:hint="eastAsia" w:ascii="Times New Roman" w:hAnsi="Times New Roman" w:cs="Times New Roman"/>
                <w:color w:val="000000"/>
                <w:sz w:val="24"/>
                <w:szCs w:val="24"/>
                <w:lang w:eastAsia="zh-CN"/>
              </w:rPr>
              <w:t>危险废物贮存库</w:t>
            </w:r>
            <w:r>
              <w:rPr>
                <w:rFonts w:ascii="Times New Roman" w:hAnsi="Times New Roman" w:cs="Times New Roman"/>
                <w:color w:val="000000"/>
                <w:sz w:val="24"/>
                <w:szCs w:val="24"/>
                <w:lang w:eastAsia="zh-CN"/>
              </w:rPr>
              <w:t>内，待</w:t>
            </w:r>
            <w:r>
              <w:rPr>
                <w:rFonts w:hint="eastAsia" w:ascii="Times New Roman" w:hAnsi="Times New Roman" w:cs="Times New Roman"/>
                <w:color w:val="000000"/>
                <w:sz w:val="24"/>
                <w:szCs w:val="24"/>
                <w:lang w:eastAsia="zh-CN"/>
              </w:rPr>
              <w:t>危险废物贮存库</w:t>
            </w:r>
            <w:r>
              <w:rPr>
                <w:rFonts w:ascii="Times New Roman" w:hAnsi="Times New Roman" w:cs="Times New Roman"/>
                <w:color w:val="000000"/>
                <w:sz w:val="24"/>
                <w:szCs w:val="24"/>
                <w:lang w:eastAsia="zh-CN"/>
              </w:rPr>
              <w:t>按要求完善防渗防漏措施后，发生破损或泄漏，可及时发现处理，不会进入外界，对环境影响较小。</w:t>
            </w:r>
          </w:p>
          <w:p>
            <w:pPr>
              <w:ind w:firstLine="482" w:firstLineChars="200"/>
              <w:rPr>
                <w:b/>
                <w:bCs/>
                <w:color w:val="000000"/>
              </w:rPr>
            </w:pPr>
            <w:r>
              <w:rPr>
                <w:rFonts w:hint="eastAsia"/>
                <w:b/>
                <w:bCs/>
                <w:color w:val="000000"/>
                <w:lang w:val="en-US" w:eastAsia="zh-CN"/>
              </w:rPr>
              <w:t>6</w:t>
            </w:r>
            <w:r>
              <w:rPr>
                <w:rFonts w:hint="eastAsia"/>
                <w:b/>
                <w:bCs/>
                <w:color w:val="000000"/>
              </w:rPr>
              <w:t>.</w:t>
            </w:r>
            <w:r>
              <w:rPr>
                <w:b/>
                <w:bCs/>
                <w:color w:val="000000"/>
              </w:rPr>
              <w:t>3环境风险分析</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最大可信事故是基于经验统计分析，在一定可能性区间内发生的事故中，造成环境危害最严重的事故。根据本项目物质危险性识别、生产设施危险性识别和重大危险源的识别分析结果，确定本报告可能发生的事故为：</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事故一：废</w:t>
            </w:r>
            <w:r>
              <w:rPr>
                <w:rFonts w:hint="eastAsia" w:ascii="Times New Roman" w:hAnsi="Times New Roman" w:cs="Times New Roman"/>
                <w:color w:val="000000"/>
                <w:sz w:val="24"/>
                <w:szCs w:val="24"/>
                <w:lang w:eastAsia="zh-CN"/>
              </w:rPr>
              <w:t>润滑油</w:t>
            </w:r>
            <w:r>
              <w:rPr>
                <w:rFonts w:ascii="Times New Roman" w:hAnsi="Times New Roman" w:cs="Times New Roman"/>
                <w:color w:val="000000"/>
                <w:sz w:val="24"/>
                <w:szCs w:val="24"/>
                <w:lang w:eastAsia="zh-CN"/>
              </w:rPr>
              <w:t>发生泄漏；</w:t>
            </w:r>
          </w:p>
          <w:p>
            <w:pPr>
              <w:ind w:firstLine="482" w:firstLineChars="200"/>
              <w:rPr>
                <w:b/>
                <w:bCs/>
                <w:color w:val="000000"/>
              </w:rPr>
            </w:pPr>
            <w:r>
              <w:rPr>
                <w:rFonts w:hint="eastAsia"/>
                <w:b/>
                <w:bCs/>
                <w:color w:val="000000"/>
                <w:lang w:val="en-US" w:eastAsia="zh-CN"/>
              </w:rPr>
              <w:t>6</w:t>
            </w:r>
            <w:r>
              <w:rPr>
                <w:b/>
                <w:bCs/>
                <w:color w:val="000000"/>
              </w:rPr>
              <w:t>.4火灾风险</w:t>
            </w:r>
            <w:r>
              <w:rPr>
                <w:rFonts w:hint="eastAsia"/>
                <w:b/>
                <w:bCs/>
                <w:color w:val="000000"/>
                <w:lang w:val="en-US" w:eastAsia="zh-CN"/>
              </w:rPr>
              <w:t>防范措施</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针对本项目特点，提出以下几点环境风险</w:t>
            </w:r>
            <w:r>
              <w:rPr>
                <w:rFonts w:hint="eastAsia" w:ascii="Times New Roman" w:hAnsi="Times New Roman" w:cs="Times New Roman"/>
                <w:color w:val="000000"/>
                <w:sz w:val="24"/>
                <w:szCs w:val="24"/>
                <w:lang w:val="en-US" w:eastAsia="zh-CN"/>
              </w:rPr>
              <w:t>防范措施</w:t>
            </w:r>
            <w:r>
              <w:rPr>
                <w:rFonts w:ascii="Times New Roman" w:hAnsi="Times New Roman" w:cs="Times New Roman"/>
                <w:color w:val="000000"/>
                <w:sz w:val="24"/>
                <w:szCs w:val="24"/>
                <w:lang w:eastAsia="zh-CN"/>
              </w:rPr>
              <w:t>：</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①严格按照防火规范进行平面布置。</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②定期检查、维护</w:t>
            </w:r>
            <w:r>
              <w:rPr>
                <w:rFonts w:hint="eastAsia" w:ascii="Times New Roman" w:hAnsi="Times New Roman" w:cs="Times New Roman"/>
                <w:color w:val="000000"/>
                <w:sz w:val="24"/>
                <w:szCs w:val="24"/>
                <w:lang w:val="en-US" w:eastAsia="zh-CN"/>
              </w:rPr>
              <w:t>危险废物贮存库</w:t>
            </w:r>
            <w:r>
              <w:rPr>
                <w:rFonts w:ascii="Times New Roman" w:hAnsi="Times New Roman" w:cs="Times New Roman"/>
                <w:color w:val="000000"/>
                <w:sz w:val="24"/>
                <w:szCs w:val="24"/>
                <w:lang w:eastAsia="zh-CN"/>
              </w:rPr>
              <w:t>设施、设备，以确保正常运行。</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③易燃物质储存区设置明显的禁火标志。</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④安装火灾设备检测仪表、消防自控设施。</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⑤在项目正式投产运行前，制定出正常、异常或紧急状态下的操作和维修计划，并对操作和维修人员进行岗前培训，避免因严重操作失误而造成人为事故。</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⑥设置明显的警示标志，并建立严格的值班保卫制度，防止人为蓄意破坏；制定应急操作规程，详细说明发生事故时应采取的操作步骤，规定抢修进度，限制事故影响。对重要的仪器设备有完善的检查和维护记录；对操作人员定期进行防火安全教育或应急演习，提高职工的安全意识，提高识别异常状态的能力。</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⑦采取相应的火灾事故的预防措施。</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⑧加强员工的事故安全知识教育，要求全体人员了解事故处理的程序，事故处理器材的使用方法，一旦出现事故可以立即停产，控制事故的危害范围和程度。</w:t>
            </w:r>
          </w:p>
          <w:p>
            <w:pPr>
              <w:pStyle w:val="59"/>
              <w:adjustRightInd w:val="0"/>
              <w:snapToGrid w:val="0"/>
              <w:ind w:firstLine="482" w:firstLineChars="200"/>
              <w:rPr>
                <w:rFonts w:ascii="Times New Roman" w:hAnsi="Times New Roman" w:cs="Times New Roman"/>
                <w:b/>
                <w:bCs/>
                <w:color w:val="000000"/>
                <w:sz w:val="24"/>
                <w:szCs w:val="24"/>
                <w:lang w:eastAsia="zh-CN"/>
              </w:rPr>
            </w:pPr>
            <w:r>
              <w:rPr>
                <w:rFonts w:hint="eastAsia" w:ascii="Times New Roman" w:hAnsi="Times New Roman" w:cs="Times New Roman"/>
                <w:b/>
                <w:bCs/>
                <w:color w:val="000000"/>
                <w:sz w:val="24"/>
                <w:szCs w:val="24"/>
                <w:lang w:val="en-US" w:eastAsia="zh-CN"/>
              </w:rPr>
              <w:t>6</w:t>
            </w:r>
            <w:r>
              <w:rPr>
                <w:rFonts w:ascii="Times New Roman" w:hAnsi="Times New Roman" w:cs="Times New Roman"/>
                <w:b/>
                <w:bCs/>
                <w:color w:val="000000"/>
                <w:sz w:val="24"/>
                <w:szCs w:val="24"/>
                <w:lang w:eastAsia="zh-CN"/>
              </w:rPr>
              <w:t>.5分析结论</w:t>
            </w:r>
          </w:p>
          <w:p>
            <w:pPr>
              <w:pStyle w:val="59"/>
              <w:adjustRightInd w:val="0"/>
              <w:snapToGrid w:val="0"/>
              <w:ind w:firstLine="480" w:firstLineChars="200"/>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结合项目特点，本项目最大可信事故确定为原料或危废泄漏与明火等点火源引起火灾事故。在采取有效安全措施后，广大社会公众能清楚认识可能发生重大事故的风险性。本项目在生产装置及其公用工程的设计、施工、运行及维护的全过程中将采用先进的生产技术和成熟可靠的抗风险措施。同时企业加强管理，落实预防措施之后，可以杜绝这类事故的发生，因此，项目的安全性将得到有效保证，不会对周围环境敏感目标产生较大影响。</w:t>
            </w:r>
          </w:p>
          <w:p>
            <w:pPr>
              <w:keepNext w:val="0"/>
              <w:keepLines w:val="0"/>
              <w:pageBreakBefore w:val="0"/>
              <w:widowControl w:val="0"/>
              <w:kinsoku/>
              <w:wordWrap/>
              <w:overflowPunct/>
              <w:topLinePunct w:val="0"/>
              <w:autoSpaceDE/>
              <w:autoSpaceDN/>
              <w:bidi w:val="0"/>
              <w:adjustRightInd w:val="0"/>
              <w:snapToGrid w:val="0"/>
              <w:textAlignment w:val="auto"/>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7</w:t>
            </w:r>
            <w:r>
              <w:rPr>
                <w:rFonts w:hint="default"/>
                <w:b/>
                <w:bCs w:val="0"/>
                <w:color w:val="000000"/>
                <w:spacing w:val="0"/>
                <w:kern w:val="0"/>
                <w:sz w:val="24"/>
                <w:szCs w:val="24"/>
                <w:lang w:val="en-US" w:eastAsia="zh-CN"/>
              </w:rPr>
              <w:t>、环境管理</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建议建设单位尽快成立环保专职管理机构并设管理机构负责人，对项目运营期实行监测管理。该机构由建设单位直接领导，并接受生态环境部门的指导和监督。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环境管理机构职责如下：</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（1）宣传并贯彻国家和地方的有关环保法规、条例、标准，提高施工、维护、管理及使用人员的环保意识，并贯彻于本职岗位中；</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（2）组织制定环保工作计划，并制定年度实施计划，</w:t>
            </w:r>
            <w:r>
              <w:rPr>
                <w:rFonts w:hint="eastAsia"/>
                <w:bCs/>
                <w:color w:val="000000"/>
                <w:spacing w:val="0"/>
                <w:kern w:val="0"/>
                <w:sz w:val="24"/>
                <w:szCs w:val="24"/>
                <w:lang w:val="en-US" w:eastAsia="zh-CN"/>
              </w:rPr>
              <w:t>纳入</w:t>
            </w:r>
            <w:r>
              <w:rPr>
                <w:rFonts w:hint="default"/>
                <w:bCs/>
                <w:color w:val="000000"/>
                <w:spacing w:val="0"/>
                <w:kern w:val="0"/>
                <w:sz w:val="24"/>
                <w:szCs w:val="24"/>
                <w:lang w:val="en-US" w:eastAsia="zh-CN"/>
              </w:rPr>
              <w:t>施工、运营过程，并责成有关部门落实；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（3）制定本工程运营期监测计划，并组织监测计划的实施；</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（4）负责污染事故的防范及应急处理和报告工作。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环境管理机构负责人应领导环境管理机构人员履行其职责；掌握本建设项目环保工作的全面动态情况；负责审批项目环保岗位制度、工作和年度计划；指挥项目环保工作的实施；协调各有关部门的关系；保障环境保护</w:t>
            </w:r>
            <w:r>
              <w:rPr>
                <w:rFonts w:hint="eastAsia"/>
                <w:bCs/>
                <w:color w:val="000000"/>
                <w:spacing w:val="0"/>
                <w:kern w:val="0"/>
                <w:sz w:val="24"/>
                <w:szCs w:val="24"/>
                <w:lang w:val="en-US" w:eastAsia="zh-CN"/>
              </w:rPr>
              <w:t>工作所必需的</w:t>
            </w:r>
            <w:r>
              <w:rPr>
                <w:rFonts w:hint="default"/>
                <w:bCs/>
                <w:color w:val="000000"/>
                <w:spacing w:val="0"/>
                <w:kern w:val="0"/>
                <w:sz w:val="24"/>
                <w:szCs w:val="24"/>
                <w:lang w:val="en-US" w:eastAsia="zh-CN"/>
              </w:rPr>
              <w:t>资源。加强建设项目营运期的环境管理，制定出切实可行的环境污染防治办法和具体操作规程，做好环境教育和宣传工作，提高各级管理人员和工作人员的环境保护意识和技术水平，加强员工对环境污染防治的责任心，自觉遵守和执行各项环境保护规章制度；定期对环境保护设施进行维护和保养，确保环境保护设施的正常运行，</w:t>
            </w:r>
            <w:r>
              <w:rPr>
                <w:rFonts w:hint="eastAsia"/>
                <w:bCs/>
                <w:color w:val="000000"/>
                <w:spacing w:val="0"/>
                <w:kern w:val="0"/>
                <w:sz w:val="24"/>
                <w:szCs w:val="24"/>
                <w:lang w:val="en-US" w:eastAsia="zh-CN"/>
              </w:rPr>
              <w:t>防止</w:t>
            </w:r>
            <w:r>
              <w:rPr>
                <w:rFonts w:hint="default"/>
                <w:bCs/>
                <w:color w:val="000000"/>
                <w:spacing w:val="0"/>
                <w:kern w:val="0"/>
                <w:sz w:val="24"/>
                <w:szCs w:val="24"/>
                <w:lang w:val="en-US" w:eastAsia="zh-CN"/>
              </w:rPr>
              <w:t>污染事故的发生；管理、监督和指导。</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根据《关于进一步加强环保设备设施安全生产工作的通知》（安委办明电〔2022〕17号）要求，企业主要负责人严格履行第一责任人责任，将环保设备设施安全作为企业安全管理的重要组成部分，全面负责落实本单位的环保设备设施安全生产工作。严格落实涉环保设备设施环保和安全“三同时”有关要求，委托有资质的设计单位进行正规设计，在选用污染防治技术时要充分考虑安全因素；在环保设备设施改造中必须依法开展安全风险评估，做好安全防范。对涉环保设备设施相关岗位人员进行操作规程、风险管控、应急处置、典型事故警示等专项安全培训教育。开展环保设备设施安全风险辨识评估，系统排查隐患，依法建立隐患整改台账，明确整改责任人、措施、资金、时限和应急救援预案，及时消除隐患。认真落实相关技术标准规范，严格执行吊装、动火、高处等危险作业审批制度，加强有限空间、检维修作业安全管理，采取有效隔离措施，实施现场安全监护和科学施救。对受委托开展环保设备设施建设、运营和检维修第三方的安全生产工作进行统一协调、管理，定期进行安全检查，发现安全问题的，及时督促整改，不得</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一包了之</w:t>
            </w:r>
            <w:r>
              <w:rPr>
                <w:rFonts w:hint="eastAsia"/>
                <w:bCs/>
                <w:color w:val="000000"/>
                <w:spacing w:val="0"/>
                <w:kern w:val="0"/>
                <w:sz w:val="24"/>
                <w:szCs w:val="24"/>
                <w:lang w:val="en-US" w:eastAsia="zh-CN"/>
              </w:rPr>
              <w:t>”</w:t>
            </w:r>
            <w:r>
              <w:rPr>
                <w:rFonts w:hint="default"/>
                <w:bCs/>
                <w:color w:val="000000"/>
                <w:spacing w:val="0"/>
                <w:kern w:val="0"/>
                <w:sz w:val="24"/>
                <w:szCs w:val="24"/>
                <w:lang w:val="en-US" w:eastAsia="zh-CN"/>
              </w:rPr>
              <w:t>，不管不问。</w:t>
            </w:r>
          </w:p>
          <w:p>
            <w:pPr>
              <w:rPr>
                <w:rFonts w:hint="default"/>
                <w:b/>
                <w:bCs w:val="0"/>
                <w:color w:val="000000"/>
                <w:spacing w:val="0"/>
                <w:kern w:val="0"/>
                <w:sz w:val="24"/>
                <w:szCs w:val="24"/>
                <w:lang w:val="en-US" w:eastAsia="zh-CN"/>
              </w:rPr>
            </w:pPr>
            <w:r>
              <w:rPr>
                <w:rFonts w:hint="eastAsia"/>
                <w:b/>
                <w:bCs w:val="0"/>
                <w:color w:val="000000"/>
                <w:spacing w:val="0"/>
                <w:kern w:val="0"/>
                <w:sz w:val="24"/>
                <w:szCs w:val="24"/>
                <w:lang w:val="en-US" w:eastAsia="zh-CN"/>
              </w:rPr>
              <w:t>8</w:t>
            </w:r>
            <w:r>
              <w:rPr>
                <w:rFonts w:hint="default"/>
                <w:b/>
                <w:bCs w:val="0"/>
                <w:color w:val="000000"/>
                <w:spacing w:val="0"/>
                <w:kern w:val="0"/>
                <w:sz w:val="24"/>
                <w:szCs w:val="24"/>
                <w:lang w:val="en-US" w:eastAsia="zh-CN"/>
              </w:rPr>
              <w:t>、排污许可</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eastAsia"/>
                <w:bCs/>
                <w:color w:val="000000"/>
                <w:spacing w:val="0"/>
                <w:kern w:val="0"/>
                <w:sz w:val="24"/>
                <w:szCs w:val="24"/>
                <w:lang w:val="en-US" w:eastAsia="zh-CN"/>
              </w:rPr>
              <w:t>（1）排污许可证</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排污许可管理条例》（中华人民共和国第736号）规定依照法律规定实行排污许可管理的企业事业单位和其他生产经营者（以下称排污单位），应当依照本条例规定申请取得排污许可证；未取得排污许可证的，不得排放污染物。根据污染物产生量、排放量、对环境的影响程度等因素，对排污单位实行排污许可分类管理</w:t>
            </w:r>
            <w:r>
              <w:rPr>
                <w:rFonts w:hint="eastAsia"/>
                <w:bCs/>
                <w:color w:val="000000"/>
                <w:spacing w:val="0"/>
                <w:kern w:val="0"/>
                <w:sz w:val="24"/>
                <w:szCs w:val="24"/>
                <w:lang w:val="en-US" w:eastAsia="zh-CN"/>
              </w:rPr>
              <w:t>。</w:t>
            </w:r>
          </w:p>
          <w:p>
            <w:pPr>
              <w:keepNext w:val="0"/>
              <w:keepLines w:val="0"/>
              <w:suppressLineNumbers w:val="0"/>
              <w:adjustRightInd w:val="0"/>
              <w:snapToGrid w:val="0"/>
              <w:spacing w:before="0" w:beforeAutospacing="0" w:after="0" w:afterAutospacing="0"/>
              <w:ind w:left="0" w:right="0" w:firstLine="480" w:firstLineChars="200"/>
              <w:rPr>
                <w:rFonts w:hint="default" w:eastAsia="宋体"/>
                <w:bCs/>
                <w:color w:val="000000"/>
                <w:spacing w:val="0"/>
                <w:kern w:val="0"/>
                <w:sz w:val="24"/>
                <w:szCs w:val="24"/>
                <w:lang w:val="en-US" w:eastAsia="zh-CN"/>
              </w:rPr>
            </w:pPr>
            <w:r>
              <w:rPr>
                <w:rFonts w:hint="default"/>
                <w:bCs/>
                <w:color w:val="000000"/>
                <w:spacing w:val="0"/>
                <w:kern w:val="0"/>
                <w:sz w:val="24"/>
                <w:szCs w:val="24"/>
                <w:highlight w:val="none"/>
                <w:lang w:val="en-US" w:eastAsia="zh-CN"/>
              </w:rPr>
              <w:t>对照《固定污染源排污许可分类管理名录（2019年版）》，本项目属于</w:t>
            </w:r>
            <w:r>
              <w:rPr>
                <w:rFonts w:hint="eastAsia"/>
                <w:bCs/>
                <w:color w:val="000000"/>
                <w:spacing w:val="0"/>
                <w:kern w:val="0"/>
                <w:sz w:val="24"/>
                <w:szCs w:val="24"/>
                <w:highlight w:val="none"/>
                <w:lang w:val="en-US" w:eastAsia="zh-CN"/>
              </w:rPr>
              <w:t>“二十四、橡胶和塑料制品业29-塑料制品业292-</w:t>
            </w:r>
            <w:r>
              <w:rPr>
                <w:rFonts w:hint="eastAsia"/>
                <w:b w:val="0"/>
                <w:bCs/>
                <w:color w:val="000000"/>
                <w:spacing w:val="0"/>
                <w:kern w:val="0"/>
                <w:sz w:val="24"/>
                <w:szCs w:val="24"/>
                <w:highlight w:val="none"/>
                <w:lang w:val="en-US" w:eastAsia="zh-CN"/>
              </w:rPr>
              <w:t>其他</w:t>
            </w:r>
            <w:r>
              <w:rPr>
                <w:rFonts w:hint="eastAsia"/>
                <w:bCs/>
                <w:color w:val="000000"/>
                <w:spacing w:val="0"/>
                <w:kern w:val="0"/>
                <w:sz w:val="24"/>
                <w:szCs w:val="24"/>
                <w:highlight w:val="none"/>
                <w:lang w:val="en-US" w:eastAsia="zh-CN"/>
              </w:rPr>
              <w:t>”</w:t>
            </w:r>
            <w:r>
              <w:rPr>
                <w:rFonts w:hint="eastAsia"/>
                <w:bCs/>
                <w:color w:val="000000"/>
                <w:spacing w:val="0"/>
                <w:kern w:val="0"/>
                <w:sz w:val="24"/>
                <w:szCs w:val="24"/>
                <w:lang w:val="en-US" w:eastAsia="zh-CN"/>
              </w:rPr>
              <w:t>，由于本项目年产量小于1万吨故</w:t>
            </w:r>
            <w:r>
              <w:rPr>
                <w:rFonts w:hint="default" w:eastAsia="宋体"/>
                <w:bCs/>
                <w:color w:val="000000"/>
                <w:spacing w:val="0"/>
                <w:kern w:val="0"/>
                <w:sz w:val="24"/>
                <w:szCs w:val="24"/>
                <w:lang w:val="en-US" w:eastAsia="zh-CN"/>
              </w:rPr>
              <w:t>排污许可证实施登记管理，因此本项目建设单位在产生排污行为之前应当按照要求填写排污许可登记。</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2</w:t>
            </w:r>
            <w:r>
              <w:rPr>
                <w:rFonts w:hint="default"/>
                <w:bCs/>
                <w:color w:val="000000"/>
                <w:spacing w:val="0"/>
                <w:kern w:val="0"/>
                <w:sz w:val="24"/>
                <w:szCs w:val="24"/>
                <w:lang w:val="en-US" w:eastAsia="zh-CN"/>
              </w:rPr>
              <w:t>）排污口管理</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建设单位应在各个排污口</w:t>
            </w:r>
            <w:r>
              <w:rPr>
                <w:rFonts w:hint="eastAsia"/>
                <w:bCs/>
                <w:color w:val="000000"/>
                <w:spacing w:val="0"/>
                <w:kern w:val="0"/>
                <w:sz w:val="24"/>
                <w:szCs w:val="24"/>
                <w:lang w:val="en-US" w:eastAsia="zh-CN"/>
              </w:rPr>
              <w:t>处竖立</w:t>
            </w:r>
            <w:r>
              <w:rPr>
                <w:rFonts w:hint="default"/>
                <w:bCs/>
                <w:color w:val="000000"/>
                <w:spacing w:val="0"/>
                <w:kern w:val="0"/>
                <w:sz w:val="24"/>
                <w:szCs w:val="24"/>
                <w:lang w:val="en-US" w:eastAsia="zh-CN"/>
              </w:rPr>
              <w:t>标志牌，并如实填写《中华人民共和国规范化排污口标记登记证》，由环保部门签发。环保主管部门和建设单位可分别按以下内容建立排污口管理的专门档案：排污口性质和编号；位置；排放主要污染物种类、数量、浓度；排放去向；达标情况；治理设施运行情况及整改意见。</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Cs/>
                <w:color w:val="000000"/>
                <w:spacing w:val="0"/>
                <w:kern w:val="0"/>
                <w:sz w:val="24"/>
                <w:szCs w:val="24"/>
                <w:lang w:val="en-US" w:eastAsia="zh-CN"/>
              </w:rPr>
            </w:pPr>
            <w:r>
              <w:rPr>
                <w:rFonts w:hint="default"/>
                <w:bCs/>
                <w:color w:val="000000"/>
                <w:spacing w:val="0"/>
                <w:kern w:val="0"/>
                <w:sz w:val="24"/>
                <w:szCs w:val="24"/>
                <w:lang w:val="en-US" w:eastAsia="zh-CN"/>
              </w:rPr>
              <w:t>（</w:t>
            </w:r>
            <w:r>
              <w:rPr>
                <w:rFonts w:hint="eastAsia"/>
                <w:bCs/>
                <w:color w:val="000000"/>
                <w:spacing w:val="0"/>
                <w:kern w:val="0"/>
                <w:sz w:val="24"/>
                <w:szCs w:val="24"/>
                <w:lang w:val="en-US" w:eastAsia="zh-CN"/>
              </w:rPr>
              <w:t>3</w:t>
            </w:r>
            <w:r>
              <w:rPr>
                <w:rFonts w:hint="default"/>
                <w:bCs/>
                <w:color w:val="000000"/>
                <w:spacing w:val="0"/>
                <w:kern w:val="0"/>
                <w:sz w:val="24"/>
                <w:szCs w:val="24"/>
                <w:lang w:val="en-US" w:eastAsia="zh-CN"/>
              </w:rPr>
              <w:t>）环境保护图形标志</w:t>
            </w:r>
          </w:p>
          <w:p>
            <w:pPr>
              <w:keepNext w:val="0"/>
              <w:keepLines w:val="0"/>
              <w:pageBreakBefore w:val="0"/>
              <w:widowControl w:val="0"/>
              <w:kinsoku/>
              <w:wordWrap/>
              <w:overflowPunct/>
              <w:topLinePunct w:val="0"/>
              <w:autoSpaceDE/>
              <w:autoSpaceDN/>
              <w:bidi w:val="0"/>
              <w:adjustRightInd w:val="0"/>
              <w:snapToGrid w:val="0"/>
              <w:ind w:firstLine="480" w:firstLineChars="200"/>
              <w:textAlignment w:val="auto"/>
              <w:rPr>
                <w:rFonts w:hint="default"/>
                <w:b/>
                <w:bCs w:val="0"/>
                <w:color w:val="000000"/>
                <w:spacing w:val="0"/>
                <w:kern w:val="0"/>
                <w:sz w:val="21"/>
                <w:szCs w:val="18"/>
                <w:lang w:val="en-US" w:eastAsia="zh-CN"/>
              </w:rPr>
            </w:pPr>
            <w:r>
              <w:rPr>
                <w:rFonts w:hint="default"/>
                <w:bCs/>
                <w:color w:val="000000"/>
                <w:spacing w:val="0"/>
                <w:kern w:val="0"/>
                <w:sz w:val="24"/>
                <w:szCs w:val="24"/>
                <w:lang w:val="en-US" w:eastAsia="zh-CN"/>
              </w:rPr>
              <w:t>在固体废物贮存处置场、噪声产生点应设置环境保护图形标志，图形符号分为提示图形和警告图形符号两种，分别按《</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 排放口（源）</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》（GB15562.1-1995）、《</w:t>
            </w:r>
            <w:r>
              <w:rPr>
                <w:rFonts w:hint="default"/>
                <w:bCs/>
                <w:color w:val="000000"/>
                <w:spacing w:val="0"/>
                <w:kern w:val="0"/>
                <w:sz w:val="24"/>
                <w:szCs w:val="24"/>
                <w:lang w:val="en-US" w:eastAsia="zh-CN"/>
              </w:rPr>
              <w:fldChar w:fldCharType="begin"/>
            </w:r>
            <w:r>
              <w:rPr>
                <w:rFonts w:hint="default"/>
                <w:bCs/>
                <w:color w:val="000000"/>
                <w:spacing w:val="0"/>
                <w:kern w:val="0"/>
                <w:sz w:val="24"/>
                <w:szCs w:val="24"/>
                <w:lang w:val="en-US" w:eastAsia="zh-CN"/>
              </w:rPr>
              <w:instrText xml:space="preserve"> HYPERLINK "http://std.sacinfo.org.cn/home/javascript:;" </w:instrText>
            </w:r>
            <w:r>
              <w:rPr>
                <w:rFonts w:hint="default"/>
                <w:bCs/>
                <w:color w:val="000000"/>
                <w:spacing w:val="0"/>
                <w:kern w:val="0"/>
                <w:sz w:val="24"/>
                <w:szCs w:val="24"/>
                <w:lang w:val="en-US" w:eastAsia="zh-CN"/>
              </w:rPr>
              <w:fldChar w:fldCharType="separate"/>
            </w:r>
            <w:r>
              <w:rPr>
                <w:rFonts w:hint="default"/>
                <w:bCs/>
                <w:color w:val="000000"/>
                <w:spacing w:val="0"/>
                <w:kern w:val="0"/>
                <w:sz w:val="24"/>
                <w:szCs w:val="24"/>
                <w:lang w:val="en-US" w:eastAsia="zh-CN"/>
              </w:rPr>
              <w:t>环境保护图形标志固体废物堆放（填埋）场</w:t>
            </w:r>
            <w:r>
              <w:rPr>
                <w:rFonts w:hint="default"/>
                <w:bCs/>
                <w:color w:val="000000"/>
                <w:spacing w:val="0"/>
                <w:kern w:val="0"/>
                <w:sz w:val="24"/>
                <w:szCs w:val="24"/>
                <w:lang w:val="en-US" w:eastAsia="zh-CN"/>
              </w:rPr>
              <w:fldChar w:fldCharType="end"/>
            </w:r>
            <w:r>
              <w:rPr>
                <w:rFonts w:hint="default"/>
                <w:bCs/>
                <w:color w:val="000000"/>
                <w:spacing w:val="0"/>
                <w:kern w:val="0"/>
                <w:sz w:val="24"/>
                <w:szCs w:val="24"/>
                <w:lang w:val="en-US" w:eastAsia="zh-CN"/>
              </w:rPr>
              <w:t>》（GB15562.2-1995）修改单执行。环境保护图形符号见表</w:t>
            </w:r>
            <w:r>
              <w:rPr>
                <w:rFonts w:hint="eastAsia"/>
                <w:bCs/>
                <w:color w:val="000000"/>
                <w:spacing w:val="0"/>
                <w:kern w:val="0"/>
                <w:sz w:val="24"/>
                <w:szCs w:val="24"/>
                <w:lang w:val="en-US" w:eastAsia="zh-CN"/>
              </w:rPr>
              <w:t>4-18</w:t>
            </w:r>
            <w:r>
              <w:rPr>
                <w:rFonts w:hint="default"/>
                <w:bCs/>
                <w:color w:val="000000"/>
                <w:spacing w:val="0"/>
                <w:kern w:val="0"/>
                <w:sz w:val="24"/>
                <w:szCs w:val="24"/>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2" w:firstLineChars="200"/>
              <w:textAlignment w:val="auto"/>
              <w:rPr>
                <w:rFonts w:hint="default"/>
                <w:b/>
                <w:bCs w:val="0"/>
                <w:color w:val="000000"/>
                <w:spacing w:val="0"/>
                <w:kern w:val="0"/>
                <w:sz w:val="21"/>
                <w:szCs w:val="18"/>
                <w:lang w:val="en-US" w:eastAsia="zh-CN"/>
              </w:rPr>
            </w:pPr>
            <w:r>
              <w:rPr>
                <w:rFonts w:hint="default"/>
                <w:b/>
                <w:bCs w:val="0"/>
                <w:color w:val="000000"/>
                <w:spacing w:val="0"/>
                <w:kern w:val="0"/>
                <w:sz w:val="21"/>
                <w:szCs w:val="18"/>
                <w:lang w:val="en-US" w:eastAsia="zh-CN"/>
              </w:rPr>
              <w:t>表</w:t>
            </w:r>
            <w:r>
              <w:rPr>
                <w:rFonts w:hint="eastAsia"/>
                <w:b/>
                <w:bCs w:val="0"/>
                <w:color w:val="000000"/>
                <w:spacing w:val="0"/>
                <w:kern w:val="0"/>
                <w:sz w:val="21"/>
                <w:szCs w:val="18"/>
                <w:lang w:val="en-US" w:eastAsia="zh-CN"/>
              </w:rPr>
              <w:t>4-18</w:t>
            </w:r>
            <w:r>
              <w:rPr>
                <w:rFonts w:hint="default"/>
                <w:b/>
                <w:bCs w:val="0"/>
                <w:color w:val="000000"/>
                <w:spacing w:val="0"/>
                <w:kern w:val="0"/>
                <w:sz w:val="21"/>
                <w:szCs w:val="18"/>
                <w:lang w:val="en-US" w:eastAsia="zh-CN"/>
              </w:rPr>
              <w:t xml:space="preserve">                         环境保护图形符号一览表</w:t>
            </w:r>
          </w:p>
          <w:tbl>
            <w:tblPr>
              <w:tblStyle w:val="26"/>
              <w:tblW w:w="4998" w:type="pct"/>
              <w:jc w:val="center"/>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Layout w:type="fixed"/>
              <w:tblCellMar>
                <w:top w:w="0" w:type="dxa"/>
                <w:left w:w="0" w:type="dxa"/>
                <w:bottom w:w="0" w:type="dxa"/>
                <w:right w:w="0" w:type="dxa"/>
              </w:tblCellMar>
            </w:tblPr>
            <w:tblGrid>
              <w:gridCol w:w="449"/>
              <w:gridCol w:w="1820"/>
              <w:gridCol w:w="1954"/>
              <w:gridCol w:w="1386"/>
              <w:gridCol w:w="2859"/>
            </w:tblGrid>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序号</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提示图形符号</w:t>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警告图形符号</w:t>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名称</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功能</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47"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1</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897255" cy="912495"/>
                        <wp:effectExtent l="0" t="0" r="17145" b="1905"/>
                        <wp:docPr id="13"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6"/>
                                <pic:cNvPicPr>
                                  <a:picLocks noChangeAspect="1"/>
                                </pic:cNvPicPr>
                              </pic:nvPicPr>
                              <pic:blipFill>
                                <a:blip r:embed="rId15"/>
                                <a:stretch>
                                  <a:fillRect/>
                                </a:stretch>
                              </pic:blipFill>
                              <pic:spPr>
                                <a:xfrm>
                                  <a:off x="0" y="0"/>
                                  <a:ext cx="897255" cy="912495"/>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35050" cy="877570"/>
                        <wp:effectExtent l="0" t="0" r="12700" b="17780"/>
                        <wp:docPr id="14"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7"/>
                                <pic:cNvPicPr>
                                  <a:picLocks noChangeAspect="1"/>
                                </pic:cNvPicPr>
                              </pic:nvPicPr>
                              <pic:blipFill>
                                <a:blip r:embed="rId16"/>
                                <a:stretch>
                                  <a:fillRect/>
                                </a:stretch>
                              </pic:blipFill>
                              <pic:spPr>
                                <a:xfrm>
                                  <a:off x="0" y="0"/>
                                  <a:ext cx="1035050" cy="87757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污水排放口</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表示污水向外环境排放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2</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6475" cy="1005840"/>
                        <wp:effectExtent l="0" t="0" r="3175" b="3810"/>
                        <wp:docPr id="15"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8"/>
                                <pic:cNvPicPr>
                                  <a:picLocks noChangeAspect="1"/>
                                </pic:cNvPicPr>
                              </pic:nvPicPr>
                              <pic:blipFill>
                                <a:blip r:embed="rId17"/>
                                <a:stretch>
                                  <a:fillRect/>
                                </a:stretch>
                              </pic:blipFill>
                              <pic:spPr>
                                <a:xfrm>
                                  <a:off x="0" y="0"/>
                                  <a:ext cx="1006475" cy="100584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8380" cy="817880"/>
                        <wp:effectExtent l="0" t="0" r="1270" b="1270"/>
                        <wp:docPr id="6"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9"/>
                                <pic:cNvPicPr>
                                  <a:picLocks noChangeAspect="1"/>
                                </pic:cNvPicPr>
                              </pic:nvPicPr>
                              <pic:blipFill>
                                <a:blip r:embed="rId18"/>
                                <a:stretch>
                                  <a:fillRect/>
                                </a:stretch>
                              </pic:blipFill>
                              <pic:spPr>
                                <a:xfrm>
                                  <a:off x="0" y="0"/>
                                  <a:ext cx="1008380" cy="81788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一般固体废物</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表示一般固体废物贮存、处置场</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590"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3</w:t>
                  </w:r>
                </w:p>
              </w:tc>
              <w:tc>
                <w:tcPr>
                  <w:tcW w:w="2227" w:type="pct"/>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144905" cy="1012825"/>
                        <wp:effectExtent l="0" t="0" r="17145" b="15875"/>
                        <wp:docPr id="16"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0"/>
                                <pic:cNvPicPr>
                                  <a:picLocks noChangeAspect="1"/>
                                </pic:cNvPicPr>
                              </pic:nvPicPr>
                              <pic:blipFill>
                                <a:blip r:embed="rId19"/>
                                <a:stretch>
                                  <a:fillRect/>
                                </a:stretch>
                              </pic:blipFill>
                              <pic:spPr>
                                <a:xfrm>
                                  <a:off x="0" y="0"/>
                                  <a:ext cx="1144905" cy="1012825"/>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危险废物</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表示危险废物贮存、处置场警告图形符号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4</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5840" cy="914400"/>
                        <wp:effectExtent l="0" t="0" r="3810" b="0"/>
                        <wp:docPr id="17"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41"/>
                                <pic:cNvPicPr>
                                  <a:picLocks noChangeAspect="1"/>
                                </pic:cNvPicPr>
                              </pic:nvPicPr>
                              <pic:blipFill>
                                <a:blip r:embed="rId20"/>
                                <a:stretch>
                                  <a:fillRect/>
                                </a:stretch>
                              </pic:blipFill>
                              <pic:spPr>
                                <a:xfrm>
                                  <a:off x="0" y="0"/>
                                  <a:ext cx="1005840" cy="91440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03935" cy="821690"/>
                        <wp:effectExtent l="0" t="0" r="5715" b="16510"/>
                        <wp:docPr id="18"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2"/>
                                <pic:cNvPicPr>
                                  <a:picLocks noChangeAspect="1"/>
                                </pic:cNvPicPr>
                              </pic:nvPicPr>
                              <pic:blipFill>
                                <a:blip r:embed="rId21"/>
                                <a:stretch>
                                  <a:fillRect/>
                                </a:stretch>
                              </pic:blipFill>
                              <pic:spPr>
                                <a:xfrm>
                                  <a:off x="0" y="0"/>
                                  <a:ext cx="1003935" cy="821690"/>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噪声源</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表示噪声向外环境排放</w:t>
                  </w:r>
                </w:p>
              </w:tc>
            </w:tr>
            <w:tr>
              <w:tblPrEx>
                <w:tblBorders>
                  <w:top w:val="single" w:color="000000" w:sz="12" w:space="0"/>
                  <w:left w:val="none" w:color="auto" w:sz="0" w:space="0"/>
                  <w:bottom w:val="single" w:color="000000" w:sz="12" w:space="0"/>
                  <w:right w:val="none" w:color="auto" w:sz="0" w:space="0"/>
                  <w:insideH w:val="single" w:color="000000" w:sz="4" w:space="0"/>
                  <w:insideV w:val="single" w:color="000000" w:sz="4" w:space="0"/>
                </w:tblBorders>
                <w:tblCellMar>
                  <w:top w:w="0" w:type="dxa"/>
                  <w:left w:w="0" w:type="dxa"/>
                  <w:bottom w:w="0" w:type="dxa"/>
                  <w:right w:w="0" w:type="dxa"/>
                </w:tblCellMar>
              </w:tblPrEx>
              <w:trPr>
                <w:trHeight w:val="1439" w:hRule="atLeast"/>
                <w:jc w:val="center"/>
              </w:trPr>
              <w:tc>
                <w:tcPr>
                  <w:tcW w:w="265"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5</w:t>
                  </w:r>
                </w:p>
              </w:tc>
              <w:tc>
                <w:tcPr>
                  <w:tcW w:w="1074"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962025" cy="1200150"/>
                        <wp:effectExtent l="0" t="0" r="9525" b="0"/>
                        <wp:docPr id="19"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43"/>
                                <pic:cNvPicPr>
                                  <a:picLocks noChangeAspect="1"/>
                                </pic:cNvPicPr>
                              </pic:nvPicPr>
                              <pic:blipFill>
                                <a:blip r:embed="rId22"/>
                                <a:stretch>
                                  <a:fillRect/>
                                </a:stretch>
                              </pic:blipFill>
                              <pic:spPr>
                                <a:xfrm>
                                  <a:off x="0" y="0"/>
                                  <a:ext cx="962025" cy="1200150"/>
                                </a:xfrm>
                                <a:prstGeom prst="rect">
                                  <a:avLst/>
                                </a:prstGeom>
                                <a:noFill/>
                                <a:ln>
                                  <a:noFill/>
                                </a:ln>
                              </pic:spPr>
                            </pic:pic>
                          </a:graphicData>
                        </a:graphic>
                      </wp:inline>
                    </w:drawing>
                  </w:r>
                </w:p>
              </w:tc>
              <w:tc>
                <w:tcPr>
                  <w:tcW w:w="1153"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drawing>
                      <wp:inline distT="0" distB="0" distL="114300" distR="114300">
                        <wp:extent cx="1019175" cy="1171575"/>
                        <wp:effectExtent l="0" t="0" r="9525" b="9525"/>
                        <wp:docPr id="20"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4"/>
                                <pic:cNvPicPr>
                                  <a:picLocks noChangeAspect="1"/>
                                </pic:cNvPicPr>
                              </pic:nvPicPr>
                              <pic:blipFill>
                                <a:blip r:embed="rId23"/>
                                <a:stretch>
                                  <a:fillRect/>
                                </a:stretch>
                              </pic:blipFill>
                              <pic:spPr>
                                <a:xfrm>
                                  <a:off x="0" y="0"/>
                                  <a:ext cx="1019175" cy="1171575"/>
                                </a:xfrm>
                                <a:prstGeom prst="rect">
                                  <a:avLst/>
                                </a:prstGeom>
                                <a:noFill/>
                                <a:ln>
                                  <a:noFill/>
                                </a:ln>
                              </pic:spPr>
                            </pic:pic>
                          </a:graphicData>
                        </a:graphic>
                      </wp:inline>
                    </w:drawing>
                  </w:r>
                </w:p>
              </w:tc>
              <w:tc>
                <w:tcPr>
                  <w:tcW w:w="818"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废气排放口</w:t>
                  </w:r>
                </w:p>
              </w:tc>
              <w:tc>
                <w:tcPr>
                  <w:tcW w:w="1687" w:type="pc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bCs/>
                      <w:color w:val="000000"/>
                      <w:spacing w:val="0"/>
                      <w:kern w:val="0"/>
                      <w:sz w:val="21"/>
                      <w:szCs w:val="18"/>
                      <w:lang w:val="en-US" w:eastAsia="zh-CN"/>
                    </w:rPr>
                  </w:pPr>
                  <w:r>
                    <w:rPr>
                      <w:rFonts w:hint="default"/>
                      <w:bCs/>
                      <w:color w:val="000000"/>
                      <w:spacing w:val="0"/>
                      <w:kern w:val="0"/>
                      <w:sz w:val="21"/>
                      <w:szCs w:val="18"/>
                      <w:lang w:val="en-US" w:eastAsia="zh-CN"/>
                    </w:rPr>
                    <w:t>表示废气向外环境排放</w:t>
                  </w:r>
                </w:p>
              </w:tc>
            </w:tr>
          </w:tbl>
          <w:p>
            <w:pPr>
              <w:rPr>
                <w:color w:val="000000"/>
              </w:rPr>
            </w:pPr>
          </w:p>
          <w:p>
            <w:pPr>
              <w:pStyle w:val="6"/>
              <w:ind w:left="0" w:leftChars="0" w:firstLine="0" w:firstLineChars="0"/>
            </w:pPr>
          </w:p>
        </w:tc>
      </w:tr>
    </w:tbl>
    <w:p>
      <w:pPr>
        <w:adjustRightInd w:val="0"/>
        <w:snapToGrid w:val="0"/>
        <w:rPr>
          <w:b/>
          <w:kern w:val="0"/>
          <w:sz w:val="28"/>
          <w:szCs w:val="28"/>
        </w:rPr>
        <w:sectPr>
          <w:pgSz w:w="11907" w:h="16840"/>
          <w:pgMar w:top="1701" w:right="1531" w:bottom="2127" w:left="1531"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highlight w:val="none"/>
        </w:rPr>
      </w:pPr>
      <w:bookmarkStart w:id="8" w:name="_Toc3326"/>
      <w:r>
        <w:rPr>
          <w:color w:val="auto"/>
          <w:highlight w:val="none"/>
        </w:rPr>
        <w:t>五、</w:t>
      </w:r>
      <w:bookmarkStart w:id="9" w:name="_Hlk54167917"/>
      <w:r>
        <w:rPr>
          <w:color w:val="auto"/>
          <w:highlight w:val="none"/>
        </w:rPr>
        <w:t>环境保护措施监督检查清单</w:t>
      </w:r>
      <w:bookmarkEnd w:id="8"/>
      <w:bookmarkEnd w:id="9"/>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Layout w:type="autofit"/>
        <w:tblCellMar>
          <w:top w:w="0" w:type="dxa"/>
          <w:left w:w="108" w:type="dxa"/>
          <w:bottom w:w="0" w:type="dxa"/>
          <w:right w:w="108" w:type="dxa"/>
        </w:tblCellMar>
      </w:tblPr>
      <w:tblGrid>
        <w:gridCol w:w="581"/>
        <w:gridCol w:w="852"/>
        <w:gridCol w:w="680"/>
        <w:gridCol w:w="894"/>
        <w:gridCol w:w="2614"/>
        <w:gridCol w:w="343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top"/>
          </w:tcPr>
          <w:p>
            <w:pPr>
              <w:adjustRightInd w:val="0"/>
              <w:snapToGrid w:val="0"/>
              <w:spacing w:line="240" w:lineRule="auto"/>
              <w:rPr>
                <w:sz w:val="21"/>
                <w:szCs w:val="21"/>
              </w:rPr>
            </w:pPr>
            <w:r>
              <w:rPr>
                <w:sz w:val="21"/>
                <w:szCs w:val="21"/>
              </w:rPr>
              <w:t>内容</w:t>
            </w:r>
          </w:p>
          <w:p>
            <w:pPr>
              <w:adjustRightInd w:val="0"/>
              <w:snapToGrid w:val="0"/>
              <w:spacing w:line="240" w:lineRule="auto"/>
              <w:rPr>
                <w:sz w:val="21"/>
                <w:szCs w:val="21"/>
              </w:rPr>
            </w:pPr>
            <w:r>
              <w:rPr>
                <w:sz w:val="21"/>
                <w:szCs w:val="21"/>
              </w:rPr>
              <w:t>要素</w:t>
            </w:r>
          </w:p>
        </w:tc>
        <w:tc>
          <w:tcPr>
            <w:tcW w:w="0" w:type="auto"/>
            <w:gridSpan w:val="2"/>
            <w:tcBorders>
              <w:tl2br w:val="nil"/>
              <w:tr2bl w:val="nil"/>
            </w:tcBorders>
            <w:noWrap w:val="0"/>
            <w:vAlign w:val="center"/>
          </w:tcPr>
          <w:p>
            <w:pPr>
              <w:adjustRightInd w:val="0"/>
              <w:snapToGrid w:val="0"/>
              <w:spacing w:line="240" w:lineRule="auto"/>
              <w:jc w:val="center"/>
              <w:rPr>
                <w:sz w:val="21"/>
                <w:szCs w:val="21"/>
              </w:rPr>
            </w:pPr>
            <w:r>
              <w:rPr>
                <w:sz w:val="21"/>
                <w:szCs w:val="21"/>
              </w:rPr>
              <w:t>排放口(编号、</w:t>
            </w:r>
          </w:p>
          <w:p>
            <w:pPr>
              <w:adjustRightInd w:val="0"/>
              <w:snapToGrid w:val="0"/>
              <w:spacing w:line="240" w:lineRule="auto"/>
              <w:jc w:val="center"/>
              <w:rPr>
                <w:sz w:val="21"/>
                <w:szCs w:val="21"/>
              </w:rPr>
            </w:pPr>
            <w:r>
              <w:rPr>
                <w:sz w:val="21"/>
                <w:szCs w:val="21"/>
              </w:rPr>
              <w:t>名称)/污染源</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污染物项目</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环境保护措施</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restart"/>
            <w:tcBorders>
              <w:tl2br w:val="nil"/>
              <w:tr2bl w:val="nil"/>
            </w:tcBorders>
            <w:noWrap w:val="0"/>
            <w:vAlign w:val="center"/>
          </w:tcPr>
          <w:p>
            <w:pPr>
              <w:adjustRightInd w:val="0"/>
              <w:snapToGrid w:val="0"/>
              <w:spacing w:line="240" w:lineRule="auto"/>
              <w:jc w:val="center"/>
              <w:rPr>
                <w:sz w:val="21"/>
                <w:szCs w:val="21"/>
              </w:rPr>
            </w:pPr>
            <w:r>
              <w:rPr>
                <w:sz w:val="21"/>
                <w:szCs w:val="21"/>
              </w:rPr>
              <w:t>大气环境</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DA001</w:t>
            </w:r>
          </w:p>
        </w:tc>
        <w:tc>
          <w:tcPr>
            <w:tcW w:w="0" w:type="auto"/>
            <w:tcBorders>
              <w:tl2br w:val="nil"/>
              <w:tr2bl w:val="nil"/>
            </w:tcBorders>
            <w:noWrap w:val="0"/>
            <w:vAlign w:val="center"/>
          </w:tcPr>
          <w:p>
            <w:pPr>
              <w:adjustRightInd w:val="0"/>
              <w:snapToGrid w:val="0"/>
              <w:spacing w:line="240" w:lineRule="auto"/>
              <w:jc w:val="center"/>
              <w:rPr>
                <w:rFonts w:hint="default"/>
                <w:color w:val="000000"/>
                <w:sz w:val="21"/>
                <w:szCs w:val="21"/>
                <w:lang w:val="en-US"/>
              </w:rPr>
            </w:pPr>
            <w:r>
              <w:rPr>
                <w:rFonts w:hint="default"/>
                <w:color w:val="000000"/>
                <w:sz w:val="21"/>
                <w:szCs w:val="21"/>
                <w:lang w:val="en-US" w:eastAsia="zh-CN"/>
              </w:rPr>
              <w:t>1#厂房挤出排放口</w:t>
            </w:r>
          </w:p>
        </w:tc>
        <w:tc>
          <w:tcPr>
            <w:tcW w:w="0" w:type="auto"/>
            <w:tcBorders>
              <w:tl2br w:val="nil"/>
              <w:tr2bl w:val="nil"/>
            </w:tcBorders>
            <w:noWrap w:val="0"/>
            <w:vAlign w:val="center"/>
          </w:tcPr>
          <w:p>
            <w:pPr>
              <w:adjustRightInd w:val="0"/>
              <w:snapToGrid w:val="0"/>
              <w:spacing w:line="240" w:lineRule="auto"/>
              <w:jc w:val="center"/>
              <w:rPr>
                <w:color w:val="000000"/>
                <w:sz w:val="21"/>
                <w:szCs w:val="21"/>
              </w:rPr>
            </w:pPr>
            <w:r>
              <w:rPr>
                <w:rFonts w:hint="eastAsia"/>
                <w:color w:val="000000"/>
                <w:sz w:val="21"/>
                <w:szCs w:val="21"/>
                <w:lang w:val="en-US" w:eastAsia="zh-CN"/>
              </w:rPr>
              <w:t>非甲烷总烃</w:t>
            </w:r>
          </w:p>
        </w:tc>
        <w:tc>
          <w:tcPr>
            <w:tcW w:w="0" w:type="auto"/>
            <w:tcBorders>
              <w:tl2br w:val="nil"/>
              <w:tr2bl w:val="nil"/>
            </w:tcBorders>
            <w:noWrap w:val="0"/>
            <w:vAlign w:val="center"/>
          </w:tcPr>
          <w:p>
            <w:pPr>
              <w:widowControl/>
              <w:adjustRightInd w:val="0"/>
              <w:snapToGrid w:val="0"/>
              <w:spacing w:line="240" w:lineRule="auto"/>
              <w:jc w:val="center"/>
              <w:textAlignment w:val="bottom"/>
              <w:rPr>
                <w:color w:val="000000"/>
                <w:sz w:val="21"/>
                <w:szCs w:val="21"/>
              </w:rPr>
            </w:pPr>
            <w:r>
              <w:rPr>
                <w:rFonts w:hint="eastAsia"/>
                <w:color w:val="000000"/>
                <w:sz w:val="21"/>
                <w:szCs w:val="21"/>
                <w:lang w:val="en-US" w:eastAsia="zh-CN"/>
              </w:rPr>
              <w:t>密闭式</w:t>
            </w:r>
            <w:r>
              <w:rPr>
                <w:rFonts w:hint="default"/>
                <w:color w:val="000000"/>
                <w:sz w:val="21"/>
                <w:szCs w:val="21"/>
              </w:rPr>
              <w:t>集气罩</w:t>
            </w:r>
            <w:r>
              <w:rPr>
                <w:rFonts w:hint="eastAsia"/>
                <w:color w:val="000000"/>
                <w:sz w:val="21"/>
                <w:szCs w:val="21"/>
                <w:lang w:val="en-US" w:eastAsia="zh-CN"/>
              </w:rPr>
              <w:t>收集后进入二级活性炭</w:t>
            </w:r>
          </w:p>
        </w:tc>
        <w:tc>
          <w:tcPr>
            <w:tcW w:w="0" w:type="auto"/>
            <w:tcBorders>
              <w:tl2br w:val="nil"/>
              <w:tr2bl w:val="nil"/>
            </w:tcBorders>
            <w:noWrap w:val="0"/>
            <w:vAlign w:val="center"/>
          </w:tcPr>
          <w:p>
            <w:pPr>
              <w:adjustRightInd w:val="0"/>
              <w:snapToGrid w:val="0"/>
              <w:spacing w:line="240" w:lineRule="auto"/>
              <w:jc w:val="center"/>
              <w:rPr>
                <w:color w:val="000000"/>
                <w:sz w:val="21"/>
                <w:szCs w:val="21"/>
              </w:rPr>
            </w:pPr>
            <w:r>
              <w:rPr>
                <w:rFonts w:hint="eastAsia"/>
                <w:color w:val="000000"/>
                <w:sz w:val="21"/>
                <w:szCs w:val="21"/>
                <w:lang w:val="en-US" w:eastAsia="zh-CN"/>
              </w:rPr>
              <w:fldChar w:fldCharType="begin"/>
            </w:r>
            <w:r>
              <w:rPr>
                <w:rFonts w:hint="eastAsia"/>
                <w:color w:val="000000"/>
                <w:sz w:val="21"/>
                <w:szCs w:val="21"/>
                <w:lang w:val="en-US" w:eastAsia="zh-CN"/>
              </w:rPr>
              <w:instrText xml:space="preserve"> HYPERLINK "https://www.mee.gov.cn/ywgz/fgbz/bz/bzwb/dqhjbh/dqgdwrywrwpfbz/201505/W020240612354056402310.pdf" </w:instrText>
            </w:r>
            <w:r>
              <w:rPr>
                <w:rFonts w:hint="eastAsia"/>
                <w:color w:val="000000"/>
                <w:sz w:val="21"/>
                <w:szCs w:val="21"/>
                <w:lang w:val="en-US" w:eastAsia="zh-CN"/>
              </w:rPr>
              <w:fldChar w:fldCharType="separate"/>
            </w:r>
            <w:r>
              <w:rPr>
                <w:rFonts w:hint="eastAsia"/>
                <w:color w:val="000000"/>
                <w:sz w:val="21"/>
                <w:szCs w:val="21"/>
                <w:lang w:val="en-US" w:eastAsia="zh-CN"/>
              </w:rPr>
              <w:t>《合成树脂工业污染物排放标准》（GB 31572-2015，含2024年修改单）</w:t>
            </w:r>
            <w:r>
              <w:rPr>
                <w:rFonts w:hint="eastAsia"/>
                <w:color w:val="000000"/>
                <w:sz w:val="21"/>
                <w:szCs w:val="21"/>
                <w:lang w:val="en-US" w:eastAsia="zh-CN"/>
              </w:rPr>
              <w:fldChar w:fldCharType="end"/>
            </w:r>
            <w:r>
              <w:rPr>
                <w:rFonts w:hint="eastAsia"/>
                <w:color w:val="000000"/>
                <w:sz w:val="21"/>
                <w:szCs w:val="21"/>
                <w:lang w:val="en-US" w:eastAsia="zh-CN"/>
              </w:rPr>
              <w:t>表5中大气污染物特别排放限值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adjustRightInd w:val="0"/>
              <w:snapToGrid w:val="0"/>
              <w:spacing w:line="240" w:lineRule="auto"/>
              <w:jc w:val="center"/>
              <w:rPr>
                <w:sz w:val="21"/>
                <w:szCs w:val="21"/>
              </w:rPr>
            </w:pP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DA002</w:t>
            </w:r>
          </w:p>
        </w:tc>
        <w:tc>
          <w:tcPr>
            <w:tcW w:w="0" w:type="auto"/>
            <w:tcBorders>
              <w:tl2br w:val="nil"/>
              <w:tr2bl w:val="nil"/>
            </w:tcBorders>
            <w:noWrap w:val="0"/>
            <w:vAlign w:val="center"/>
          </w:tcPr>
          <w:p>
            <w:pPr>
              <w:adjustRightInd w:val="0"/>
              <w:snapToGrid w:val="0"/>
              <w:spacing w:line="240" w:lineRule="auto"/>
              <w:jc w:val="center"/>
              <w:rPr>
                <w:rFonts w:hint="default" w:eastAsia="宋体"/>
                <w:color w:val="000000"/>
                <w:sz w:val="21"/>
                <w:szCs w:val="21"/>
                <w:lang w:val="en-US" w:eastAsia="zh-CN"/>
              </w:rPr>
            </w:pPr>
            <w:r>
              <w:rPr>
                <w:rFonts w:hint="default" w:eastAsia="宋体"/>
                <w:color w:val="000000"/>
                <w:sz w:val="21"/>
                <w:szCs w:val="21"/>
                <w:lang w:val="en-US" w:eastAsia="zh-CN"/>
              </w:rPr>
              <w:t>2#厂房挤出排放口</w:t>
            </w:r>
          </w:p>
        </w:tc>
        <w:tc>
          <w:tcPr>
            <w:tcW w:w="0" w:type="auto"/>
            <w:tcBorders>
              <w:tl2br w:val="nil"/>
              <w:tr2bl w:val="nil"/>
            </w:tcBorders>
            <w:noWrap w:val="0"/>
            <w:vAlign w:val="center"/>
          </w:tcPr>
          <w:p>
            <w:pPr>
              <w:adjustRightInd w:val="0"/>
              <w:snapToGrid w:val="0"/>
              <w:spacing w:line="240" w:lineRule="auto"/>
              <w:jc w:val="center"/>
              <w:rPr>
                <w:rFonts w:hint="default" w:eastAsia="宋体"/>
                <w:color w:val="000000"/>
                <w:sz w:val="21"/>
                <w:szCs w:val="21"/>
                <w:lang w:val="en-US" w:eastAsia="zh-CN"/>
              </w:rPr>
            </w:pPr>
            <w:r>
              <w:rPr>
                <w:rFonts w:hint="default" w:eastAsia="宋体"/>
                <w:color w:val="000000"/>
                <w:sz w:val="21"/>
                <w:szCs w:val="21"/>
                <w:lang w:val="en-US" w:eastAsia="zh-CN"/>
              </w:rPr>
              <w:t>非甲烷总烃</w:t>
            </w:r>
          </w:p>
        </w:tc>
        <w:tc>
          <w:tcPr>
            <w:tcW w:w="0" w:type="auto"/>
            <w:tcBorders>
              <w:tl2br w:val="nil"/>
              <w:tr2bl w:val="nil"/>
            </w:tcBorders>
            <w:noWrap w:val="0"/>
            <w:vAlign w:val="center"/>
          </w:tcPr>
          <w:p>
            <w:pPr>
              <w:widowControl/>
              <w:adjustRightInd w:val="0"/>
              <w:snapToGrid w:val="0"/>
              <w:spacing w:line="240" w:lineRule="auto"/>
              <w:jc w:val="center"/>
              <w:textAlignment w:val="bottom"/>
              <w:rPr>
                <w:rFonts w:hint="default" w:eastAsia="宋体"/>
                <w:color w:val="000000"/>
                <w:sz w:val="21"/>
                <w:szCs w:val="21"/>
                <w:lang w:val="en-US" w:eastAsia="zh-CN"/>
              </w:rPr>
            </w:pPr>
            <w:r>
              <w:rPr>
                <w:rStyle w:val="56"/>
                <w:rFonts w:hint="eastAsia" w:cs="Times New Roman"/>
                <w:lang w:val="en-US" w:eastAsia="zh-CN" w:bidi="ar"/>
              </w:rPr>
              <w:t>密闭式</w:t>
            </w:r>
            <w:r>
              <w:rPr>
                <w:rStyle w:val="56"/>
                <w:rFonts w:hint="default" w:ascii="Times New Roman" w:hAnsi="Times New Roman" w:cs="Times New Roman"/>
                <w:lang w:bidi="ar"/>
              </w:rPr>
              <w:t>集气罩</w:t>
            </w:r>
            <w:r>
              <w:rPr>
                <w:rStyle w:val="56"/>
                <w:rFonts w:hint="eastAsia" w:cs="Times New Roman"/>
                <w:lang w:val="en-US" w:eastAsia="zh-CN" w:bidi="ar"/>
              </w:rPr>
              <w:t>收集后进入</w:t>
            </w:r>
            <w:r>
              <w:rPr>
                <w:rStyle w:val="56"/>
                <w:rFonts w:hint="eastAsia" w:ascii="Times New Roman" w:hAnsi="Times New Roman" w:eastAsia="宋体" w:cs="Times New Roman"/>
                <w:lang w:val="en-US" w:eastAsia="zh-CN" w:bidi="ar"/>
              </w:rPr>
              <w:t>二级活性炭</w:t>
            </w:r>
          </w:p>
        </w:tc>
        <w:tc>
          <w:tcPr>
            <w:tcW w:w="0" w:type="auto"/>
            <w:tcBorders>
              <w:tl2br w:val="nil"/>
              <w:tr2bl w:val="nil"/>
            </w:tcBorders>
            <w:noWrap w:val="0"/>
            <w:vAlign w:val="center"/>
          </w:tcPr>
          <w:p>
            <w:pPr>
              <w:pStyle w:val="6"/>
              <w:adjustRightInd w:val="0"/>
              <w:snapToGrid w:val="0"/>
              <w:spacing w:line="240" w:lineRule="auto"/>
              <w:ind w:firstLine="0" w:firstLineChars="0"/>
              <w:jc w:val="center"/>
              <w:rPr>
                <w:rFonts w:hint="eastAsia" w:eastAsia="宋体"/>
                <w:color w:val="000000"/>
                <w:sz w:val="21"/>
                <w:szCs w:val="21"/>
                <w:lang w:eastAsia="zh-CN"/>
              </w:rPr>
            </w:pPr>
            <w:r>
              <w:rPr>
                <w:rFonts w:hint="eastAsia"/>
                <w:color w:val="000000"/>
                <w:sz w:val="21"/>
                <w:szCs w:val="21"/>
                <w:lang w:val="en-US" w:eastAsia="zh-CN"/>
              </w:rPr>
              <w:fldChar w:fldCharType="begin"/>
            </w:r>
            <w:r>
              <w:rPr>
                <w:rFonts w:hint="eastAsia"/>
                <w:color w:val="000000"/>
                <w:sz w:val="21"/>
                <w:szCs w:val="21"/>
                <w:lang w:val="en-US" w:eastAsia="zh-CN"/>
              </w:rPr>
              <w:instrText xml:space="preserve"> HYPERLINK "https://www.mee.gov.cn/ywgz/fgbz/bz/bzwb/dqhjbh/dqgdwrywrwpfbz/201505/W020240612354056402310.pdf" </w:instrText>
            </w:r>
            <w:r>
              <w:rPr>
                <w:rFonts w:hint="eastAsia"/>
                <w:color w:val="000000"/>
                <w:sz w:val="21"/>
                <w:szCs w:val="21"/>
                <w:lang w:val="en-US" w:eastAsia="zh-CN"/>
              </w:rPr>
              <w:fldChar w:fldCharType="separate"/>
            </w:r>
            <w:r>
              <w:rPr>
                <w:rFonts w:hint="eastAsia"/>
                <w:color w:val="000000"/>
                <w:sz w:val="21"/>
                <w:szCs w:val="21"/>
                <w:lang w:val="en-US" w:eastAsia="zh-CN"/>
              </w:rPr>
              <w:t>《合成树脂工业污染物排放标准》（GB 31572-2015，含2024年修改单）</w:t>
            </w:r>
            <w:r>
              <w:rPr>
                <w:rFonts w:hint="eastAsia"/>
                <w:color w:val="000000"/>
                <w:sz w:val="21"/>
                <w:szCs w:val="21"/>
                <w:lang w:val="en-US" w:eastAsia="zh-CN"/>
              </w:rPr>
              <w:fldChar w:fldCharType="end"/>
            </w:r>
            <w:r>
              <w:rPr>
                <w:rFonts w:hint="eastAsia"/>
                <w:color w:val="000000"/>
                <w:sz w:val="21"/>
                <w:szCs w:val="21"/>
                <w:lang w:val="en-US" w:eastAsia="zh-CN"/>
              </w:rPr>
              <w:t>表5中大气污染物特别排放限值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adjustRightInd w:val="0"/>
              <w:snapToGrid w:val="0"/>
              <w:spacing w:line="240" w:lineRule="auto"/>
              <w:jc w:val="center"/>
              <w:rPr>
                <w:sz w:val="21"/>
                <w:szCs w:val="21"/>
              </w:rPr>
            </w:pPr>
          </w:p>
        </w:tc>
        <w:tc>
          <w:tcPr>
            <w:tcW w:w="0" w:type="auto"/>
            <w:gridSpan w:val="2"/>
            <w:tcBorders>
              <w:tl2br w:val="nil"/>
              <w:tr2bl w:val="nil"/>
            </w:tcBorders>
            <w:noWrap w:val="0"/>
            <w:vAlign w:val="center"/>
          </w:tcPr>
          <w:p>
            <w:pPr>
              <w:adjustRightInd w:val="0"/>
              <w:snapToGrid w:val="0"/>
              <w:spacing w:line="240" w:lineRule="auto"/>
              <w:jc w:val="center"/>
              <w:rPr>
                <w:sz w:val="21"/>
                <w:szCs w:val="21"/>
              </w:rPr>
            </w:pPr>
            <w:r>
              <w:rPr>
                <w:rFonts w:hint="eastAsia"/>
                <w:sz w:val="21"/>
                <w:szCs w:val="21"/>
              </w:rPr>
              <w:t>厂界内</w:t>
            </w:r>
          </w:p>
        </w:tc>
        <w:tc>
          <w:tcPr>
            <w:tcW w:w="0" w:type="auto"/>
            <w:tcBorders>
              <w:tl2br w:val="nil"/>
              <w:tr2bl w:val="nil"/>
            </w:tcBorders>
            <w:noWrap w:val="0"/>
            <w:vAlign w:val="center"/>
          </w:tcPr>
          <w:p>
            <w:pPr>
              <w:adjustRightInd w:val="0"/>
              <w:snapToGrid w:val="0"/>
              <w:spacing w:line="240" w:lineRule="auto"/>
              <w:jc w:val="center"/>
              <w:rPr>
                <w:rFonts w:hint="default" w:eastAsia="宋体"/>
                <w:sz w:val="21"/>
                <w:szCs w:val="21"/>
                <w:lang w:val="en-US" w:eastAsia="zh-CN"/>
              </w:rPr>
            </w:pPr>
            <w:r>
              <w:rPr>
                <w:sz w:val="21"/>
                <w:szCs w:val="21"/>
              </w:rPr>
              <w:t>非甲烷总烃</w:t>
            </w:r>
            <w:r>
              <w:rPr>
                <w:rFonts w:hint="eastAsia"/>
                <w:sz w:val="21"/>
                <w:szCs w:val="21"/>
                <w:lang w:eastAsia="zh-CN"/>
              </w:rPr>
              <w:t>、</w:t>
            </w:r>
            <w:r>
              <w:rPr>
                <w:rFonts w:hint="eastAsia"/>
                <w:sz w:val="21"/>
                <w:szCs w:val="21"/>
                <w:lang w:val="en-US" w:eastAsia="zh-CN"/>
              </w:rPr>
              <w:t>颗粒物</w:t>
            </w:r>
          </w:p>
        </w:tc>
        <w:tc>
          <w:tcPr>
            <w:tcW w:w="0" w:type="auto"/>
            <w:tcBorders>
              <w:tl2br w:val="nil"/>
              <w:tr2bl w:val="nil"/>
            </w:tcBorders>
            <w:noWrap w:val="0"/>
            <w:vAlign w:val="center"/>
          </w:tcPr>
          <w:p>
            <w:pPr>
              <w:adjustRightInd w:val="0"/>
              <w:snapToGrid w:val="0"/>
              <w:spacing w:line="240" w:lineRule="auto"/>
              <w:jc w:val="center"/>
              <w:rPr>
                <w:sz w:val="21"/>
                <w:szCs w:val="21"/>
              </w:rPr>
            </w:pPr>
            <w:r>
              <w:rPr>
                <w:rFonts w:hint="eastAsia"/>
                <w:sz w:val="21"/>
                <w:szCs w:val="21"/>
              </w:rPr>
              <w:t>密闭厂房</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《挥发性有机物无组织排放控制标准》（GB37822-2019）</w:t>
            </w:r>
            <w:r>
              <w:rPr>
                <w:rFonts w:hint="eastAsia"/>
                <w:sz w:val="21"/>
                <w:szCs w:val="21"/>
                <w:lang w:val="en-US" w:eastAsia="zh-CN"/>
              </w:rPr>
              <w:t>特别</w:t>
            </w:r>
            <w:r>
              <w:rPr>
                <w:sz w:val="21"/>
                <w:szCs w:val="21"/>
              </w:rPr>
              <w:t>限值要求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vMerge w:val="continue"/>
            <w:tcBorders>
              <w:tl2br w:val="nil"/>
              <w:tr2bl w:val="nil"/>
            </w:tcBorders>
            <w:noWrap w:val="0"/>
            <w:vAlign w:val="center"/>
          </w:tcPr>
          <w:p>
            <w:pPr>
              <w:adjustRightInd w:val="0"/>
              <w:snapToGrid w:val="0"/>
              <w:spacing w:line="240" w:lineRule="auto"/>
              <w:jc w:val="center"/>
              <w:rPr>
                <w:sz w:val="21"/>
                <w:szCs w:val="21"/>
              </w:rPr>
            </w:pPr>
          </w:p>
        </w:tc>
        <w:tc>
          <w:tcPr>
            <w:tcW w:w="0" w:type="auto"/>
            <w:gridSpan w:val="2"/>
            <w:tcBorders>
              <w:tl2br w:val="nil"/>
              <w:tr2bl w:val="nil"/>
            </w:tcBorders>
            <w:noWrap w:val="0"/>
            <w:vAlign w:val="center"/>
          </w:tcPr>
          <w:p>
            <w:pPr>
              <w:adjustRightInd w:val="0"/>
              <w:snapToGrid w:val="0"/>
              <w:spacing w:line="240" w:lineRule="auto"/>
              <w:jc w:val="center"/>
              <w:rPr>
                <w:sz w:val="21"/>
                <w:szCs w:val="21"/>
              </w:rPr>
            </w:pPr>
            <w:r>
              <w:rPr>
                <w:sz w:val="21"/>
                <w:szCs w:val="21"/>
              </w:rPr>
              <w:t>厂界</w:t>
            </w:r>
            <w:r>
              <w:rPr>
                <w:rFonts w:hint="eastAsia"/>
                <w:sz w:val="21"/>
                <w:szCs w:val="21"/>
              </w:rPr>
              <w:t>外</w:t>
            </w:r>
          </w:p>
        </w:tc>
        <w:tc>
          <w:tcPr>
            <w:tcW w:w="0" w:type="auto"/>
            <w:tcBorders>
              <w:tl2br w:val="nil"/>
              <w:tr2bl w:val="nil"/>
            </w:tcBorders>
            <w:noWrap w:val="0"/>
            <w:vAlign w:val="center"/>
          </w:tcPr>
          <w:p>
            <w:pPr>
              <w:adjustRightInd w:val="0"/>
              <w:snapToGrid w:val="0"/>
              <w:spacing w:line="240" w:lineRule="auto"/>
              <w:jc w:val="center"/>
              <w:rPr>
                <w:rFonts w:hint="default" w:eastAsia="宋体"/>
                <w:sz w:val="21"/>
                <w:szCs w:val="21"/>
                <w:lang w:val="en-US" w:eastAsia="zh-CN"/>
              </w:rPr>
            </w:pPr>
            <w:r>
              <w:rPr>
                <w:color w:val="000000"/>
                <w:sz w:val="21"/>
                <w:szCs w:val="21"/>
              </w:rPr>
              <w:t>非甲烷总烃</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密闭厂房</w:t>
            </w:r>
          </w:p>
        </w:tc>
        <w:tc>
          <w:tcPr>
            <w:tcW w:w="0" w:type="auto"/>
            <w:tcBorders>
              <w:tl2br w:val="nil"/>
              <w:tr2bl w:val="nil"/>
            </w:tcBorders>
            <w:noWrap w:val="0"/>
            <w:vAlign w:val="center"/>
          </w:tcPr>
          <w:p>
            <w:pPr>
              <w:adjustRightInd w:val="0"/>
              <w:snapToGrid w:val="0"/>
              <w:spacing w:line="240" w:lineRule="auto"/>
              <w:jc w:val="center"/>
              <w:rPr>
                <w:sz w:val="21"/>
                <w:szCs w:val="21"/>
              </w:rPr>
            </w:pPr>
            <w:r>
              <w:rPr>
                <w:rFonts w:hint="eastAsia"/>
                <w:color w:val="000000"/>
                <w:sz w:val="21"/>
                <w:szCs w:val="21"/>
                <w:lang w:eastAsia="zh-CN"/>
              </w:rPr>
              <w:t>《合成树脂工业污染物排放标准》（GB31572-2015，含2024年修改单）</w:t>
            </w:r>
            <w:r>
              <w:rPr>
                <w:color w:val="000000"/>
                <w:sz w:val="21"/>
                <w:szCs w:val="21"/>
              </w:rPr>
              <w:t>中表9中企业边界大气污染物浓度限值</w:t>
            </w:r>
            <w:r>
              <w:rPr>
                <w:rFonts w:hint="eastAsia"/>
                <w:color w:val="000000"/>
                <w:sz w:val="21"/>
                <w:szCs w:val="21"/>
                <w:lang w:eastAsia="zh-CN"/>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声环境</w:t>
            </w:r>
          </w:p>
        </w:tc>
        <w:tc>
          <w:tcPr>
            <w:tcW w:w="0" w:type="auto"/>
            <w:gridSpan w:val="2"/>
            <w:tcBorders>
              <w:tl2br w:val="nil"/>
              <w:tr2bl w:val="nil"/>
            </w:tcBorders>
            <w:noWrap w:val="0"/>
            <w:vAlign w:val="center"/>
          </w:tcPr>
          <w:p>
            <w:pPr>
              <w:adjustRightInd w:val="0"/>
              <w:snapToGrid w:val="0"/>
              <w:spacing w:line="240" w:lineRule="auto"/>
              <w:jc w:val="center"/>
              <w:rPr>
                <w:sz w:val="21"/>
                <w:szCs w:val="21"/>
              </w:rPr>
            </w:pPr>
            <w:r>
              <w:rPr>
                <w:sz w:val="21"/>
                <w:szCs w:val="21"/>
              </w:rPr>
              <w:t>生产设备</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噪声级</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lang w:val="en-US" w:eastAsia="zh-CN"/>
              </w:rPr>
              <w:t>本项目</w:t>
            </w:r>
            <w:r>
              <w:rPr>
                <w:rFonts w:hint="eastAsia"/>
                <w:sz w:val="21"/>
                <w:szCs w:val="21"/>
                <w:lang w:val="en-US" w:eastAsia="zh-CN"/>
              </w:rPr>
              <w:t>已安装低噪设备，对振动大的设备已采取基础减振措施，所有设备已安装于封闭生产车间内</w:t>
            </w:r>
            <w:r>
              <w:rPr>
                <w:sz w:val="21"/>
                <w:szCs w:val="21"/>
              </w:rPr>
              <w:t>、</w:t>
            </w:r>
            <w:r>
              <w:rPr>
                <w:rFonts w:hint="eastAsia"/>
                <w:sz w:val="21"/>
                <w:szCs w:val="21"/>
                <w:lang w:val="en-US" w:eastAsia="zh-CN"/>
              </w:rPr>
              <w:t>已制定计划定期对</w:t>
            </w:r>
            <w:r>
              <w:rPr>
                <w:sz w:val="21"/>
                <w:szCs w:val="21"/>
              </w:rPr>
              <w:t>设备</w:t>
            </w:r>
            <w:r>
              <w:rPr>
                <w:rFonts w:hint="eastAsia"/>
                <w:sz w:val="21"/>
                <w:szCs w:val="21"/>
                <w:lang w:val="en-US" w:eastAsia="zh-CN"/>
              </w:rPr>
              <w:t>进行</w:t>
            </w:r>
            <w:r>
              <w:rPr>
                <w:sz w:val="21"/>
                <w:szCs w:val="21"/>
              </w:rPr>
              <w:t>维护</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《工业企业厂界环境噪声排放标准》（GB12348-2008）中的</w:t>
            </w:r>
            <w:r>
              <w:rPr>
                <w:rFonts w:hint="eastAsia"/>
                <w:sz w:val="21"/>
                <w:szCs w:val="21"/>
                <w:lang w:val="en-US" w:eastAsia="zh-CN"/>
              </w:rPr>
              <w:t>3</w:t>
            </w:r>
            <w:r>
              <w:rPr>
                <w:rFonts w:hint="eastAsia"/>
                <w:sz w:val="21"/>
                <w:szCs w:val="21"/>
                <w:lang w:eastAsia="zh-CN"/>
              </w:rPr>
              <w:t>类</w:t>
            </w:r>
            <w:r>
              <w:rPr>
                <w:sz w:val="21"/>
                <w:szCs w:val="21"/>
              </w:rPr>
              <w:t>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电磁辐射</w:t>
            </w:r>
          </w:p>
        </w:tc>
        <w:tc>
          <w:tcPr>
            <w:tcW w:w="0" w:type="auto"/>
            <w:gridSpan w:val="2"/>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固体废物</w:t>
            </w:r>
          </w:p>
        </w:tc>
        <w:tc>
          <w:tcPr>
            <w:tcW w:w="0" w:type="auto"/>
            <w:gridSpan w:val="5"/>
            <w:tcBorders>
              <w:tl2br w:val="nil"/>
              <w:tr2bl w:val="nil"/>
            </w:tcBorders>
            <w:noWrap w:val="0"/>
            <w:vAlign w:val="center"/>
          </w:tcPr>
          <w:p>
            <w:pPr>
              <w:adjustRightInd w:val="0"/>
              <w:snapToGrid w:val="0"/>
              <w:spacing w:line="240" w:lineRule="auto"/>
              <w:jc w:val="left"/>
              <w:rPr>
                <w:sz w:val="21"/>
                <w:szCs w:val="21"/>
              </w:rPr>
            </w:pPr>
            <w:r>
              <w:rPr>
                <w:sz w:val="21"/>
                <w:szCs w:val="21"/>
              </w:rPr>
              <w:t>（1）</w:t>
            </w:r>
            <w:r>
              <w:rPr>
                <w:rFonts w:hint="eastAsia"/>
                <w:sz w:val="21"/>
                <w:szCs w:val="21"/>
              </w:rPr>
              <w:t>生活垃圾集中收集后定期由环卫部门清运处置。</w:t>
            </w:r>
          </w:p>
          <w:p>
            <w:pPr>
              <w:adjustRightInd w:val="0"/>
              <w:snapToGrid w:val="0"/>
              <w:spacing w:line="240" w:lineRule="auto"/>
              <w:jc w:val="left"/>
              <w:rPr>
                <w:rFonts w:hint="eastAsia" w:eastAsia="宋体"/>
                <w:sz w:val="21"/>
                <w:szCs w:val="21"/>
                <w:lang w:eastAsia="zh-CN"/>
              </w:rPr>
            </w:pPr>
            <w:r>
              <w:rPr>
                <w:sz w:val="21"/>
                <w:szCs w:val="21"/>
              </w:rPr>
              <w:t>（</w:t>
            </w:r>
            <w:r>
              <w:rPr>
                <w:rFonts w:hint="eastAsia"/>
                <w:sz w:val="21"/>
                <w:szCs w:val="21"/>
                <w:lang w:val="en-US" w:eastAsia="zh-CN"/>
              </w:rPr>
              <w:t>2</w:t>
            </w:r>
            <w:r>
              <w:rPr>
                <w:sz w:val="21"/>
                <w:szCs w:val="21"/>
              </w:rPr>
              <w:t>）</w:t>
            </w:r>
            <w:r>
              <w:rPr>
                <w:rFonts w:hint="eastAsia"/>
                <w:sz w:val="21"/>
                <w:szCs w:val="21"/>
                <w:lang w:eastAsia="zh-CN"/>
              </w:rPr>
              <w:t>废</w:t>
            </w:r>
            <w:r>
              <w:rPr>
                <w:rFonts w:hint="eastAsia"/>
                <w:sz w:val="21"/>
                <w:szCs w:val="21"/>
                <w:lang w:val="en-US" w:eastAsia="zh-CN"/>
              </w:rPr>
              <w:t>边角料</w:t>
            </w:r>
            <w:r>
              <w:rPr>
                <w:sz w:val="21"/>
                <w:szCs w:val="21"/>
              </w:rPr>
              <w:t>、</w:t>
            </w:r>
            <w:r>
              <w:rPr>
                <w:rFonts w:hint="eastAsia"/>
                <w:sz w:val="21"/>
                <w:szCs w:val="21"/>
                <w:lang w:val="en-US" w:eastAsia="zh-CN"/>
              </w:rPr>
              <w:t>不合格产品及</w:t>
            </w:r>
            <w:r>
              <w:rPr>
                <w:sz w:val="21"/>
                <w:szCs w:val="21"/>
              </w:rPr>
              <w:t>废</w:t>
            </w:r>
            <w:r>
              <w:rPr>
                <w:rFonts w:hint="eastAsia"/>
                <w:sz w:val="21"/>
                <w:szCs w:val="21"/>
                <w:lang w:val="en-US" w:eastAsia="zh-CN"/>
              </w:rPr>
              <w:t>包装袋等一般固废</w:t>
            </w:r>
            <w:r>
              <w:rPr>
                <w:sz w:val="21"/>
                <w:szCs w:val="21"/>
              </w:rPr>
              <w:t>经收集后</w:t>
            </w:r>
            <w:r>
              <w:rPr>
                <w:rFonts w:hint="eastAsia"/>
                <w:sz w:val="21"/>
                <w:szCs w:val="21"/>
                <w:lang w:val="en-US" w:eastAsia="zh-CN"/>
              </w:rPr>
              <w:t>交由一般固废处置单位进行处理</w:t>
            </w:r>
            <w:r>
              <w:rPr>
                <w:rFonts w:hint="eastAsia"/>
                <w:sz w:val="21"/>
                <w:szCs w:val="21"/>
                <w:lang w:eastAsia="zh-CN"/>
              </w:rPr>
              <w:t>。</w:t>
            </w:r>
          </w:p>
          <w:p>
            <w:pPr>
              <w:adjustRightInd w:val="0"/>
              <w:snapToGrid w:val="0"/>
              <w:spacing w:line="240" w:lineRule="auto"/>
              <w:jc w:val="left"/>
              <w:rPr>
                <w:rFonts w:hint="eastAsia"/>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sz w:val="21"/>
                <w:szCs w:val="21"/>
              </w:rPr>
              <w:t>废润滑油</w:t>
            </w:r>
            <w:r>
              <w:rPr>
                <w:rFonts w:hint="eastAsia"/>
                <w:sz w:val="21"/>
                <w:szCs w:val="21"/>
                <w:lang w:eastAsia="zh-CN"/>
              </w:rPr>
              <w:t>、</w:t>
            </w:r>
            <w:r>
              <w:rPr>
                <w:rFonts w:hint="eastAsia"/>
                <w:sz w:val="21"/>
                <w:szCs w:val="21"/>
                <w:lang w:val="en-US" w:eastAsia="zh-CN"/>
              </w:rPr>
              <w:t>废油桶、废活性炭及沾染含油污泥的废手套、废抹布等危险废物</w:t>
            </w:r>
            <w:r>
              <w:rPr>
                <w:sz w:val="21"/>
                <w:szCs w:val="21"/>
              </w:rPr>
              <w:t>收集暂存于</w:t>
            </w:r>
            <w:r>
              <w:rPr>
                <w:rFonts w:hint="eastAsia"/>
                <w:sz w:val="21"/>
                <w:szCs w:val="21"/>
                <w:lang w:eastAsia="zh-CN"/>
              </w:rPr>
              <w:t>危险废物贮存库</w:t>
            </w:r>
            <w:r>
              <w:rPr>
                <w:sz w:val="21"/>
                <w:szCs w:val="21"/>
              </w:rPr>
              <w:t>，定期交由有资质的单位处理。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土壤及地下水</w:t>
            </w:r>
          </w:p>
          <w:p>
            <w:pPr>
              <w:adjustRightInd w:val="0"/>
              <w:snapToGrid w:val="0"/>
              <w:spacing w:line="240" w:lineRule="auto"/>
              <w:jc w:val="center"/>
              <w:rPr>
                <w:sz w:val="21"/>
                <w:szCs w:val="21"/>
              </w:rPr>
            </w:pPr>
            <w:r>
              <w:rPr>
                <w:sz w:val="21"/>
                <w:szCs w:val="21"/>
              </w:rPr>
              <w:t>污染防治措施</w:t>
            </w:r>
          </w:p>
        </w:tc>
        <w:tc>
          <w:tcPr>
            <w:tcW w:w="0" w:type="auto"/>
            <w:gridSpan w:val="5"/>
            <w:tcBorders>
              <w:tl2br w:val="nil"/>
              <w:tr2bl w:val="nil"/>
            </w:tcBorders>
            <w:noWrap w:val="0"/>
            <w:vAlign w:val="center"/>
          </w:tcPr>
          <w:p>
            <w:pPr>
              <w:adjustRightInd w:val="0"/>
              <w:snapToGrid w:val="0"/>
              <w:spacing w:line="240" w:lineRule="auto"/>
              <w:rPr>
                <w:sz w:val="21"/>
                <w:szCs w:val="21"/>
              </w:rPr>
            </w:pPr>
            <w:r>
              <w:rPr>
                <w:sz w:val="21"/>
                <w:szCs w:val="21"/>
              </w:rPr>
              <w:t>（1）</w:t>
            </w:r>
            <w:r>
              <w:rPr>
                <w:rFonts w:hint="eastAsia"/>
                <w:sz w:val="21"/>
                <w:szCs w:val="21"/>
                <w:lang w:eastAsia="zh-CN"/>
              </w:rPr>
              <w:t>危险废物贮存库</w:t>
            </w:r>
            <w:r>
              <w:rPr>
                <w:sz w:val="21"/>
                <w:szCs w:val="21"/>
              </w:rPr>
              <w:t>作为重点防渗区，按照《环境影响评价技术导则 地下水环境》（HJ 610-2016）要求制定防渗措施；地面硬化处理并设防渗层，确保等效黏土防渗层Mb≥6.0m，渗透系数K≤1.0×10</w:t>
            </w:r>
            <w:r>
              <w:rPr>
                <w:sz w:val="21"/>
                <w:szCs w:val="21"/>
                <w:vertAlign w:val="superscript"/>
              </w:rPr>
              <w:t>-7</w:t>
            </w:r>
            <w:r>
              <w:rPr>
                <w:sz w:val="21"/>
                <w:szCs w:val="21"/>
              </w:rPr>
              <w:t>cm/s，同时满足《危险废物贮存污染控制标准》（GB18597-20</w:t>
            </w:r>
            <w:r>
              <w:rPr>
                <w:rFonts w:hint="eastAsia"/>
                <w:sz w:val="21"/>
                <w:szCs w:val="21"/>
                <w:lang w:val="en-US" w:eastAsia="zh-CN"/>
              </w:rPr>
              <w:t>23</w:t>
            </w:r>
            <w:r>
              <w:rPr>
                <w:sz w:val="21"/>
                <w:szCs w:val="21"/>
              </w:rPr>
              <w:t>）及其修改单中：基础防渗层至少为1m厚黏土层（渗透系数≤1.0×10</w:t>
            </w:r>
            <w:r>
              <w:rPr>
                <w:sz w:val="21"/>
                <w:szCs w:val="21"/>
                <w:vertAlign w:val="superscript"/>
              </w:rPr>
              <w:t>-7</w:t>
            </w:r>
            <w:r>
              <w:rPr>
                <w:sz w:val="21"/>
                <w:szCs w:val="21"/>
              </w:rPr>
              <w:t>cm/s），或2mm厚高密度聚乙烯，或至少2mm厚的其他人工材料，渗透系数≤1.0×10</w:t>
            </w:r>
            <w:r>
              <w:rPr>
                <w:sz w:val="21"/>
                <w:szCs w:val="21"/>
                <w:vertAlign w:val="superscript"/>
              </w:rPr>
              <w:t>-10</w:t>
            </w:r>
            <w:r>
              <w:rPr>
                <w:sz w:val="21"/>
                <w:szCs w:val="21"/>
              </w:rPr>
              <w:t>cm/s。</w:t>
            </w:r>
          </w:p>
          <w:p>
            <w:pPr>
              <w:adjustRightInd w:val="0"/>
              <w:snapToGrid w:val="0"/>
              <w:spacing w:line="240" w:lineRule="auto"/>
              <w:jc w:val="left"/>
              <w:rPr>
                <w:rFonts w:hint="eastAsia" w:eastAsia="宋体"/>
                <w:sz w:val="21"/>
                <w:szCs w:val="21"/>
                <w:lang w:eastAsia="zh-CN"/>
              </w:rPr>
            </w:pPr>
            <w:r>
              <w:rPr>
                <w:sz w:val="21"/>
                <w:szCs w:val="21"/>
              </w:rPr>
              <w:t>（2）</w:t>
            </w:r>
            <w:r>
              <w:rPr>
                <w:rFonts w:hint="eastAsia"/>
                <w:sz w:val="21"/>
                <w:szCs w:val="21"/>
                <w:lang w:val="en-US" w:eastAsia="zh-CN"/>
              </w:rPr>
              <w:t>厂房、循环水池及化粪池</w:t>
            </w:r>
            <w:r>
              <w:rPr>
                <w:sz w:val="21"/>
                <w:szCs w:val="21"/>
              </w:rPr>
              <w:t>作为一般防渗区，严格按照《环境影响评价技术导则 地下水环境》（HJ610-2016）要求制定防渗措施；地面硬化处理设防渗层，可使一般防渗区域的等效黏土防渗层Mb≥1.5m，渗透系数K≤1×10</w:t>
            </w:r>
            <w:r>
              <w:rPr>
                <w:sz w:val="21"/>
                <w:szCs w:val="21"/>
                <w:vertAlign w:val="superscript"/>
              </w:rPr>
              <w:t>-7</w:t>
            </w:r>
            <w:r>
              <w:rPr>
                <w:sz w:val="21"/>
                <w:szCs w:val="21"/>
              </w:rPr>
              <w:t>cm/s。</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z w:val="21"/>
                <w:szCs w:val="21"/>
              </w:rPr>
            </w:pPr>
            <w:r>
              <w:rPr>
                <w:sz w:val="21"/>
                <w:szCs w:val="21"/>
              </w:rPr>
              <w:t>生态保护措施</w:t>
            </w:r>
          </w:p>
        </w:tc>
        <w:tc>
          <w:tcPr>
            <w:tcW w:w="0" w:type="auto"/>
            <w:gridSpan w:val="5"/>
            <w:tcBorders>
              <w:tl2br w:val="nil"/>
              <w:tr2bl w:val="nil"/>
            </w:tcBorders>
            <w:noWrap w:val="0"/>
            <w:vAlign w:val="center"/>
          </w:tcPr>
          <w:p>
            <w:pPr>
              <w:adjustRightInd w:val="0"/>
              <w:snapToGrid w:val="0"/>
              <w:spacing w:line="240" w:lineRule="auto"/>
              <w:jc w:val="left"/>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pacing w:val="-8"/>
                <w:sz w:val="21"/>
                <w:szCs w:val="21"/>
              </w:rPr>
            </w:pPr>
            <w:r>
              <w:rPr>
                <w:spacing w:val="-8"/>
                <w:sz w:val="21"/>
                <w:szCs w:val="21"/>
              </w:rPr>
              <w:t>环境风险</w:t>
            </w:r>
          </w:p>
          <w:p>
            <w:pPr>
              <w:adjustRightInd w:val="0"/>
              <w:snapToGrid w:val="0"/>
              <w:spacing w:line="240" w:lineRule="auto"/>
              <w:jc w:val="center"/>
              <w:rPr>
                <w:spacing w:val="-8"/>
                <w:sz w:val="21"/>
                <w:szCs w:val="21"/>
              </w:rPr>
            </w:pPr>
            <w:r>
              <w:rPr>
                <w:spacing w:val="-8"/>
                <w:sz w:val="21"/>
                <w:szCs w:val="21"/>
              </w:rPr>
              <w:t>防范措施</w:t>
            </w:r>
          </w:p>
        </w:tc>
        <w:tc>
          <w:tcPr>
            <w:tcW w:w="0" w:type="auto"/>
            <w:gridSpan w:val="5"/>
            <w:tcBorders>
              <w:tl2br w:val="nil"/>
              <w:tr2bl w:val="nil"/>
            </w:tcBorders>
            <w:noWrap w:val="0"/>
            <w:vAlign w:val="center"/>
          </w:tcPr>
          <w:p>
            <w:pPr>
              <w:tabs>
                <w:tab w:val="left" w:pos="624"/>
              </w:tabs>
              <w:adjustRightInd w:val="0"/>
              <w:snapToGrid w:val="0"/>
              <w:spacing w:line="240" w:lineRule="auto"/>
              <w:jc w:val="left"/>
              <w:rPr>
                <w:sz w:val="21"/>
                <w:szCs w:val="21"/>
              </w:rPr>
            </w:pPr>
            <w:r>
              <w:rPr>
                <w:sz w:val="21"/>
                <w:szCs w:val="21"/>
              </w:rPr>
              <w:t>①项目各原料按照规定进行存放，原料、成品的堆放应有一定的间距、不得堵塞消防通道和消防设施；</w:t>
            </w:r>
          </w:p>
          <w:p>
            <w:pPr>
              <w:tabs>
                <w:tab w:val="left" w:pos="624"/>
              </w:tabs>
              <w:adjustRightInd w:val="0"/>
              <w:snapToGrid w:val="0"/>
              <w:spacing w:line="240" w:lineRule="auto"/>
              <w:jc w:val="left"/>
              <w:rPr>
                <w:sz w:val="21"/>
                <w:szCs w:val="21"/>
              </w:rPr>
            </w:pPr>
            <w:r>
              <w:rPr>
                <w:sz w:val="21"/>
                <w:szCs w:val="21"/>
              </w:rPr>
              <w:t>②车间安装避雷和防静电设施，保证报警设施完好无损，并定期检查接地电阻和避雷设施，以确保其完好性；</w:t>
            </w:r>
          </w:p>
          <w:p>
            <w:pPr>
              <w:tabs>
                <w:tab w:val="left" w:pos="624"/>
              </w:tabs>
              <w:adjustRightInd w:val="0"/>
              <w:snapToGrid w:val="0"/>
              <w:spacing w:line="240" w:lineRule="auto"/>
              <w:jc w:val="left"/>
              <w:rPr>
                <w:sz w:val="21"/>
                <w:szCs w:val="21"/>
              </w:rPr>
            </w:pPr>
            <w:r>
              <w:rPr>
                <w:sz w:val="21"/>
                <w:szCs w:val="21"/>
              </w:rPr>
              <w:t>③对装置周围可能的明火、电器火花和撞击火花进行控制管理，张贴禁火标识，严禁危险区内吸烟和违章动用明火；</w:t>
            </w:r>
          </w:p>
          <w:p>
            <w:pPr>
              <w:tabs>
                <w:tab w:val="left" w:pos="624"/>
              </w:tabs>
              <w:adjustRightInd w:val="0"/>
              <w:snapToGrid w:val="0"/>
              <w:spacing w:line="240" w:lineRule="auto"/>
              <w:jc w:val="left"/>
              <w:rPr>
                <w:sz w:val="21"/>
                <w:szCs w:val="21"/>
              </w:rPr>
            </w:pPr>
            <w:r>
              <w:rPr>
                <w:sz w:val="21"/>
                <w:szCs w:val="21"/>
              </w:rPr>
              <w:t>④电器设备、仪表选用防爆型，电气设备选型、安装、电力线路敷设等，应符合现行国家标准《爆炸和火灾危险环境电力装置设计规范》（GB50058-2014）的规定；</w:t>
            </w:r>
          </w:p>
          <w:p>
            <w:pPr>
              <w:tabs>
                <w:tab w:val="left" w:pos="624"/>
              </w:tabs>
              <w:adjustRightInd w:val="0"/>
              <w:snapToGrid w:val="0"/>
              <w:spacing w:line="240" w:lineRule="auto"/>
              <w:jc w:val="left"/>
              <w:rPr>
                <w:sz w:val="21"/>
                <w:szCs w:val="21"/>
              </w:rPr>
            </w:pPr>
            <w:r>
              <w:rPr>
                <w:sz w:val="21"/>
                <w:szCs w:val="21"/>
              </w:rPr>
              <w:t>⑤在可能发生火灾的区域，根据其火灾危险性、区域大小等实际情况，分别配置一定数量不同类型、不同规格的移动式灭火器材，以便及时扑救初始零星火灾；</w:t>
            </w:r>
          </w:p>
          <w:p>
            <w:pPr>
              <w:tabs>
                <w:tab w:val="left" w:pos="624"/>
              </w:tabs>
              <w:adjustRightInd w:val="0"/>
              <w:snapToGrid w:val="0"/>
              <w:spacing w:line="240" w:lineRule="auto"/>
              <w:jc w:val="left"/>
              <w:rPr>
                <w:sz w:val="21"/>
                <w:szCs w:val="21"/>
              </w:rPr>
            </w:pPr>
            <w:r>
              <w:rPr>
                <w:sz w:val="21"/>
                <w:szCs w:val="21"/>
              </w:rPr>
              <w:t>⑥提高员工素质，增强安全意识，建立严格的安全管理制度，杜绝违章动火、吸烟等现象。</w:t>
            </w:r>
          </w:p>
          <w:p>
            <w:pPr>
              <w:adjustRightInd w:val="0"/>
              <w:snapToGrid w:val="0"/>
              <w:spacing w:line="240" w:lineRule="auto"/>
              <w:jc w:val="left"/>
              <w:rPr>
                <w:sz w:val="21"/>
                <w:szCs w:val="21"/>
              </w:rPr>
            </w:pPr>
            <w:r>
              <w:rPr>
                <w:sz w:val="21"/>
                <w:szCs w:val="21"/>
              </w:rPr>
              <w:t>⑦</w:t>
            </w:r>
            <w:r>
              <w:rPr>
                <w:rFonts w:hint="eastAsia"/>
                <w:sz w:val="21"/>
                <w:szCs w:val="21"/>
                <w:lang w:eastAsia="zh-CN"/>
              </w:rPr>
              <w:t>危险废物贮存库</w:t>
            </w:r>
            <w:r>
              <w:rPr>
                <w:sz w:val="21"/>
                <w:szCs w:val="21"/>
              </w:rPr>
              <w:t>由专人负责管理，如实记录危险废物废机油的产生、暂存、转运等信息，危险废物需送交有资质单位回收处置，不得交由无处置资质的单位及个人进行回收。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4"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vAlign w:val="center"/>
          </w:tcPr>
          <w:p>
            <w:pPr>
              <w:adjustRightInd w:val="0"/>
              <w:snapToGrid w:val="0"/>
              <w:spacing w:line="240" w:lineRule="auto"/>
              <w:jc w:val="center"/>
              <w:rPr>
                <w:spacing w:val="-8"/>
                <w:sz w:val="21"/>
                <w:szCs w:val="21"/>
              </w:rPr>
            </w:pPr>
            <w:r>
              <w:rPr>
                <w:spacing w:val="-8"/>
                <w:sz w:val="21"/>
                <w:szCs w:val="21"/>
              </w:rPr>
              <w:t>其他环境</w:t>
            </w:r>
          </w:p>
          <w:p>
            <w:pPr>
              <w:adjustRightInd w:val="0"/>
              <w:snapToGrid w:val="0"/>
              <w:spacing w:line="240" w:lineRule="auto"/>
              <w:jc w:val="center"/>
              <w:rPr>
                <w:spacing w:val="-8"/>
                <w:sz w:val="21"/>
                <w:szCs w:val="21"/>
              </w:rPr>
            </w:pPr>
            <w:r>
              <w:rPr>
                <w:spacing w:val="-8"/>
                <w:sz w:val="21"/>
                <w:szCs w:val="21"/>
              </w:rPr>
              <w:t>管理要求</w:t>
            </w:r>
          </w:p>
        </w:tc>
        <w:tc>
          <w:tcPr>
            <w:tcW w:w="0" w:type="auto"/>
            <w:gridSpan w:val="5"/>
            <w:tcBorders>
              <w:tl2br w:val="nil"/>
              <w:tr2bl w:val="nil"/>
            </w:tcBorders>
            <w:noWrap w:val="0"/>
            <w:vAlign w:val="center"/>
          </w:tcPr>
          <w:p>
            <w:pPr>
              <w:adjustRightInd w:val="0"/>
              <w:snapToGrid w:val="0"/>
              <w:spacing w:line="240" w:lineRule="auto"/>
              <w:rPr>
                <w:sz w:val="21"/>
                <w:szCs w:val="21"/>
              </w:rPr>
            </w:pPr>
            <w:r>
              <w:rPr>
                <w:sz w:val="21"/>
                <w:szCs w:val="21"/>
              </w:rPr>
              <w:t>（1）建设单位应设置环保管理人员，负责厂区环保工作日常事务。环保管理人员应做到有职、有权、有责，</w:t>
            </w:r>
            <w:r>
              <w:rPr>
                <w:rFonts w:hint="eastAsia"/>
                <w:sz w:val="21"/>
                <w:szCs w:val="21"/>
                <w:lang w:val="en-US" w:eastAsia="zh-CN"/>
              </w:rPr>
              <w:t>切实</w:t>
            </w:r>
            <w:r>
              <w:rPr>
                <w:sz w:val="21"/>
                <w:szCs w:val="21"/>
              </w:rPr>
              <w:t>担负起环境保护管理及监督责任。该人员除对项目负责外，也应与地方环境保护管理部门加强联系，使项目环保工作纳入地方环境管理工作系统。</w:t>
            </w:r>
          </w:p>
          <w:p>
            <w:pPr>
              <w:adjustRightInd w:val="0"/>
              <w:snapToGrid w:val="0"/>
              <w:spacing w:line="240" w:lineRule="auto"/>
              <w:rPr>
                <w:sz w:val="21"/>
                <w:szCs w:val="21"/>
              </w:rPr>
            </w:pPr>
            <w:r>
              <w:rPr>
                <w:sz w:val="21"/>
                <w:szCs w:val="21"/>
              </w:rPr>
              <w:t>（2）严格遵照国家和地方有关环境保护的方针、政策、法规、条例，如《中华人民共和国环境保护法》《全国生态环境保护纲要》等，结合企业的实际情况，确定环境保护控制目标，制定环境保护发展规划和年度实施计划，建立环境保护制度，并组织、监督实施。</w:t>
            </w:r>
          </w:p>
          <w:p>
            <w:pPr>
              <w:adjustRightInd w:val="0"/>
              <w:snapToGrid w:val="0"/>
              <w:spacing w:line="240" w:lineRule="auto"/>
              <w:rPr>
                <w:sz w:val="21"/>
                <w:szCs w:val="21"/>
              </w:rPr>
            </w:pPr>
            <w:r>
              <w:rPr>
                <w:sz w:val="21"/>
                <w:szCs w:val="21"/>
              </w:rPr>
              <w:t>（3）安排组织员工的环保教育、培训和考核，提高员工的环保意识和环境法</w:t>
            </w:r>
            <w:r>
              <w:rPr>
                <w:rFonts w:hint="eastAsia"/>
                <w:sz w:val="21"/>
                <w:szCs w:val="21"/>
                <w:lang w:val="en-US" w:eastAsia="zh-CN"/>
              </w:rPr>
              <w:t>治</w:t>
            </w:r>
            <w:r>
              <w:rPr>
                <w:sz w:val="21"/>
                <w:szCs w:val="21"/>
              </w:rPr>
              <w:t>观念；推广并应用先进的环境保护管理经验和污染治理技术，提高环保管理人员业务水平。</w:t>
            </w:r>
          </w:p>
          <w:p>
            <w:pPr>
              <w:adjustRightInd w:val="0"/>
              <w:snapToGrid w:val="0"/>
              <w:spacing w:line="240" w:lineRule="auto"/>
              <w:rPr>
                <w:sz w:val="21"/>
                <w:szCs w:val="21"/>
              </w:rPr>
            </w:pPr>
            <w:r>
              <w:rPr>
                <w:sz w:val="21"/>
                <w:szCs w:val="21"/>
              </w:rPr>
              <w:t>（4）组织与领导项目的环境监测和统计工作，掌握污染源动态。</w:t>
            </w:r>
          </w:p>
          <w:p>
            <w:pPr>
              <w:adjustRightInd w:val="0"/>
              <w:snapToGrid w:val="0"/>
              <w:spacing w:line="240" w:lineRule="auto"/>
              <w:rPr>
                <w:sz w:val="21"/>
                <w:szCs w:val="21"/>
              </w:rPr>
            </w:pPr>
            <w:r>
              <w:rPr>
                <w:sz w:val="21"/>
                <w:szCs w:val="21"/>
              </w:rPr>
              <w:t>（5）监督、检查环保设施、设备的运行及维护，建立环保设施运行档案。</w:t>
            </w:r>
          </w:p>
          <w:p>
            <w:pPr>
              <w:adjustRightInd w:val="0"/>
              <w:snapToGrid w:val="0"/>
              <w:spacing w:line="240" w:lineRule="auto"/>
              <w:rPr>
                <w:sz w:val="21"/>
                <w:szCs w:val="21"/>
              </w:rPr>
            </w:pPr>
            <w:r>
              <w:rPr>
                <w:sz w:val="21"/>
                <w:szCs w:val="21"/>
              </w:rPr>
              <w:t>（6）按照《排污许可管理条例》（中华人民共和国国务院令 第736号）要求，企业在建成实际排污前应依法申请取得企业排污</w:t>
            </w:r>
            <w:r>
              <w:rPr>
                <w:rFonts w:hint="eastAsia"/>
                <w:sz w:val="21"/>
                <w:szCs w:val="21"/>
              </w:rPr>
              <w:t>登记</w:t>
            </w:r>
            <w:r>
              <w:rPr>
                <w:sz w:val="21"/>
                <w:szCs w:val="21"/>
              </w:rPr>
              <w:t>，未取得排污</w:t>
            </w:r>
            <w:r>
              <w:rPr>
                <w:rFonts w:hint="eastAsia"/>
                <w:sz w:val="21"/>
                <w:szCs w:val="21"/>
              </w:rPr>
              <w:t>登记</w:t>
            </w:r>
            <w:r>
              <w:rPr>
                <w:sz w:val="21"/>
                <w:szCs w:val="21"/>
              </w:rPr>
              <w:t>的，不得排放污染物。</w:t>
            </w:r>
          </w:p>
          <w:p>
            <w:pPr>
              <w:adjustRightInd w:val="0"/>
              <w:snapToGrid w:val="0"/>
              <w:spacing w:line="240" w:lineRule="auto"/>
              <w:rPr>
                <w:sz w:val="21"/>
                <w:szCs w:val="21"/>
              </w:rPr>
            </w:pPr>
            <w:r>
              <w:rPr>
                <w:sz w:val="21"/>
                <w:szCs w:val="21"/>
              </w:rPr>
              <w:t>（7）建设项目竣工后，由建设单位根据《建设项目竣工环境保护验收技术指南 污染影响类》按照规定程序和标准自行组织</w:t>
            </w:r>
            <w:r>
              <w:rPr>
                <w:rFonts w:hint="eastAsia"/>
                <w:sz w:val="21"/>
                <w:szCs w:val="21"/>
              </w:rPr>
              <w:t>“</w:t>
            </w:r>
            <w:r>
              <w:rPr>
                <w:sz w:val="21"/>
                <w:szCs w:val="21"/>
              </w:rPr>
              <w:t>三同时</w:t>
            </w:r>
            <w:r>
              <w:rPr>
                <w:rFonts w:hint="eastAsia"/>
                <w:sz w:val="21"/>
                <w:szCs w:val="21"/>
              </w:rPr>
              <w:t>”</w:t>
            </w:r>
            <w:r>
              <w:rPr>
                <w:sz w:val="21"/>
                <w:szCs w:val="21"/>
              </w:rPr>
              <w:t>环保竣工验收，不具备编制验收监测（调查）报告能力的，可委托有能力的技术机构进行编制；企业在正常运行期间，设置危废管理台账，按照固废防治法等要求进行危废暂存、处置，不得随意丢弃及擅自处置。</w:t>
            </w:r>
          </w:p>
          <w:p>
            <w:pPr>
              <w:adjustRightInd w:val="0"/>
              <w:snapToGrid w:val="0"/>
              <w:spacing w:line="240" w:lineRule="auto"/>
              <w:rPr>
                <w:rFonts w:hint="default" w:eastAsia="宋体"/>
                <w:sz w:val="21"/>
                <w:szCs w:val="21"/>
                <w:lang w:val="en-US" w:eastAsia="zh-CN"/>
              </w:rPr>
            </w:pPr>
            <w:r>
              <w:rPr>
                <w:rFonts w:hint="eastAsia"/>
                <w:sz w:val="21"/>
                <w:szCs w:val="21"/>
                <w:lang w:eastAsia="zh-CN"/>
              </w:rPr>
              <w:t>（</w:t>
            </w:r>
            <w:r>
              <w:rPr>
                <w:rFonts w:hint="eastAsia"/>
                <w:sz w:val="21"/>
                <w:szCs w:val="21"/>
                <w:lang w:val="en-US" w:eastAsia="zh-CN"/>
              </w:rPr>
              <w:t>8</w:t>
            </w:r>
            <w:r>
              <w:rPr>
                <w:rFonts w:hint="eastAsia"/>
                <w:sz w:val="21"/>
                <w:szCs w:val="21"/>
                <w:lang w:eastAsia="zh-CN"/>
              </w:rPr>
              <w:t>）</w:t>
            </w:r>
            <w:r>
              <w:rPr>
                <w:rFonts w:hint="eastAsia"/>
                <w:sz w:val="21"/>
                <w:szCs w:val="21"/>
                <w:lang w:val="en-US" w:eastAsia="zh-CN"/>
              </w:rPr>
              <w:t>根据《排污口规范化整治技术要求（试行）》（国家环保局环监〔1996〕470号）要求，排污单位应在废气排放口设置科学、规范、便于采样监测的监测点位，避开对测试人员操作有危险的场所，在流场均匀稳定的监测断面规范开设监测孔，设置工作平台、梯架及相应安全防护设施等。此外应制定相应的管理办法和规章制度，对排放口监测点位进行管理，并保存相关管理记录。应建立排放口监测点位档案，档案内容应包含监测点位二维码涵盖的信息，以及对监测点位的管理记录，包括对标志牌的标识是否清晰完整，工作平台、梯架、自动监测系统是否能正常使用，安全防护装置是否过期失效，防护设施有无破损现象，排放口附近有无堆积物等方面的检查和维修清理记录，记录周期不少于每半年一次排放口监测点位信息变化时，应及时更新排放口监测点位信息标志牌相应内容</w:t>
            </w:r>
          </w:p>
          <w:p>
            <w:pPr>
              <w:adjustRightInd w:val="0"/>
              <w:snapToGrid w:val="0"/>
              <w:spacing w:line="240" w:lineRule="auto"/>
              <w:rPr>
                <w:sz w:val="21"/>
                <w:szCs w:val="21"/>
              </w:rPr>
            </w:pPr>
          </w:p>
          <w:p>
            <w:pPr>
              <w:adjustRightInd w:val="0"/>
              <w:snapToGrid w:val="0"/>
              <w:spacing w:line="240" w:lineRule="auto"/>
              <w:rPr>
                <w:sz w:val="21"/>
                <w:szCs w:val="21"/>
              </w:rPr>
            </w:pPr>
          </w:p>
          <w:p>
            <w:pPr>
              <w:adjustRightInd w:val="0"/>
              <w:snapToGrid w:val="0"/>
              <w:spacing w:line="240" w:lineRule="auto"/>
              <w:rPr>
                <w:sz w:val="21"/>
                <w:szCs w:val="21"/>
              </w:rPr>
            </w:pPr>
          </w:p>
          <w:p>
            <w:pPr>
              <w:adjustRightInd w:val="0"/>
              <w:snapToGrid w:val="0"/>
              <w:spacing w:line="240" w:lineRule="auto"/>
              <w:rPr>
                <w:sz w:val="21"/>
                <w:szCs w:val="21"/>
              </w:rPr>
            </w:pPr>
          </w:p>
          <w:p>
            <w:pPr>
              <w:adjustRightInd w:val="0"/>
              <w:snapToGrid w:val="0"/>
              <w:spacing w:line="240" w:lineRule="auto"/>
              <w:rPr>
                <w:rFonts w:hint="eastAsia" w:eastAsia="宋体"/>
                <w:sz w:val="21"/>
                <w:szCs w:val="21"/>
                <w:lang w:val="en-US" w:eastAsia="zh-CN"/>
              </w:rPr>
            </w:pPr>
          </w:p>
        </w:tc>
      </w:tr>
    </w:tbl>
    <w:p>
      <w:pPr>
        <w:pStyle w:val="2"/>
        <w:rPr>
          <w:snapToGrid w:val="0"/>
          <w:color w:val="auto"/>
        </w:rPr>
      </w:pPr>
      <w:r>
        <w:rPr>
          <w:snapToGrid w:val="0"/>
          <w:color w:val="auto"/>
        </w:rPr>
        <w:br w:type="page"/>
      </w:r>
      <w:bookmarkStart w:id="10" w:name="_Toc28307"/>
      <w:r>
        <w:rPr>
          <w:snapToGrid w:val="0"/>
          <w:color w:val="auto"/>
        </w:rPr>
        <w:t>六、结论</w:t>
      </w:r>
      <w:bookmarkEnd w:id="10"/>
    </w:p>
    <w:tbl>
      <w:tblPr>
        <w:tblStyle w:val="26"/>
        <w:tblW w:w="0" w:type="auto"/>
        <w:jc w:val="center"/>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886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rPr>
          <w:trHeight w:val="12456" w:hRule="atLeast"/>
          <w:jc w:val="center"/>
        </w:trPr>
        <w:tc>
          <w:tcPr>
            <w:tcW w:w="8865" w:type="dxa"/>
            <w:tcBorders>
              <w:tl2br w:val="nil"/>
              <w:tr2bl w:val="nil"/>
            </w:tcBorders>
            <w:noWrap w:val="0"/>
            <w:vAlign w:val="top"/>
          </w:tcPr>
          <w:p>
            <w:pPr>
              <w:ind w:firstLine="480" w:firstLineChars="200"/>
            </w:pPr>
            <w:r>
              <w:rPr>
                <w:szCs w:val="21"/>
              </w:rPr>
              <w:t>本</w:t>
            </w:r>
            <w:r>
              <w:rPr>
                <w:szCs w:val="21"/>
                <w:lang w:val="zh-CN"/>
              </w:rPr>
              <w:t>项目</w:t>
            </w:r>
            <w:r>
              <w:rPr>
                <w:szCs w:val="21"/>
              </w:rPr>
              <w:t>在</w:t>
            </w:r>
            <w:r>
              <w:rPr>
                <w:szCs w:val="21"/>
                <w:lang w:val="zh-CN"/>
              </w:rPr>
              <w:t>切实落实报告表中提出的各项防治措施要求，严格执行各项污染物的排放标准，积极有效地进行治理和防范，并使各项污染物达标排放，从环境保护角度考虑，建设项目</w:t>
            </w:r>
            <w:r>
              <w:rPr>
                <w:rFonts w:hint="eastAsia"/>
                <w:szCs w:val="21"/>
              </w:rPr>
              <w:t>环境影响</w:t>
            </w:r>
            <w:r>
              <w:rPr>
                <w:szCs w:val="21"/>
                <w:lang w:val="zh-CN"/>
              </w:rPr>
              <w:t>可行。</w:t>
            </w:r>
          </w:p>
        </w:tc>
      </w:tr>
    </w:tbl>
    <w:p>
      <w:pPr>
        <w:sectPr>
          <w:pgSz w:w="11906" w:h="16838"/>
          <w:pgMar w:top="1701" w:right="1531" w:bottom="1701" w:left="1531" w:header="851" w:footer="851" w:gutter="0"/>
          <w:pgBorders>
            <w:top w:val="none" w:sz="0" w:space="0"/>
            <w:left w:val="none" w:sz="0" w:space="0"/>
            <w:bottom w:val="none" w:sz="0" w:space="0"/>
            <w:right w:val="none" w:sz="0" w:space="0"/>
          </w:pgBorders>
          <w:cols w:space="720" w:num="1"/>
          <w:docGrid w:linePitch="312" w:charSpace="0"/>
        </w:sectPr>
      </w:pPr>
    </w:p>
    <w:p>
      <w:pPr>
        <w:pStyle w:val="2"/>
        <w:rPr>
          <w:color w:val="auto"/>
        </w:rPr>
      </w:pPr>
      <w:bookmarkStart w:id="11" w:name="_Toc2965"/>
      <w:r>
        <w:rPr>
          <w:color w:val="auto"/>
        </w:rPr>
        <w:t>建设项目污染物排放量汇总表</w:t>
      </w:r>
      <w:bookmarkEnd w:id="11"/>
    </w:p>
    <w:tbl>
      <w:tblPr>
        <w:tblStyle w:val="26"/>
        <w:tblW w:w="5000" w:type="pct"/>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56"/>
        <w:gridCol w:w="855"/>
        <w:gridCol w:w="1944"/>
        <w:gridCol w:w="1074"/>
        <w:gridCol w:w="1571"/>
        <w:gridCol w:w="1790"/>
        <w:gridCol w:w="1702"/>
        <w:gridCol w:w="2049"/>
        <w:gridCol w:w="145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项目</w:t>
            </w:r>
          </w:p>
          <w:p>
            <w:pPr>
              <w:adjustRightInd w:val="0"/>
              <w:snapToGrid w:val="0"/>
              <w:spacing w:line="240" w:lineRule="auto"/>
              <w:jc w:val="center"/>
              <w:rPr>
                <w:snapToGrid w:val="0"/>
                <w:spacing w:val="-6"/>
                <w:kern w:val="21"/>
                <w:sz w:val="21"/>
                <w:szCs w:val="21"/>
              </w:rPr>
            </w:pPr>
            <w:r>
              <w:rPr>
                <w:snapToGrid w:val="0"/>
                <w:spacing w:val="-6"/>
                <w:kern w:val="21"/>
                <w:sz w:val="21"/>
                <w:szCs w:val="21"/>
              </w:rPr>
              <w:t>分类</w:t>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污染物名称</w:t>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现有工程</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1 \* GB3 \* MERGEFORMAT </w:instrText>
            </w:r>
            <w:r>
              <w:rPr>
                <w:snapToGrid w:val="0"/>
                <w:spacing w:val="-6"/>
                <w:kern w:val="21"/>
                <w:sz w:val="21"/>
                <w:szCs w:val="21"/>
              </w:rPr>
              <w:fldChar w:fldCharType="separate"/>
            </w:r>
            <w:r>
              <w:rPr>
                <w:sz w:val="21"/>
                <w:szCs w:val="21"/>
              </w:rPr>
              <w:t>①</w:t>
            </w:r>
            <w:r>
              <w:rPr>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现有工程许可排放量</w:t>
            </w:r>
          </w:p>
          <w:p>
            <w:pPr>
              <w:adjustRightInd w:val="0"/>
              <w:snapToGrid w:val="0"/>
              <w:spacing w:line="240" w:lineRule="auto"/>
              <w:jc w:val="center"/>
              <w:rPr>
                <w:snapToGrid w:val="0"/>
                <w:spacing w:val="-6"/>
                <w:kern w:val="21"/>
                <w:sz w:val="21"/>
                <w:szCs w:val="21"/>
              </w:rPr>
            </w:pPr>
            <w:r>
              <w:rPr>
                <w:snapToGrid w:val="0"/>
                <w:spacing w:val="-6"/>
                <w:kern w:val="21"/>
                <w:sz w:val="21"/>
                <w:szCs w:val="21"/>
              </w:rPr>
              <w:fldChar w:fldCharType="begin"/>
            </w:r>
            <w:r>
              <w:rPr>
                <w:snapToGrid w:val="0"/>
                <w:spacing w:val="-6"/>
                <w:kern w:val="21"/>
                <w:sz w:val="21"/>
                <w:szCs w:val="21"/>
              </w:rPr>
              <w:instrText xml:space="preserve"> = 2 \* GB3 \* MERGEFORMAT </w:instrText>
            </w:r>
            <w:r>
              <w:rPr>
                <w:snapToGrid w:val="0"/>
                <w:spacing w:val="-6"/>
                <w:kern w:val="21"/>
                <w:sz w:val="21"/>
                <w:szCs w:val="21"/>
              </w:rPr>
              <w:fldChar w:fldCharType="separate"/>
            </w:r>
            <w:r>
              <w:rPr>
                <w:snapToGrid w:val="0"/>
                <w:spacing w:val="-6"/>
                <w:kern w:val="21"/>
                <w:sz w:val="21"/>
                <w:szCs w:val="21"/>
              </w:rPr>
              <w:t>②</w:t>
            </w:r>
            <w:r>
              <w:rPr>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在建工程</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3 \* GB3 \* MERGEFORMAT </w:instrText>
            </w:r>
            <w:r>
              <w:rPr>
                <w:snapToGrid w:val="0"/>
                <w:spacing w:val="-6"/>
                <w:kern w:val="21"/>
                <w:sz w:val="21"/>
                <w:szCs w:val="21"/>
              </w:rPr>
              <w:fldChar w:fldCharType="separate"/>
            </w:r>
            <w:r>
              <w:rPr>
                <w:sz w:val="21"/>
                <w:szCs w:val="21"/>
              </w:rPr>
              <w:t>③</w:t>
            </w:r>
            <w:r>
              <w:rPr>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本项目</w:t>
            </w:r>
          </w:p>
          <w:p>
            <w:pPr>
              <w:adjustRightInd w:val="0"/>
              <w:snapToGrid w:val="0"/>
              <w:spacing w:line="240" w:lineRule="auto"/>
              <w:jc w:val="center"/>
              <w:rPr>
                <w:snapToGrid w:val="0"/>
                <w:spacing w:val="-6"/>
                <w:kern w:val="21"/>
                <w:sz w:val="21"/>
                <w:szCs w:val="21"/>
              </w:rPr>
            </w:pPr>
            <w:r>
              <w:rPr>
                <w:snapToGrid w:val="0"/>
                <w:spacing w:val="-6"/>
                <w:kern w:val="21"/>
                <w:sz w:val="21"/>
                <w:szCs w:val="21"/>
              </w:rPr>
              <w:t>排放量（固体废物产生量）</w:t>
            </w:r>
            <w:r>
              <w:rPr>
                <w:snapToGrid w:val="0"/>
                <w:spacing w:val="-6"/>
                <w:kern w:val="21"/>
                <w:sz w:val="21"/>
                <w:szCs w:val="21"/>
              </w:rPr>
              <w:fldChar w:fldCharType="begin"/>
            </w:r>
            <w:r>
              <w:rPr>
                <w:snapToGrid w:val="0"/>
                <w:spacing w:val="-6"/>
                <w:kern w:val="21"/>
                <w:sz w:val="21"/>
                <w:szCs w:val="21"/>
              </w:rPr>
              <w:instrText xml:space="preserve"> = 4 \* GB3 \* MERGEFORMAT </w:instrText>
            </w:r>
            <w:r>
              <w:rPr>
                <w:snapToGrid w:val="0"/>
                <w:spacing w:val="-6"/>
                <w:kern w:val="21"/>
                <w:sz w:val="21"/>
                <w:szCs w:val="21"/>
              </w:rPr>
              <w:fldChar w:fldCharType="separate"/>
            </w:r>
            <w:r>
              <w:rPr>
                <w:sz w:val="21"/>
                <w:szCs w:val="21"/>
              </w:rPr>
              <w:t>④</w:t>
            </w:r>
            <w:r>
              <w:rPr>
                <w:snapToGrid w:val="0"/>
                <w:spacing w:val="-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16"/>
                <w:kern w:val="21"/>
                <w:sz w:val="21"/>
                <w:szCs w:val="21"/>
              </w:rPr>
            </w:pPr>
            <w:r>
              <w:rPr>
                <w:snapToGrid w:val="0"/>
                <w:spacing w:val="-16"/>
                <w:kern w:val="21"/>
                <w:sz w:val="21"/>
                <w:szCs w:val="21"/>
              </w:rPr>
              <w:t>以新带老削减量（新建项目不填）</w:t>
            </w:r>
            <w:r>
              <w:rPr>
                <w:snapToGrid w:val="0"/>
                <w:spacing w:val="-16"/>
                <w:kern w:val="21"/>
                <w:sz w:val="21"/>
                <w:szCs w:val="21"/>
              </w:rPr>
              <w:fldChar w:fldCharType="begin"/>
            </w:r>
            <w:r>
              <w:rPr>
                <w:snapToGrid w:val="0"/>
                <w:spacing w:val="-16"/>
                <w:kern w:val="21"/>
                <w:sz w:val="21"/>
                <w:szCs w:val="21"/>
              </w:rPr>
              <w:instrText xml:space="preserve"> = 5 \* GB3 \* MERGEFORMAT </w:instrText>
            </w:r>
            <w:r>
              <w:rPr>
                <w:snapToGrid w:val="0"/>
                <w:spacing w:val="-16"/>
                <w:kern w:val="21"/>
                <w:sz w:val="21"/>
                <w:szCs w:val="21"/>
              </w:rPr>
              <w:fldChar w:fldCharType="separate"/>
            </w:r>
            <w:r>
              <w:rPr>
                <w:sz w:val="21"/>
                <w:szCs w:val="21"/>
              </w:rPr>
              <w:t>⑤</w:t>
            </w:r>
            <w:r>
              <w:rPr>
                <w:snapToGrid w:val="0"/>
                <w:spacing w:val="-1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16"/>
                <w:kern w:val="21"/>
                <w:sz w:val="21"/>
                <w:szCs w:val="21"/>
              </w:rPr>
            </w:pPr>
            <w:r>
              <w:rPr>
                <w:snapToGrid w:val="0"/>
                <w:spacing w:val="-16"/>
                <w:kern w:val="21"/>
                <w:sz w:val="21"/>
                <w:szCs w:val="21"/>
              </w:rPr>
              <w:t>本项目建成后</w:t>
            </w:r>
          </w:p>
          <w:p>
            <w:pPr>
              <w:adjustRightInd w:val="0"/>
              <w:snapToGrid w:val="0"/>
              <w:spacing w:line="240" w:lineRule="auto"/>
              <w:jc w:val="center"/>
              <w:rPr>
                <w:snapToGrid w:val="0"/>
                <w:spacing w:val="-16"/>
                <w:kern w:val="21"/>
                <w:sz w:val="21"/>
                <w:szCs w:val="21"/>
              </w:rPr>
            </w:pPr>
            <w:r>
              <w:rPr>
                <w:snapToGrid w:val="0"/>
                <w:spacing w:val="-16"/>
                <w:kern w:val="21"/>
                <w:sz w:val="21"/>
                <w:szCs w:val="21"/>
              </w:rPr>
              <w:t>全厂排放量（固体废物产生量）</w:t>
            </w:r>
            <w:r>
              <w:rPr>
                <w:snapToGrid w:val="0"/>
                <w:spacing w:val="-16"/>
                <w:kern w:val="21"/>
                <w:sz w:val="21"/>
                <w:szCs w:val="21"/>
              </w:rPr>
              <w:fldChar w:fldCharType="begin"/>
            </w:r>
            <w:r>
              <w:rPr>
                <w:snapToGrid w:val="0"/>
                <w:spacing w:val="-16"/>
                <w:kern w:val="21"/>
                <w:sz w:val="21"/>
                <w:szCs w:val="21"/>
              </w:rPr>
              <w:instrText xml:space="preserve"> = 6 \* GB3 \* MERGEFORMAT </w:instrText>
            </w:r>
            <w:r>
              <w:rPr>
                <w:snapToGrid w:val="0"/>
                <w:spacing w:val="-16"/>
                <w:kern w:val="21"/>
                <w:sz w:val="21"/>
                <w:szCs w:val="21"/>
              </w:rPr>
              <w:fldChar w:fldCharType="separate"/>
            </w:r>
            <w:r>
              <w:rPr>
                <w:sz w:val="21"/>
                <w:szCs w:val="21"/>
              </w:rPr>
              <w:t>⑥</w:t>
            </w:r>
            <w:r>
              <w:rPr>
                <w:snapToGrid w:val="0"/>
                <w:spacing w:val="-16"/>
                <w:kern w:val="21"/>
                <w:sz w:val="21"/>
                <w:szCs w:val="21"/>
              </w:rPr>
              <w:fldChar w:fldCharType="end"/>
            </w:r>
          </w:p>
        </w:tc>
        <w:tc>
          <w:tcPr>
            <w:tcW w:w="0" w:type="auto"/>
            <w:tcBorders>
              <w:tl2br w:val="nil"/>
              <w:tr2bl w:val="nil"/>
            </w:tcBorders>
            <w:noWrap w:val="0"/>
            <w:tcMar>
              <w:left w:w="28" w:type="dxa"/>
              <w:right w:w="28" w:type="dxa"/>
            </w:tcMar>
            <w:vAlign w:val="center"/>
          </w:tcPr>
          <w:p>
            <w:pPr>
              <w:adjustRightInd w:val="0"/>
              <w:snapToGrid w:val="0"/>
              <w:spacing w:line="240" w:lineRule="auto"/>
              <w:jc w:val="center"/>
              <w:rPr>
                <w:snapToGrid w:val="0"/>
                <w:spacing w:val="-6"/>
                <w:kern w:val="21"/>
                <w:sz w:val="21"/>
                <w:szCs w:val="21"/>
              </w:rPr>
            </w:pPr>
            <w:r>
              <w:rPr>
                <w:snapToGrid w:val="0"/>
                <w:spacing w:val="-6"/>
                <w:kern w:val="21"/>
                <w:sz w:val="21"/>
                <w:szCs w:val="21"/>
              </w:rPr>
              <w:t>变化量</w:t>
            </w:r>
          </w:p>
          <w:p>
            <w:pPr>
              <w:adjustRightInd w:val="0"/>
              <w:snapToGrid w:val="0"/>
              <w:spacing w:line="240" w:lineRule="auto"/>
              <w:jc w:val="center"/>
              <w:rPr>
                <w:snapToGrid w:val="0"/>
                <w:spacing w:val="-6"/>
                <w:kern w:val="21"/>
                <w:sz w:val="21"/>
                <w:szCs w:val="21"/>
                <w:highlight w:val="yellow"/>
              </w:rPr>
            </w:pPr>
            <w:r>
              <w:rPr>
                <w:snapToGrid w:val="0"/>
                <w:spacing w:val="-6"/>
                <w:kern w:val="21"/>
                <w:sz w:val="21"/>
                <w:szCs w:val="21"/>
              </w:rPr>
              <w:fldChar w:fldCharType="begin"/>
            </w:r>
            <w:r>
              <w:rPr>
                <w:snapToGrid w:val="0"/>
                <w:spacing w:val="-6"/>
                <w:kern w:val="21"/>
                <w:sz w:val="21"/>
                <w:szCs w:val="21"/>
              </w:rPr>
              <w:instrText xml:space="preserve"> = 7 \* GB3 \* MERGEFORMAT </w:instrText>
            </w:r>
            <w:r>
              <w:rPr>
                <w:snapToGrid w:val="0"/>
                <w:spacing w:val="-6"/>
                <w:kern w:val="21"/>
                <w:sz w:val="21"/>
                <w:szCs w:val="21"/>
              </w:rPr>
              <w:fldChar w:fldCharType="separate"/>
            </w:r>
            <w:r>
              <w:rPr>
                <w:sz w:val="21"/>
                <w:szCs w:val="21"/>
              </w:rPr>
              <w:t>⑦</w:t>
            </w:r>
            <w:r>
              <w:rPr>
                <w:snapToGrid w:val="0"/>
                <w:spacing w:val="-6"/>
                <w:kern w:val="21"/>
                <w:sz w:val="21"/>
                <w:szCs w:val="21"/>
              </w:rPr>
              <w:fldChar w:fldCharType="end"/>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tcBorders>
              <w:tl2br w:val="nil"/>
              <w:tr2bl w:val="nil"/>
            </w:tcBorders>
            <w:noWrap w:val="0"/>
            <w:vAlign w:val="center"/>
          </w:tcPr>
          <w:p>
            <w:pPr>
              <w:adjustRightInd w:val="0"/>
              <w:snapToGrid w:val="0"/>
              <w:spacing w:line="240" w:lineRule="auto"/>
              <w:jc w:val="center"/>
              <w:rPr>
                <w:rFonts w:hint="eastAsia" w:eastAsia="宋体"/>
                <w:snapToGrid w:val="0"/>
                <w:kern w:val="21"/>
                <w:sz w:val="21"/>
                <w:szCs w:val="21"/>
                <w:lang w:val="en-US" w:eastAsia="zh-CN"/>
              </w:rPr>
            </w:pPr>
            <w:r>
              <w:rPr>
                <w:rFonts w:hint="eastAsia"/>
                <w:snapToGrid w:val="0"/>
                <w:kern w:val="21"/>
                <w:sz w:val="21"/>
                <w:szCs w:val="21"/>
                <w:lang w:val="en-US" w:eastAsia="zh-CN"/>
              </w:rPr>
              <w:t>废气</w:t>
            </w:r>
          </w:p>
        </w:tc>
        <w:tc>
          <w:tcPr>
            <w:tcW w:w="0" w:type="auto"/>
            <w:tcBorders>
              <w:tl2br w:val="nil"/>
              <w:tr2bl w:val="nil"/>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000000"/>
                <w:kern w:val="2"/>
                <w:sz w:val="21"/>
                <w:szCs w:val="21"/>
                <w:highlight w:val="none"/>
                <w:lang w:val="en-US" w:eastAsia="zh-CN" w:bidi="ar-SA"/>
              </w:rPr>
            </w:pPr>
            <w:r>
              <w:rPr>
                <w:rFonts w:hint="eastAsia" w:ascii="Times New Roman" w:hAnsi="Times New Roman" w:cs="Times New Roman"/>
                <w:color w:val="000000"/>
                <w:sz w:val="21"/>
                <w:szCs w:val="21"/>
                <w:highlight w:val="none"/>
                <w:vertAlign w:val="baseline"/>
                <w:lang w:val="en-US" w:eastAsia="zh-CN"/>
              </w:rPr>
              <w:t>非甲烷总烃</w:t>
            </w:r>
          </w:p>
        </w:tc>
        <w:tc>
          <w:tcPr>
            <w:tcW w:w="1944"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074"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571"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1790"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snapToGrid w:val="0"/>
                <w:color w:val="000000"/>
                <w:kern w:val="21"/>
                <w:sz w:val="21"/>
                <w:szCs w:val="21"/>
                <w:highlight w:val="none"/>
                <w:lang w:val="en-US" w:eastAsia="zh-CN" w:bidi="zh-CN"/>
              </w:rPr>
              <w:t>1.511</w:t>
            </w:r>
            <w:r>
              <w:rPr>
                <w:rFonts w:hint="eastAsia" w:ascii="Times New Roman" w:hAnsi="Times New Roman" w:eastAsia="宋体" w:cs="Times New Roman"/>
                <w:snapToGrid w:val="0"/>
                <w:color w:val="000000"/>
                <w:kern w:val="21"/>
                <w:sz w:val="21"/>
                <w:szCs w:val="21"/>
                <w:highlight w:val="none"/>
                <w:lang w:val="en-US" w:eastAsia="zh-CN" w:bidi="zh-CN"/>
              </w:rPr>
              <w:t>t/a</w:t>
            </w:r>
          </w:p>
        </w:tc>
        <w:tc>
          <w:tcPr>
            <w:tcW w:w="1702"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bidi="zh-CN"/>
              </w:rPr>
              <w:t>0</w:t>
            </w:r>
          </w:p>
        </w:tc>
        <w:tc>
          <w:tcPr>
            <w:tcW w:w="2049" w:type="dxa"/>
            <w:tcBorders>
              <w:tl2br w:val="nil"/>
              <w:tr2bl w:val="nil"/>
            </w:tcBorders>
            <w:shd w:val="clear" w:color="auto" w:fill="auto"/>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0"/>
                <w:sz w:val="21"/>
                <w:szCs w:val="21"/>
                <w:highlight w:val="none"/>
                <w:lang w:val="en-US" w:eastAsia="zh-CN" w:bidi="ar-SA"/>
              </w:rPr>
            </w:pPr>
            <w:r>
              <w:rPr>
                <w:rFonts w:hint="eastAsia" w:ascii="Times New Roman" w:hAnsi="Times New Roman" w:cs="Times New Roman"/>
                <w:snapToGrid w:val="0"/>
                <w:color w:val="000000"/>
                <w:kern w:val="21"/>
                <w:sz w:val="21"/>
                <w:szCs w:val="21"/>
                <w:highlight w:val="none"/>
                <w:lang w:val="en-US" w:eastAsia="zh-CN" w:bidi="zh-CN"/>
              </w:rPr>
              <w:t>1.</w:t>
            </w:r>
            <w:r>
              <w:rPr>
                <w:rFonts w:hint="eastAsia" w:cs="Times New Roman"/>
                <w:snapToGrid w:val="0"/>
                <w:color w:val="000000"/>
                <w:kern w:val="21"/>
                <w:sz w:val="21"/>
                <w:szCs w:val="21"/>
                <w:highlight w:val="none"/>
                <w:lang w:val="en-US" w:eastAsia="zh-CN" w:bidi="zh-CN"/>
              </w:rPr>
              <w:t>511</w:t>
            </w:r>
            <w:r>
              <w:rPr>
                <w:rFonts w:hint="eastAsia" w:ascii="Times New Roman" w:hAnsi="Times New Roman" w:eastAsia="宋体" w:cs="Times New Roman"/>
                <w:snapToGrid w:val="0"/>
                <w:color w:val="000000"/>
                <w:kern w:val="21"/>
                <w:sz w:val="21"/>
                <w:szCs w:val="21"/>
                <w:highlight w:val="none"/>
                <w:lang w:val="en-US" w:eastAsia="zh-CN" w:bidi="zh-CN"/>
              </w:rPr>
              <w:t>t/a</w:t>
            </w:r>
          </w:p>
        </w:tc>
        <w:tc>
          <w:tcPr>
            <w:tcW w:w="1451" w:type="dxa"/>
            <w:tcBorders>
              <w:tl2br w:val="nil"/>
              <w:tr2bl w:val="nil"/>
            </w:tcBorders>
            <w:shd w:val="clear" w:color="auto" w:fill="auto"/>
            <w:noWrap w:val="0"/>
            <w:vAlign w:val="center"/>
          </w:tcPr>
          <w:p>
            <w:pPr>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ascii="Times New Roman" w:hAnsi="Times New Roman" w:cs="Times New Roman"/>
                <w:snapToGrid w:val="0"/>
                <w:color w:val="000000"/>
                <w:kern w:val="21"/>
                <w:sz w:val="21"/>
                <w:szCs w:val="21"/>
                <w:highlight w:val="none"/>
                <w:lang w:val="en-US" w:eastAsia="zh-CN" w:bidi="zh-CN"/>
              </w:rPr>
              <w:t>1.</w:t>
            </w:r>
            <w:r>
              <w:rPr>
                <w:rFonts w:hint="eastAsia" w:cs="Times New Roman"/>
                <w:snapToGrid w:val="0"/>
                <w:color w:val="000000"/>
                <w:kern w:val="21"/>
                <w:sz w:val="21"/>
                <w:szCs w:val="21"/>
                <w:highlight w:val="none"/>
                <w:lang w:val="en-US" w:eastAsia="zh-CN" w:bidi="zh-CN"/>
              </w:rPr>
              <w:t>511</w:t>
            </w:r>
            <w:r>
              <w:rPr>
                <w:rFonts w:hint="eastAsia" w:ascii="Times New Roman" w:hAnsi="Times New Roman" w:eastAsia="宋体" w:cs="Times New Roman"/>
                <w:snapToGrid w:val="0"/>
                <w:color w:val="000000"/>
                <w:kern w:val="21"/>
                <w:sz w:val="21"/>
                <w:szCs w:val="21"/>
                <w:highlight w:val="none"/>
                <w:lang w:val="en-US" w:eastAsia="zh-CN" w:bidi="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noWrap w:val="0"/>
            <w:vAlign w:val="center"/>
          </w:tcPr>
          <w:p>
            <w:pPr>
              <w:adjustRightInd w:val="0"/>
              <w:snapToGrid w:val="0"/>
              <w:spacing w:line="240" w:lineRule="auto"/>
              <w:jc w:val="center"/>
              <w:rPr>
                <w:snapToGrid w:val="0"/>
                <w:kern w:val="21"/>
                <w:sz w:val="21"/>
                <w:szCs w:val="21"/>
              </w:rPr>
            </w:pPr>
            <w:r>
              <w:rPr>
                <w:snapToGrid w:val="0"/>
                <w:kern w:val="21"/>
                <w:sz w:val="21"/>
                <w:szCs w:val="21"/>
              </w:rPr>
              <w:t>废水</w:t>
            </w:r>
          </w:p>
        </w:tc>
        <w:tc>
          <w:tcPr>
            <w:tcW w:w="0" w:type="auto"/>
            <w:tcBorders>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firstLine="0" w:firstLineChars="0"/>
              <w:jc w:val="center"/>
              <w:textAlignment w:val="baseline"/>
              <w:rPr>
                <w:rFonts w:hint="eastAsia" w:ascii="Times New Roman" w:hAnsi="Times New Roman" w:eastAsia="宋体" w:cs="Times New Roman"/>
                <w:b w:val="0"/>
                <w:color w:val="000000"/>
                <w:kern w:val="2"/>
                <w:sz w:val="21"/>
                <w:szCs w:val="21"/>
                <w:highlight w:val="none"/>
                <w:lang w:val="en-US" w:eastAsia="zh-CN" w:bidi="ar-SA"/>
              </w:rPr>
            </w:pPr>
            <w:r>
              <w:rPr>
                <w:rFonts w:hint="eastAsia" w:ascii="Times New Roman" w:hAnsi="Times New Roman" w:eastAsia="宋体" w:cs="Times New Roman"/>
                <w:snapToGrid w:val="0"/>
                <w:color w:val="000000"/>
                <w:spacing w:val="0"/>
                <w:kern w:val="0"/>
                <w:position w:val="0"/>
                <w:sz w:val="21"/>
                <w:szCs w:val="21"/>
                <w:highlight w:val="none"/>
                <w:vertAlign w:val="baseline"/>
                <w:lang w:val="en-US" w:eastAsia="zh-CN" w:bidi="ar-SA"/>
              </w:rPr>
              <w:t>化学需氧量</w:t>
            </w:r>
          </w:p>
        </w:tc>
        <w:tc>
          <w:tcPr>
            <w:tcW w:w="1944"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color w:val="000000"/>
                <w:kern w:val="2"/>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eastAsia" w:ascii="Times New Roman" w:hAnsi="Times New Roman" w:cs="Times New Roman"/>
                <w:sz w:val="21"/>
                <w:szCs w:val="21"/>
                <w:lang w:val="en-US" w:eastAsia="zh-CN"/>
              </w:rPr>
              <w:t>0.177</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kern w:val="2"/>
                <w:sz w:val="21"/>
                <w:szCs w:val="21"/>
                <w:highlight w:val="none"/>
                <w:lang w:val="en-US" w:eastAsia="zh-CN" w:bidi="ar-SA"/>
              </w:rPr>
            </w:pPr>
            <w:r>
              <w:rPr>
                <w:rFonts w:hint="eastAsia" w:ascii="Times New Roman" w:hAnsi="Times New Roman" w:cs="Times New Roman"/>
                <w:sz w:val="21"/>
                <w:szCs w:val="21"/>
                <w:lang w:val="en-US" w:eastAsia="zh-CN"/>
              </w:rPr>
              <w:t>0.177</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eastAsia" w:ascii="Times New Roman" w:hAnsi="Times New Roman" w:cs="Times New Roman"/>
                <w:sz w:val="21"/>
                <w:szCs w:val="21"/>
                <w:lang w:val="en-US" w:eastAsia="zh-CN"/>
              </w:rPr>
              <w:t>0.043</w:t>
            </w:r>
            <w:r>
              <w:rPr>
                <w:rFonts w:hint="default" w:ascii="Times New Roman" w:hAnsi="Times New Roman" w:eastAsia="宋体" w:cs="Times New Roman"/>
                <w:snapToGrid w:val="0"/>
                <w:color w:val="000000"/>
                <w:kern w:val="21"/>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noWrap w:val="0"/>
            <w:vAlign w:val="center"/>
          </w:tcPr>
          <w:p>
            <w:pPr>
              <w:adjustRightInd w:val="0"/>
              <w:snapToGrid w:val="0"/>
              <w:spacing w:line="240" w:lineRule="auto"/>
              <w:jc w:val="center"/>
              <w:rPr>
                <w:snapToGrid w:val="0"/>
                <w:kern w:val="21"/>
                <w:sz w:val="21"/>
                <w:szCs w:val="21"/>
              </w:rPr>
            </w:pPr>
          </w:p>
        </w:tc>
        <w:tc>
          <w:tcPr>
            <w:tcW w:w="0" w:type="auto"/>
            <w:tcBorders>
              <w:tl2br w:val="nil"/>
              <w:tr2bl w:val="nil"/>
            </w:tcBorders>
            <w:shd w:val="clear" w:color="auto" w:fill="auto"/>
            <w:noWrap w:val="0"/>
            <w:vAlign w:val="center"/>
          </w:tcPr>
          <w:p>
            <w:pPr>
              <w:keepNext w:val="0"/>
              <w:keepLines w:val="0"/>
              <w:pageBreakBefore w:val="0"/>
              <w:widowControl/>
              <w:kinsoku w:val="0"/>
              <w:wordWrap/>
              <w:overflowPunct/>
              <w:topLinePunct w:val="0"/>
              <w:autoSpaceDE w:val="0"/>
              <w:autoSpaceDN w:val="0"/>
              <w:bidi w:val="0"/>
              <w:adjustRightInd w:val="0"/>
              <w:snapToGrid w:val="0"/>
              <w:spacing w:before="0" w:line="240" w:lineRule="auto"/>
              <w:ind w:firstLine="0" w:firstLineChars="0"/>
              <w:jc w:val="center"/>
              <w:textAlignment w:val="baseline"/>
              <w:rPr>
                <w:rFonts w:hint="default" w:ascii="Times New Roman" w:hAnsi="Times New Roman" w:eastAsia="宋体" w:cs="Times New Roman"/>
                <w:b w:val="0"/>
                <w:snapToGrid w:val="0"/>
                <w:color w:val="000000"/>
                <w:spacing w:val="0"/>
                <w:kern w:val="0"/>
                <w:position w:val="0"/>
                <w:sz w:val="21"/>
                <w:szCs w:val="21"/>
                <w:highlight w:val="none"/>
                <w:vertAlign w:val="baseline"/>
                <w:lang w:val="en-US" w:eastAsia="zh-CN" w:bidi="ar-SA"/>
              </w:rPr>
            </w:pPr>
            <w:r>
              <w:rPr>
                <w:rFonts w:hint="eastAsia" w:ascii="Times New Roman" w:hAnsi="Times New Roman" w:eastAsia="宋体" w:cs="Times New Roman"/>
                <w:snapToGrid w:val="0"/>
                <w:color w:val="000000"/>
                <w:spacing w:val="0"/>
                <w:kern w:val="0"/>
                <w:position w:val="0"/>
                <w:sz w:val="21"/>
                <w:szCs w:val="21"/>
                <w:highlight w:val="none"/>
                <w:vertAlign w:val="baseline"/>
                <w:lang w:val="en-US" w:eastAsia="zh-CN" w:bidi="ar-SA"/>
              </w:rPr>
              <w:t>氨氮</w:t>
            </w:r>
          </w:p>
        </w:tc>
        <w:tc>
          <w:tcPr>
            <w:tcW w:w="1944"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b w:val="0"/>
                <w:snapToGrid w:val="0"/>
                <w:color w:val="000000"/>
                <w:spacing w:val="0"/>
                <w:kern w:val="0"/>
                <w:position w:val="0"/>
                <w:sz w:val="21"/>
                <w:szCs w:val="21"/>
                <w:highlight w:val="none"/>
                <w:vertAlign w:val="baseline"/>
                <w:lang w:val="en-US" w:eastAsia="zh-CN" w:bidi="ar-SA"/>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eastAsia" w:ascii="Times New Roman" w:hAnsi="Times New Roman" w:cs="Times New Roman"/>
                <w:sz w:val="21"/>
                <w:szCs w:val="21"/>
                <w:lang w:val="en-US" w:eastAsia="zh-CN"/>
              </w:rPr>
              <w:t>0.027</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eastAsia" w:ascii="Times New Roman" w:hAnsi="Times New Roman" w:cs="Times New Roman"/>
                <w:sz w:val="21"/>
                <w:szCs w:val="21"/>
                <w:lang w:val="en-US" w:eastAsia="zh-CN"/>
              </w:rPr>
              <w:t>0.027</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noWrap w:val="0"/>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snapToGrid w:val="0"/>
                <w:color w:val="000000"/>
                <w:spacing w:val="0"/>
                <w:kern w:val="0"/>
                <w:position w:val="0"/>
                <w:sz w:val="21"/>
                <w:szCs w:val="21"/>
                <w:highlight w:val="none"/>
                <w:vertAlign w:val="baseline"/>
                <w:lang w:val="en-US" w:eastAsia="zh-CN" w:bidi="ar-SA"/>
              </w:rPr>
            </w:pPr>
            <w:r>
              <w:rPr>
                <w:rFonts w:hint="eastAsia" w:ascii="Times New Roman" w:hAnsi="Times New Roman" w:eastAsia="宋体" w:cs="Times New Roman"/>
                <w:sz w:val="21"/>
                <w:szCs w:val="21"/>
                <w:lang w:val="en-US" w:eastAsia="zh-CN"/>
              </w:rPr>
              <w:t>0.0</w:t>
            </w:r>
            <w:r>
              <w:rPr>
                <w:rFonts w:hint="eastAsia" w:ascii="Times New Roman" w:hAnsi="Times New Roman" w:cs="Times New Roman"/>
                <w:sz w:val="21"/>
                <w:szCs w:val="21"/>
                <w:lang w:val="en-US" w:eastAsia="zh-CN"/>
              </w:rPr>
              <w:t>066</w:t>
            </w:r>
            <w:r>
              <w:rPr>
                <w:rFonts w:hint="default" w:ascii="Times New Roman" w:hAnsi="Times New Roman" w:eastAsia="宋体" w:cs="Times New Roman"/>
                <w:snapToGrid w:val="0"/>
                <w:color w:val="000000"/>
                <w:kern w:val="21"/>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firstLine="0" w:firstLineChars="0"/>
              <w:jc w:val="center"/>
              <w:textAlignment w:val="auto"/>
              <w:rPr>
                <w:rFonts w:hint="default" w:ascii="Times New Roman" w:hAnsi="Times New Roman" w:eastAsia="宋体" w:cs="Times New Roman"/>
                <w:snapToGrid w:val="0"/>
                <w:color w:val="000000"/>
                <w:kern w:val="21"/>
                <w:sz w:val="21"/>
                <w:szCs w:val="21"/>
              </w:rPr>
            </w:pPr>
            <w:r>
              <w:rPr>
                <w:rFonts w:hint="default" w:ascii="Times New Roman" w:hAnsi="Times New Roman" w:eastAsia="宋体" w:cs="Times New Roman"/>
                <w:snapToGrid w:val="0"/>
                <w:color w:val="000000"/>
                <w:kern w:val="21"/>
                <w:sz w:val="21"/>
                <w:szCs w:val="21"/>
              </w:rPr>
              <w:t>一般工业</w:t>
            </w:r>
          </w:p>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rPr>
              <w:t>固体废物</w:t>
            </w:r>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b w:val="0"/>
                <w:color w:val="000000"/>
                <w:spacing w:val="0"/>
                <w:kern w:val="0"/>
                <w:position w:val="0"/>
                <w:sz w:val="21"/>
                <w:szCs w:val="21"/>
                <w:highlight w:val="none"/>
                <w:lang w:val="en-US" w:eastAsia="zh-CN" w:bidi="ar-SA"/>
              </w:rPr>
            </w:pPr>
            <w:r>
              <w:rPr>
                <w:rFonts w:hint="eastAsia" w:cs="Times New Roman"/>
                <w:color w:val="000000"/>
                <w:spacing w:val="0"/>
                <w:kern w:val="0"/>
                <w:sz w:val="21"/>
                <w:szCs w:val="21"/>
                <w:lang w:val="en-US" w:eastAsia="zh-CN"/>
              </w:rPr>
              <w:t>废边角料、不合格产品</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color w:val="000000"/>
                <w:kern w:val="0"/>
                <w:sz w:val="21"/>
                <w:szCs w:val="21"/>
                <w:highlight w:val="none"/>
                <w:lang w:val="en-US" w:eastAsia="zh-CN"/>
              </w:rPr>
              <w:t>2.0</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color w:val="000000"/>
                <w:kern w:val="0"/>
                <w:sz w:val="21"/>
                <w:szCs w:val="21"/>
                <w:highlight w:val="none"/>
                <w:lang w:val="en-US" w:eastAsia="zh-CN"/>
              </w:rPr>
              <w:t>2.0</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4"/>
                <w:highlight w:val="none"/>
                <w:lang w:val="en-US" w:eastAsia="zh-CN" w:bidi="ar-SA"/>
              </w:rPr>
            </w:pPr>
            <w:r>
              <w:rPr>
                <w:rFonts w:hint="eastAsia" w:cs="Times New Roman"/>
                <w:color w:val="000000"/>
                <w:kern w:val="0"/>
                <w:sz w:val="21"/>
                <w:szCs w:val="21"/>
                <w:highlight w:val="none"/>
                <w:lang w:val="en-US" w:eastAsia="zh-CN"/>
              </w:rPr>
              <w:t>2.0</w:t>
            </w:r>
            <w:r>
              <w:rPr>
                <w:rFonts w:hint="default" w:ascii="Times New Roman" w:hAnsi="Times New Roman" w:eastAsia="宋体" w:cs="Times New Roman"/>
                <w:snapToGrid w:val="0"/>
                <w:color w:val="000000"/>
                <w:kern w:val="21"/>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tcPr>
          <w:p>
            <w:pPr>
              <w:adjustRightInd w:val="0"/>
              <w:snapToGrid w:val="0"/>
              <w:spacing w:line="240" w:lineRule="auto"/>
              <w:jc w:val="center"/>
              <w:rPr>
                <w:snapToGrid w:val="0"/>
                <w:kern w:val="21"/>
                <w:sz w:val="21"/>
                <w:szCs w:val="21"/>
              </w:rPr>
            </w:pPr>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spacing w:val="0"/>
                <w:kern w:val="0"/>
                <w:sz w:val="21"/>
                <w:szCs w:val="21"/>
                <w:lang w:val="en-US" w:eastAsia="zh-CN"/>
              </w:rPr>
              <w:t>废包装</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b w:val="0"/>
                <w:color w:val="000000"/>
                <w:spacing w:val="0"/>
                <w:kern w:val="0"/>
                <w:positio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napToGrid w:val="0"/>
                <w:color w:val="000000"/>
                <w:kern w:val="21"/>
                <w:sz w:val="21"/>
                <w:szCs w:val="21"/>
                <w:highlight w:val="none"/>
                <w:lang w:val="en-US" w:eastAsia="zh-CN"/>
              </w:rPr>
              <w:t>0.5t/a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napToGrid w:val="0"/>
                <w:color w:val="000000"/>
                <w:kern w:val="21"/>
                <w:sz w:val="21"/>
                <w:szCs w:val="21"/>
                <w:highlight w:val="none"/>
                <w:lang w:val="en-US" w:eastAsia="zh-CN"/>
              </w:rPr>
              <w:t>0.5t/a</w:t>
            </w:r>
          </w:p>
        </w:tc>
        <w:tc>
          <w:tcPr>
            <w:tcW w:w="1451" w:type="dxa"/>
            <w:tcBorders>
              <w:tl2br w:val="nil"/>
              <w:tr2bl w:val="nil"/>
            </w:tcBorders>
            <w:shd w:val="clear" w:color="auto" w:fill="auto"/>
            <w:vAlign w:val="center"/>
          </w:tcPr>
          <w:p>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4"/>
                <w:highlight w:val="none"/>
                <w:lang w:val="en-US" w:eastAsia="zh-CN" w:bidi="ar-SA"/>
              </w:rPr>
            </w:pPr>
            <w:r>
              <w:rPr>
                <w:rFonts w:hint="eastAsia" w:cs="Times New Roman"/>
                <w:snapToGrid w:val="0"/>
                <w:color w:val="000000"/>
                <w:kern w:val="21"/>
                <w:sz w:val="21"/>
                <w:szCs w:val="21"/>
                <w:highlight w:val="none"/>
                <w:lang w:val="en-US" w:eastAsia="zh-CN"/>
              </w:rPr>
              <w:t>0.5t/a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restart"/>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snapToGrid w:val="0"/>
                <w:kern w:val="21"/>
                <w:sz w:val="21"/>
                <w:szCs w:val="21"/>
              </w:rPr>
            </w:pPr>
            <w:r>
              <w:rPr>
                <w:rFonts w:hint="default" w:ascii="Times New Roman" w:hAnsi="Times New Roman" w:eastAsia="宋体" w:cs="Times New Roman"/>
                <w:snapToGrid w:val="0"/>
                <w:color w:val="000000"/>
                <w:kern w:val="21"/>
                <w:sz w:val="21"/>
                <w:szCs w:val="21"/>
                <w:highlight w:val="none"/>
                <w:lang w:eastAsia="zh-CN"/>
              </w:rPr>
              <w:t>危险废物</w:t>
            </w:r>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color w:val="000000"/>
                <w:spacing w:val="0"/>
                <w:kern w:val="0"/>
                <w:sz w:val="21"/>
                <w:szCs w:val="21"/>
                <w:lang w:val="en-US" w:eastAsia="zh-CN"/>
              </w:rPr>
              <w:t>废</w:t>
            </w:r>
            <w:r>
              <w:rPr>
                <w:rFonts w:hint="eastAsia" w:cs="Times New Roman"/>
                <w:color w:val="000000"/>
                <w:spacing w:val="0"/>
                <w:kern w:val="0"/>
                <w:sz w:val="21"/>
                <w:szCs w:val="21"/>
                <w:lang w:val="en-US" w:eastAsia="zh-CN"/>
              </w:rPr>
              <w:t>润滑油</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snapToGrid w:val="0"/>
                <w:color w:val="000000"/>
                <w:kern w:val="21"/>
                <w:sz w:val="21"/>
                <w:szCs w:val="21"/>
                <w:lang w:val="en-US" w:eastAsia="zh-CN"/>
              </w:rPr>
              <w:t>0</w:t>
            </w:r>
          </w:p>
        </w:tc>
        <w:tc>
          <w:tcPr>
            <w:tcW w:w="1074"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color w:val="000000"/>
                <w:kern w:val="0"/>
                <w:sz w:val="21"/>
                <w:szCs w:val="21"/>
                <w:highlight w:val="none"/>
                <w:lang w:val="en-US" w:eastAsia="zh-CN"/>
              </w:rPr>
              <w:t>0.5</w:t>
            </w:r>
            <w:r>
              <w:rPr>
                <w:rFonts w:hint="default" w:ascii="Times New Roman" w:hAnsi="Times New Roman" w:eastAsia="宋体" w:cs="Times New Roman"/>
                <w:snapToGrid w:val="0"/>
                <w:color w:val="000000"/>
                <w:kern w:val="21"/>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eastAsia="zh-CN"/>
              </w:rPr>
            </w:pPr>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default" w:ascii="Times New Roman" w:hAnsi="Times New Roman" w:eastAsia="宋体"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废油桶</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1074"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17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0.1t/a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0.1t/a</w:t>
            </w:r>
          </w:p>
        </w:tc>
        <w:tc>
          <w:tcPr>
            <w:tcW w:w="145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color w:val="000000"/>
                <w:kern w:val="0"/>
                <w:sz w:val="21"/>
                <w:szCs w:val="21"/>
                <w:highlight w:val="none"/>
                <w:lang w:val="en-US" w:eastAsia="zh-CN"/>
              </w:rPr>
            </w:pPr>
            <w:r>
              <w:rPr>
                <w:rFonts w:hint="eastAsia" w:cs="Times New Roman"/>
                <w:color w:val="000000"/>
                <w:kern w:val="0"/>
                <w:sz w:val="21"/>
                <w:szCs w:val="21"/>
                <w:highlight w:val="none"/>
                <w:lang w:val="en-US" w:eastAsia="zh-CN"/>
              </w:rPr>
              <w:t>0.1t/a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tcPr>
          <w:p>
            <w:pPr>
              <w:adjustRightInd w:val="0"/>
              <w:snapToGrid w:val="0"/>
              <w:spacing w:line="240" w:lineRule="auto"/>
              <w:jc w:val="center"/>
              <w:rPr>
                <w:snapToGrid w:val="0"/>
                <w:kern w:val="21"/>
                <w:sz w:val="21"/>
                <w:szCs w:val="21"/>
              </w:rPr>
            </w:pPr>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color w:val="000000"/>
                <w:spacing w:val="0"/>
                <w:kern w:val="0"/>
                <w:sz w:val="21"/>
                <w:szCs w:val="21"/>
                <w:highlight w:val="none"/>
                <w:lang w:val="en-US" w:eastAsia="zh-CN"/>
              </w:rPr>
              <w:t>废活性炭</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default" w:ascii="Times New Roman" w:hAnsi="Times New Roman" w:eastAsia="宋体" w:cs="Times New Roman"/>
                <w:sz w:val="21"/>
                <w:szCs w:val="21"/>
                <w:highlight w:val="none"/>
                <w:lang w:val="en-US" w:eastAsia="zh-CN"/>
              </w:rPr>
              <w:t>0</w:t>
            </w:r>
          </w:p>
        </w:tc>
        <w:tc>
          <w:tcPr>
            <w:tcW w:w="10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kern w:val="2"/>
                <w:sz w:val="21"/>
                <w:szCs w:val="21"/>
                <w:highlight w:val="none"/>
                <w:lang w:val="en-US" w:eastAsia="zh-CN" w:bidi="ar-SA"/>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default" w:ascii="Times New Roman" w:hAnsi="Times New Roman" w:eastAsia="宋体"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z w:val="21"/>
                <w:szCs w:val="21"/>
                <w:vertAlign w:val="baseline"/>
                <w:lang w:val="en-US" w:eastAsia="zh-CN"/>
              </w:rPr>
              <w:t>1.872</w:t>
            </w:r>
            <w:r>
              <w:rPr>
                <w:rFonts w:hint="default" w:ascii="Times New Roman" w:hAnsi="Times New Roman" w:eastAsia="宋体" w:cs="Times New Roman"/>
                <w:snapToGrid w:val="0"/>
                <w:color w:val="000000"/>
                <w:kern w:val="21"/>
                <w:sz w:val="21"/>
                <w:szCs w:val="21"/>
                <w:highlight w:val="none"/>
                <w:lang w:val="en-US" w:eastAsia="zh-CN"/>
              </w:rPr>
              <w:t>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eastAsia="宋体"/>
                <w:snapToGrid w:val="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spacing w:val="0"/>
                <w:kern w:val="0"/>
                <w:position w:val="0"/>
                <w:sz w:val="21"/>
                <w:szCs w:val="21"/>
                <w:highlight w:val="none"/>
                <w:lang w:val="en-US" w:eastAsia="zh-CN" w:bidi="ar-SA"/>
              </w:rPr>
            </w:pPr>
            <w:r>
              <w:rPr>
                <w:rFonts w:hint="eastAsia" w:cs="Times New Roman"/>
                <w:sz w:val="21"/>
                <w:szCs w:val="21"/>
                <w:vertAlign w:val="baseline"/>
                <w:lang w:val="en-US" w:eastAsia="zh-CN"/>
              </w:rPr>
              <w:t>1.872</w:t>
            </w:r>
            <w:r>
              <w:rPr>
                <w:rFonts w:hint="default" w:ascii="Times New Roman" w:hAnsi="Times New Roman" w:eastAsia="宋体" w:cs="Times New Roman"/>
                <w:snapToGrid w:val="0"/>
                <w:color w:val="000000"/>
                <w:kern w:val="21"/>
                <w:sz w:val="21"/>
                <w:szCs w:val="21"/>
                <w:highlight w:val="none"/>
                <w:lang w:val="en-US" w:eastAsia="zh-CN"/>
              </w:rPr>
              <w:t>t/a</w:t>
            </w:r>
          </w:p>
        </w:tc>
        <w:tc>
          <w:tcPr>
            <w:tcW w:w="145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ascii="Times New Roman" w:hAnsi="Times New Roman" w:eastAsia="宋体" w:cs="Times New Roman"/>
                <w:color w:val="000000"/>
                <w:kern w:val="2"/>
                <w:sz w:val="21"/>
                <w:szCs w:val="21"/>
                <w:highlight w:val="none"/>
                <w:vertAlign w:val="baseline"/>
                <w:lang w:val="en-US" w:eastAsia="zh-CN" w:bidi="ar-SA"/>
              </w:rPr>
            </w:pPr>
            <w:r>
              <w:rPr>
                <w:rFonts w:hint="eastAsia" w:cs="Times New Roman"/>
                <w:sz w:val="21"/>
                <w:szCs w:val="21"/>
                <w:vertAlign w:val="baseline"/>
                <w:lang w:val="en-US" w:eastAsia="zh-CN"/>
              </w:rPr>
              <w:t>1.872</w:t>
            </w:r>
            <w:r>
              <w:rPr>
                <w:rFonts w:hint="default" w:ascii="Times New Roman" w:hAnsi="Times New Roman" w:eastAsia="宋体" w:cs="Times New Roman"/>
                <w:snapToGrid w:val="0"/>
                <w:color w:val="000000"/>
                <w:kern w:val="21"/>
                <w:sz w:val="21"/>
                <w:szCs w:val="21"/>
                <w:highlight w:val="none"/>
                <w:lang w:val="en-US" w:eastAsia="zh-CN"/>
              </w:rPr>
              <w:t>t/a</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0" w:hRule="atLeast"/>
          <w:jc w:val="center"/>
        </w:trPr>
        <w:tc>
          <w:tcPr>
            <w:tcW w:w="1056" w:type="dxa"/>
            <w:vMerge w:val="continue"/>
            <w:tcBorders>
              <w:tl2br w:val="nil"/>
              <w:tr2bl w:val="nil"/>
            </w:tcBorders>
          </w:tcPr>
          <w:p>
            <w:pPr>
              <w:adjustRightInd w:val="0"/>
              <w:snapToGrid w:val="0"/>
              <w:spacing w:line="240" w:lineRule="auto"/>
              <w:jc w:val="center"/>
              <w:rPr>
                <w:snapToGrid w:val="0"/>
                <w:kern w:val="21"/>
                <w:sz w:val="21"/>
                <w:szCs w:val="21"/>
              </w:rPr>
            </w:pPr>
            <w:bookmarkStart w:id="12" w:name="_Toc13762"/>
          </w:p>
        </w:tc>
        <w:tc>
          <w:tcPr>
            <w:tcW w:w="855" w:type="dxa"/>
            <w:tcBorders>
              <w:tl2br w:val="nil"/>
              <w:tr2bl w:val="nil"/>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rPr>
                <w:rFonts w:hint="eastAsia" w:cs="Times New Roman"/>
                <w:color w:val="000000"/>
                <w:spacing w:val="0"/>
                <w:kern w:val="0"/>
                <w:sz w:val="21"/>
                <w:szCs w:val="21"/>
                <w:lang w:val="en-US" w:eastAsia="zh-CN"/>
              </w:rPr>
            </w:pPr>
            <w:r>
              <w:rPr>
                <w:rFonts w:hint="eastAsia" w:cs="Times New Roman"/>
                <w:color w:val="000000"/>
                <w:spacing w:val="0"/>
                <w:kern w:val="0"/>
                <w:sz w:val="21"/>
                <w:szCs w:val="21"/>
                <w:lang w:val="en-US" w:eastAsia="zh-CN"/>
              </w:rPr>
              <w:t>沾染含油污泥的废手套、废抹布</w:t>
            </w:r>
          </w:p>
        </w:tc>
        <w:tc>
          <w:tcPr>
            <w:tcW w:w="1944" w:type="dxa"/>
            <w:tcBorders>
              <w:tl2br w:val="nil"/>
              <w:tr2bl w:val="nil"/>
            </w:tcBorders>
            <w:shd w:val="clear" w:color="auto" w:fill="auto"/>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0</w:t>
            </w:r>
          </w:p>
        </w:tc>
        <w:tc>
          <w:tcPr>
            <w:tcW w:w="1074"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kern w:val="2"/>
                <w:sz w:val="21"/>
                <w:szCs w:val="21"/>
                <w:highlight w:val="none"/>
                <w:lang w:val="en-US" w:eastAsia="zh-CN" w:bidi="ar-SA"/>
              </w:rPr>
            </w:pPr>
            <w:r>
              <w:rPr>
                <w:rFonts w:hint="eastAsia" w:cs="Times New Roman"/>
                <w:kern w:val="2"/>
                <w:sz w:val="21"/>
                <w:szCs w:val="21"/>
                <w:highlight w:val="none"/>
                <w:lang w:val="en-US" w:eastAsia="zh-CN" w:bidi="ar-SA"/>
              </w:rPr>
              <w:t>0</w:t>
            </w:r>
          </w:p>
        </w:tc>
        <w:tc>
          <w:tcPr>
            <w:tcW w:w="1571"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eastAsia="宋体" w:cs="Times New Roman"/>
                <w:snapToGrid w:val="0"/>
                <w:color w:val="000000"/>
                <w:kern w:val="21"/>
                <w:sz w:val="21"/>
                <w:szCs w:val="21"/>
                <w:highlight w:val="none"/>
                <w:lang w:val="en-US" w:eastAsia="zh-CN"/>
              </w:rPr>
            </w:pPr>
            <w:r>
              <w:rPr>
                <w:rFonts w:hint="eastAsia" w:ascii="Times New Roman" w:hAnsi="Times New Roman" w:cs="Times New Roman"/>
                <w:snapToGrid w:val="0"/>
                <w:color w:val="000000"/>
                <w:kern w:val="21"/>
                <w:sz w:val="21"/>
                <w:szCs w:val="21"/>
                <w:highlight w:val="none"/>
                <w:lang w:val="en-US" w:eastAsia="zh-CN"/>
              </w:rPr>
              <w:t>0</w:t>
            </w:r>
          </w:p>
        </w:tc>
        <w:tc>
          <w:tcPr>
            <w:tcW w:w="1790"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cs="Times New Roman"/>
                <w:sz w:val="21"/>
                <w:szCs w:val="21"/>
                <w:vertAlign w:val="baseline"/>
                <w:lang w:val="en-US" w:eastAsia="zh-CN"/>
              </w:rPr>
            </w:pPr>
            <w:r>
              <w:rPr>
                <w:rFonts w:hint="eastAsia" w:cs="Times New Roman"/>
                <w:sz w:val="21"/>
                <w:szCs w:val="21"/>
                <w:vertAlign w:val="baseline"/>
                <w:lang w:val="en-US" w:eastAsia="zh-CN"/>
              </w:rPr>
              <w:t>0.01t/a</w:t>
            </w:r>
          </w:p>
        </w:tc>
        <w:tc>
          <w:tcPr>
            <w:tcW w:w="1702" w:type="dxa"/>
            <w:tcBorders>
              <w:tl2br w:val="nil"/>
              <w:tr2bl w:val="nil"/>
            </w:tcBorders>
            <w:vAlign w:val="center"/>
          </w:tcPr>
          <w:p>
            <w:pPr>
              <w:pStyle w:val="68"/>
              <w:keepNext w:val="0"/>
              <w:keepLines w:val="0"/>
              <w:pageBreakBefore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default" w:ascii="Times New Roman" w:hAnsi="Times New Roman" w:cs="Times New Roman"/>
                <w:snapToGrid w:val="0"/>
                <w:color w:val="000000"/>
                <w:kern w:val="21"/>
                <w:sz w:val="21"/>
                <w:szCs w:val="21"/>
                <w:lang w:val="en-US" w:eastAsia="zh-CN"/>
              </w:rPr>
            </w:pPr>
            <w:r>
              <w:rPr>
                <w:rFonts w:hint="eastAsia" w:ascii="Times New Roman" w:hAnsi="Times New Roman" w:cs="Times New Roman"/>
                <w:snapToGrid w:val="0"/>
                <w:color w:val="000000"/>
                <w:kern w:val="21"/>
                <w:sz w:val="21"/>
                <w:szCs w:val="21"/>
                <w:lang w:val="en-US" w:eastAsia="zh-CN"/>
              </w:rPr>
              <w:t>0</w:t>
            </w:r>
          </w:p>
        </w:tc>
        <w:tc>
          <w:tcPr>
            <w:tcW w:w="2049"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0.01t/a</w:t>
            </w:r>
          </w:p>
        </w:tc>
        <w:tc>
          <w:tcPr>
            <w:tcW w:w="1451" w:type="dxa"/>
            <w:tcBorders>
              <w:tl2br w:val="nil"/>
              <w:tr2bl w:val="nil"/>
            </w:tcBorders>
            <w:shd w:val="clear" w:color="auto" w:fill="auto"/>
            <w:vAlign w:val="center"/>
          </w:tcPr>
          <w:p>
            <w:pPr>
              <w:keepNext w:val="0"/>
              <w:keepLines w:val="0"/>
              <w:pageBreakBefore w:val="0"/>
              <w:widowControl w:val="0"/>
              <w:suppressLineNumbers w:val="0"/>
              <w:kinsoku/>
              <w:wordWrap/>
              <w:overflowPunct/>
              <w:topLinePunct/>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eastAsia" w:cs="Times New Roman"/>
                <w:sz w:val="21"/>
                <w:szCs w:val="21"/>
                <w:vertAlign w:val="baseline"/>
                <w:lang w:val="en-US" w:eastAsia="zh-CN"/>
              </w:rPr>
            </w:pPr>
            <w:r>
              <w:rPr>
                <w:rFonts w:hint="eastAsia" w:cs="Times New Roman"/>
                <w:sz w:val="21"/>
                <w:szCs w:val="21"/>
                <w:vertAlign w:val="baseline"/>
                <w:lang w:val="en-US" w:eastAsia="zh-CN"/>
              </w:rPr>
              <w:t>0.01t/a</w:t>
            </w:r>
          </w:p>
        </w:tc>
      </w:tr>
    </w:tbl>
    <w:p>
      <w:pPr>
        <w:outlineLvl w:val="0"/>
        <w:rPr>
          <w:snapToGrid w:val="0"/>
          <w:spacing w:val="-6"/>
          <w:kern w:val="21"/>
          <w:szCs w:val="21"/>
        </w:rPr>
      </w:pPr>
      <w:r>
        <w:rPr>
          <w:snapToGrid w:val="0"/>
          <w:kern w:val="21"/>
          <w:szCs w:val="21"/>
        </w:rPr>
        <w:t>注：</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3 \* GB3 \* MERGEFORMAT </w:instrText>
      </w:r>
      <w:r>
        <w:rPr>
          <w:snapToGrid w:val="0"/>
          <w:spacing w:val="-6"/>
          <w:kern w:val="21"/>
          <w:szCs w:val="21"/>
        </w:rPr>
        <w:fldChar w:fldCharType="separate"/>
      </w:r>
      <w:r>
        <w:rPr>
          <w:szCs w:val="21"/>
        </w:rPr>
        <w:t>③</w:t>
      </w:r>
      <w:r>
        <w:rPr>
          <w:snapToGrid w:val="0"/>
          <w:spacing w:val="-6"/>
          <w:kern w:val="21"/>
          <w:szCs w:val="21"/>
        </w:rPr>
        <w:fldChar w:fldCharType="end"/>
      </w:r>
      <w:r>
        <w:rPr>
          <w:snapToGrid w:val="0"/>
          <w:spacing w:val="-6"/>
          <w:kern w:val="21"/>
          <w:szCs w:val="21"/>
        </w:rPr>
        <w:t>+</w:t>
      </w:r>
      <w:r>
        <w:rPr>
          <w:snapToGrid w:val="0"/>
          <w:spacing w:val="-6"/>
          <w:kern w:val="21"/>
          <w:szCs w:val="21"/>
        </w:rPr>
        <w:fldChar w:fldCharType="begin"/>
      </w:r>
      <w:r>
        <w:rPr>
          <w:snapToGrid w:val="0"/>
          <w:spacing w:val="-6"/>
          <w:kern w:val="21"/>
          <w:szCs w:val="21"/>
        </w:rPr>
        <w:instrText xml:space="preserve"> = 4 \* GB3 \* MERGEFORMAT </w:instrText>
      </w:r>
      <w:r>
        <w:rPr>
          <w:snapToGrid w:val="0"/>
          <w:spacing w:val="-6"/>
          <w:kern w:val="21"/>
          <w:szCs w:val="21"/>
        </w:rPr>
        <w:fldChar w:fldCharType="separate"/>
      </w:r>
      <w:r>
        <w:rPr>
          <w:szCs w:val="21"/>
        </w:rPr>
        <w:t>④</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5 \* GB3 \* MERGEFORMAT </w:instrText>
      </w:r>
      <w:r>
        <w:rPr>
          <w:snapToGrid w:val="0"/>
          <w:spacing w:val="-16"/>
          <w:kern w:val="21"/>
          <w:szCs w:val="21"/>
        </w:rPr>
        <w:fldChar w:fldCharType="separate"/>
      </w:r>
      <w:r>
        <w:rPr>
          <w:szCs w:val="21"/>
        </w:rPr>
        <w:t>⑤</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7 \* GB3 \* MERGEFORMAT </w:instrText>
      </w:r>
      <w:r>
        <w:rPr>
          <w:snapToGrid w:val="0"/>
          <w:spacing w:val="-6"/>
          <w:kern w:val="21"/>
          <w:szCs w:val="21"/>
        </w:rPr>
        <w:fldChar w:fldCharType="separate"/>
      </w:r>
      <w:r>
        <w:rPr>
          <w:szCs w:val="21"/>
        </w:rPr>
        <w:t>⑦</w:t>
      </w:r>
      <w:r>
        <w:rPr>
          <w:snapToGrid w:val="0"/>
          <w:spacing w:val="-6"/>
          <w:kern w:val="21"/>
          <w:szCs w:val="21"/>
        </w:rPr>
        <w:fldChar w:fldCharType="end"/>
      </w:r>
      <w:r>
        <w:rPr>
          <w:snapToGrid w:val="0"/>
          <w:spacing w:val="-6"/>
          <w:kern w:val="21"/>
          <w:szCs w:val="21"/>
        </w:rPr>
        <w:t>=</w:t>
      </w:r>
      <w:r>
        <w:rPr>
          <w:snapToGrid w:val="0"/>
          <w:spacing w:val="-16"/>
          <w:kern w:val="21"/>
          <w:szCs w:val="21"/>
        </w:rPr>
        <w:fldChar w:fldCharType="begin"/>
      </w:r>
      <w:r>
        <w:rPr>
          <w:snapToGrid w:val="0"/>
          <w:spacing w:val="-16"/>
          <w:kern w:val="21"/>
          <w:szCs w:val="21"/>
        </w:rPr>
        <w:instrText xml:space="preserve"> = 6 \* GB3 \* MERGEFORMAT </w:instrText>
      </w:r>
      <w:r>
        <w:rPr>
          <w:snapToGrid w:val="0"/>
          <w:spacing w:val="-16"/>
          <w:kern w:val="21"/>
          <w:szCs w:val="21"/>
        </w:rPr>
        <w:fldChar w:fldCharType="separate"/>
      </w:r>
      <w:r>
        <w:rPr>
          <w:szCs w:val="21"/>
        </w:rPr>
        <w:t>⑥</w:t>
      </w:r>
      <w:r>
        <w:rPr>
          <w:snapToGrid w:val="0"/>
          <w:spacing w:val="-16"/>
          <w:kern w:val="21"/>
          <w:szCs w:val="21"/>
        </w:rPr>
        <w:fldChar w:fldCharType="end"/>
      </w:r>
      <w:r>
        <w:rPr>
          <w:snapToGrid w:val="0"/>
          <w:spacing w:val="-16"/>
          <w:kern w:val="21"/>
          <w:szCs w:val="21"/>
        </w:rPr>
        <w:t>-</w:t>
      </w:r>
      <w:r>
        <w:rPr>
          <w:snapToGrid w:val="0"/>
          <w:spacing w:val="-6"/>
          <w:kern w:val="21"/>
          <w:szCs w:val="21"/>
        </w:rPr>
        <w:fldChar w:fldCharType="begin"/>
      </w:r>
      <w:r>
        <w:rPr>
          <w:snapToGrid w:val="0"/>
          <w:spacing w:val="-6"/>
          <w:kern w:val="21"/>
          <w:szCs w:val="21"/>
        </w:rPr>
        <w:instrText xml:space="preserve"> = 1 \* GB3 \* MERGEFORMAT </w:instrText>
      </w:r>
      <w:r>
        <w:rPr>
          <w:snapToGrid w:val="0"/>
          <w:spacing w:val="-6"/>
          <w:kern w:val="21"/>
          <w:szCs w:val="21"/>
        </w:rPr>
        <w:fldChar w:fldCharType="separate"/>
      </w:r>
      <w:r>
        <w:rPr>
          <w:szCs w:val="21"/>
        </w:rPr>
        <w:t>①</w:t>
      </w:r>
      <w:r>
        <w:rPr>
          <w:snapToGrid w:val="0"/>
          <w:spacing w:val="-6"/>
          <w:kern w:val="21"/>
          <w:szCs w:val="21"/>
        </w:rPr>
        <w:fldChar w:fldCharType="end"/>
      </w:r>
      <w:bookmarkEnd w:id="12"/>
    </w:p>
    <w:sectPr>
      <w:footerReference r:id="rId9" w:type="default"/>
      <w:pgSz w:w="16838" w:h="11906" w:orient="landscape"/>
      <w:pgMar w:top="1531" w:right="1701" w:bottom="1531" w:left="1701" w:header="851" w:footer="851" w:gutter="0"/>
      <w:pgBorders>
        <w:top w:val="none" w:sz="0" w:space="0"/>
        <w:left w:val="none" w:sz="0" w:space="0"/>
        <w:bottom w:val="none" w:sz="0" w:space="0"/>
        <w:right w:val="none" w:sz="0" w:space="0"/>
      </w:pgBorders>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TimesNewRomanPSMT">
    <w:altName w:val="Times New Roman"/>
    <w:panose1 w:val="00000000000000000000"/>
    <w:charset w:val="00"/>
    <w:family w:val="auto"/>
    <w:pitch w:val="default"/>
    <w:sig w:usb0="00000000" w:usb1="00000000" w:usb2="00000000"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LuzMcsBAACc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2JVJoV6DxUmPnlMjcOdG3BvZj+gMxEf2mDSFykRjKO+p4u+cohEpEflqiwL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Ni7szH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4/cKMsBAACcAwAADgAAAGRycy9lMm9Eb2MueG1srVNLbtswEN0XyB0I&#10;7mPKRlE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2Tj4oPZd3qNUD/ztIWITubdUYYSdCuPQMrtpwdJW/HnPWc8/1e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GOP3CjLAQAAnAMAAA4AAAAAAAAAAQAgAAAAHgEAAGRycy9lMm9E&#10;b2MueG1sUEsFBgAAAAAGAAYAWQEAAFsFA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4</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JHnsoBAACcAwAADgAAAGRycy9lMm9Eb2MueG1srVPNjtMwEL4j8Q6W&#10;79RpJ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qYJHnsoBAACcAwAADgAAAAAAAAABACAAAAAeAQAAZHJzL2Uyb0Rv&#10;Yy54bWxQSwUGAAAAAAYABgBZAQAAWgUAAAAA&#10;">
              <v:fill on="f" focussize="0,0"/>
              <v:stroke on="f"/>
              <v:imagedata o:title=""/>
              <o:lock v:ext="edit" aspectratio="f"/>
              <v:textbox inset="0mm,0mm,0mm,0mm" style="mso-fit-shape-to-text:t;">
                <w:txbxContent>
                  <w:p>
                    <w:pPr>
                      <w:pStyle w:val="15"/>
                      <w:rPr>
                        <w:rFonts w:hint="eastAsia"/>
                      </w:rPr>
                    </w:pPr>
                    <w:r>
                      <w:rPr>
                        <w:rFonts w:hint="eastAsia"/>
                      </w:rPr>
                      <w:fldChar w:fldCharType="begin"/>
                    </w:r>
                    <w:r>
                      <w:rPr>
                        <w:rFonts w:hint="eastAsia"/>
                      </w:rPr>
                      <w:instrText xml:space="preserve"> PAGE  \* MERGEFORMAT </w:instrText>
                    </w:r>
                    <w:r>
                      <w:rPr>
                        <w:rFonts w:hint="eastAsia"/>
                      </w:rPr>
                      <w:fldChar w:fldCharType="separate"/>
                    </w:r>
                    <w:r>
                      <w:rPr>
                        <w:rFonts w:hint="eastAsia"/>
                      </w:rPr>
                      <w:t>58</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lang w:val="en-US" w:eastAsia="zh-CN"/>
      </w:rPr>
      <w:t>新疆国泰共进新材料有限责任公司钢带波纹管、聚乙烯PE管及MPP电力管生产建设项目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lang w:val="en-US" w:eastAsia="zh-CN"/>
      </w:rPr>
      <w:t>新疆国泰共进新材料有限责任公司钢带波纹管、聚乙烯PE管及MPP电力管生产建设项目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360F49"/>
    <w:multiLevelType w:val="singleLevel"/>
    <w:tmpl w:val="97360F49"/>
    <w:lvl w:ilvl="0" w:tentative="0">
      <w:start w:val="2"/>
      <w:numFmt w:val="decimal"/>
      <w:suff w:val="nothing"/>
      <w:lvlText w:val="%1、"/>
      <w:lvlJc w:val="left"/>
    </w:lvl>
  </w:abstractNum>
  <w:abstractNum w:abstractNumId="1">
    <w:nsid w:val="9B94D5FE"/>
    <w:multiLevelType w:val="singleLevel"/>
    <w:tmpl w:val="9B94D5FE"/>
    <w:lvl w:ilvl="0" w:tentative="0">
      <w:start w:val="7"/>
      <w:numFmt w:val="decimal"/>
      <w:suff w:val="nothing"/>
      <w:lvlText w:val="（%1）"/>
      <w:lvlJc w:val="left"/>
    </w:lvl>
  </w:abstractNum>
  <w:abstractNum w:abstractNumId="2">
    <w:nsid w:val="BFDD47A2"/>
    <w:multiLevelType w:val="singleLevel"/>
    <w:tmpl w:val="BFDD47A2"/>
    <w:lvl w:ilvl="0" w:tentative="0">
      <w:start w:val="1"/>
      <w:numFmt w:val="bullet"/>
      <w:pStyle w:val="12"/>
      <w:lvlText w:val=""/>
      <w:lvlJc w:val="left"/>
      <w:pPr>
        <w:tabs>
          <w:tab w:val="left" w:pos="2040"/>
        </w:tabs>
        <w:ind w:left="2040" w:hanging="360"/>
      </w:pPr>
      <w:rPr>
        <w:rFonts w:hint="default" w:ascii="Wingdings" w:hAnsi="Wingdings"/>
      </w:rPr>
    </w:lvl>
  </w:abstractNum>
  <w:abstractNum w:abstractNumId="3">
    <w:nsid w:val="E36C664F"/>
    <w:multiLevelType w:val="singleLevel"/>
    <w:tmpl w:val="E36C664F"/>
    <w:lvl w:ilvl="0" w:tentative="0">
      <w:start w:val="2"/>
      <w:numFmt w:val="decimal"/>
      <w:suff w:val="nothing"/>
      <w:lvlText w:val="（%1）"/>
      <w:lvlJc w:val="left"/>
    </w:lvl>
  </w:abstractNum>
  <w:abstractNum w:abstractNumId="4">
    <w:nsid w:val="14D6299F"/>
    <w:multiLevelType w:val="singleLevel"/>
    <w:tmpl w:val="14D6299F"/>
    <w:lvl w:ilvl="0" w:tentative="0">
      <w:start w:val="1"/>
      <w:numFmt w:val="decimal"/>
      <w:suff w:val="nothing"/>
      <w:lvlText w:val="%1、"/>
      <w:lvlJc w:val="left"/>
    </w:lvl>
  </w:abstractNum>
  <w:abstractNum w:abstractNumId="5">
    <w:nsid w:val="58725F80"/>
    <w:multiLevelType w:val="singleLevel"/>
    <w:tmpl w:val="58725F80"/>
    <w:lvl w:ilvl="0" w:tentative="0">
      <w:start w:val="1"/>
      <w:numFmt w:val="decimal"/>
      <w:suff w:val="nothing"/>
      <w:lvlText w:val="（%1）"/>
      <w:lvlJc w:val="left"/>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dit="trackedChanges" w:enforcement="0"/>
  <w:defaultTabStop w:val="420"/>
  <w:hyphenationZone w:val="36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yNjNhNmJiNzNmOGMxODNhOGJhZDk1MDYxMDZkMGQifQ=="/>
  </w:docVars>
  <w:rsids>
    <w:rsidRoot w:val="00A14947"/>
    <w:rsid w:val="000060B3"/>
    <w:rsid w:val="0004364B"/>
    <w:rsid w:val="00061B1F"/>
    <w:rsid w:val="000733C4"/>
    <w:rsid w:val="00074783"/>
    <w:rsid w:val="0008070B"/>
    <w:rsid w:val="000810AC"/>
    <w:rsid w:val="00081A02"/>
    <w:rsid w:val="00082231"/>
    <w:rsid w:val="00092D38"/>
    <w:rsid w:val="0009377B"/>
    <w:rsid w:val="000A20C9"/>
    <w:rsid w:val="000B058F"/>
    <w:rsid w:val="000B4467"/>
    <w:rsid w:val="000B4DB9"/>
    <w:rsid w:val="000B68A2"/>
    <w:rsid w:val="000C09AC"/>
    <w:rsid w:val="000C767F"/>
    <w:rsid w:val="000D5A44"/>
    <w:rsid w:val="000E3ED2"/>
    <w:rsid w:val="00131F42"/>
    <w:rsid w:val="001357F1"/>
    <w:rsid w:val="00140FA8"/>
    <w:rsid w:val="00142FEB"/>
    <w:rsid w:val="00143A2D"/>
    <w:rsid w:val="00145A41"/>
    <w:rsid w:val="00151675"/>
    <w:rsid w:val="00157435"/>
    <w:rsid w:val="0017504D"/>
    <w:rsid w:val="0017671A"/>
    <w:rsid w:val="00177422"/>
    <w:rsid w:val="00184590"/>
    <w:rsid w:val="001870D1"/>
    <w:rsid w:val="0018781E"/>
    <w:rsid w:val="0019262D"/>
    <w:rsid w:val="001A1B35"/>
    <w:rsid w:val="001A48A2"/>
    <w:rsid w:val="001A49DA"/>
    <w:rsid w:val="001A6F61"/>
    <w:rsid w:val="001B72B8"/>
    <w:rsid w:val="001C69B3"/>
    <w:rsid w:val="001D5595"/>
    <w:rsid w:val="001D7874"/>
    <w:rsid w:val="001D7F22"/>
    <w:rsid w:val="001E54F6"/>
    <w:rsid w:val="001F0F17"/>
    <w:rsid w:val="001F3347"/>
    <w:rsid w:val="001F69E4"/>
    <w:rsid w:val="002125B4"/>
    <w:rsid w:val="002155B8"/>
    <w:rsid w:val="00224839"/>
    <w:rsid w:val="002249B2"/>
    <w:rsid w:val="00226574"/>
    <w:rsid w:val="002278EC"/>
    <w:rsid w:val="0023280E"/>
    <w:rsid w:val="002377D1"/>
    <w:rsid w:val="002506BC"/>
    <w:rsid w:val="00254345"/>
    <w:rsid w:val="00264557"/>
    <w:rsid w:val="002805AB"/>
    <w:rsid w:val="00284204"/>
    <w:rsid w:val="00291773"/>
    <w:rsid w:val="002A168C"/>
    <w:rsid w:val="002A3DC7"/>
    <w:rsid w:val="002B49E2"/>
    <w:rsid w:val="002B7B00"/>
    <w:rsid w:val="002B7C44"/>
    <w:rsid w:val="002C2B17"/>
    <w:rsid w:val="002D3DD0"/>
    <w:rsid w:val="002E1F3A"/>
    <w:rsid w:val="002E298A"/>
    <w:rsid w:val="00301978"/>
    <w:rsid w:val="0030332C"/>
    <w:rsid w:val="003051C2"/>
    <w:rsid w:val="00312296"/>
    <w:rsid w:val="00314F0E"/>
    <w:rsid w:val="00321D8E"/>
    <w:rsid w:val="00325928"/>
    <w:rsid w:val="00332863"/>
    <w:rsid w:val="0033684D"/>
    <w:rsid w:val="00337B42"/>
    <w:rsid w:val="00341B42"/>
    <w:rsid w:val="0034348F"/>
    <w:rsid w:val="00356653"/>
    <w:rsid w:val="0035743F"/>
    <w:rsid w:val="00357BE2"/>
    <w:rsid w:val="0036170C"/>
    <w:rsid w:val="00366E0F"/>
    <w:rsid w:val="00381A72"/>
    <w:rsid w:val="00384676"/>
    <w:rsid w:val="00390857"/>
    <w:rsid w:val="003A4BF3"/>
    <w:rsid w:val="003B420D"/>
    <w:rsid w:val="003C6C16"/>
    <w:rsid w:val="003D794D"/>
    <w:rsid w:val="003E3058"/>
    <w:rsid w:val="003E76A9"/>
    <w:rsid w:val="003F0809"/>
    <w:rsid w:val="003F6A8C"/>
    <w:rsid w:val="003F755C"/>
    <w:rsid w:val="00406F01"/>
    <w:rsid w:val="00416D50"/>
    <w:rsid w:val="00416FD5"/>
    <w:rsid w:val="00417772"/>
    <w:rsid w:val="00420E6A"/>
    <w:rsid w:val="00425A9E"/>
    <w:rsid w:val="00426D6B"/>
    <w:rsid w:val="00431E6C"/>
    <w:rsid w:val="00433CE7"/>
    <w:rsid w:val="00452738"/>
    <w:rsid w:val="00456091"/>
    <w:rsid w:val="00466321"/>
    <w:rsid w:val="0047251E"/>
    <w:rsid w:val="00484B9B"/>
    <w:rsid w:val="004855F6"/>
    <w:rsid w:val="0048661E"/>
    <w:rsid w:val="00494670"/>
    <w:rsid w:val="004A3823"/>
    <w:rsid w:val="004E6946"/>
    <w:rsid w:val="004F1AD8"/>
    <w:rsid w:val="005039CB"/>
    <w:rsid w:val="0050558F"/>
    <w:rsid w:val="00506286"/>
    <w:rsid w:val="00510813"/>
    <w:rsid w:val="00511990"/>
    <w:rsid w:val="00511DE0"/>
    <w:rsid w:val="00514870"/>
    <w:rsid w:val="00514B9B"/>
    <w:rsid w:val="00517F02"/>
    <w:rsid w:val="00524303"/>
    <w:rsid w:val="005258A2"/>
    <w:rsid w:val="005401AE"/>
    <w:rsid w:val="00542E07"/>
    <w:rsid w:val="00545424"/>
    <w:rsid w:val="00554A7B"/>
    <w:rsid w:val="0055572C"/>
    <w:rsid w:val="0056106A"/>
    <w:rsid w:val="005720AE"/>
    <w:rsid w:val="00594D77"/>
    <w:rsid w:val="005969E4"/>
    <w:rsid w:val="005A06B7"/>
    <w:rsid w:val="005A1759"/>
    <w:rsid w:val="005A68A7"/>
    <w:rsid w:val="005D36AB"/>
    <w:rsid w:val="00617CC3"/>
    <w:rsid w:val="006377A6"/>
    <w:rsid w:val="00637A3D"/>
    <w:rsid w:val="006411EF"/>
    <w:rsid w:val="006748B8"/>
    <w:rsid w:val="006775C3"/>
    <w:rsid w:val="0069290A"/>
    <w:rsid w:val="0069775A"/>
    <w:rsid w:val="00697813"/>
    <w:rsid w:val="006A3EE8"/>
    <w:rsid w:val="006A72BF"/>
    <w:rsid w:val="006B03F2"/>
    <w:rsid w:val="006B37DC"/>
    <w:rsid w:val="006B4F68"/>
    <w:rsid w:val="006C0592"/>
    <w:rsid w:val="006C272E"/>
    <w:rsid w:val="006C5479"/>
    <w:rsid w:val="006D13B5"/>
    <w:rsid w:val="006E12FF"/>
    <w:rsid w:val="006E607E"/>
    <w:rsid w:val="00706C5D"/>
    <w:rsid w:val="00732922"/>
    <w:rsid w:val="0075162E"/>
    <w:rsid w:val="00754034"/>
    <w:rsid w:val="00756556"/>
    <w:rsid w:val="007618C4"/>
    <w:rsid w:val="00767980"/>
    <w:rsid w:val="00770B19"/>
    <w:rsid w:val="0077463F"/>
    <w:rsid w:val="007836EA"/>
    <w:rsid w:val="00784CDA"/>
    <w:rsid w:val="007906C4"/>
    <w:rsid w:val="007940EA"/>
    <w:rsid w:val="007967E8"/>
    <w:rsid w:val="007A2170"/>
    <w:rsid w:val="007A22BF"/>
    <w:rsid w:val="007A3323"/>
    <w:rsid w:val="007B72B8"/>
    <w:rsid w:val="007B7A58"/>
    <w:rsid w:val="007C21B5"/>
    <w:rsid w:val="007E4BD2"/>
    <w:rsid w:val="00801393"/>
    <w:rsid w:val="00802F88"/>
    <w:rsid w:val="0081293E"/>
    <w:rsid w:val="00815465"/>
    <w:rsid w:val="00817E9A"/>
    <w:rsid w:val="008306BD"/>
    <w:rsid w:val="00831A80"/>
    <w:rsid w:val="00833743"/>
    <w:rsid w:val="008340A4"/>
    <w:rsid w:val="008351EB"/>
    <w:rsid w:val="00836C76"/>
    <w:rsid w:val="0087135F"/>
    <w:rsid w:val="00872D94"/>
    <w:rsid w:val="00880364"/>
    <w:rsid w:val="00891592"/>
    <w:rsid w:val="00891E9E"/>
    <w:rsid w:val="008A2F68"/>
    <w:rsid w:val="008B4FA6"/>
    <w:rsid w:val="008B5282"/>
    <w:rsid w:val="008B7C17"/>
    <w:rsid w:val="008C2D01"/>
    <w:rsid w:val="008C40E6"/>
    <w:rsid w:val="008D0F7A"/>
    <w:rsid w:val="008D68E4"/>
    <w:rsid w:val="008E0506"/>
    <w:rsid w:val="008E0CFF"/>
    <w:rsid w:val="008E5D6B"/>
    <w:rsid w:val="008E76F0"/>
    <w:rsid w:val="008F15FE"/>
    <w:rsid w:val="008F2D29"/>
    <w:rsid w:val="008F5187"/>
    <w:rsid w:val="008F60D8"/>
    <w:rsid w:val="00902727"/>
    <w:rsid w:val="0090312B"/>
    <w:rsid w:val="0091736D"/>
    <w:rsid w:val="0093037A"/>
    <w:rsid w:val="0094154D"/>
    <w:rsid w:val="0095155F"/>
    <w:rsid w:val="00954429"/>
    <w:rsid w:val="009563CE"/>
    <w:rsid w:val="00976328"/>
    <w:rsid w:val="0097680D"/>
    <w:rsid w:val="00982438"/>
    <w:rsid w:val="0098404C"/>
    <w:rsid w:val="00985283"/>
    <w:rsid w:val="00995992"/>
    <w:rsid w:val="009A03E5"/>
    <w:rsid w:val="009A0F3B"/>
    <w:rsid w:val="009A1BB4"/>
    <w:rsid w:val="009A2628"/>
    <w:rsid w:val="009A3200"/>
    <w:rsid w:val="009B0897"/>
    <w:rsid w:val="009B7BD9"/>
    <w:rsid w:val="009C7DD5"/>
    <w:rsid w:val="009E227D"/>
    <w:rsid w:val="009E5019"/>
    <w:rsid w:val="00A04F1B"/>
    <w:rsid w:val="00A0501B"/>
    <w:rsid w:val="00A14947"/>
    <w:rsid w:val="00A32A83"/>
    <w:rsid w:val="00A368DB"/>
    <w:rsid w:val="00A423AA"/>
    <w:rsid w:val="00A53EC6"/>
    <w:rsid w:val="00A55C0F"/>
    <w:rsid w:val="00A72716"/>
    <w:rsid w:val="00A8713F"/>
    <w:rsid w:val="00A90BA1"/>
    <w:rsid w:val="00A97A9A"/>
    <w:rsid w:val="00AA0671"/>
    <w:rsid w:val="00AA2531"/>
    <w:rsid w:val="00AB1E09"/>
    <w:rsid w:val="00AB5330"/>
    <w:rsid w:val="00AB7747"/>
    <w:rsid w:val="00AC14CE"/>
    <w:rsid w:val="00AC2A56"/>
    <w:rsid w:val="00AD055E"/>
    <w:rsid w:val="00AD47A7"/>
    <w:rsid w:val="00AF0CBF"/>
    <w:rsid w:val="00AF257F"/>
    <w:rsid w:val="00AF2B12"/>
    <w:rsid w:val="00AF33CF"/>
    <w:rsid w:val="00AF4D50"/>
    <w:rsid w:val="00AF6179"/>
    <w:rsid w:val="00B1295A"/>
    <w:rsid w:val="00B20A45"/>
    <w:rsid w:val="00B22C5C"/>
    <w:rsid w:val="00B24F30"/>
    <w:rsid w:val="00B31ABF"/>
    <w:rsid w:val="00B33BE3"/>
    <w:rsid w:val="00B53B5D"/>
    <w:rsid w:val="00B6055E"/>
    <w:rsid w:val="00B6317D"/>
    <w:rsid w:val="00B7723F"/>
    <w:rsid w:val="00B80534"/>
    <w:rsid w:val="00B8433C"/>
    <w:rsid w:val="00B87491"/>
    <w:rsid w:val="00BA29E9"/>
    <w:rsid w:val="00BA7142"/>
    <w:rsid w:val="00BB237C"/>
    <w:rsid w:val="00BB41A3"/>
    <w:rsid w:val="00BC32DC"/>
    <w:rsid w:val="00BC35B6"/>
    <w:rsid w:val="00BD1B51"/>
    <w:rsid w:val="00BD4596"/>
    <w:rsid w:val="00BE1405"/>
    <w:rsid w:val="00BE312D"/>
    <w:rsid w:val="00BF1C20"/>
    <w:rsid w:val="00C10578"/>
    <w:rsid w:val="00C135BC"/>
    <w:rsid w:val="00C15C95"/>
    <w:rsid w:val="00C2596A"/>
    <w:rsid w:val="00C27537"/>
    <w:rsid w:val="00C328FE"/>
    <w:rsid w:val="00C33507"/>
    <w:rsid w:val="00C4409D"/>
    <w:rsid w:val="00C44E72"/>
    <w:rsid w:val="00C45A06"/>
    <w:rsid w:val="00C47E5B"/>
    <w:rsid w:val="00C61E4B"/>
    <w:rsid w:val="00C64BFF"/>
    <w:rsid w:val="00C704E9"/>
    <w:rsid w:val="00C763C9"/>
    <w:rsid w:val="00C80057"/>
    <w:rsid w:val="00C82232"/>
    <w:rsid w:val="00C82913"/>
    <w:rsid w:val="00C972B1"/>
    <w:rsid w:val="00CA2CCE"/>
    <w:rsid w:val="00CA43FD"/>
    <w:rsid w:val="00CA7EF8"/>
    <w:rsid w:val="00CC489B"/>
    <w:rsid w:val="00CD2BCD"/>
    <w:rsid w:val="00CD3A4C"/>
    <w:rsid w:val="00CE10E9"/>
    <w:rsid w:val="00CE2910"/>
    <w:rsid w:val="00CE5393"/>
    <w:rsid w:val="00CF36BE"/>
    <w:rsid w:val="00CF6000"/>
    <w:rsid w:val="00D003F3"/>
    <w:rsid w:val="00D00458"/>
    <w:rsid w:val="00D0364F"/>
    <w:rsid w:val="00D06834"/>
    <w:rsid w:val="00D308ED"/>
    <w:rsid w:val="00D36D86"/>
    <w:rsid w:val="00D428AA"/>
    <w:rsid w:val="00D50A34"/>
    <w:rsid w:val="00D53EFA"/>
    <w:rsid w:val="00D94A7C"/>
    <w:rsid w:val="00D95896"/>
    <w:rsid w:val="00DB2983"/>
    <w:rsid w:val="00DC1257"/>
    <w:rsid w:val="00DC3DC0"/>
    <w:rsid w:val="00DC5B2B"/>
    <w:rsid w:val="00DD318D"/>
    <w:rsid w:val="00DF2E12"/>
    <w:rsid w:val="00DF514A"/>
    <w:rsid w:val="00DF6690"/>
    <w:rsid w:val="00DF6804"/>
    <w:rsid w:val="00E0358D"/>
    <w:rsid w:val="00E04323"/>
    <w:rsid w:val="00E070A2"/>
    <w:rsid w:val="00E2656A"/>
    <w:rsid w:val="00E412D0"/>
    <w:rsid w:val="00E56322"/>
    <w:rsid w:val="00E60982"/>
    <w:rsid w:val="00E62C62"/>
    <w:rsid w:val="00E654C1"/>
    <w:rsid w:val="00E65D97"/>
    <w:rsid w:val="00E72A5A"/>
    <w:rsid w:val="00E73354"/>
    <w:rsid w:val="00E9242D"/>
    <w:rsid w:val="00EB5255"/>
    <w:rsid w:val="00EB5C47"/>
    <w:rsid w:val="00ED0639"/>
    <w:rsid w:val="00EF4755"/>
    <w:rsid w:val="00EF7135"/>
    <w:rsid w:val="00F027DB"/>
    <w:rsid w:val="00F14A7A"/>
    <w:rsid w:val="00F22985"/>
    <w:rsid w:val="00F3383E"/>
    <w:rsid w:val="00F465A7"/>
    <w:rsid w:val="00F50B7C"/>
    <w:rsid w:val="00F550E6"/>
    <w:rsid w:val="00F74345"/>
    <w:rsid w:val="00F80A0A"/>
    <w:rsid w:val="00F82B19"/>
    <w:rsid w:val="00F9212D"/>
    <w:rsid w:val="00F965DA"/>
    <w:rsid w:val="00FA406A"/>
    <w:rsid w:val="00FB503A"/>
    <w:rsid w:val="00FB516C"/>
    <w:rsid w:val="00FD0236"/>
    <w:rsid w:val="00FD18F4"/>
    <w:rsid w:val="00FD54DB"/>
    <w:rsid w:val="00FD619F"/>
    <w:rsid w:val="0125235E"/>
    <w:rsid w:val="01290F7E"/>
    <w:rsid w:val="01371A34"/>
    <w:rsid w:val="01582BC2"/>
    <w:rsid w:val="015D1E09"/>
    <w:rsid w:val="01C6143B"/>
    <w:rsid w:val="024D588A"/>
    <w:rsid w:val="02697903"/>
    <w:rsid w:val="02F05C02"/>
    <w:rsid w:val="02F96569"/>
    <w:rsid w:val="032A1A98"/>
    <w:rsid w:val="03EA7B21"/>
    <w:rsid w:val="042D4DE1"/>
    <w:rsid w:val="04DB36E5"/>
    <w:rsid w:val="0514603E"/>
    <w:rsid w:val="052775B4"/>
    <w:rsid w:val="055F5E14"/>
    <w:rsid w:val="059535D7"/>
    <w:rsid w:val="05CD433F"/>
    <w:rsid w:val="05E62AB1"/>
    <w:rsid w:val="05F83EAE"/>
    <w:rsid w:val="063E7D85"/>
    <w:rsid w:val="06416374"/>
    <w:rsid w:val="066F546B"/>
    <w:rsid w:val="069D140E"/>
    <w:rsid w:val="071E7209"/>
    <w:rsid w:val="07293586"/>
    <w:rsid w:val="07295285"/>
    <w:rsid w:val="07636392"/>
    <w:rsid w:val="07770C56"/>
    <w:rsid w:val="080B3400"/>
    <w:rsid w:val="090901F8"/>
    <w:rsid w:val="092217DD"/>
    <w:rsid w:val="093A7294"/>
    <w:rsid w:val="098360BB"/>
    <w:rsid w:val="09B63DDC"/>
    <w:rsid w:val="09B83D25"/>
    <w:rsid w:val="09DE0562"/>
    <w:rsid w:val="09E32F55"/>
    <w:rsid w:val="09FB43DB"/>
    <w:rsid w:val="0A2261FA"/>
    <w:rsid w:val="0A263993"/>
    <w:rsid w:val="0A2D3AC2"/>
    <w:rsid w:val="0A7C3445"/>
    <w:rsid w:val="0A86004A"/>
    <w:rsid w:val="0AA755DF"/>
    <w:rsid w:val="0B120D44"/>
    <w:rsid w:val="0B181232"/>
    <w:rsid w:val="0BB9744D"/>
    <w:rsid w:val="0BD27BF6"/>
    <w:rsid w:val="0C0056CB"/>
    <w:rsid w:val="0C0D3381"/>
    <w:rsid w:val="0C3B3C7D"/>
    <w:rsid w:val="0C7B7C2D"/>
    <w:rsid w:val="0C876756"/>
    <w:rsid w:val="0C91553B"/>
    <w:rsid w:val="0CA025A7"/>
    <w:rsid w:val="0CAB2EAE"/>
    <w:rsid w:val="0D1625EE"/>
    <w:rsid w:val="0D621C7D"/>
    <w:rsid w:val="0D6707D0"/>
    <w:rsid w:val="0DE36A1A"/>
    <w:rsid w:val="0DF36D23"/>
    <w:rsid w:val="0E215C3C"/>
    <w:rsid w:val="0E4C5316"/>
    <w:rsid w:val="0E585049"/>
    <w:rsid w:val="0E73034D"/>
    <w:rsid w:val="0F13775A"/>
    <w:rsid w:val="0F5F45FE"/>
    <w:rsid w:val="0F697AE5"/>
    <w:rsid w:val="0F9A112B"/>
    <w:rsid w:val="0FA67527"/>
    <w:rsid w:val="0FC279BF"/>
    <w:rsid w:val="106D2F64"/>
    <w:rsid w:val="10B63710"/>
    <w:rsid w:val="10BD6409"/>
    <w:rsid w:val="10F10820"/>
    <w:rsid w:val="111C2F7A"/>
    <w:rsid w:val="11665CA1"/>
    <w:rsid w:val="11B65E5F"/>
    <w:rsid w:val="11BD09FD"/>
    <w:rsid w:val="122072AA"/>
    <w:rsid w:val="12C4354C"/>
    <w:rsid w:val="13044AF4"/>
    <w:rsid w:val="130E12BE"/>
    <w:rsid w:val="13784E57"/>
    <w:rsid w:val="137D2B9A"/>
    <w:rsid w:val="13951726"/>
    <w:rsid w:val="13BC7FB1"/>
    <w:rsid w:val="13CC03E8"/>
    <w:rsid w:val="1401728F"/>
    <w:rsid w:val="14131750"/>
    <w:rsid w:val="14396509"/>
    <w:rsid w:val="145D1C03"/>
    <w:rsid w:val="14DD2C3C"/>
    <w:rsid w:val="14E027B8"/>
    <w:rsid w:val="14F645EC"/>
    <w:rsid w:val="15080B89"/>
    <w:rsid w:val="15091A66"/>
    <w:rsid w:val="157E7721"/>
    <w:rsid w:val="15867E3B"/>
    <w:rsid w:val="15C43962"/>
    <w:rsid w:val="16087E1D"/>
    <w:rsid w:val="160F25DB"/>
    <w:rsid w:val="165232CC"/>
    <w:rsid w:val="16B32B8F"/>
    <w:rsid w:val="16D12469"/>
    <w:rsid w:val="17291729"/>
    <w:rsid w:val="175D6736"/>
    <w:rsid w:val="17701D14"/>
    <w:rsid w:val="17735226"/>
    <w:rsid w:val="178F417E"/>
    <w:rsid w:val="189F624C"/>
    <w:rsid w:val="192920CE"/>
    <w:rsid w:val="19642E83"/>
    <w:rsid w:val="19A26AB0"/>
    <w:rsid w:val="1A1C66C0"/>
    <w:rsid w:val="1A3C04E4"/>
    <w:rsid w:val="1A42393B"/>
    <w:rsid w:val="1A644AB4"/>
    <w:rsid w:val="1A7607D6"/>
    <w:rsid w:val="1AAC2E59"/>
    <w:rsid w:val="1AAD45DE"/>
    <w:rsid w:val="1B046F80"/>
    <w:rsid w:val="1B3267B5"/>
    <w:rsid w:val="1B40161D"/>
    <w:rsid w:val="1B441859"/>
    <w:rsid w:val="1B6606B1"/>
    <w:rsid w:val="1B7A1DA0"/>
    <w:rsid w:val="1BEC7E88"/>
    <w:rsid w:val="1C3333A8"/>
    <w:rsid w:val="1C5E7925"/>
    <w:rsid w:val="1CBC2C02"/>
    <w:rsid w:val="1CC16130"/>
    <w:rsid w:val="1CFD070F"/>
    <w:rsid w:val="1D4A2EC6"/>
    <w:rsid w:val="1D5F6196"/>
    <w:rsid w:val="1D6132A5"/>
    <w:rsid w:val="1D8E56D5"/>
    <w:rsid w:val="1D950251"/>
    <w:rsid w:val="1DA4489F"/>
    <w:rsid w:val="1DBB6E04"/>
    <w:rsid w:val="1DE8709C"/>
    <w:rsid w:val="1E1C7F3F"/>
    <w:rsid w:val="1E415E8E"/>
    <w:rsid w:val="1E7A43DA"/>
    <w:rsid w:val="1EB84F5C"/>
    <w:rsid w:val="1EDA5344"/>
    <w:rsid w:val="1F063356"/>
    <w:rsid w:val="1F291E28"/>
    <w:rsid w:val="1F543D23"/>
    <w:rsid w:val="1F8A1C68"/>
    <w:rsid w:val="1FE7539E"/>
    <w:rsid w:val="20671BE0"/>
    <w:rsid w:val="20963CB8"/>
    <w:rsid w:val="20A26336"/>
    <w:rsid w:val="20A81A1B"/>
    <w:rsid w:val="20AE20A9"/>
    <w:rsid w:val="20B07FB6"/>
    <w:rsid w:val="20B646FB"/>
    <w:rsid w:val="20EF156B"/>
    <w:rsid w:val="213B74B1"/>
    <w:rsid w:val="215A2310"/>
    <w:rsid w:val="21DE318A"/>
    <w:rsid w:val="21EF5B80"/>
    <w:rsid w:val="21FD3E53"/>
    <w:rsid w:val="224B53DC"/>
    <w:rsid w:val="22576990"/>
    <w:rsid w:val="22F47480"/>
    <w:rsid w:val="23B74A16"/>
    <w:rsid w:val="23DE1C48"/>
    <w:rsid w:val="240210CD"/>
    <w:rsid w:val="24961A08"/>
    <w:rsid w:val="24BF09F7"/>
    <w:rsid w:val="252D53FE"/>
    <w:rsid w:val="256E3AD1"/>
    <w:rsid w:val="257E7DF0"/>
    <w:rsid w:val="258202C6"/>
    <w:rsid w:val="25EC2D81"/>
    <w:rsid w:val="25F5515A"/>
    <w:rsid w:val="260B62D1"/>
    <w:rsid w:val="26643B2C"/>
    <w:rsid w:val="26C849E5"/>
    <w:rsid w:val="26F31C29"/>
    <w:rsid w:val="277057A2"/>
    <w:rsid w:val="278B7B24"/>
    <w:rsid w:val="27E25D3D"/>
    <w:rsid w:val="27E345EB"/>
    <w:rsid w:val="28450A4C"/>
    <w:rsid w:val="28834ADA"/>
    <w:rsid w:val="28E11E34"/>
    <w:rsid w:val="28E246C7"/>
    <w:rsid w:val="29206EB8"/>
    <w:rsid w:val="29214371"/>
    <w:rsid w:val="29595666"/>
    <w:rsid w:val="29874881"/>
    <w:rsid w:val="29C97766"/>
    <w:rsid w:val="29CD2261"/>
    <w:rsid w:val="29E325E0"/>
    <w:rsid w:val="2A331DAD"/>
    <w:rsid w:val="2A452503"/>
    <w:rsid w:val="2A5050B0"/>
    <w:rsid w:val="2ACD0205"/>
    <w:rsid w:val="2B63012E"/>
    <w:rsid w:val="2BA936A8"/>
    <w:rsid w:val="2BFC3DC8"/>
    <w:rsid w:val="2C315A5A"/>
    <w:rsid w:val="2C4242CF"/>
    <w:rsid w:val="2C4B1C25"/>
    <w:rsid w:val="2C6912B6"/>
    <w:rsid w:val="2CBC31F9"/>
    <w:rsid w:val="2CBF3CF4"/>
    <w:rsid w:val="2D6317C3"/>
    <w:rsid w:val="2D9E56F5"/>
    <w:rsid w:val="2E234B41"/>
    <w:rsid w:val="2E667F96"/>
    <w:rsid w:val="2E8226AB"/>
    <w:rsid w:val="2E8B3DC3"/>
    <w:rsid w:val="2EB01164"/>
    <w:rsid w:val="2F6D179B"/>
    <w:rsid w:val="2FD065E6"/>
    <w:rsid w:val="2FD8423A"/>
    <w:rsid w:val="2FD96870"/>
    <w:rsid w:val="2FEC4655"/>
    <w:rsid w:val="2FEE5E80"/>
    <w:rsid w:val="30136799"/>
    <w:rsid w:val="30580BC9"/>
    <w:rsid w:val="306653AC"/>
    <w:rsid w:val="306A5C8C"/>
    <w:rsid w:val="311E2ED7"/>
    <w:rsid w:val="315619EE"/>
    <w:rsid w:val="315C449C"/>
    <w:rsid w:val="31AF719A"/>
    <w:rsid w:val="31B82709"/>
    <w:rsid w:val="31D05482"/>
    <w:rsid w:val="32400B34"/>
    <w:rsid w:val="329E6876"/>
    <w:rsid w:val="32B65CD7"/>
    <w:rsid w:val="330B7E2F"/>
    <w:rsid w:val="333015F2"/>
    <w:rsid w:val="334B6320"/>
    <w:rsid w:val="33D934D4"/>
    <w:rsid w:val="33FE2F6A"/>
    <w:rsid w:val="340E07E5"/>
    <w:rsid w:val="34235BF7"/>
    <w:rsid w:val="34495F36"/>
    <w:rsid w:val="345F1E2F"/>
    <w:rsid w:val="346F13FE"/>
    <w:rsid w:val="35186C85"/>
    <w:rsid w:val="358362DE"/>
    <w:rsid w:val="358C5FA8"/>
    <w:rsid w:val="35C15DF1"/>
    <w:rsid w:val="35D8352C"/>
    <w:rsid w:val="36074A7F"/>
    <w:rsid w:val="36923549"/>
    <w:rsid w:val="36B75FBF"/>
    <w:rsid w:val="36BD0C45"/>
    <w:rsid w:val="37362EDC"/>
    <w:rsid w:val="373A701E"/>
    <w:rsid w:val="375A4E1C"/>
    <w:rsid w:val="37E00298"/>
    <w:rsid w:val="380F1445"/>
    <w:rsid w:val="38B302F9"/>
    <w:rsid w:val="38F12CD3"/>
    <w:rsid w:val="38F94775"/>
    <w:rsid w:val="39062C49"/>
    <w:rsid w:val="392971ED"/>
    <w:rsid w:val="39325651"/>
    <w:rsid w:val="39511B6E"/>
    <w:rsid w:val="39D578AC"/>
    <w:rsid w:val="3A872856"/>
    <w:rsid w:val="3AD97982"/>
    <w:rsid w:val="3B1A56FC"/>
    <w:rsid w:val="3B293484"/>
    <w:rsid w:val="3B3763D1"/>
    <w:rsid w:val="3BA321AC"/>
    <w:rsid w:val="3BF27565"/>
    <w:rsid w:val="3C2F6E1E"/>
    <w:rsid w:val="3C4F64BA"/>
    <w:rsid w:val="3CB23710"/>
    <w:rsid w:val="3CD64012"/>
    <w:rsid w:val="3CDA245A"/>
    <w:rsid w:val="3D015826"/>
    <w:rsid w:val="3D08531B"/>
    <w:rsid w:val="3D0B53AF"/>
    <w:rsid w:val="3D1E06B7"/>
    <w:rsid w:val="3DD73F8A"/>
    <w:rsid w:val="3DD82DF2"/>
    <w:rsid w:val="3EC3034C"/>
    <w:rsid w:val="3EC57823"/>
    <w:rsid w:val="3EDA0523"/>
    <w:rsid w:val="3EE15E23"/>
    <w:rsid w:val="3F031789"/>
    <w:rsid w:val="3F6342D6"/>
    <w:rsid w:val="3F69511D"/>
    <w:rsid w:val="3FBA0C46"/>
    <w:rsid w:val="3FBD0FD8"/>
    <w:rsid w:val="401C1DDE"/>
    <w:rsid w:val="406E11C5"/>
    <w:rsid w:val="407A6407"/>
    <w:rsid w:val="40D06E7B"/>
    <w:rsid w:val="40D3478B"/>
    <w:rsid w:val="40FE03B8"/>
    <w:rsid w:val="413E2A25"/>
    <w:rsid w:val="414B1A21"/>
    <w:rsid w:val="417915DD"/>
    <w:rsid w:val="419C6EE8"/>
    <w:rsid w:val="41AD1111"/>
    <w:rsid w:val="41D52F1C"/>
    <w:rsid w:val="4200449D"/>
    <w:rsid w:val="422525E9"/>
    <w:rsid w:val="423A3BCC"/>
    <w:rsid w:val="424E57D2"/>
    <w:rsid w:val="425E790E"/>
    <w:rsid w:val="426D301F"/>
    <w:rsid w:val="42760D44"/>
    <w:rsid w:val="42B26C49"/>
    <w:rsid w:val="433A6FE6"/>
    <w:rsid w:val="43480868"/>
    <w:rsid w:val="4350713C"/>
    <w:rsid w:val="436653E0"/>
    <w:rsid w:val="439F72B5"/>
    <w:rsid w:val="43B86002"/>
    <w:rsid w:val="43C4431A"/>
    <w:rsid w:val="43C875F7"/>
    <w:rsid w:val="43CC7D81"/>
    <w:rsid w:val="4444495C"/>
    <w:rsid w:val="44603C1A"/>
    <w:rsid w:val="44B951CC"/>
    <w:rsid w:val="44CD14E0"/>
    <w:rsid w:val="44F20B0B"/>
    <w:rsid w:val="45187590"/>
    <w:rsid w:val="452E5F4C"/>
    <w:rsid w:val="45400595"/>
    <w:rsid w:val="45612018"/>
    <w:rsid w:val="456A04AB"/>
    <w:rsid w:val="456E3C0C"/>
    <w:rsid w:val="458946E9"/>
    <w:rsid w:val="45A47C0E"/>
    <w:rsid w:val="45E20FE4"/>
    <w:rsid w:val="461519FE"/>
    <w:rsid w:val="46577FD6"/>
    <w:rsid w:val="46737DFE"/>
    <w:rsid w:val="46AB7443"/>
    <w:rsid w:val="46AF2FD7"/>
    <w:rsid w:val="46D955A7"/>
    <w:rsid w:val="47133957"/>
    <w:rsid w:val="47307A47"/>
    <w:rsid w:val="47983573"/>
    <w:rsid w:val="47A07E0C"/>
    <w:rsid w:val="47E8372B"/>
    <w:rsid w:val="47EC5110"/>
    <w:rsid w:val="47F10C73"/>
    <w:rsid w:val="483B7CF1"/>
    <w:rsid w:val="4870272E"/>
    <w:rsid w:val="48785F14"/>
    <w:rsid w:val="487A2671"/>
    <w:rsid w:val="488B691F"/>
    <w:rsid w:val="492A637E"/>
    <w:rsid w:val="49380D36"/>
    <w:rsid w:val="49697991"/>
    <w:rsid w:val="497A5993"/>
    <w:rsid w:val="49A60395"/>
    <w:rsid w:val="49C41BF3"/>
    <w:rsid w:val="49D86012"/>
    <w:rsid w:val="49DC7715"/>
    <w:rsid w:val="4A023139"/>
    <w:rsid w:val="4A5C4A8C"/>
    <w:rsid w:val="4A7B576F"/>
    <w:rsid w:val="4A855F4F"/>
    <w:rsid w:val="4AF561A9"/>
    <w:rsid w:val="4B863FDA"/>
    <w:rsid w:val="4BFF18AE"/>
    <w:rsid w:val="4C425C81"/>
    <w:rsid w:val="4C4A0649"/>
    <w:rsid w:val="4C5D32D8"/>
    <w:rsid w:val="4C603A18"/>
    <w:rsid w:val="4C7E5ECA"/>
    <w:rsid w:val="4C876AA5"/>
    <w:rsid w:val="4D0E00FB"/>
    <w:rsid w:val="4D176606"/>
    <w:rsid w:val="4D8D0E0B"/>
    <w:rsid w:val="4DE22494"/>
    <w:rsid w:val="4DEC4FB0"/>
    <w:rsid w:val="4DEF143D"/>
    <w:rsid w:val="4E075D8A"/>
    <w:rsid w:val="4E3D0FF5"/>
    <w:rsid w:val="4EC00FAD"/>
    <w:rsid w:val="4EF27210"/>
    <w:rsid w:val="4F396CF6"/>
    <w:rsid w:val="4F9843DC"/>
    <w:rsid w:val="4FC62A8C"/>
    <w:rsid w:val="4FE20F0D"/>
    <w:rsid w:val="4FE51552"/>
    <w:rsid w:val="4FF51A5F"/>
    <w:rsid w:val="50273D51"/>
    <w:rsid w:val="5049602B"/>
    <w:rsid w:val="50504C4B"/>
    <w:rsid w:val="507D3633"/>
    <w:rsid w:val="509C6E7C"/>
    <w:rsid w:val="50BC1FBD"/>
    <w:rsid w:val="50ED0658"/>
    <w:rsid w:val="51235628"/>
    <w:rsid w:val="5162104E"/>
    <w:rsid w:val="52611229"/>
    <w:rsid w:val="527649FB"/>
    <w:rsid w:val="53743C85"/>
    <w:rsid w:val="5388190F"/>
    <w:rsid w:val="538E02A6"/>
    <w:rsid w:val="53A039CC"/>
    <w:rsid w:val="53A1505A"/>
    <w:rsid w:val="54063E08"/>
    <w:rsid w:val="5426635A"/>
    <w:rsid w:val="543437E8"/>
    <w:rsid w:val="54993C8E"/>
    <w:rsid w:val="54F73313"/>
    <w:rsid w:val="54F80955"/>
    <w:rsid w:val="54FA0931"/>
    <w:rsid w:val="550E7095"/>
    <w:rsid w:val="554E7006"/>
    <w:rsid w:val="555170A7"/>
    <w:rsid w:val="5587536D"/>
    <w:rsid w:val="559B174B"/>
    <w:rsid w:val="55CE0CF4"/>
    <w:rsid w:val="56167E80"/>
    <w:rsid w:val="561B5ABA"/>
    <w:rsid w:val="567A3DF2"/>
    <w:rsid w:val="56B22A9C"/>
    <w:rsid w:val="57B72A76"/>
    <w:rsid w:val="57C3426C"/>
    <w:rsid w:val="57CE1F93"/>
    <w:rsid w:val="57FF35D6"/>
    <w:rsid w:val="588743D1"/>
    <w:rsid w:val="5887701A"/>
    <w:rsid w:val="58D30811"/>
    <w:rsid w:val="58D6152B"/>
    <w:rsid w:val="58F026D9"/>
    <w:rsid w:val="5971107E"/>
    <w:rsid w:val="59A83EC6"/>
    <w:rsid w:val="59C0439F"/>
    <w:rsid w:val="5A1468D1"/>
    <w:rsid w:val="5ABE2233"/>
    <w:rsid w:val="5AC2169F"/>
    <w:rsid w:val="5B392738"/>
    <w:rsid w:val="5B4A6DD2"/>
    <w:rsid w:val="5BDF5D95"/>
    <w:rsid w:val="5BFE7528"/>
    <w:rsid w:val="5C0C5A4E"/>
    <w:rsid w:val="5C155E00"/>
    <w:rsid w:val="5C467A97"/>
    <w:rsid w:val="5C68635E"/>
    <w:rsid w:val="5CE172C2"/>
    <w:rsid w:val="5D354733"/>
    <w:rsid w:val="5D567DF8"/>
    <w:rsid w:val="5D9334C1"/>
    <w:rsid w:val="5D9405E3"/>
    <w:rsid w:val="5DDE6408"/>
    <w:rsid w:val="5E0C076D"/>
    <w:rsid w:val="5E0D24F0"/>
    <w:rsid w:val="5E1857C7"/>
    <w:rsid w:val="5E1A22A0"/>
    <w:rsid w:val="5E2467F1"/>
    <w:rsid w:val="5E8465A0"/>
    <w:rsid w:val="5E86234D"/>
    <w:rsid w:val="5E99463E"/>
    <w:rsid w:val="5F1A2B43"/>
    <w:rsid w:val="5F355A6D"/>
    <w:rsid w:val="5F852F88"/>
    <w:rsid w:val="5FB837BB"/>
    <w:rsid w:val="60692C39"/>
    <w:rsid w:val="60CC405A"/>
    <w:rsid w:val="61275F85"/>
    <w:rsid w:val="61291238"/>
    <w:rsid w:val="613D29E1"/>
    <w:rsid w:val="61886FF5"/>
    <w:rsid w:val="618C2A1B"/>
    <w:rsid w:val="61AA53EA"/>
    <w:rsid w:val="61E215D8"/>
    <w:rsid w:val="621B3775"/>
    <w:rsid w:val="62364782"/>
    <w:rsid w:val="627B0697"/>
    <w:rsid w:val="62935DB1"/>
    <w:rsid w:val="62A6099C"/>
    <w:rsid w:val="63590597"/>
    <w:rsid w:val="6394356A"/>
    <w:rsid w:val="63B079EF"/>
    <w:rsid w:val="63C61B2C"/>
    <w:rsid w:val="63D40BE9"/>
    <w:rsid w:val="64102431"/>
    <w:rsid w:val="641C15A0"/>
    <w:rsid w:val="643E02CA"/>
    <w:rsid w:val="649315FC"/>
    <w:rsid w:val="64A5243A"/>
    <w:rsid w:val="64F531DE"/>
    <w:rsid w:val="6514208F"/>
    <w:rsid w:val="65373578"/>
    <w:rsid w:val="65BC5914"/>
    <w:rsid w:val="66253A4B"/>
    <w:rsid w:val="66C355F8"/>
    <w:rsid w:val="671F124A"/>
    <w:rsid w:val="67263A62"/>
    <w:rsid w:val="674C14F0"/>
    <w:rsid w:val="67795889"/>
    <w:rsid w:val="677A33C6"/>
    <w:rsid w:val="67C1666E"/>
    <w:rsid w:val="67C51AB9"/>
    <w:rsid w:val="67FF0373"/>
    <w:rsid w:val="681271F9"/>
    <w:rsid w:val="681F6961"/>
    <w:rsid w:val="68610A2F"/>
    <w:rsid w:val="68805514"/>
    <w:rsid w:val="68E36DED"/>
    <w:rsid w:val="69316E2F"/>
    <w:rsid w:val="694E2071"/>
    <w:rsid w:val="69766163"/>
    <w:rsid w:val="697A3B33"/>
    <w:rsid w:val="69D44760"/>
    <w:rsid w:val="69DC751C"/>
    <w:rsid w:val="6A4D20CD"/>
    <w:rsid w:val="6A520EC7"/>
    <w:rsid w:val="6A9F7718"/>
    <w:rsid w:val="6ABD740F"/>
    <w:rsid w:val="6AF87E20"/>
    <w:rsid w:val="6B2030A4"/>
    <w:rsid w:val="6B322639"/>
    <w:rsid w:val="6B3D6961"/>
    <w:rsid w:val="6B835C69"/>
    <w:rsid w:val="6BD40E11"/>
    <w:rsid w:val="6BDB75D3"/>
    <w:rsid w:val="6C636C38"/>
    <w:rsid w:val="6D100202"/>
    <w:rsid w:val="6DB34098"/>
    <w:rsid w:val="6DB545B6"/>
    <w:rsid w:val="6DB72E89"/>
    <w:rsid w:val="6DBC2D7B"/>
    <w:rsid w:val="6DDC0A12"/>
    <w:rsid w:val="6DE02FB4"/>
    <w:rsid w:val="6E007687"/>
    <w:rsid w:val="6E514CED"/>
    <w:rsid w:val="6E6F3F6F"/>
    <w:rsid w:val="6E7C13D9"/>
    <w:rsid w:val="6EA26F63"/>
    <w:rsid w:val="6EB563D5"/>
    <w:rsid w:val="6EC37A10"/>
    <w:rsid w:val="6ED92677"/>
    <w:rsid w:val="6EE44E6B"/>
    <w:rsid w:val="6F225983"/>
    <w:rsid w:val="6F584ECD"/>
    <w:rsid w:val="6FFC5590"/>
    <w:rsid w:val="70367FE4"/>
    <w:rsid w:val="706B546C"/>
    <w:rsid w:val="706D1DD0"/>
    <w:rsid w:val="70856B87"/>
    <w:rsid w:val="708A15C7"/>
    <w:rsid w:val="70B42C66"/>
    <w:rsid w:val="70D527EE"/>
    <w:rsid w:val="70D70CB1"/>
    <w:rsid w:val="70D865A9"/>
    <w:rsid w:val="71470BBC"/>
    <w:rsid w:val="714D3D36"/>
    <w:rsid w:val="715B5300"/>
    <w:rsid w:val="71D27F8A"/>
    <w:rsid w:val="72553024"/>
    <w:rsid w:val="725B146D"/>
    <w:rsid w:val="72BA1C83"/>
    <w:rsid w:val="72EB7997"/>
    <w:rsid w:val="72EE32B5"/>
    <w:rsid w:val="72F76B58"/>
    <w:rsid w:val="73004895"/>
    <w:rsid w:val="730B2FB8"/>
    <w:rsid w:val="73122968"/>
    <w:rsid w:val="731F5D5E"/>
    <w:rsid w:val="733058B6"/>
    <w:rsid w:val="739E1E6F"/>
    <w:rsid w:val="73C51AD5"/>
    <w:rsid w:val="741E793C"/>
    <w:rsid w:val="7437110A"/>
    <w:rsid w:val="745A31E4"/>
    <w:rsid w:val="745E3944"/>
    <w:rsid w:val="754C1261"/>
    <w:rsid w:val="75BC2632"/>
    <w:rsid w:val="75C67560"/>
    <w:rsid w:val="7635099D"/>
    <w:rsid w:val="767174B1"/>
    <w:rsid w:val="769C365E"/>
    <w:rsid w:val="77762421"/>
    <w:rsid w:val="77B56B1F"/>
    <w:rsid w:val="77BA4C41"/>
    <w:rsid w:val="780F09F4"/>
    <w:rsid w:val="78272DC3"/>
    <w:rsid w:val="78A90480"/>
    <w:rsid w:val="792E1F68"/>
    <w:rsid w:val="7A364017"/>
    <w:rsid w:val="7A5F2933"/>
    <w:rsid w:val="7A766668"/>
    <w:rsid w:val="7A8265E1"/>
    <w:rsid w:val="7A8971A3"/>
    <w:rsid w:val="7A90033F"/>
    <w:rsid w:val="7AF83F33"/>
    <w:rsid w:val="7B3C26CC"/>
    <w:rsid w:val="7B485B8B"/>
    <w:rsid w:val="7B686D42"/>
    <w:rsid w:val="7B841746"/>
    <w:rsid w:val="7B9318AB"/>
    <w:rsid w:val="7C3C4038"/>
    <w:rsid w:val="7C6C5AC7"/>
    <w:rsid w:val="7C7C38A2"/>
    <w:rsid w:val="7CAD6954"/>
    <w:rsid w:val="7CC6544B"/>
    <w:rsid w:val="7CC81E50"/>
    <w:rsid w:val="7D0239FF"/>
    <w:rsid w:val="7D532081"/>
    <w:rsid w:val="7D5E40CD"/>
    <w:rsid w:val="7D875E02"/>
    <w:rsid w:val="7D983576"/>
    <w:rsid w:val="7DB31DAA"/>
    <w:rsid w:val="7DCD56F2"/>
    <w:rsid w:val="7E176B90"/>
    <w:rsid w:val="7E4B18FA"/>
    <w:rsid w:val="7E502BE9"/>
    <w:rsid w:val="7F001CE7"/>
    <w:rsid w:val="7F370B6C"/>
    <w:rsid w:val="7F692720"/>
    <w:rsid w:val="7FE47E5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ocked="1"/>
    <w:lsdException w:unhideWhenUsed="0" w:uiPriority="0" w:semiHidden="0" w:name="index 2" w:locked="1"/>
    <w:lsdException w:unhideWhenUsed="0" w:uiPriority="0" w:semiHidden="0" w:name="index 3" w:locked="1"/>
    <w:lsdException w:unhideWhenUsed="0" w:uiPriority="0" w:semiHidden="0" w:name="index 4" w:locked="1"/>
    <w:lsdException w:unhideWhenUsed="0" w:uiPriority="0" w:semiHidden="0" w:name="index 5" w:locked="1"/>
    <w:lsdException w:unhideWhenUsed="0" w:uiPriority="0" w:semiHidden="0" w:name="index 6" w:locked="1"/>
    <w:lsdException w:unhideWhenUsed="0" w:uiPriority="0" w:semiHidden="0" w:name="index 7" w:locked="1"/>
    <w:lsdException w:unhideWhenUsed="0" w:uiPriority="0" w:semiHidden="0" w:name="index 8" w:locked="1"/>
    <w:lsdException w:unhideWhenUsed="0" w:uiPriority="0" w:semiHidden="0" w:name="index 9" w:locked="1"/>
    <w:lsdException w:qFormat="1" w:unhideWhenUsed="0" w:uiPriority="39"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ocked="1"/>
    <w:lsdException w:unhideWhenUsed="0" w:uiPriority="0" w:semiHidden="0" w:name="footnote text" w:locked="1"/>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ocked="1"/>
    <w:lsdException w:qFormat="1" w:uiPriority="0" w:name="caption" w:locked="1"/>
    <w:lsdException w:qFormat="1" w:uiPriority="99" w:semiHidden="0" w:name="table of figures" w:locked="1"/>
    <w:lsdException w:unhideWhenUsed="0" w:uiPriority="0" w:semiHidden="0" w:name="envelope address" w:locked="1"/>
    <w:lsdException w:unhideWhenUsed="0" w:uiPriority="0" w:semiHidden="0" w:name="envelope return" w:locked="1"/>
    <w:lsdException w:unhideWhenUsed="0" w:uiPriority="0" w:semiHidden="0" w:name="footnote reference" w:locked="1"/>
    <w:lsdException w:qFormat="1" w:unhideWhenUsed="0" w:uiPriority="0" w:semiHidden="0" w:name="annotation reference"/>
    <w:lsdException w:unhideWhenUsed="0" w:uiPriority="0" w:semiHidden="0" w:name="line number" w:locked="1"/>
    <w:lsdException w:qFormat="1" w:unhideWhenUsed="0" w:uiPriority="0" w:semiHidden="0" w:name="page number" w:locked="1"/>
    <w:lsdException w:unhideWhenUsed="0" w:uiPriority="0" w:semiHidden="0" w:name="endnote reference" w:locked="1"/>
    <w:lsdException w:unhideWhenUsed="0" w:uiPriority="0" w:semiHidden="0" w:name="endnote text" w:locked="1"/>
    <w:lsdException w:unhideWhenUsed="0" w:uiPriority="0" w:semiHidden="0" w:name="table of authorities" w:locked="1"/>
    <w:lsdException w:unhideWhenUsed="0" w:uiPriority="0" w:semiHidden="0" w:name="macro" w:locked="1"/>
    <w:lsdException w:unhideWhenUsed="0" w:uiPriority="0" w:semiHidden="0" w:name="toa heading" w:locked="1"/>
    <w:lsdException w:unhideWhenUsed="0" w:uiPriority="0" w:semiHidden="0" w:name="List" w:locked="1"/>
    <w:lsdException w:unhideWhenUsed="0" w:uiPriority="0" w:semiHidden="0" w:name="List Bullet" w:locked="1"/>
    <w:lsdException w:unhideWhenUsed="0" w:uiPriority="0" w:semiHidden="0" w:name="List Number" w:locked="1"/>
    <w:lsdException w:unhideWhenUsed="0" w:uiPriority="0" w:semiHidden="0" w:name="List 2" w:locked="1"/>
    <w:lsdException w:unhideWhenUsed="0" w:uiPriority="0" w:semiHidden="0" w:name="List 3" w:locked="1"/>
    <w:lsdException w:unhideWhenUsed="0" w:uiPriority="0" w:semiHidden="0" w:name="List 4" w:locked="1"/>
    <w:lsdException w:unhideWhenUsed="0" w:uiPriority="0" w:semiHidden="0" w:name="List 5" w:locked="1"/>
    <w:lsdException w:unhideWhenUsed="0" w:uiPriority="0" w:semiHidden="0" w:name="List Bullet 2" w:locked="1"/>
    <w:lsdException w:unhideWhenUsed="0" w:uiPriority="0" w:semiHidden="0" w:name="List Bullet 3" w:locked="1"/>
    <w:lsdException w:unhideWhenUsed="0" w:uiPriority="0" w:semiHidden="0" w:name="List Bullet 4" w:locked="1"/>
    <w:lsdException w:qFormat="1" w:unhideWhenUsed="0" w:uiPriority="0" w:semiHidden="0" w:name="List Bullet 5" w:locked="1"/>
    <w:lsdException w:unhideWhenUsed="0" w:uiPriority="0" w:semiHidden="0" w:name="List Number 2" w:locked="1"/>
    <w:lsdException w:unhideWhenUsed="0" w:uiPriority="0" w:semiHidden="0" w:name="List Number 3" w:locked="1"/>
    <w:lsdException w:unhideWhenUsed="0" w:uiPriority="0" w:semiHidden="0" w:name="List Number 4" w:locked="1"/>
    <w:lsdException w:unhideWhenUsed="0" w:uiPriority="0" w:semiHidden="0" w:name="List Number 5" w:locked="1"/>
    <w:lsdException w:qFormat="1" w:unhideWhenUsed="0" w:uiPriority="0" w:semiHidden="0" w:name="Title" w:locked="1"/>
    <w:lsdException w:unhideWhenUsed="0" w:uiPriority="0" w:semiHidden="0" w:name="Closing" w:locked="1"/>
    <w:lsdException w:unhideWhenUsed="0" w:uiPriority="0" w:semiHidden="0" w:name="Signature" w:locked="1"/>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ocked="1"/>
    <w:lsdException w:unhideWhenUsed="0" w:uiPriority="0" w:semiHidden="0" w:name="List Continue 2" w:locked="1"/>
    <w:lsdException w:unhideWhenUsed="0" w:uiPriority="0" w:semiHidden="0" w:name="List Continue 3" w:locked="1"/>
    <w:lsdException w:qFormat="1" w:unhideWhenUsed="0" w:uiPriority="0" w:semiHidden="0" w:name="List Continue 4" w:locked="1"/>
    <w:lsdException w:unhideWhenUsed="0" w:uiPriority="0" w:semiHidden="0" w:name="List Continue 5" w:locked="1"/>
    <w:lsdException w:unhideWhenUsed="0" w:uiPriority="0" w:semiHidden="0" w:name="Message Header" w:locked="1"/>
    <w:lsdException w:qFormat="1" w:unhideWhenUsed="0" w:uiPriority="0" w:semiHidden="0" w:name="Subtitle" w:locked="1"/>
    <w:lsdException w:unhideWhenUsed="0" w:uiPriority="0" w:semiHidden="0"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sdException w:unhideWhenUsed="0" w:uiPriority="0" w:semiHidden="0" w:name="Note Heading" w:locked="1"/>
    <w:lsdException w:unhideWhenUsed="0" w:uiPriority="0" w:semiHidden="0" w:name="Body Text 2" w:locked="1"/>
    <w:lsdException w:unhideWhenUsed="0" w:uiPriority="0" w:semiHidden="0" w:name="Body Text 3" w:locked="1"/>
    <w:lsdException w:unhideWhenUsed="0" w:uiPriority="0" w:semiHidden="0" w:name="Body Text Indent 2" w:locked="1"/>
    <w:lsdException w:qFormat="1" w:unhideWhenUsed="0" w:uiPriority="0" w:semiHidden="0" w:name="Body Text Indent 3" w:locked="1"/>
    <w:lsdException w:unhideWhenUsed="0" w:uiPriority="0" w:semiHidden="0" w:name="Block Text" w:locked="1"/>
    <w:lsdException w:qFormat="1" w:unhideWhenUsed="0" w:uiPriority="0" w:semiHidden="0" w:name="Hyperlink" w:locked="1"/>
    <w:lsdException w:unhideWhenUsed="0" w:uiPriority="0" w:semiHidden="0" w:name="FollowedHyperlink" w:locked="1"/>
    <w:lsdException w:qFormat="1" w:unhideWhenUsed="0" w:uiPriority="0" w:semiHidden="0" w:name="Strong" w:locked="1"/>
    <w:lsdException w:qFormat="1" w:unhideWhenUsed="0" w:uiPriority="0" w:semiHidden="0" w:name="Emphasis" w:locked="1"/>
    <w:lsdException w:unhideWhenUsed="0" w:uiPriority="0" w:semiHidden="0" w:name="Document Map" w:locked="1"/>
    <w:lsdException w:unhideWhenUsed="0" w:uiPriority="0" w:semiHidden="0" w:name="Plain Text" w:locked="1"/>
    <w:lsdException w:unhideWhenUsed="0" w:uiPriority="0" w:semiHidden="0" w:name="E-mail Signature" w:locked="1"/>
    <w:lsdException w:qFormat="1" w:unhideWhenUsed="0" w:uiPriority="0" w:semiHidden="0" w:name="Normal (Web)"/>
    <w:lsdException w:unhideWhenUsed="0" w:uiPriority="0" w:semiHidden="0" w:name="HTML Acronym" w:locked="1"/>
    <w:lsdException w:unhideWhenUsed="0" w:uiPriority="0" w:semiHidden="0" w:name="HTML Address" w:locked="1"/>
    <w:lsdException w:unhideWhenUsed="0" w:uiPriority="0" w:semiHidden="0" w:name="HTML Cite" w:locked="1"/>
    <w:lsdException w:unhideWhenUsed="0" w:uiPriority="0" w:semiHidden="0" w:name="HTML Code" w:locked="1"/>
    <w:lsdException w:unhideWhenUsed="0" w:uiPriority="0" w:semiHidden="0" w:name="HTML Definition" w:locked="1"/>
    <w:lsdException w:unhideWhenUsed="0" w:uiPriority="0" w:semiHidden="0" w:name="HTML Keyboard" w:locked="1"/>
    <w:lsdException w:unhideWhenUsed="0" w:uiPriority="0" w:semiHidden="0" w:name="HTML Preformatted" w:locked="1"/>
    <w:lsdException w:unhideWhenUsed="0" w:uiPriority="0" w:semiHidden="0" w:name="HTML Sample" w:locked="1"/>
    <w:lsdException w:unhideWhenUsed="0" w:uiPriority="0" w:semiHidden="0" w:name="HTML Typewriter" w:locked="1"/>
    <w:lsdException w:unhideWhenUsed="0" w:uiPriority="0" w:semiHidden="0" w:name="HTML Variable" w:locked="1"/>
    <w:lsdException w:qFormat="1" w:unhideWhenUsed="0" w:uiPriority="0" w:name="Normal Table"/>
    <w:lsdException w:qFormat="1" w:unhideWhenUsed="0" w:uiPriority="0" w:semiHidden="0"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0" w:name="Balloon Text"/>
    <w:lsdException w:qFormat="1" w:unhideWhenUsed="0" w:uiPriority="0"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qFormat/>
    <w:locked/>
    <w:uiPriority w:val="99"/>
    <w:pPr>
      <w:keepNext/>
      <w:overflowPunct w:val="0"/>
      <w:snapToGrid w:val="0"/>
      <w:spacing w:line="360" w:lineRule="auto"/>
      <w:ind w:left="0" w:firstLine="0"/>
      <w:jc w:val="center"/>
      <w:outlineLvl w:val="0"/>
    </w:pPr>
    <w:rPr>
      <w:rFonts w:ascii="Times New Roman" w:hAnsi="Times New Roman" w:eastAsia="黑体"/>
      <w:bCs/>
      <w:color w:val="000000"/>
      <w:kern w:val="44"/>
      <w:sz w:val="30"/>
      <w:szCs w:val="30"/>
    </w:rPr>
  </w:style>
  <w:style w:type="paragraph" w:styleId="3">
    <w:name w:val="heading 2"/>
    <w:basedOn w:val="1"/>
    <w:next w:val="1"/>
    <w:qFormat/>
    <w:locked/>
    <w:uiPriority w:val="0"/>
    <w:pPr>
      <w:keepNext/>
      <w:keepLines/>
      <w:ind w:firstLine="0" w:firstLineChars="0"/>
      <w:outlineLvl w:val="1"/>
    </w:pPr>
    <w:rPr>
      <w:b/>
      <w:bCs/>
      <w:szCs w:val="32"/>
    </w:rPr>
  </w:style>
  <w:style w:type="paragraph" w:styleId="4">
    <w:name w:val="heading 3"/>
    <w:basedOn w:val="1"/>
    <w:next w:val="1"/>
    <w:qFormat/>
    <w:locked/>
    <w:uiPriority w:val="0"/>
    <w:pPr>
      <w:keepNext/>
      <w:keepLines/>
      <w:spacing w:before="260" w:after="260" w:line="416" w:lineRule="auto"/>
      <w:outlineLvl w:val="2"/>
    </w:pPr>
    <w:rPr>
      <w:b/>
      <w:bCs/>
      <w:sz w:val="32"/>
      <w:szCs w:val="32"/>
    </w:rPr>
  </w:style>
  <w:style w:type="paragraph" w:styleId="5">
    <w:name w:val="heading 4"/>
    <w:basedOn w:val="1"/>
    <w:next w:val="1"/>
    <w:qFormat/>
    <w:locked/>
    <w:uiPriority w:val="0"/>
    <w:pPr>
      <w:spacing w:line="240" w:lineRule="auto"/>
      <w:ind w:firstLine="600" w:firstLineChars="200"/>
      <w:outlineLvl w:val="3"/>
    </w:pPr>
    <w:rPr>
      <w:rFonts w:ascii="Times New Roman" w:hAnsi="Times New Roman" w:eastAsia="宋体"/>
      <w:b/>
      <w:bCs/>
      <w:sz w:val="21"/>
      <w:szCs w:val="28"/>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locked/>
    <w:uiPriority w:val="0"/>
    <w:pPr>
      <w:ind w:firstLine="420" w:firstLineChars="200"/>
    </w:pPr>
  </w:style>
  <w:style w:type="paragraph" w:customStyle="1" w:styleId="7">
    <w:name w:val="Char Char Char Char Char Char Char Char Char1 Char"/>
    <w:basedOn w:val="1"/>
    <w:next w:val="8"/>
    <w:qFormat/>
    <w:uiPriority w:val="0"/>
    <w:pPr>
      <w:spacing w:line="360" w:lineRule="auto"/>
      <w:ind w:firstLine="200" w:firstLineChars="200"/>
    </w:pPr>
    <w:rPr>
      <w:rFonts w:hAnsi="宋体" w:cs="宋体"/>
      <w:spacing w:val="0"/>
      <w:sz w:val="24"/>
      <w:szCs w:val="24"/>
    </w:rPr>
  </w:style>
  <w:style w:type="paragraph" w:customStyle="1" w:styleId="8">
    <w:name w:val="Body Text First Indent1"/>
    <w:next w:val="1"/>
    <w:qFormat/>
    <w:uiPriority w:val="0"/>
    <w:pPr>
      <w:widowControl w:val="0"/>
      <w:spacing w:after="120"/>
      <w:ind w:firstLine="420"/>
      <w:jc w:val="both"/>
    </w:pPr>
    <w:rPr>
      <w:rFonts w:ascii="Times New Roman" w:hAnsi="Times New Roman" w:eastAsia="宋体" w:cs="Times New Roman"/>
      <w:sz w:val="21"/>
      <w:szCs w:val="22"/>
      <w:lang w:val="en-US" w:eastAsia="zh-CN" w:bidi="ar-SA"/>
    </w:rPr>
  </w:style>
  <w:style w:type="paragraph" w:styleId="9">
    <w:name w:val="annotation text"/>
    <w:basedOn w:val="1"/>
    <w:link w:val="36"/>
    <w:semiHidden/>
    <w:qFormat/>
    <w:uiPriority w:val="0"/>
    <w:pPr>
      <w:jc w:val="left"/>
    </w:pPr>
    <w:rPr>
      <w:kern w:val="0"/>
      <w:sz w:val="24"/>
      <w:szCs w:val="20"/>
    </w:rPr>
  </w:style>
  <w:style w:type="paragraph" w:styleId="10">
    <w:name w:val="Body Text"/>
    <w:basedOn w:val="1"/>
    <w:next w:val="1"/>
    <w:link w:val="37"/>
    <w:qFormat/>
    <w:uiPriority w:val="0"/>
    <w:pPr>
      <w:widowControl/>
      <w:snapToGrid w:val="0"/>
      <w:spacing w:before="60" w:after="160" w:line="259" w:lineRule="auto"/>
      <w:ind w:right="113"/>
    </w:pPr>
    <w:rPr>
      <w:kern w:val="0"/>
      <w:sz w:val="18"/>
      <w:szCs w:val="20"/>
    </w:rPr>
  </w:style>
  <w:style w:type="paragraph" w:styleId="11">
    <w:name w:val="Body Text Indent"/>
    <w:basedOn w:val="1"/>
    <w:next w:val="1"/>
    <w:qFormat/>
    <w:uiPriority w:val="0"/>
    <w:pPr>
      <w:spacing w:after="120"/>
      <w:ind w:left="420" w:leftChars="200"/>
    </w:pPr>
    <w:rPr>
      <w:kern w:val="0"/>
      <w:sz w:val="24"/>
      <w:szCs w:val="20"/>
    </w:rPr>
  </w:style>
  <w:style w:type="paragraph" w:styleId="12">
    <w:name w:val="List Bullet 5"/>
    <w:basedOn w:val="1"/>
    <w:link w:val="67"/>
    <w:qFormat/>
    <w:locked/>
    <w:uiPriority w:val="0"/>
    <w:pPr>
      <w:numPr>
        <w:ilvl w:val="0"/>
        <w:numId w:val="1"/>
      </w:numPr>
    </w:pPr>
  </w:style>
  <w:style w:type="paragraph" w:styleId="13">
    <w:name w:val="Date"/>
    <w:basedOn w:val="1"/>
    <w:next w:val="1"/>
    <w:link w:val="38"/>
    <w:qFormat/>
    <w:uiPriority w:val="0"/>
    <w:pPr>
      <w:ind w:left="100" w:leftChars="2500"/>
    </w:pPr>
    <w:rPr>
      <w:kern w:val="0"/>
      <w:sz w:val="24"/>
      <w:szCs w:val="20"/>
    </w:rPr>
  </w:style>
  <w:style w:type="paragraph" w:styleId="14">
    <w:name w:val="Balloon Text"/>
    <w:basedOn w:val="1"/>
    <w:link w:val="39"/>
    <w:semiHidden/>
    <w:qFormat/>
    <w:uiPriority w:val="0"/>
    <w:rPr>
      <w:kern w:val="0"/>
      <w:sz w:val="18"/>
      <w:szCs w:val="20"/>
    </w:rPr>
  </w:style>
  <w:style w:type="paragraph" w:styleId="15">
    <w:name w:val="footer"/>
    <w:basedOn w:val="1"/>
    <w:link w:val="40"/>
    <w:qFormat/>
    <w:uiPriority w:val="99"/>
    <w:pPr>
      <w:tabs>
        <w:tab w:val="center" w:pos="4153"/>
        <w:tab w:val="right" w:pos="8306"/>
      </w:tabs>
      <w:snapToGrid w:val="0"/>
      <w:jc w:val="left"/>
    </w:pPr>
    <w:rPr>
      <w:kern w:val="0"/>
      <w:sz w:val="18"/>
      <w:szCs w:val="20"/>
    </w:rPr>
  </w:style>
  <w:style w:type="paragraph" w:styleId="16">
    <w:name w:val="header"/>
    <w:basedOn w:val="1"/>
    <w:link w:val="41"/>
    <w:qFormat/>
    <w:uiPriority w:val="0"/>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locked/>
    <w:uiPriority w:val="39"/>
    <w:rPr>
      <w:b/>
    </w:rPr>
  </w:style>
  <w:style w:type="paragraph" w:styleId="18">
    <w:name w:val="List Continue 4"/>
    <w:basedOn w:val="1"/>
    <w:next w:val="1"/>
    <w:qFormat/>
    <w:locked/>
    <w:uiPriority w:val="0"/>
    <w:pPr>
      <w:widowControl w:val="0"/>
      <w:autoSpaceDE/>
      <w:autoSpaceDN/>
      <w:spacing w:before="0" w:after="120" w:line="360" w:lineRule="auto"/>
      <w:ind w:left="1680" w:firstLine="480"/>
      <w:jc w:val="both"/>
    </w:pPr>
    <w:rPr>
      <w:rFonts w:ascii="宋体" w:eastAsia="宋体"/>
      <w:sz w:val="24"/>
    </w:rPr>
  </w:style>
  <w:style w:type="paragraph" w:styleId="19">
    <w:name w:val="Body Text Indent 3"/>
    <w:basedOn w:val="1"/>
    <w:qFormat/>
    <w:locked/>
    <w:uiPriority w:val="0"/>
    <w:pPr>
      <w:spacing w:line="500" w:lineRule="exact"/>
      <w:ind w:firstLine="200" w:firstLineChars="200"/>
    </w:pPr>
    <w:rPr>
      <w:rFonts w:eastAsia="方正仿宋简体"/>
      <w:sz w:val="28"/>
    </w:rPr>
  </w:style>
  <w:style w:type="paragraph" w:styleId="20">
    <w:name w:val="table of figures"/>
    <w:basedOn w:val="1"/>
    <w:next w:val="1"/>
    <w:unhideWhenUsed/>
    <w:qFormat/>
    <w:locked/>
    <w:uiPriority w:val="99"/>
    <w:pPr>
      <w:jc w:val="center"/>
    </w:pPr>
    <w:rPr>
      <w:sz w:val="24"/>
    </w:rPr>
  </w:style>
  <w:style w:type="paragraph" w:styleId="21">
    <w:name w:val="Normal (Web)"/>
    <w:basedOn w:val="1"/>
    <w:link w:val="42"/>
    <w:qFormat/>
    <w:uiPriority w:val="0"/>
    <w:pPr>
      <w:widowControl/>
      <w:spacing w:before="100" w:beforeAutospacing="1" w:after="100" w:afterAutospacing="1"/>
      <w:jc w:val="left"/>
    </w:pPr>
    <w:rPr>
      <w:rFonts w:ascii="宋体" w:hAnsi="宋体"/>
      <w:kern w:val="0"/>
      <w:sz w:val="24"/>
      <w:szCs w:val="20"/>
    </w:rPr>
  </w:style>
  <w:style w:type="paragraph" w:styleId="22">
    <w:name w:val="Title"/>
    <w:basedOn w:val="1"/>
    <w:next w:val="1"/>
    <w:qFormat/>
    <w:locked/>
    <w:uiPriority w:val="0"/>
    <w:pPr>
      <w:spacing w:line="240" w:lineRule="auto"/>
      <w:jc w:val="left"/>
    </w:pPr>
    <w:rPr>
      <w:rFonts w:ascii="Times New Roman" w:hAnsi="Times New Roman"/>
      <w:b/>
      <w:bCs/>
      <w:color w:val="000000"/>
      <w:szCs w:val="20"/>
    </w:rPr>
  </w:style>
  <w:style w:type="paragraph" w:styleId="23">
    <w:name w:val="annotation subject"/>
    <w:basedOn w:val="9"/>
    <w:next w:val="9"/>
    <w:link w:val="43"/>
    <w:qFormat/>
    <w:uiPriority w:val="0"/>
    <w:rPr>
      <w:b/>
      <w:sz w:val="24"/>
      <w:szCs w:val="20"/>
    </w:rPr>
  </w:style>
  <w:style w:type="paragraph" w:styleId="24">
    <w:name w:val="Body Text First Indent"/>
    <w:basedOn w:val="10"/>
    <w:next w:val="1"/>
    <w:qFormat/>
    <w:locked/>
    <w:uiPriority w:val="0"/>
    <w:pPr>
      <w:ind w:firstLine="420" w:firstLineChars="100"/>
    </w:pPr>
  </w:style>
  <w:style w:type="paragraph" w:styleId="25">
    <w:name w:val="Body Text First Indent 2"/>
    <w:basedOn w:val="11"/>
    <w:next w:val="1"/>
    <w:qFormat/>
    <w:uiPriority w:val="0"/>
    <w:pPr>
      <w:spacing w:before="0" w:after="120" w:line="240" w:lineRule="auto"/>
      <w:ind w:left="420" w:leftChars="200" w:firstLine="420"/>
    </w:pPr>
    <w:rPr>
      <w:rFonts w:eastAsia="宋体"/>
      <w:sz w:val="24"/>
    </w:rPr>
  </w:style>
  <w:style w:type="table" w:styleId="27">
    <w:name w:val="Table Grid"/>
    <w:basedOn w:val="26"/>
    <w:qFormat/>
    <w:uiPriority w:val="0"/>
    <w:rPr>
      <w:lang w:val="en-US" w:eastAsia="zh-CN" w:bidi="ar-S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qFormat/>
    <w:locked/>
    <w:uiPriority w:val="0"/>
    <w:rPr>
      <w:b/>
      <w:bCs/>
    </w:rPr>
  </w:style>
  <w:style w:type="character" w:styleId="30">
    <w:name w:val="page number"/>
    <w:qFormat/>
    <w:locked/>
    <w:uiPriority w:val="0"/>
  </w:style>
  <w:style w:type="character" w:styleId="31">
    <w:name w:val="Hyperlink"/>
    <w:qFormat/>
    <w:locked/>
    <w:uiPriority w:val="0"/>
    <w:rPr>
      <w:color w:val="0000FF"/>
      <w:u w:val="single"/>
    </w:rPr>
  </w:style>
  <w:style w:type="character" w:styleId="32">
    <w:name w:val="annotation reference"/>
    <w:qFormat/>
    <w:uiPriority w:val="0"/>
    <w:rPr>
      <w:sz w:val="21"/>
    </w:rPr>
  </w:style>
  <w:style w:type="paragraph" w:customStyle="1" w:styleId="33">
    <w:name w:val="Default"/>
    <w:basedOn w:val="34"/>
    <w:next w:val="1"/>
    <w:qFormat/>
    <w:uiPriority w:val="0"/>
    <w:pPr>
      <w:keepNext w:val="0"/>
      <w:keepLines w:val="0"/>
      <w:widowControl w:val="0"/>
      <w:suppressLineNumbers w:val="0"/>
      <w:autoSpaceDE w:val="0"/>
      <w:autoSpaceDN w:val="0"/>
      <w:spacing w:before="0" w:beforeAutospacing="0" w:after="0" w:afterAutospacing="0"/>
      <w:ind w:left="0" w:right="0"/>
      <w:jc w:val="left"/>
    </w:pPr>
    <w:rPr>
      <w:rFonts w:hint="eastAsia" w:ascii="宋体" w:hAnsi="Times New Roman" w:eastAsia="宋体" w:cs="宋体"/>
      <w:color w:val="000000"/>
      <w:kern w:val="0"/>
      <w:sz w:val="24"/>
      <w:szCs w:val="24"/>
      <w:lang w:val="en-US" w:eastAsia="zh-CN" w:bidi="ar"/>
    </w:rPr>
  </w:style>
  <w:style w:type="paragraph" w:customStyle="1" w:styleId="34">
    <w:name w:val="1 表头"/>
    <w:basedOn w:val="1"/>
    <w:qFormat/>
    <w:uiPriority w:val="0"/>
    <w:pPr>
      <w:adjustRightInd w:val="0"/>
      <w:snapToGrid w:val="0"/>
      <w:spacing w:line="240" w:lineRule="auto"/>
      <w:ind w:firstLine="0" w:firstLineChars="0"/>
      <w:jc w:val="center"/>
    </w:pPr>
    <w:rPr>
      <w:b/>
      <w:color w:val="000000"/>
      <w:sz w:val="21"/>
      <w:szCs w:val="21"/>
    </w:rPr>
  </w:style>
  <w:style w:type="paragraph" w:customStyle="1" w:styleId="35">
    <w:name w:val="正文1"/>
    <w:basedOn w:val="6"/>
    <w:next w:val="1"/>
    <w:qFormat/>
    <w:uiPriority w:val="0"/>
    <w:rPr>
      <w:szCs w:val="20"/>
    </w:rPr>
  </w:style>
  <w:style w:type="character" w:customStyle="1" w:styleId="36">
    <w:name w:val="批注文字 字符"/>
    <w:link w:val="9"/>
    <w:qFormat/>
    <w:locked/>
    <w:uiPriority w:val="0"/>
    <w:rPr>
      <w:rFonts w:ascii="Times New Roman" w:hAnsi="Times New Roman" w:eastAsia="宋体"/>
      <w:sz w:val="24"/>
    </w:rPr>
  </w:style>
  <w:style w:type="character" w:customStyle="1" w:styleId="37">
    <w:name w:val="正文文本 字符"/>
    <w:link w:val="10"/>
    <w:qFormat/>
    <w:locked/>
    <w:uiPriority w:val="0"/>
    <w:rPr>
      <w:sz w:val="18"/>
    </w:rPr>
  </w:style>
  <w:style w:type="character" w:customStyle="1" w:styleId="38">
    <w:name w:val="日期 字符"/>
    <w:link w:val="13"/>
    <w:qFormat/>
    <w:locked/>
    <w:uiPriority w:val="0"/>
    <w:rPr>
      <w:rFonts w:ascii="Times New Roman" w:hAnsi="Times New Roman" w:eastAsia="宋体"/>
      <w:sz w:val="24"/>
    </w:rPr>
  </w:style>
  <w:style w:type="character" w:customStyle="1" w:styleId="39">
    <w:name w:val="批注框文本 字符"/>
    <w:link w:val="14"/>
    <w:semiHidden/>
    <w:qFormat/>
    <w:locked/>
    <w:uiPriority w:val="0"/>
    <w:rPr>
      <w:rFonts w:ascii="Times New Roman" w:hAnsi="Times New Roman" w:eastAsia="宋体"/>
      <w:sz w:val="18"/>
    </w:rPr>
  </w:style>
  <w:style w:type="character" w:customStyle="1" w:styleId="40">
    <w:name w:val="页脚 字符1"/>
    <w:link w:val="15"/>
    <w:qFormat/>
    <w:locked/>
    <w:uiPriority w:val="99"/>
    <w:rPr>
      <w:sz w:val="18"/>
    </w:rPr>
  </w:style>
  <w:style w:type="character" w:customStyle="1" w:styleId="41">
    <w:name w:val="页眉 字符"/>
    <w:link w:val="16"/>
    <w:qFormat/>
    <w:locked/>
    <w:uiPriority w:val="0"/>
    <w:rPr>
      <w:sz w:val="18"/>
    </w:rPr>
  </w:style>
  <w:style w:type="character" w:customStyle="1" w:styleId="42">
    <w:name w:val="普通(网站) 字符"/>
    <w:link w:val="21"/>
    <w:qFormat/>
    <w:locked/>
    <w:uiPriority w:val="0"/>
    <w:rPr>
      <w:rFonts w:ascii="宋体" w:hAnsi="宋体" w:eastAsia="宋体"/>
      <w:sz w:val="24"/>
    </w:rPr>
  </w:style>
  <w:style w:type="character" w:customStyle="1" w:styleId="43">
    <w:name w:val="批注主题 字符"/>
    <w:link w:val="23"/>
    <w:semiHidden/>
    <w:qFormat/>
    <w:locked/>
    <w:uiPriority w:val="0"/>
    <w:rPr>
      <w:rFonts w:ascii="Times New Roman" w:hAnsi="Times New Roman" w:eastAsia="宋体"/>
      <w:b/>
      <w:kern w:val="2"/>
      <w:sz w:val="24"/>
    </w:rPr>
  </w:style>
  <w:style w:type="character" w:customStyle="1" w:styleId="44">
    <w:name w:val="页脚 字符"/>
    <w:qFormat/>
    <w:uiPriority w:val="99"/>
  </w:style>
  <w:style w:type="paragraph" w:customStyle="1" w:styleId="45">
    <w:name w:val="表头"/>
    <w:basedOn w:val="1"/>
    <w:next w:val="1"/>
    <w:qFormat/>
    <w:uiPriority w:val="0"/>
    <w:pPr>
      <w:adjustRightInd w:val="0"/>
      <w:spacing w:line="360" w:lineRule="auto"/>
      <w:ind w:firstLine="640" w:firstLineChars="200"/>
      <w:jc w:val="left"/>
      <w:textAlignment w:val="baseline"/>
    </w:pPr>
    <w:rPr>
      <w:rFonts w:ascii="Times New Roman" w:hAnsi="Times New Roman" w:eastAsia="宋体" w:cs="Times New Roman"/>
      <w:b/>
      <w:kern w:val="0"/>
      <w:szCs w:val="21"/>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表格标题"/>
    <w:basedOn w:val="1"/>
    <w:next w:val="1"/>
    <w:qFormat/>
    <w:uiPriority w:val="0"/>
    <w:pPr>
      <w:spacing w:line="360" w:lineRule="auto"/>
      <w:ind w:firstLine="2168" w:firstLineChars="600"/>
      <w:jc w:val="center"/>
    </w:pPr>
    <w:rPr>
      <w:b/>
      <w:bCs/>
      <w:szCs w:val="20"/>
    </w:rPr>
  </w:style>
  <w:style w:type="paragraph" w:customStyle="1" w:styleId="48">
    <w:name w:val="表中文字"/>
    <w:basedOn w:val="1"/>
    <w:qFormat/>
    <w:uiPriority w:val="0"/>
    <w:pPr>
      <w:tabs>
        <w:tab w:val="left" w:pos="2700"/>
      </w:tabs>
      <w:spacing w:line="240" w:lineRule="auto"/>
      <w:ind w:firstLine="0" w:firstLineChars="0"/>
      <w:jc w:val="center"/>
      <w:textAlignment w:val="center"/>
    </w:pPr>
    <w:rPr>
      <w:sz w:val="21"/>
      <w:szCs w:val="21"/>
    </w:rPr>
  </w:style>
  <w:style w:type="paragraph" w:customStyle="1" w:styleId="49">
    <w:name w:val="样式3"/>
    <w:basedOn w:val="1"/>
    <w:qFormat/>
    <w:uiPriority w:val="0"/>
    <w:rPr>
      <w:szCs w:val="21"/>
    </w:rPr>
  </w:style>
  <w:style w:type="paragraph" w:customStyle="1" w:styleId="50">
    <w:name w:val="报告正文小四"/>
    <w:basedOn w:val="1"/>
    <w:qFormat/>
    <w:uiPriority w:val="0"/>
    <w:pPr>
      <w:ind w:firstLine="200"/>
    </w:pPr>
    <w:rPr>
      <w:szCs w:val="20"/>
    </w:rPr>
  </w:style>
  <w:style w:type="paragraph" w:customStyle="1" w:styleId="51">
    <w:name w:val="表格后空行"/>
    <w:basedOn w:val="1"/>
    <w:qFormat/>
    <w:uiPriority w:val="0"/>
    <w:pPr>
      <w:widowControl/>
      <w:spacing w:line="240" w:lineRule="exact"/>
      <w:textAlignment w:val="baseline"/>
    </w:pPr>
    <w:rPr>
      <w:rFonts w:ascii="宋体" w:cs="宋体"/>
      <w:color w:val="000000"/>
      <w:kern w:val="0"/>
      <w:sz w:val="18"/>
      <w:szCs w:val="20"/>
      <w:u w:val="none" w:color="000000"/>
    </w:rPr>
  </w:style>
  <w:style w:type="paragraph" w:customStyle="1" w:styleId="52">
    <w:name w:val="表格内"/>
    <w:basedOn w:val="1"/>
    <w:qFormat/>
    <w:uiPriority w:val="0"/>
    <w:pPr>
      <w:widowControl/>
      <w:adjustRightInd w:val="0"/>
      <w:snapToGrid w:val="0"/>
      <w:spacing w:after="200" w:line="360" w:lineRule="exact"/>
      <w:jc w:val="center"/>
    </w:pPr>
    <w:rPr>
      <w:rFonts w:ascii="Calibri" w:hAnsi="Calibri" w:eastAsia="微软雅黑" w:cs="Times New Roman"/>
      <w:snapToGrid w:val="0"/>
      <w:kern w:val="0"/>
      <w:sz w:val="22"/>
      <w:szCs w:val="21"/>
    </w:rPr>
  </w:style>
  <w:style w:type="paragraph" w:customStyle="1" w:styleId="53">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szCs w:val="20"/>
    </w:rPr>
  </w:style>
  <w:style w:type="paragraph" w:styleId="54">
    <w:name w:val="List Paragraph"/>
    <w:basedOn w:val="1"/>
    <w:qFormat/>
    <w:uiPriority w:val="1"/>
    <w:pPr>
      <w:ind w:left="122" w:hanging="795"/>
    </w:pPr>
    <w:rPr>
      <w:rFonts w:ascii="宋体" w:hAnsi="宋体" w:eastAsia="宋体" w:cs="宋体"/>
      <w:lang w:val="zh-CN" w:eastAsia="zh-CN" w:bidi="zh-CN"/>
    </w:rPr>
  </w:style>
  <w:style w:type="paragraph" w:customStyle="1" w:styleId="55">
    <w:name w:val="Table Paragraph"/>
    <w:basedOn w:val="1"/>
    <w:qFormat/>
    <w:uiPriority w:val="1"/>
    <w:rPr>
      <w:rFonts w:ascii="宋体" w:hAnsi="宋体" w:cs="宋体"/>
      <w:lang w:val="zh-CN" w:bidi="zh-CN"/>
    </w:rPr>
  </w:style>
  <w:style w:type="character" w:customStyle="1" w:styleId="56">
    <w:name w:val="font21"/>
    <w:qFormat/>
    <w:uiPriority w:val="0"/>
    <w:rPr>
      <w:rFonts w:hint="eastAsia" w:ascii="宋体" w:hAnsi="宋体" w:eastAsia="宋体" w:cs="宋体"/>
      <w:color w:val="000000"/>
      <w:sz w:val="21"/>
      <w:szCs w:val="21"/>
      <w:u w:val="none"/>
    </w:rPr>
  </w:style>
  <w:style w:type="character" w:customStyle="1" w:styleId="57">
    <w:name w:val="font31"/>
    <w:qFormat/>
    <w:uiPriority w:val="0"/>
    <w:rPr>
      <w:rFonts w:hint="default" w:ascii="Times New Roman" w:hAnsi="Times New Roman" w:cs="Times New Roman"/>
      <w:color w:val="000000"/>
      <w:sz w:val="21"/>
      <w:szCs w:val="21"/>
      <w:u w:val="none"/>
    </w:rPr>
  </w:style>
  <w:style w:type="paragraph" w:customStyle="1" w:styleId="58">
    <w:name w:val="正文(首行缩进)"/>
    <w:basedOn w:val="1"/>
    <w:next w:val="3"/>
    <w:qFormat/>
    <w:uiPriority w:val="0"/>
    <w:pPr>
      <w:spacing w:line="360" w:lineRule="auto"/>
      <w:ind w:firstLine="480" w:firstLineChars="200"/>
    </w:pPr>
    <w:rPr>
      <w:rFonts w:eastAsia="宋体"/>
      <w:bCs/>
      <w:color w:val="000000"/>
      <w:kern w:val="24"/>
      <w:sz w:val="24"/>
      <w:szCs w:val="24"/>
    </w:rPr>
  </w:style>
  <w:style w:type="paragraph" w:customStyle="1" w:styleId="59">
    <w:name w:val="Table Text"/>
    <w:basedOn w:val="1"/>
    <w:semiHidden/>
    <w:qFormat/>
    <w:uiPriority w:val="0"/>
    <w:rPr>
      <w:rFonts w:ascii="宋体" w:hAnsi="宋体" w:eastAsia="宋体" w:cs="宋体"/>
      <w:sz w:val="20"/>
      <w:szCs w:val="20"/>
      <w:lang w:val="en-US" w:eastAsia="en-US" w:bidi="ar-SA"/>
    </w:rPr>
  </w:style>
  <w:style w:type="table" w:customStyle="1" w:styleId="60">
    <w:name w:val="Table Normal"/>
    <w:unhideWhenUsed/>
    <w:qFormat/>
    <w:uiPriority w:val="0"/>
    <w:rPr>
      <w:lang w:val="en-US" w:eastAsia="zh-CN" w:bidi="ar-SA"/>
    </w:rPr>
    <w:tblPr>
      <w:tblCellMar>
        <w:top w:w="0" w:type="dxa"/>
        <w:left w:w="0" w:type="dxa"/>
        <w:bottom w:w="0" w:type="dxa"/>
        <w:right w:w="0" w:type="dxa"/>
      </w:tblCellMar>
    </w:tblPr>
  </w:style>
  <w:style w:type="paragraph" w:customStyle="1" w:styleId="61">
    <w:name w:val="准 正文 左侧:  2 字符 + 首行缩进:  2 字符"/>
    <w:basedOn w:val="1"/>
    <w:qFormat/>
    <w:uiPriority w:val="0"/>
    <w:pPr>
      <w:spacing w:line="360" w:lineRule="auto"/>
      <w:ind w:firstLine="480" w:firstLineChars="200"/>
    </w:pPr>
    <w:rPr>
      <w:rFonts w:cs="宋体"/>
      <w:sz w:val="24"/>
    </w:rPr>
  </w:style>
  <w:style w:type="paragraph" w:customStyle="1" w:styleId="62">
    <w:name w:val="_Style 61"/>
    <w:unhideWhenUsed/>
    <w:qFormat/>
    <w:uiPriority w:val="99"/>
    <w:rPr>
      <w:rFonts w:ascii="Times New Roman" w:hAnsi="Times New Roman" w:eastAsia="宋体" w:cs="Times New Roman"/>
      <w:kern w:val="2"/>
      <w:sz w:val="24"/>
      <w:szCs w:val="24"/>
      <w:lang w:val="en-US" w:eastAsia="zh-CN" w:bidi="ar-SA"/>
    </w:rPr>
  </w:style>
  <w:style w:type="paragraph" w:customStyle="1" w:styleId="63">
    <w:name w:val="正文2"/>
    <w:qFormat/>
    <w:uiPriority w:val="0"/>
    <w:pPr>
      <w:widowControl w:val="0"/>
      <w:autoSpaceDE w:val="0"/>
      <w:autoSpaceDN w:val="0"/>
      <w:adjustRightInd w:val="0"/>
      <w:spacing w:line="360" w:lineRule="auto"/>
      <w:ind w:firstLine="560" w:firstLineChars="200"/>
      <w:jc w:val="both"/>
    </w:pPr>
    <w:rPr>
      <w:rFonts w:ascii="Times New Roman" w:hAnsi="Times New Roman" w:eastAsia="宋体" w:cs="Times New Roman"/>
      <w:color w:val="auto"/>
      <w:sz w:val="24"/>
      <w:szCs w:val="24"/>
    </w:rPr>
  </w:style>
  <w:style w:type="paragraph" w:customStyle="1" w:styleId="64">
    <w:name w:val="表格正文"/>
    <w:qFormat/>
    <w:uiPriority w:val="0"/>
    <w:pPr>
      <w:autoSpaceDE w:val="0"/>
      <w:autoSpaceDN w:val="0"/>
      <w:adjustRightInd w:val="0"/>
      <w:jc w:val="center"/>
      <w:textAlignment w:val="baseline"/>
    </w:pPr>
    <w:rPr>
      <w:rFonts w:ascii="Times New Roman" w:hAnsi="Times New Roman" w:eastAsia="宋体" w:cs="Times New Roman"/>
      <w:kern w:val="0"/>
      <w:sz w:val="21"/>
      <w:szCs w:val="21"/>
    </w:rPr>
  </w:style>
  <w:style w:type="paragraph" w:customStyle="1" w:styleId="65">
    <w:name w:val="正文 + 宋体"/>
    <w:basedOn w:val="1"/>
    <w:qFormat/>
    <w:uiPriority w:val="0"/>
    <w:pPr>
      <w:widowControl/>
      <w:adjustRightInd w:val="0"/>
      <w:snapToGrid w:val="0"/>
      <w:spacing w:line="400" w:lineRule="exact"/>
      <w:ind w:firstLine="480"/>
      <w:jc w:val="left"/>
      <w:textAlignment w:val="baseline"/>
    </w:pPr>
    <w:rPr>
      <w:rFonts w:ascii="Calibri" w:hAnsi="Calibri"/>
      <w:color w:val="000000"/>
      <w:kern w:val="0"/>
      <w:sz w:val="24"/>
      <w:lang w:eastAsia="en-US" w:bidi="en-US"/>
    </w:rPr>
  </w:style>
  <w:style w:type="paragraph" w:customStyle="1" w:styleId="66">
    <w:name w:val="文本正文"/>
    <w:basedOn w:val="1"/>
    <w:qFormat/>
    <w:uiPriority w:val="0"/>
    <w:pPr>
      <w:widowControl/>
      <w:spacing w:beforeLines="50" w:afterLines="50" w:line="276" w:lineRule="auto"/>
      <w:ind w:left="958"/>
    </w:pPr>
    <w:rPr>
      <w:rFonts w:ascii="宋体" w:hAnsi="宋体" w:eastAsia="仿宋_GB2312"/>
      <w:spacing w:val="-10"/>
      <w:kern w:val="0"/>
      <w:sz w:val="28"/>
      <w:szCs w:val="24"/>
    </w:rPr>
  </w:style>
  <w:style w:type="character" w:customStyle="1" w:styleId="67">
    <w:name w:val="列表项目符号 5 Char"/>
    <w:link w:val="12"/>
    <w:qFormat/>
    <w:uiPriority w:val="0"/>
  </w:style>
  <w:style w:type="paragraph" w:customStyle="1" w:styleId="68">
    <w:name w:val="表格"/>
    <w:basedOn w:val="55"/>
    <w:next w:val="69"/>
    <w:qFormat/>
    <w:uiPriority w:val="0"/>
    <w:pPr>
      <w:adjustRightInd w:val="0"/>
      <w:snapToGrid w:val="0"/>
      <w:spacing w:beforeLines="10" w:afterLines="10" w:line="259" w:lineRule="auto"/>
      <w:jc w:val="center"/>
    </w:pPr>
    <w:rPr>
      <w:rFonts w:ascii="宋体"/>
      <w:kern w:val="0"/>
      <w:szCs w:val="20"/>
    </w:rPr>
  </w:style>
  <w:style w:type="paragraph" w:customStyle="1" w:styleId="69">
    <w:name w:val="样式 标题 2 + 首行缩进:  2 字符"/>
    <w:basedOn w:val="3"/>
    <w:next w:val="70"/>
    <w:qFormat/>
    <w:uiPriority w:val="0"/>
    <w:pPr>
      <w:widowControl/>
      <w:autoSpaceDE/>
      <w:autoSpaceDN/>
      <w:spacing w:before="0" w:after="0" w:line="300" w:lineRule="auto"/>
      <w:ind w:left="1320" w:hanging="420"/>
      <w:outlineLvl w:val="1"/>
    </w:pPr>
    <w:rPr>
      <w:rFonts w:ascii="Times New Roman" w:eastAsia="黑体"/>
      <w:b w:val="0"/>
      <w:sz w:val="30"/>
    </w:rPr>
  </w:style>
  <w:style w:type="paragraph" w:customStyle="1" w:styleId="70">
    <w:name w:val="图号"/>
    <w:next w:val="71"/>
    <w:qFormat/>
    <w:uiPriority w:val="0"/>
    <w:pPr>
      <w:widowControl w:val="0"/>
      <w:spacing w:line="529" w:lineRule="exact"/>
      <w:ind w:left="198"/>
    </w:pPr>
    <w:rPr>
      <w:rFonts w:ascii="宋体" w:hAnsi="Times New Roman" w:eastAsia="宋体" w:cs="Times New Roman"/>
      <w:b/>
      <w:sz w:val="24"/>
      <w:lang w:val="en-US" w:eastAsia="zh-CN" w:bidi="ar-SA"/>
    </w:rPr>
  </w:style>
  <w:style w:type="paragraph" w:customStyle="1" w:styleId="71">
    <w:name w:val=" Char Char Char Char Char Char Char Char Char Char Char Char Char Char Char Char Char Char Char Char Char Char"/>
    <w:basedOn w:val="1"/>
    <w:next w:val="1"/>
    <w:qFormat/>
    <w:uiPriority w:val="0"/>
    <w:pPr>
      <w:widowControl w:val="0"/>
      <w:autoSpaceDE/>
      <w:autoSpaceDN/>
      <w:spacing w:before="0" w:after="0" w:line="360" w:lineRule="auto"/>
      <w:ind w:left="0" w:firstLine="200"/>
    </w:pPr>
    <w:rPr>
      <w:rFonts w:ascii="宋体"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NDAwNjU2MzkwMjI0IiwKCSJHcm91cElkIiA6ICIyMTk1NDExNyIsCgkiSW1hZ2UiIDogImlWQk9SdzBLR2dvQUFBQU5TVWhFVWdBQUJHNEFBQUZJQ0FZQUFBQUJBTGptQUFBQUFYTlNSMElBcnM0YzZRQUFJQUJKUkVGVWVKenMzWGw4VE5mN0IvRFBuWmtzc29ocVFocGFvZlkxUzFNN2phS3ExRmVyV2tXMWFOWFhXaFNsMXJUVzJoVmYrOTVTcFFRdGFsOXJ5eWFKRUJJa0JBbEJsc2xrNXA3Zkgrbk1MNU9aeVNZeElaLzM2OVZYNWM2OWQ4NU1acDZjKzl4em5nTVF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KYXJmOEhLU3RjVHVsMEpsSUFBQUFBU1VWT1JLNUNZSUk9IiwKCSJUaGVtZSIgOiAiIiwKCSJUeXBlIiA6ICJmbG93IiwKCSJVc2VySWQiIDogIjEyNzczNDYiLAoJIlZlcnNpb24iIDogIjQwIgp9Cg=="/>
    </extobj>
    <extobj name="ECB019B1-382A-4266-B25C-5B523AA43C14-2">
      <extobjdata type="ECB019B1-382A-4266-B25C-5B523AA43C14" data="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W5Mei9CcWRkaWFSSUhsd0dBQUFBQUVsRlRrU3VRbUNDIiwKCSJUaGVtZSIgOiAiIiwKCSJUeXBlIiA6ICJmbG93IiwKCSJWZXJzaW9uIiA6ICIiCn0K"/>
    </extobj>
    <extobj name="ECB019B1-382A-4266-B25C-5B523AA43C14-3">
      <extobjdata type="ECB019B1-382A-4266-B25C-5B523AA43C14" data="ewoJIkZpbGVJZCIgOiAiMzk4NTg5NjIyNDIwIiwKCSJHcm91cElkIiA6ICIyMTk1NDExNyIsCgkiSW1hZ2UiIDogImlWQk9SdzBLR2dvQUFBQU5TVWhFVWdBQUFtUUFBQU5HQ0FZQUFBQlRBcEkxQUFBQUFYTlNSMElBcnM0YzZRQUFJQUJKUkVGVWVKenMzWGxjVkZYL0IvRFB1Yk00ckpLSUMyS1p1YVFHZ3FhV3BXa3VhUzR0UGoxYVBlWmovclEwdFRMM2NsOHF5OGZNclpRTVRWUExOTFhNZkhJcGM4VVZFSmNRTlJVWE1KRWRadWFlM3gvRVBJeUFvakp6VUQ3djE2dlhpemwzKzA2TWR6NmNlKzY1QU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"/>
    </extobj>
    <extobj name="ECB019B1-382A-4266-B25C-5B523AA43C14-4">
      <extobjdata type="ECB019B1-382A-4266-B25C-5B523AA43C14" data="ewoJIkZpbGVJZCIgOiAiMzk4NTc0OTQ0MTYwIiwKCSJHcm91cElkIiA6ICIyMTk1NDExNyIsCgkiSW1hZ2UiIDogImlWQk9SdzBLR2dvQUFBQU5TVWhFVWdBQUE0MEFBQU1TQ0FZQUFBRE9aQ0d2QUFBQUFYTlNSMElBcnM0YzZRQUFJQUJKUkVGVWVKenMzWGxZVmRYQ0J2QjM3VE13Q0VpQmdnU0tjM29kSVBXbTlta3FXbVpLNVRXMXVwWmFsbVdscHFtWmFjNFRsbE1PYWVVODVaaEphcVdGMTR1R09hRGdoSW9UZ3FDaXpJZHo5dnIrUVBibGVEZ01UZ2YxL1QyUGoreTFwN1dQQXZ2ZGErMjFBQ0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RRa3Z4L2lxWGt2VUFNcHZRQUFBQUFTVVZPUks1Q1lJST0iLAoJIlRoZW1lIiA6ICIiLAoJIlR5cGUiIDogImZsb3ciLAoJIlVzZXJJZCIgOiAiMTI3NzM0NiIsCgkiVmVyc2lvbiIgOiAiNTU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微软中国</Company>
  <Pages>58</Pages>
  <Words>16604</Words>
  <Characters>18228</Characters>
  <Lines>289</Lines>
  <Paragraphs>81</Paragraphs>
  <TotalTime>14</TotalTime>
  <ScaleCrop>false</ScaleCrop>
  <LinksUpToDate>false</LinksUpToDate>
  <CharactersWithSpaces>18446</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2020-12-24T01:29:00Z</dcterms:created>
  <dc:creator>lhj</dc:creator>
  <cp:lastModifiedBy>lenovo</cp:lastModifiedBy>
  <cp:lastPrinted>2021-07-27T03:09:00Z</cp:lastPrinted>
  <dcterms:modified xsi:type="dcterms:W3CDTF">2025-06-25T03:59:18Z</dcterms:modified>
  <dc:title>附件2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57EF86BC61B843AB846E3D7BC1C15BC0_13</vt:lpwstr>
  </property>
  <property fmtid="{D5CDD505-2E9C-101B-9397-08002B2CF9AE}" pid="4" name="KSOTemplateDocerSaveRecord">
    <vt:lpwstr>eyJoZGlkIjoiMTI1OGJiNTcxNjU4MGFlMWYzZjFjYWM4MDVkZjczYWQiLCJ1c2VySWQiOiIxMjc3MzQ2In0=</vt:lpwstr>
  </property>
</Properties>
</file>